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22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154940</wp:posOffset>
            </wp:positionH>
            <wp:positionV relativeFrom="page">
              <wp:posOffset>303530</wp:posOffset>
            </wp:positionV>
            <wp:extent cx="7251700" cy="2476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1700" cy="24765"/>
                    </a:xfrm>
                    <a:prstGeom prst="rect">
                      <a:avLst/>
                    </a:prstGeom>
                    <a:noFill/>
                  </pic:spPr>
                </pic:pic>
              </a:graphicData>
            </a:graphic>
          </wp:anchor>
        </w:drawing>
        <w:drawing>
          <wp:anchor simplePos="0" relativeHeight="251657728" behindDoc="1" locked="0" layoutInCell="0" allowOverlap="1">
            <wp:simplePos x="0" y="0"/>
            <wp:positionH relativeFrom="page">
              <wp:posOffset>154940</wp:posOffset>
            </wp:positionH>
            <wp:positionV relativeFrom="page">
              <wp:posOffset>336550</wp:posOffset>
            </wp:positionV>
            <wp:extent cx="725170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1700" cy="8255"/>
                    </a:xfrm>
                    <a:prstGeom prst="rect">
                      <a:avLst/>
                    </a:prstGeom>
                    <a:noFill/>
                  </pic:spPr>
                </pic:pic>
              </a:graphicData>
            </a:graphic>
          </wp:anchor>
        </w:drawing>
        <w:t>SECURITIES AND EXCHANGE COMMISSION</w:t>
      </w:r>
    </w:p>
    <w:p>
      <w:pPr>
        <w:spacing w:after="0" w:line="31" w:lineRule="exact"/>
        <w:rPr>
          <w:sz w:val="24"/>
          <w:szCs w:val="24"/>
          <w:color w:val="auto"/>
        </w:rPr>
      </w:pPr>
    </w:p>
    <w:p>
      <w:pPr>
        <w:jc w:val="center"/>
        <w:ind w:right="-1220"/>
        <w:spacing w:after="0"/>
        <w:rPr>
          <w:sz w:val="20"/>
          <w:szCs w:val="20"/>
          <w:color w:val="auto"/>
        </w:rPr>
      </w:pPr>
      <w:r>
        <w:rPr>
          <w:rFonts w:ascii="Arial" w:cs="Arial" w:eastAsia="Arial" w:hAnsi="Arial"/>
          <w:sz w:val="17"/>
          <w:szCs w:val="17"/>
          <w:b w:val="1"/>
          <w:bCs w:val="1"/>
          <w:color w:val="auto"/>
        </w:rPr>
        <w:t>Washington, D.C. 20549</w:t>
      </w:r>
    </w:p>
    <w:p>
      <w:pPr>
        <w:spacing w:after="0" w:line="202" w:lineRule="exact"/>
        <w:rPr>
          <w:sz w:val="24"/>
          <w:szCs w:val="24"/>
          <w:color w:val="auto"/>
        </w:rPr>
      </w:pPr>
    </w:p>
    <w:p>
      <w:pPr>
        <w:jc w:val="center"/>
        <w:ind w:right="-1220"/>
        <w:spacing w:after="0"/>
        <w:rPr>
          <w:sz w:val="20"/>
          <w:szCs w:val="20"/>
          <w:color w:val="auto"/>
        </w:rPr>
      </w:pPr>
      <w:r>
        <w:rPr>
          <w:rFonts w:ascii="Arial" w:cs="Arial" w:eastAsia="Arial" w:hAnsi="Arial"/>
          <w:sz w:val="17"/>
          <w:szCs w:val="17"/>
          <w:b w:val="1"/>
          <w:bCs w:val="1"/>
          <w:color w:val="auto"/>
        </w:rPr>
        <w:t>FORM 6-K</w:t>
      </w:r>
    </w:p>
    <w:p>
      <w:pPr>
        <w:spacing w:after="0" w:line="226" w:lineRule="exact"/>
        <w:rPr>
          <w:sz w:val="24"/>
          <w:szCs w:val="24"/>
          <w:color w:val="auto"/>
        </w:rPr>
      </w:pPr>
    </w:p>
    <w:p>
      <w:pPr>
        <w:jc w:val="center"/>
        <w:ind w:right="-1220"/>
        <w:spacing w:after="0"/>
        <w:rPr>
          <w:sz w:val="20"/>
          <w:szCs w:val="20"/>
          <w:color w:val="auto"/>
        </w:rPr>
      </w:pPr>
      <w:r>
        <w:rPr>
          <w:rFonts w:ascii="Arial" w:cs="Arial" w:eastAsia="Arial" w:hAnsi="Arial"/>
          <w:sz w:val="17"/>
          <w:szCs w:val="17"/>
          <w:color w:val="auto"/>
        </w:rPr>
        <w:t>Report of Foreign Private Issuer</w:t>
      </w:r>
    </w:p>
    <w:p>
      <w:pPr>
        <w:spacing w:after="0" w:line="25" w:lineRule="exact"/>
        <w:rPr>
          <w:sz w:val="24"/>
          <w:szCs w:val="24"/>
          <w:color w:val="auto"/>
        </w:rPr>
      </w:pPr>
    </w:p>
    <w:p>
      <w:pPr>
        <w:jc w:val="center"/>
        <w:ind w:right="-1220"/>
        <w:spacing w:after="0"/>
        <w:rPr>
          <w:sz w:val="20"/>
          <w:szCs w:val="20"/>
          <w:color w:val="auto"/>
        </w:rPr>
      </w:pPr>
      <w:r>
        <w:rPr>
          <w:rFonts w:ascii="Arial" w:cs="Arial" w:eastAsia="Arial" w:hAnsi="Arial"/>
          <w:sz w:val="17"/>
          <w:szCs w:val="17"/>
          <w:color w:val="auto"/>
        </w:rPr>
        <w:t>Pursuant to Rule 13a-16 or 15d-16 under the</w:t>
      </w:r>
    </w:p>
    <w:p>
      <w:pPr>
        <w:spacing w:after="0" w:line="12" w:lineRule="exact"/>
        <w:rPr>
          <w:sz w:val="24"/>
          <w:szCs w:val="24"/>
          <w:color w:val="auto"/>
        </w:rPr>
      </w:pPr>
    </w:p>
    <w:p>
      <w:pPr>
        <w:jc w:val="center"/>
        <w:ind w:right="-1220"/>
        <w:spacing w:after="0"/>
        <w:rPr>
          <w:sz w:val="20"/>
          <w:szCs w:val="20"/>
          <w:color w:val="auto"/>
        </w:rPr>
      </w:pPr>
      <w:r>
        <w:rPr>
          <w:rFonts w:ascii="Arial" w:cs="Arial" w:eastAsia="Arial" w:hAnsi="Arial"/>
          <w:sz w:val="17"/>
          <w:szCs w:val="17"/>
          <w:color w:val="auto"/>
        </w:rPr>
        <w:t>Securities Exchange Act of 1934</w:t>
      </w:r>
    </w:p>
    <w:p>
      <w:pPr>
        <w:spacing w:after="0" w:line="202" w:lineRule="exact"/>
        <w:rPr>
          <w:sz w:val="24"/>
          <w:szCs w:val="24"/>
          <w:color w:val="auto"/>
        </w:rPr>
      </w:pPr>
    </w:p>
    <w:p>
      <w:pPr>
        <w:jc w:val="center"/>
        <w:ind w:right="-1220"/>
        <w:spacing w:after="0"/>
        <w:rPr>
          <w:sz w:val="20"/>
          <w:szCs w:val="20"/>
          <w:color w:val="auto"/>
        </w:rPr>
      </w:pPr>
      <w:r>
        <w:rPr>
          <w:rFonts w:ascii="Arial" w:cs="Arial" w:eastAsia="Arial" w:hAnsi="Arial"/>
          <w:sz w:val="17"/>
          <w:szCs w:val="17"/>
          <w:b w:val="1"/>
          <w:bCs w:val="1"/>
          <w:color w:val="auto"/>
        </w:rPr>
        <w:t>For the month of March 2018</w:t>
      </w:r>
    </w:p>
    <w:p>
      <w:pPr>
        <w:spacing w:after="0" w:line="226" w:lineRule="exact"/>
        <w:rPr>
          <w:sz w:val="24"/>
          <w:szCs w:val="24"/>
          <w:color w:val="auto"/>
        </w:rPr>
      </w:pPr>
    </w:p>
    <w:p>
      <w:pPr>
        <w:jc w:val="center"/>
        <w:ind w:right="-1220"/>
        <w:spacing w:after="0"/>
        <w:rPr>
          <w:sz w:val="20"/>
          <w:szCs w:val="20"/>
          <w:color w:val="auto"/>
        </w:rPr>
      </w:pPr>
      <w:r>
        <w:rPr>
          <w:rFonts w:ascii="Arial" w:cs="Arial" w:eastAsia="Arial" w:hAnsi="Arial"/>
          <w:sz w:val="17"/>
          <w:szCs w:val="17"/>
          <w:color w:val="auto"/>
        </w:rPr>
        <w:t>Commission File Number: 001-14014</w:t>
      </w:r>
    </w:p>
    <w:p>
      <w:pPr>
        <w:spacing w:after="0" w:line="210" w:lineRule="exact"/>
        <w:rPr>
          <w:sz w:val="24"/>
          <w:szCs w:val="24"/>
          <w:color w:val="auto"/>
        </w:rPr>
      </w:pPr>
    </w:p>
    <w:p>
      <w:pPr>
        <w:jc w:val="center"/>
        <w:ind w:right="-1200"/>
        <w:spacing w:after="0"/>
        <w:rPr>
          <w:sz w:val="20"/>
          <w:szCs w:val="20"/>
          <w:color w:val="auto"/>
        </w:rPr>
      </w:pPr>
      <w:r>
        <w:rPr>
          <w:rFonts w:ascii="Arial" w:cs="Arial" w:eastAsia="Arial" w:hAnsi="Arial"/>
          <w:sz w:val="24"/>
          <w:szCs w:val="24"/>
          <w:b w:val="1"/>
          <w:bCs w:val="1"/>
          <w:color w:val="auto"/>
        </w:rPr>
        <w:t>CREDICORP LTD.</w:t>
      </w:r>
    </w:p>
    <w:p>
      <w:pPr>
        <w:spacing w:after="0" w:line="35" w:lineRule="exact"/>
        <w:rPr>
          <w:sz w:val="24"/>
          <w:szCs w:val="24"/>
          <w:color w:val="auto"/>
        </w:rPr>
      </w:pPr>
    </w:p>
    <w:p>
      <w:pPr>
        <w:jc w:val="center"/>
        <w:ind w:right="-1220"/>
        <w:spacing w:after="0"/>
        <w:rPr>
          <w:sz w:val="20"/>
          <w:szCs w:val="20"/>
          <w:color w:val="auto"/>
        </w:rPr>
      </w:pPr>
      <w:r>
        <w:rPr>
          <w:rFonts w:ascii="Arial" w:cs="Arial" w:eastAsia="Arial" w:hAnsi="Arial"/>
          <w:sz w:val="17"/>
          <w:szCs w:val="17"/>
          <w:color w:val="auto"/>
        </w:rPr>
        <w:t>(Translation of registrant’s name into English)</w:t>
      </w:r>
    </w:p>
    <w:p>
      <w:pPr>
        <w:spacing w:after="0" w:line="200" w:lineRule="exact"/>
        <w:rPr>
          <w:sz w:val="24"/>
          <w:szCs w:val="24"/>
          <w:color w:val="auto"/>
        </w:rPr>
      </w:pPr>
    </w:p>
    <w:p>
      <w:pPr>
        <w:jc w:val="center"/>
        <w:ind w:right="-1220"/>
        <w:spacing w:after="0"/>
        <w:rPr>
          <w:sz w:val="20"/>
          <w:szCs w:val="20"/>
          <w:color w:val="auto"/>
        </w:rPr>
      </w:pPr>
      <w:r>
        <w:rPr>
          <w:rFonts w:ascii="Arial" w:cs="Arial" w:eastAsia="Arial" w:hAnsi="Arial"/>
          <w:sz w:val="17"/>
          <w:szCs w:val="17"/>
          <w:b w:val="1"/>
          <w:bCs w:val="1"/>
          <w:color w:val="auto"/>
        </w:rPr>
        <w:t>Clarendon House</w:t>
      </w:r>
    </w:p>
    <w:p>
      <w:pPr>
        <w:spacing w:after="0" w:line="31" w:lineRule="exact"/>
        <w:rPr>
          <w:sz w:val="24"/>
          <w:szCs w:val="24"/>
          <w:color w:val="auto"/>
        </w:rPr>
      </w:pPr>
    </w:p>
    <w:p>
      <w:pPr>
        <w:jc w:val="center"/>
        <w:ind w:right="-1220"/>
        <w:spacing w:after="0"/>
        <w:rPr>
          <w:sz w:val="20"/>
          <w:szCs w:val="20"/>
          <w:color w:val="auto"/>
        </w:rPr>
      </w:pPr>
      <w:r>
        <w:rPr>
          <w:rFonts w:ascii="Arial" w:cs="Arial" w:eastAsia="Arial" w:hAnsi="Arial"/>
          <w:sz w:val="17"/>
          <w:szCs w:val="17"/>
          <w:b w:val="1"/>
          <w:bCs w:val="1"/>
          <w:color w:val="auto"/>
        </w:rPr>
        <w:t>Church Street</w:t>
      </w:r>
    </w:p>
    <w:p>
      <w:pPr>
        <w:spacing w:after="0" w:line="12" w:lineRule="exact"/>
        <w:rPr>
          <w:sz w:val="24"/>
          <w:szCs w:val="24"/>
          <w:color w:val="auto"/>
        </w:rPr>
      </w:pPr>
    </w:p>
    <w:p>
      <w:pPr>
        <w:jc w:val="center"/>
        <w:ind w:right="-1220"/>
        <w:spacing w:after="0"/>
        <w:rPr>
          <w:sz w:val="20"/>
          <w:szCs w:val="20"/>
          <w:color w:val="auto"/>
        </w:rPr>
      </w:pPr>
      <w:r>
        <w:rPr>
          <w:rFonts w:ascii="Arial" w:cs="Arial" w:eastAsia="Arial" w:hAnsi="Arial"/>
          <w:sz w:val="17"/>
          <w:szCs w:val="17"/>
          <w:b w:val="1"/>
          <w:bCs w:val="1"/>
          <w:color w:val="auto"/>
        </w:rPr>
        <w:t>Hamilton HM 11 Bermuda</w:t>
      </w:r>
    </w:p>
    <w:p>
      <w:pPr>
        <w:spacing w:after="0" w:line="12" w:lineRule="exact"/>
        <w:rPr>
          <w:sz w:val="24"/>
          <w:szCs w:val="24"/>
          <w:color w:val="auto"/>
        </w:rPr>
      </w:pPr>
    </w:p>
    <w:p>
      <w:pPr>
        <w:jc w:val="center"/>
        <w:ind w:right="-1220"/>
        <w:spacing w:after="0"/>
        <w:rPr>
          <w:sz w:val="20"/>
          <w:szCs w:val="20"/>
          <w:color w:val="auto"/>
        </w:rPr>
      </w:pPr>
      <w:r>
        <w:rPr>
          <w:rFonts w:ascii="Arial" w:cs="Arial" w:eastAsia="Arial" w:hAnsi="Arial"/>
          <w:sz w:val="17"/>
          <w:szCs w:val="17"/>
          <w:color w:val="auto"/>
        </w:rPr>
        <w:t>(Address of principal executive office)</w:t>
      </w:r>
    </w:p>
    <w:p>
      <w:pPr>
        <w:spacing w:after="0" w:line="208"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whether the registrant files or will file annual reports under cover of Form 20-F or Form 40-F.</w:t>
      </w:r>
    </w:p>
    <w:p>
      <w:pPr>
        <w:spacing w:after="0" w:line="188" w:lineRule="exact"/>
        <w:rPr>
          <w:sz w:val="24"/>
          <w:szCs w:val="24"/>
          <w:color w:val="auto"/>
        </w:rPr>
      </w:pPr>
    </w:p>
    <w:p>
      <w:pPr>
        <w:ind w:left="4740"/>
        <w:spacing w:after="0" w:line="196" w:lineRule="exact"/>
        <w:rPr>
          <w:sz w:val="20"/>
          <w:szCs w:val="20"/>
          <w:color w:val="auto"/>
        </w:rPr>
      </w:pPr>
      <w:r>
        <w:rPr>
          <w:rFonts w:ascii="Arial" w:cs="Arial" w:eastAsia="Arial" w:hAnsi="Arial"/>
          <w:sz w:val="17"/>
          <w:szCs w:val="17"/>
          <w:color w:val="auto"/>
        </w:rPr>
        <w:t xml:space="preserve">Form 20-F </w:t>
      </w:r>
      <w:r>
        <w:rPr>
          <w:rFonts w:ascii="MS PGothic" w:cs="MS PGothic" w:eastAsia="MS PGothic" w:hAnsi="MS PGothic"/>
          <w:sz w:val="17"/>
          <w:szCs w:val="17"/>
          <w:color w:val="auto"/>
        </w:rPr>
        <w:t>☒</w:t>
      </w:r>
      <w:r>
        <w:rPr>
          <w:rFonts w:ascii="Arial" w:cs="Arial" w:eastAsia="Arial" w:hAnsi="Arial"/>
          <w:sz w:val="17"/>
          <w:szCs w:val="17"/>
          <w:color w:val="auto"/>
        </w:rPr>
        <w:t xml:space="preserve"> Form 40-F </w:t>
      </w:r>
      <w:r>
        <w:rPr>
          <w:rFonts w:ascii="MS PGothic" w:cs="MS PGothic" w:eastAsia="MS PGothic" w:hAnsi="MS PGothic"/>
          <w:sz w:val="17"/>
          <w:szCs w:val="17"/>
          <w:color w:val="auto"/>
        </w:rPr>
        <w:t>☐</w:t>
      </w:r>
    </w:p>
    <w:p>
      <w:pPr>
        <w:spacing w:after="0" w:line="253" w:lineRule="exact"/>
        <w:rPr>
          <w:sz w:val="24"/>
          <w:szCs w:val="24"/>
          <w:color w:val="auto"/>
        </w:rPr>
      </w:pPr>
    </w:p>
    <w:p>
      <w:pPr>
        <w:spacing w:after="0"/>
        <w:rPr>
          <w:sz w:val="20"/>
          <w:szCs w:val="20"/>
          <w:color w:val="auto"/>
        </w:rPr>
      </w:pPr>
      <w:r>
        <w:rPr>
          <w:rFonts w:ascii="Arial" w:cs="Arial" w:eastAsia="Arial" w:hAnsi="Arial"/>
          <w:sz w:val="15"/>
          <w:szCs w:val="15"/>
          <w:color w:val="auto"/>
        </w:rPr>
        <w:t>Indicate by check mark if the registrant is submitting the Form 6-K in paper as permitted by Regulation S-T Rule 101(b)(1): ____</w:t>
      </w:r>
    </w:p>
    <w:p>
      <w:pPr>
        <w:spacing w:after="0" w:line="243" w:lineRule="exact"/>
        <w:rPr>
          <w:sz w:val="24"/>
          <w:szCs w:val="24"/>
          <w:color w:val="auto"/>
        </w:rPr>
      </w:pPr>
    </w:p>
    <w:p>
      <w:pPr>
        <w:spacing w:after="0"/>
        <w:rPr>
          <w:sz w:val="20"/>
          <w:szCs w:val="20"/>
          <w:color w:val="auto"/>
        </w:rPr>
      </w:pPr>
      <w:r>
        <w:rPr>
          <w:rFonts w:ascii="Arial" w:cs="Arial" w:eastAsia="Arial" w:hAnsi="Arial"/>
          <w:sz w:val="15"/>
          <w:szCs w:val="15"/>
          <w:color w:val="auto"/>
        </w:rPr>
        <w:t>Indicate by check mark if the registrant is submitting the Form 6-K in paper as permitted by Regulation S-T Rule 101(b)(7): 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195580</wp:posOffset>
            </wp:positionV>
            <wp:extent cx="725170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1700"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212090</wp:posOffset>
            </wp:positionV>
            <wp:extent cx="7251700" cy="24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1700" cy="2476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648970</wp:posOffset>
            </wp:positionV>
            <wp:extent cx="725170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1700" cy="8255"/>
                    </a:xfrm>
                    <a:prstGeom prst="rect">
                      <a:avLst/>
                    </a:prstGeom>
                    <a:noFill/>
                  </pic:spPr>
                </pic:pic>
              </a:graphicData>
            </a:graphic>
          </wp:anchor>
        </w:drawing>
      </w:r>
    </w:p>
    <w:p>
      <w:pPr>
        <w:sectPr>
          <w:pgSz w:w="11900" w:h="16838" w:orient="portrait"/>
          <w:cols w:equalWidth="0" w:num="1">
            <w:col w:w="10219"/>
          </w:cols>
          <w:pgMar w:left="240" w:top="784" w:right="1440" w:bottom="1440" w:gutter="0" w:footer="0" w:header="0"/>
        </w:sectPr>
      </w:pPr>
    </w:p>
    <w:bookmarkStart w:id="1" w:name="page2"/>
    <w:bookmarkEnd w:id="1"/>
    <w:p>
      <w:pPr>
        <w:spacing w:after="0" w:line="37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5451475</wp:posOffset>
            </wp:positionH>
            <wp:positionV relativeFrom="page">
              <wp:posOffset>567690</wp:posOffset>
            </wp:positionV>
            <wp:extent cx="1955165" cy="4622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1955165" cy="462280"/>
                    </a:xfrm>
                    <a:prstGeom prst="rect">
                      <a:avLst/>
                    </a:prstGeom>
                    <a:noFill/>
                  </pic:spPr>
                </pic:pic>
              </a:graphicData>
            </a:graphic>
          </wp:anchor>
        </w:drawing>
      </w:r>
    </w:p>
    <w:p>
      <w:pPr>
        <w:spacing w:after="0"/>
        <w:rPr>
          <w:sz w:val="20"/>
          <w:szCs w:val="20"/>
          <w:color w:val="auto"/>
        </w:rPr>
      </w:pPr>
      <w:r>
        <w:rPr>
          <w:rFonts w:ascii="Arial" w:cs="Arial" w:eastAsia="Arial" w:hAnsi="Arial"/>
          <w:sz w:val="17"/>
          <w:szCs w:val="17"/>
          <w:color w:val="auto"/>
        </w:rPr>
        <w:t>March 5, 2018</w:t>
      </w:r>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color w:val="auto"/>
        </w:rPr>
        <w:t>Securities and Exchange Commission - SEC</w:t>
      </w:r>
    </w:p>
    <w:p>
      <w:pPr>
        <w:spacing w:after="0" w:line="25" w:lineRule="exact"/>
        <w:rPr>
          <w:sz w:val="20"/>
          <w:szCs w:val="20"/>
          <w:color w:val="auto"/>
        </w:rPr>
      </w:pPr>
    </w:p>
    <w:p>
      <w:pPr>
        <w:spacing w:after="0"/>
        <w:rPr>
          <w:sz w:val="20"/>
          <w:szCs w:val="20"/>
          <w:color w:val="auto"/>
        </w:rPr>
      </w:pPr>
      <w:r>
        <w:rPr>
          <w:rFonts w:ascii="Arial" w:cs="Arial" w:eastAsia="Arial" w:hAnsi="Arial"/>
          <w:sz w:val="17"/>
          <w:szCs w:val="17"/>
          <w:color w:val="auto"/>
        </w:rPr>
        <w:t>Re.: MATERIAL EVENT</w:t>
      </w:r>
    </w:p>
    <w:p>
      <w:pPr>
        <w:spacing w:after="0" w:line="208" w:lineRule="exact"/>
        <w:rPr>
          <w:sz w:val="20"/>
          <w:szCs w:val="20"/>
          <w:color w:val="auto"/>
        </w:rPr>
      </w:pPr>
    </w:p>
    <w:p>
      <w:pPr>
        <w:spacing w:after="0"/>
        <w:rPr>
          <w:sz w:val="20"/>
          <w:szCs w:val="20"/>
          <w:color w:val="auto"/>
        </w:rPr>
      </w:pPr>
      <w:r>
        <w:rPr>
          <w:rFonts w:ascii="Arial" w:cs="Arial" w:eastAsia="Arial" w:hAnsi="Arial"/>
          <w:sz w:val="17"/>
          <w:szCs w:val="17"/>
          <w:color w:val="auto"/>
        </w:rPr>
        <w:t>Dear Sirs:</w:t>
      </w:r>
    </w:p>
    <w:p>
      <w:pPr>
        <w:spacing w:after="0" w:line="220"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Please find attached herewith a copy of the audited consolidated financial statements of Credicorp Ltd. (the “Company”) and its subsidiaries, for the fiscal year ended December 31, 2017, including the report of the independent external auditors Gaveglio, Aparicio y Asociados Sociedad de Responsabilidad Limitada, members of PricewaterhouseCoopers in Perú, approved by the Company’s Board of Directors in its session held on February 28th, 2018, and which will be submitted for evaluation and approval of the Annual General Meeting of Shareholders on March 28, 2018.</w:t>
      </w:r>
    </w:p>
    <w:p>
      <w:pPr>
        <w:spacing w:after="0" w:line="176"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information in this Form 6-K (including any exhibit hereto)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color w:val="auto"/>
        </w:rPr>
        <w:t>Sincerely,</w:t>
      </w:r>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color w:val="auto"/>
        </w:rPr>
        <w:t>/s/ Miriam Böttger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15875</wp:posOffset>
            </wp:positionV>
            <wp:extent cx="363029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630295" cy="8255"/>
                    </a:xfrm>
                    <a:prstGeom prst="rect">
                      <a:avLst/>
                    </a:prstGeom>
                    <a:noFill/>
                  </pic:spPr>
                </pic:pic>
              </a:graphicData>
            </a:graphic>
          </wp:anchor>
        </w:drawing>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color w:val="auto"/>
        </w:rPr>
        <w:t>Stock Market Representative</w:t>
      </w:r>
    </w:p>
    <w:p>
      <w:pPr>
        <w:spacing w:after="0" w:line="25" w:lineRule="exact"/>
        <w:rPr>
          <w:sz w:val="20"/>
          <w:szCs w:val="20"/>
          <w:color w:val="auto"/>
        </w:rPr>
      </w:pPr>
    </w:p>
    <w:p>
      <w:pPr>
        <w:spacing w:after="0"/>
        <w:rPr>
          <w:sz w:val="20"/>
          <w:szCs w:val="20"/>
          <w:color w:val="auto"/>
        </w:rPr>
      </w:pPr>
      <w:r>
        <w:rPr>
          <w:rFonts w:ascii="Arial" w:cs="Arial" w:eastAsia="Arial" w:hAnsi="Arial"/>
          <w:sz w:val="17"/>
          <w:szCs w:val="17"/>
          <w:color w:val="auto"/>
        </w:rPr>
        <w:t>Credicorp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420370</wp:posOffset>
            </wp:positionV>
            <wp:extent cx="725170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1700" cy="8255"/>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7"/>
          <w:szCs w:val="17"/>
          <w:b w:val="1"/>
          <w:bCs w:val="1"/>
          <w:color w:val="auto"/>
        </w:rPr>
        <w:t>SIGNATURE</w:t>
      </w:r>
    </w:p>
    <w:p>
      <w:pPr>
        <w:spacing w:after="0" w:line="226" w:lineRule="exact"/>
        <w:rPr>
          <w:sz w:val="20"/>
          <w:szCs w:val="20"/>
          <w:color w:val="auto"/>
        </w:rPr>
      </w:pPr>
    </w:p>
    <w:p>
      <w:pPr>
        <w:ind w:firstLine="514"/>
        <w:spacing w:after="0" w:line="285" w:lineRule="auto"/>
        <w:rPr>
          <w:sz w:val="20"/>
          <w:szCs w:val="20"/>
          <w:color w:val="auto"/>
        </w:rPr>
      </w:pPr>
      <w:r>
        <w:rPr>
          <w:rFonts w:ascii="Arial" w:cs="Arial" w:eastAsia="Arial" w:hAnsi="Arial"/>
          <w:sz w:val="17"/>
          <w:szCs w:val="17"/>
          <w:color w:val="auto"/>
        </w:rPr>
        <w:t>Pursuant to the requirements of the Securities Exchange Act of 1934, the registrant has duly caused this report to be signed on its behalf by the undersigned, thereunto duly authorized.</w:t>
      </w:r>
    </w:p>
    <w:p>
      <w:pPr>
        <w:spacing w:after="0" w:line="159" w:lineRule="exact"/>
        <w:rPr>
          <w:sz w:val="20"/>
          <w:szCs w:val="20"/>
          <w:color w:val="auto"/>
        </w:rPr>
      </w:pPr>
    </w:p>
    <w:p>
      <w:pPr>
        <w:ind w:left="520"/>
        <w:spacing w:after="0"/>
        <w:rPr>
          <w:sz w:val="20"/>
          <w:szCs w:val="20"/>
          <w:color w:val="auto"/>
        </w:rPr>
      </w:pPr>
      <w:r>
        <w:rPr>
          <w:rFonts w:ascii="Arial" w:cs="Arial" w:eastAsia="Arial" w:hAnsi="Arial"/>
          <w:sz w:val="17"/>
          <w:szCs w:val="17"/>
          <w:color w:val="auto"/>
        </w:rPr>
        <w:t>Date: March 5, 2018</w:t>
      </w:r>
    </w:p>
    <w:p>
      <w:pPr>
        <w:spacing w:after="0" w:line="220"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CREDICORP LTD.</w:t>
      </w:r>
    </w:p>
    <w:p>
      <w:pPr>
        <w:spacing w:after="0" w:line="25"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(Registrant)</w:t>
      </w:r>
    </w:p>
    <w:p>
      <w:pPr>
        <w:spacing w:after="0" w:line="208" w:lineRule="exact"/>
        <w:rPr>
          <w:sz w:val="20"/>
          <w:szCs w:val="20"/>
          <w:color w:val="auto"/>
        </w:rPr>
      </w:pPr>
    </w:p>
    <w:p>
      <w:pPr>
        <w:ind w:left="5720"/>
        <w:spacing w:after="0"/>
        <w:tabs>
          <w:tab w:leader="none" w:pos="6160" w:val="left"/>
        </w:tabs>
        <w:rPr>
          <w:sz w:val="20"/>
          <w:szCs w:val="20"/>
          <w:color w:val="auto"/>
        </w:rPr>
      </w:pPr>
      <w:r>
        <w:rPr>
          <w:rFonts w:ascii="Arial" w:cs="Arial" w:eastAsia="Arial" w:hAnsi="Arial"/>
          <w:sz w:val="17"/>
          <w:szCs w:val="17"/>
          <w:color w:val="auto"/>
        </w:rPr>
        <w:t>By:</w:t>
        <w:tab/>
        <w:t>/s/ Miriam Böttger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3921125</wp:posOffset>
            </wp:positionH>
            <wp:positionV relativeFrom="paragraph">
              <wp:posOffset>15875</wp:posOffset>
            </wp:positionV>
            <wp:extent cx="33331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33115" cy="8255"/>
                    </a:xfrm>
                    <a:prstGeom prst="rect">
                      <a:avLst/>
                    </a:prstGeom>
                    <a:noFill/>
                  </pic:spPr>
                </pic:pic>
              </a:graphicData>
            </a:graphic>
          </wp:anchor>
        </w:drawing>
      </w:r>
    </w:p>
    <w:p>
      <w:pPr>
        <w:spacing w:after="0" w:line="5" w:lineRule="exact"/>
        <w:rPr>
          <w:sz w:val="20"/>
          <w:szCs w:val="20"/>
          <w:color w:val="auto"/>
        </w:rPr>
      </w:pPr>
    </w:p>
    <w:p>
      <w:pPr>
        <w:ind w:left="6180"/>
        <w:spacing w:after="0"/>
        <w:rPr>
          <w:sz w:val="20"/>
          <w:szCs w:val="20"/>
          <w:color w:val="auto"/>
        </w:rPr>
      </w:pPr>
      <w:r>
        <w:rPr>
          <w:rFonts w:ascii="Arial" w:cs="Arial" w:eastAsia="Arial" w:hAnsi="Arial"/>
          <w:sz w:val="17"/>
          <w:szCs w:val="17"/>
          <w:b w:val="1"/>
          <w:bCs w:val="1"/>
          <w:color w:val="auto"/>
        </w:rPr>
        <w:t>Miriam Böttger</w:t>
      </w:r>
    </w:p>
    <w:p>
      <w:pPr>
        <w:spacing w:after="0" w:line="25" w:lineRule="exact"/>
        <w:rPr>
          <w:sz w:val="20"/>
          <w:szCs w:val="20"/>
          <w:color w:val="auto"/>
        </w:rPr>
      </w:pPr>
    </w:p>
    <w:p>
      <w:pPr>
        <w:ind w:left="6180"/>
        <w:spacing w:after="0"/>
        <w:rPr>
          <w:sz w:val="20"/>
          <w:szCs w:val="20"/>
          <w:color w:val="auto"/>
        </w:rPr>
      </w:pPr>
      <w:r>
        <w:rPr>
          <w:rFonts w:ascii="Arial" w:cs="Arial" w:eastAsia="Arial" w:hAnsi="Arial"/>
          <w:sz w:val="17"/>
          <w:szCs w:val="17"/>
          <w:b w:val="1"/>
          <w:bCs w:val="1"/>
          <w:color w:val="auto"/>
        </w:rPr>
        <w:t>Authorized Representative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420370</wp:posOffset>
            </wp:positionV>
            <wp:extent cx="725170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1700" cy="8255"/>
                    </a:xfrm>
                    <a:prstGeom prst="rect">
                      <a:avLst/>
                    </a:prstGeom>
                    <a:noFill/>
                  </pic:spPr>
                </pic:pic>
              </a:graphicData>
            </a:graphic>
          </wp:anchor>
        </w:drawing>
      </w:r>
    </w:p>
    <w:p>
      <w:pPr>
        <w:sectPr>
          <w:pgSz w:w="11900" w:h="16838" w:orient="portrait"/>
          <w:cols w:equalWidth="0" w:num="1">
            <w:col w:w="11420"/>
          </w:cols>
          <w:pgMar w:left="240" w:top="875" w:right="239" w:bottom="1440" w:gutter="0" w:footer="0" w:header="0"/>
        </w:sectPr>
      </w:pPr>
    </w:p>
    <w:bookmarkStart w:id="3" w:name="page4"/>
    <w:bookmarkEnd w:id="3"/>
    <w:p>
      <w:pPr>
        <w:spacing w:after="0"/>
        <w:rPr>
          <w:sz w:val="20"/>
          <w:szCs w:val="20"/>
          <w:color w:val="auto"/>
        </w:rPr>
      </w:pPr>
      <w:r>
        <w:rPr>
          <w:rFonts w:ascii="Arial" w:cs="Arial" w:eastAsia="Arial" w:hAnsi="Arial"/>
          <w:sz w:val="17"/>
          <w:szCs w:val="17"/>
          <w:b w:val="1"/>
          <w:bCs w:val="1"/>
          <w:color w:val="auto"/>
        </w:rPr>
        <w:t>CREDICORP LTD. AND SUBSIDIARIES</w:t>
      </w:r>
    </w:p>
    <w:p>
      <w:pPr>
        <w:spacing w:after="0" w:line="226" w:lineRule="exact"/>
        <w:rPr>
          <w:sz w:val="20"/>
          <w:szCs w:val="20"/>
          <w:color w:val="auto"/>
        </w:rPr>
      </w:pPr>
    </w:p>
    <w:p>
      <w:pPr>
        <w:spacing w:after="0"/>
        <w:rPr>
          <w:sz w:val="20"/>
          <w:szCs w:val="20"/>
          <w:color w:val="auto"/>
        </w:rPr>
      </w:pPr>
      <w:r>
        <w:rPr>
          <w:rFonts w:ascii="Arial" w:cs="Arial" w:eastAsia="Arial" w:hAnsi="Arial"/>
          <w:sz w:val="16"/>
          <w:szCs w:val="16"/>
          <w:color w:val="auto"/>
        </w:rPr>
        <w:t>CONSOLIDATED FINANCIAL STATEMENTS</w:t>
      </w:r>
    </w:p>
    <w:p>
      <w:pPr>
        <w:spacing w:after="0" w:line="36" w:lineRule="exact"/>
        <w:rPr>
          <w:sz w:val="20"/>
          <w:szCs w:val="20"/>
          <w:color w:val="auto"/>
        </w:rPr>
      </w:pPr>
    </w:p>
    <w:p>
      <w:pPr>
        <w:spacing w:after="0"/>
        <w:rPr>
          <w:sz w:val="20"/>
          <w:szCs w:val="20"/>
          <w:color w:val="auto"/>
        </w:rPr>
      </w:pPr>
      <w:r>
        <w:rPr>
          <w:rFonts w:ascii="Arial" w:cs="Arial" w:eastAsia="Arial" w:hAnsi="Arial"/>
          <w:sz w:val="17"/>
          <w:szCs w:val="17"/>
          <w:color w:val="auto"/>
        </w:rPr>
        <w:t>AS OF DECEMBER 31, 2017 AND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403860</wp:posOffset>
            </wp:positionV>
            <wp:extent cx="725170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1700" cy="8255"/>
                    </a:xfrm>
                    <a:prstGeom prst="rect">
                      <a:avLst/>
                    </a:prstGeom>
                    <a:noFill/>
                  </pic:spPr>
                </pic:pic>
              </a:graphicData>
            </a:graphic>
          </wp:anchor>
        </w:drawing>
      </w:r>
    </w:p>
    <w:p>
      <w:pPr>
        <w:sectPr>
          <w:pgSz w:w="11900" w:h="16838" w:orient="portrait"/>
          <w:cols w:equalWidth="0" w:num="1">
            <w:col w:w="10219"/>
          </w:cols>
          <w:pgMar w:left="240" w:top="875" w:right="1440"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26"/>
        </w:trPr>
        <w:tc>
          <w:tcPr>
            <w:tcW w:w="7080" w:type="dxa"/>
            <w:vAlign w:val="bottom"/>
            <w:gridSpan w:val="9"/>
          </w:tcPr>
          <w:p>
            <w:pPr>
              <w:spacing w:after="0"/>
              <w:rPr>
                <w:sz w:val="20"/>
                <w:szCs w:val="20"/>
                <w:color w:val="auto"/>
              </w:rPr>
            </w:pPr>
            <w:r>
              <w:rPr>
                <w:rFonts w:ascii="Arial" w:cs="Arial" w:eastAsia="Arial" w:hAnsi="Arial"/>
                <w:sz w:val="17"/>
                <w:szCs w:val="17"/>
                <w:b w:val="1"/>
                <w:bCs w:val="1"/>
                <w:color w:val="auto"/>
              </w:rPr>
              <w:t>CREDICORP LTD. AND SUBSIDIARIES</w:t>
            </w:r>
          </w:p>
        </w:tc>
        <w:tc>
          <w:tcPr>
            <w:tcW w:w="3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3"/>
        </w:trPr>
        <w:tc>
          <w:tcPr>
            <w:tcW w:w="7080" w:type="dxa"/>
            <w:vAlign w:val="bottom"/>
            <w:gridSpan w:val="9"/>
          </w:tcPr>
          <w:p>
            <w:pPr>
              <w:spacing w:after="0"/>
              <w:rPr>
                <w:sz w:val="20"/>
                <w:szCs w:val="20"/>
                <w:color w:val="auto"/>
              </w:rPr>
            </w:pPr>
            <w:r>
              <w:rPr>
                <w:rFonts w:ascii="Arial" w:cs="Arial" w:eastAsia="Arial" w:hAnsi="Arial"/>
                <w:sz w:val="17"/>
                <w:szCs w:val="17"/>
                <w:color w:val="auto"/>
              </w:rPr>
              <w:t>CONSOLIDATED FINANCIAL STATEMENTS</w:t>
            </w:r>
          </w:p>
        </w:tc>
        <w:tc>
          <w:tcPr>
            <w:tcW w:w="3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7080" w:type="dxa"/>
            <w:vAlign w:val="bottom"/>
            <w:gridSpan w:val="9"/>
          </w:tcPr>
          <w:p>
            <w:pPr>
              <w:spacing w:after="0"/>
              <w:rPr>
                <w:sz w:val="20"/>
                <w:szCs w:val="20"/>
                <w:color w:val="auto"/>
              </w:rPr>
            </w:pPr>
            <w:r>
              <w:rPr>
                <w:rFonts w:ascii="Arial" w:cs="Arial" w:eastAsia="Arial" w:hAnsi="Arial"/>
                <w:sz w:val="17"/>
                <w:szCs w:val="17"/>
                <w:color w:val="auto"/>
              </w:rPr>
              <w:t>AS OF DECEMBER 31, 2017 AND 2016</w:t>
            </w:r>
          </w:p>
        </w:tc>
        <w:tc>
          <w:tcPr>
            <w:tcW w:w="3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6"/>
        </w:trPr>
        <w:tc>
          <w:tcPr>
            <w:tcW w:w="1000" w:type="dxa"/>
            <w:vAlign w:val="bottom"/>
            <w:gridSpan w:val="2"/>
          </w:tcPr>
          <w:p>
            <w:pPr>
              <w:spacing w:after="0"/>
              <w:rPr>
                <w:sz w:val="20"/>
                <w:szCs w:val="20"/>
                <w:color w:val="auto"/>
              </w:rPr>
            </w:pPr>
            <w:r>
              <w:rPr>
                <w:rFonts w:ascii="Arial" w:cs="Arial" w:eastAsia="Arial" w:hAnsi="Arial"/>
                <w:sz w:val="17"/>
                <w:szCs w:val="17"/>
                <w:color w:val="auto"/>
              </w:rPr>
              <w:t>CONTENTS</w:t>
            </w:r>
          </w:p>
        </w:tc>
        <w:tc>
          <w:tcPr>
            <w:tcW w:w="9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4360" w:type="dxa"/>
            <w:vAlign w:val="bottom"/>
            <w:gridSpan w:val="7"/>
          </w:tcPr>
          <w:p>
            <w:pPr>
              <w:ind w:left="3620"/>
              <w:spacing w:after="0"/>
              <w:rPr>
                <w:sz w:val="20"/>
                <w:szCs w:val="20"/>
                <w:color w:val="auto"/>
              </w:rPr>
            </w:pPr>
            <w:r>
              <w:rPr>
                <w:rFonts w:ascii="Arial" w:cs="Arial" w:eastAsia="Arial" w:hAnsi="Arial"/>
                <w:sz w:val="17"/>
                <w:szCs w:val="17"/>
                <w:b w:val="1"/>
                <w:bCs w:val="1"/>
                <w:color w:val="auto"/>
              </w:rPr>
              <w:t>Pages</w:t>
            </w:r>
          </w:p>
        </w:tc>
        <w:tc>
          <w:tcPr>
            <w:tcW w:w="0" w:type="dxa"/>
            <w:vAlign w:val="bottom"/>
          </w:tcPr>
          <w:p>
            <w:pPr>
              <w:spacing w:after="0"/>
              <w:rPr>
                <w:sz w:val="1"/>
                <w:szCs w:val="1"/>
                <w:color w:val="auto"/>
              </w:rPr>
            </w:pPr>
          </w:p>
        </w:tc>
      </w:tr>
      <w:tr>
        <w:trPr>
          <w:trHeight w:val="208"/>
        </w:trPr>
        <w:tc>
          <w:tcPr>
            <w:tcW w:w="1980" w:type="dxa"/>
            <w:vAlign w:val="bottom"/>
            <w:gridSpan w:val="3"/>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7080" w:type="dxa"/>
            <w:vAlign w:val="bottom"/>
            <w:gridSpan w:val="9"/>
            <w:shd w:val="clear" w:color="auto" w:fill="CCEEFF"/>
          </w:tcPr>
          <w:p>
            <w:pPr>
              <w:spacing w:after="0" w:line="169" w:lineRule="exact"/>
              <w:rPr>
                <w:rFonts w:ascii="Arial" w:cs="Arial" w:eastAsia="Arial" w:hAnsi="Arial"/>
                <w:sz w:val="17"/>
                <w:szCs w:val="17"/>
                <w:color w:val="0000EE"/>
              </w:rPr>
            </w:pPr>
            <w:hyperlink w:anchor="page6">
              <w:r>
                <w:rPr>
                  <w:rFonts w:ascii="Arial" w:cs="Arial" w:eastAsia="Arial" w:hAnsi="Arial"/>
                  <w:sz w:val="17"/>
                  <w:szCs w:val="17"/>
                  <w:color w:val="0000EE"/>
                </w:rPr>
                <w:t>Independent auditor’s report</w:t>
              </w:r>
            </w:hyperlink>
          </w:p>
        </w:tc>
        <w:tc>
          <w:tcPr>
            <w:tcW w:w="4340" w:type="dxa"/>
            <w:vAlign w:val="bottom"/>
            <w:gridSpan w:val="6"/>
            <w:shd w:val="clear" w:color="auto" w:fill="CCEEFF"/>
          </w:tcPr>
          <w:p>
            <w:pPr>
              <w:jc w:val="right"/>
              <w:spacing w:after="0" w:line="169" w:lineRule="exact"/>
              <w:rPr>
                <w:rFonts w:ascii="Arial" w:cs="Arial" w:eastAsia="Arial" w:hAnsi="Arial"/>
                <w:sz w:val="17"/>
                <w:szCs w:val="17"/>
                <w:color w:val="0000EE"/>
              </w:rPr>
            </w:pPr>
            <w:hyperlink w:anchor="page6">
              <w:r>
                <w:rPr>
                  <w:rFonts w:ascii="Arial" w:cs="Arial" w:eastAsia="Arial" w:hAnsi="Arial"/>
                  <w:sz w:val="17"/>
                  <w:szCs w:val="17"/>
                  <w:color w:val="0000EE"/>
                </w:rPr>
                <w:t>1 - 8</w:t>
              </w:r>
            </w:hyperlink>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1980" w:type="dxa"/>
            <w:vAlign w:val="bottom"/>
            <w:tcBorders>
              <w:top w:val="single" w:sz="8" w:color="0000EE"/>
            </w:tcBorders>
            <w:gridSpan w:val="3"/>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3620" w:type="dxa"/>
            <w:vAlign w:val="bottom"/>
            <w:tcBorders>
              <w:top w:val="single" w:sz="8" w:color="CCEEFF"/>
            </w:tcBorders>
          </w:tcPr>
          <w:p>
            <w:pPr>
              <w:spacing w:after="0"/>
              <w:rPr>
                <w:sz w:val="18"/>
                <w:szCs w:val="18"/>
                <w:color w:val="auto"/>
              </w:rPr>
            </w:pPr>
          </w:p>
        </w:tc>
        <w:tc>
          <w:tcPr>
            <w:tcW w:w="37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7080" w:type="dxa"/>
            <w:vAlign w:val="bottom"/>
            <w:gridSpan w:val="9"/>
            <w:shd w:val="clear" w:color="auto" w:fill="CCEEFF"/>
          </w:tcPr>
          <w:p>
            <w:pPr>
              <w:spacing w:after="0" w:line="169" w:lineRule="exact"/>
              <w:rPr>
                <w:rFonts w:ascii="Arial" w:cs="Arial" w:eastAsia="Arial" w:hAnsi="Arial"/>
                <w:sz w:val="17"/>
                <w:szCs w:val="17"/>
                <w:color w:val="0000EE"/>
              </w:rPr>
            </w:pPr>
            <w:hyperlink w:anchor="page14">
              <w:r>
                <w:rPr>
                  <w:rFonts w:ascii="Arial" w:cs="Arial" w:eastAsia="Arial" w:hAnsi="Arial"/>
                  <w:sz w:val="17"/>
                  <w:szCs w:val="17"/>
                  <w:color w:val="0000EE"/>
                </w:rPr>
                <w:t>Consolidated statement of financial position</w:t>
              </w:r>
            </w:hyperlink>
          </w:p>
        </w:tc>
        <w:tc>
          <w:tcPr>
            <w:tcW w:w="4340" w:type="dxa"/>
            <w:vAlign w:val="bottom"/>
            <w:gridSpan w:val="6"/>
            <w:shd w:val="clear" w:color="auto" w:fill="CCEEFF"/>
          </w:tcPr>
          <w:p>
            <w:pPr>
              <w:jc w:val="right"/>
              <w:spacing w:after="0" w:line="169" w:lineRule="exact"/>
              <w:rPr>
                <w:rFonts w:ascii="Arial" w:cs="Arial" w:eastAsia="Arial" w:hAnsi="Arial"/>
                <w:sz w:val="17"/>
                <w:szCs w:val="17"/>
                <w:color w:val="0000EE"/>
              </w:rPr>
            </w:pPr>
            <w:hyperlink w:anchor="page14">
              <w:r>
                <w:rPr>
                  <w:rFonts w:ascii="Arial" w:cs="Arial" w:eastAsia="Arial" w:hAnsi="Arial"/>
                  <w:sz w:val="17"/>
                  <w:szCs w:val="17"/>
                  <w:color w:val="0000EE"/>
                </w:rPr>
                <w:t>9</w:t>
              </w:r>
            </w:hyperlink>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1980" w:type="dxa"/>
            <w:vAlign w:val="bottom"/>
            <w:tcBorders>
              <w:top w:val="single" w:sz="8" w:color="0000EE"/>
            </w:tcBorders>
            <w:gridSpan w:val="3"/>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3620" w:type="dxa"/>
            <w:vAlign w:val="bottom"/>
            <w:tcBorders>
              <w:top w:val="single" w:sz="8" w:color="CCEEFF"/>
            </w:tcBorders>
          </w:tcPr>
          <w:p>
            <w:pPr>
              <w:spacing w:after="0"/>
              <w:rPr>
                <w:sz w:val="18"/>
                <w:szCs w:val="18"/>
                <w:color w:val="auto"/>
              </w:rPr>
            </w:pPr>
          </w:p>
        </w:tc>
        <w:tc>
          <w:tcPr>
            <w:tcW w:w="37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7080" w:type="dxa"/>
            <w:vAlign w:val="bottom"/>
            <w:gridSpan w:val="9"/>
            <w:shd w:val="clear" w:color="auto" w:fill="CCEEFF"/>
          </w:tcPr>
          <w:p>
            <w:pPr>
              <w:spacing w:after="0" w:line="169" w:lineRule="exact"/>
              <w:rPr>
                <w:rFonts w:ascii="Arial" w:cs="Arial" w:eastAsia="Arial" w:hAnsi="Arial"/>
                <w:sz w:val="17"/>
                <w:szCs w:val="17"/>
                <w:color w:val="0000EE"/>
              </w:rPr>
            </w:pPr>
            <w:hyperlink w:anchor="page16">
              <w:r>
                <w:rPr>
                  <w:rFonts w:ascii="Arial" w:cs="Arial" w:eastAsia="Arial" w:hAnsi="Arial"/>
                  <w:sz w:val="17"/>
                  <w:szCs w:val="17"/>
                  <w:color w:val="0000EE"/>
                </w:rPr>
                <w:t>Consolidated statement of income</w:t>
              </w:r>
            </w:hyperlink>
          </w:p>
        </w:tc>
        <w:tc>
          <w:tcPr>
            <w:tcW w:w="4340" w:type="dxa"/>
            <w:vAlign w:val="bottom"/>
            <w:gridSpan w:val="6"/>
            <w:shd w:val="clear" w:color="auto" w:fill="CCEEFF"/>
          </w:tcPr>
          <w:p>
            <w:pPr>
              <w:jc w:val="right"/>
              <w:spacing w:after="0" w:line="169" w:lineRule="exact"/>
              <w:rPr>
                <w:rFonts w:ascii="Arial" w:cs="Arial" w:eastAsia="Arial" w:hAnsi="Arial"/>
                <w:sz w:val="17"/>
                <w:szCs w:val="17"/>
                <w:color w:val="0000EE"/>
              </w:rPr>
            </w:pPr>
            <w:hyperlink w:anchor="page16">
              <w:r>
                <w:rPr>
                  <w:rFonts w:ascii="Arial" w:cs="Arial" w:eastAsia="Arial" w:hAnsi="Arial"/>
                  <w:sz w:val="17"/>
                  <w:szCs w:val="17"/>
                  <w:color w:val="0000EE"/>
                </w:rPr>
                <w:t>10 - 11</w:t>
              </w:r>
            </w:hyperlink>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1980" w:type="dxa"/>
            <w:vAlign w:val="bottom"/>
            <w:tcBorders>
              <w:top w:val="single" w:sz="8" w:color="0000EE"/>
            </w:tcBorders>
            <w:gridSpan w:val="3"/>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3620" w:type="dxa"/>
            <w:vAlign w:val="bottom"/>
            <w:tcBorders>
              <w:top w:val="single" w:sz="8" w:color="CCEEFF"/>
            </w:tcBorders>
          </w:tcPr>
          <w:p>
            <w:pPr>
              <w:spacing w:after="0"/>
              <w:rPr>
                <w:sz w:val="18"/>
                <w:szCs w:val="18"/>
                <w:color w:val="auto"/>
              </w:rPr>
            </w:pPr>
          </w:p>
        </w:tc>
        <w:tc>
          <w:tcPr>
            <w:tcW w:w="37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7080" w:type="dxa"/>
            <w:vAlign w:val="bottom"/>
            <w:gridSpan w:val="9"/>
            <w:shd w:val="clear" w:color="auto" w:fill="CCEEFF"/>
          </w:tcPr>
          <w:p>
            <w:pPr>
              <w:spacing w:after="0" w:line="169" w:lineRule="exact"/>
              <w:rPr>
                <w:rFonts w:ascii="Arial" w:cs="Arial" w:eastAsia="Arial" w:hAnsi="Arial"/>
                <w:sz w:val="17"/>
                <w:szCs w:val="17"/>
                <w:color w:val="0000EE"/>
              </w:rPr>
            </w:pPr>
            <w:hyperlink w:anchor="page18">
              <w:r>
                <w:rPr>
                  <w:rFonts w:ascii="Arial" w:cs="Arial" w:eastAsia="Arial" w:hAnsi="Arial"/>
                  <w:sz w:val="17"/>
                  <w:szCs w:val="17"/>
                  <w:color w:val="0000EE"/>
                </w:rPr>
                <w:t>Consolidated statement of comprehensive income</w:t>
              </w:r>
            </w:hyperlink>
          </w:p>
        </w:tc>
        <w:tc>
          <w:tcPr>
            <w:tcW w:w="4340" w:type="dxa"/>
            <w:vAlign w:val="bottom"/>
            <w:gridSpan w:val="6"/>
            <w:shd w:val="clear" w:color="auto" w:fill="CCEEFF"/>
          </w:tcPr>
          <w:p>
            <w:pPr>
              <w:jc w:val="right"/>
              <w:spacing w:after="0" w:line="169" w:lineRule="exact"/>
              <w:rPr>
                <w:rFonts w:ascii="Arial" w:cs="Arial" w:eastAsia="Arial" w:hAnsi="Arial"/>
                <w:sz w:val="17"/>
                <w:szCs w:val="17"/>
                <w:color w:val="0000EE"/>
              </w:rPr>
            </w:pPr>
            <w:hyperlink w:anchor="page18">
              <w:r>
                <w:rPr>
                  <w:rFonts w:ascii="Arial" w:cs="Arial" w:eastAsia="Arial" w:hAnsi="Arial"/>
                  <w:sz w:val="17"/>
                  <w:szCs w:val="17"/>
                  <w:color w:val="0000EE"/>
                </w:rPr>
                <w:t>12</w:t>
              </w:r>
            </w:hyperlink>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1980" w:type="dxa"/>
            <w:vAlign w:val="bottom"/>
            <w:tcBorders>
              <w:top w:val="single" w:sz="8" w:color="0000EE"/>
            </w:tcBorders>
            <w:gridSpan w:val="3"/>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3620" w:type="dxa"/>
            <w:vAlign w:val="bottom"/>
            <w:tcBorders>
              <w:top w:val="single" w:sz="8" w:color="CCEEFF"/>
            </w:tcBorders>
          </w:tcPr>
          <w:p>
            <w:pPr>
              <w:spacing w:after="0"/>
              <w:rPr>
                <w:sz w:val="18"/>
                <w:szCs w:val="18"/>
                <w:color w:val="auto"/>
              </w:rPr>
            </w:pPr>
          </w:p>
        </w:tc>
        <w:tc>
          <w:tcPr>
            <w:tcW w:w="37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7080" w:type="dxa"/>
            <w:vAlign w:val="bottom"/>
            <w:gridSpan w:val="9"/>
            <w:shd w:val="clear" w:color="auto" w:fill="CCEEFF"/>
          </w:tcPr>
          <w:p>
            <w:pPr>
              <w:spacing w:after="0" w:line="169" w:lineRule="exact"/>
              <w:rPr>
                <w:rFonts w:ascii="Arial" w:cs="Arial" w:eastAsia="Arial" w:hAnsi="Arial"/>
                <w:sz w:val="17"/>
                <w:szCs w:val="17"/>
                <w:color w:val="0000EE"/>
              </w:rPr>
            </w:pPr>
            <w:hyperlink w:anchor="page19">
              <w:r>
                <w:rPr>
                  <w:rFonts w:ascii="Arial" w:cs="Arial" w:eastAsia="Arial" w:hAnsi="Arial"/>
                  <w:sz w:val="17"/>
                  <w:szCs w:val="17"/>
                  <w:color w:val="0000EE"/>
                </w:rPr>
                <w:t>Consolidated statement of changes in equity</w:t>
              </w:r>
            </w:hyperlink>
          </w:p>
        </w:tc>
        <w:tc>
          <w:tcPr>
            <w:tcW w:w="4340" w:type="dxa"/>
            <w:vAlign w:val="bottom"/>
            <w:gridSpan w:val="6"/>
            <w:shd w:val="clear" w:color="auto" w:fill="CCEEFF"/>
          </w:tcPr>
          <w:p>
            <w:pPr>
              <w:jc w:val="right"/>
              <w:spacing w:after="0" w:line="169" w:lineRule="exact"/>
              <w:rPr>
                <w:rFonts w:ascii="Arial" w:cs="Arial" w:eastAsia="Arial" w:hAnsi="Arial"/>
                <w:sz w:val="17"/>
                <w:szCs w:val="17"/>
                <w:color w:val="0000EE"/>
              </w:rPr>
            </w:pPr>
            <w:hyperlink w:anchor="page19">
              <w:r>
                <w:rPr>
                  <w:rFonts w:ascii="Arial" w:cs="Arial" w:eastAsia="Arial" w:hAnsi="Arial"/>
                  <w:sz w:val="17"/>
                  <w:szCs w:val="17"/>
                  <w:color w:val="0000EE"/>
                </w:rPr>
                <w:t>13</w:t>
              </w:r>
            </w:hyperlink>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1980" w:type="dxa"/>
            <w:vAlign w:val="bottom"/>
            <w:tcBorders>
              <w:top w:val="single" w:sz="8" w:color="0000EE"/>
            </w:tcBorders>
            <w:gridSpan w:val="3"/>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3620" w:type="dxa"/>
            <w:vAlign w:val="bottom"/>
            <w:tcBorders>
              <w:top w:val="single" w:sz="8" w:color="CCEEFF"/>
            </w:tcBorders>
          </w:tcPr>
          <w:p>
            <w:pPr>
              <w:spacing w:after="0"/>
              <w:rPr>
                <w:sz w:val="18"/>
                <w:szCs w:val="18"/>
                <w:color w:val="auto"/>
              </w:rPr>
            </w:pPr>
          </w:p>
        </w:tc>
        <w:tc>
          <w:tcPr>
            <w:tcW w:w="37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7080" w:type="dxa"/>
            <w:vAlign w:val="bottom"/>
            <w:gridSpan w:val="9"/>
            <w:shd w:val="clear" w:color="auto" w:fill="CCEEFF"/>
          </w:tcPr>
          <w:p>
            <w:pPr>
              <w:spacing w:after="0" w:line="169" w:lineRule="exact"/>
              <w:rPr>
                <w:rFonts w:ascii="Arial" w:cs="Arial" w:eastAsia="Arial" w:hAnsi="Arial"/>
                <w:sz w:val="17"/>
                <w:szCs w:val="17"/>
                <w:color w:val="0000EE"/>
              </w:rPr>
            </w:pPr>
            <w:hyperlink w:anchor="page20">
              <w:r>
                <w:rPr>
                  <w:rFonts w:ascii="Arial" w:cs="Arial" w:eastAsia="Arial" w:hAnsi="Arial"/>
                  <w:sz w:val="17"/>
                  <w:szCs w:val="17"/>
                  <w:color w:val="0000EE"/>
                </w:rPr>
                <w:t>Consolidated statement of cash flows</w:t>
              </w:r>
            </w:hyperlink>
          </w:p>
        </w:tc>
        <w:tc>
          <w:tcPr>
            <w:tcW w:w="4340" w:type="dxa"/>
            <w:vAlign w:val="bottom"/>
            <w:gridSpan w:val="6"/>
            <w:shd w:val="clear" w:color="auto" w:fill="CCEEFF"/>
          </w:tcPr>
          <w:p>
            <w:pPr>
              <w:jc w:val="right"/>
              <w:spacing w:after="0" w:line="169" w:lineRule="exact"/>
              <w:rPr>
                <w:rFonts w:ascii="Arial" w:cs="Arial" w:eastAsia="Arial" w:hAnsi="Arial"/>
                <w:sz w:val="17"/>
                <w:szCs w:val="17"/>
                <w:color w:val="0000EE"/>
              </w:rPr>
            </w:pPr>
            <w:hyperlink w:anchor="page20">
              <w:r>
                <w:rPr>
                  <w:rFonts w:ascii="Arial" w:cs="Arial" w:eastAsia="Arial" w:hAnsi="Arial"/>
                  <w:sz w:val="17"/>
                  <w:szCs w:val="17"/>
                  <w:color w:val="0000EE"/>
                </w:rPr>
                <w:t>14 - 15</w:t>
              </w:r>
            </w:hyperlink>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1980" w:type="dxa"/>
            <w:vAlign w:val="bottom"/>
            <w:tcBorders>
              <w:top w:val="single" w:sz="8" w:color="0000EE"/>
            </w:tcBorders>
            <w:gridSpan w:val="3"/>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3620" w:type="dxa"/>
            <w:vAlign w:val="bottom"/>
            <w:tcBorders>
              <w:top w:val="single" w:sz="8" w:color="CCEEFF"/>
            </w:tcBorders>
          </w:tcPr>
          <w:p>
            <w:pPr>
              <w:spacing w:after="0"/>
              <w:rPr>
                <w:sz w:val="18"/>
                <w:szCs w:val="18"/>
                <w:color w:val="auto"/>
              </w:rPr>
            </w:pPr>
          </w:p>
        </w:tc>
        <w:tc>
          <w:tcPr>
            <w:tcW w:w="37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7080" w:type="dxa"/>
            <w:vAlign w:val="bottom"/>
            <w:gridSpan w:val="9"/>
            <w:shd w:val="clear" w:color="auto" w:fill="CCEEFF"/>
          </w:tcPr>
          <w:p>
            <w:pPr>
              <w:spacing w:after="0" w:line="169" w:lineRule="exact"/>
              <w:rPr>
                <w:rFonts w:ascii="Arial" w:cs="Arial" w:eastAsia="Arial" w:hAnsi="Arial"/>
                <w:sz w:val="17"/>
                <w:szCs w:val="17"/>
                <w:color w:val="0000EE"/>
              </w:rPr>
            </w:pPr>
            <w:hyperlink w:anchor="page22">
              <w:r>
                <w:rPr>
                  <w:rFonts w:ascii="Arial" w:cs="Arial" w:eastAsia="Arial" w:hAnsi="Arial"/>
                  <w:sz w:val="17"/>
                  <w:szCs w:val="17"/>
                  <w:color w:val="0000EE"/>
                </w:rPr>
                <w:t>Notes to the consolidated financial statements</w:t>
              </w:r>
            </w:hyperlink>
          </w:p>
        </w:tc>
        <w:tc>
          <w:tcPr>
            <w:tcW w:w="4340" w:type="dxa"/>
            <w:vAlign w:val="bottom"/>
            <w:gridSpan w:val="6"/>
            <w:shd w:val="clear" w:color="auto" w:fill="CCEEFF"/>
          </w:tcPr>
          <w:p>
            <w:pPr>
              <w:jc w:val="right"/>
              <w:spacing w:after="0" w:line="169" w:lineRule="exact"/>
              <w:rPr>
                <w:rFonts w:ascii="Arial" w:cs="Arial" w:eastAsia="Arial" w:hAnsi="Arial"/>
                <w:sz w:val="17"/>
                <w:szCs w:val="17"/>
                <w:color w:val="0000EE"/>
              </w:rPr>
            </w:pPr>
            <w:hyperlink w:anchor="page22">
              <w:r>
                <w:rPr>
                  <w:rFonts w:ascii="Arial" w:cs="Arial" w:eastAsia="Arial" w:hAnsi="Arial"/>
                  <w:sz w:val="17"/>
                  <w:szCs w:val="17"/>
                  <w:color w:val="0000EE"/>
                </w:rPr>
                <w:t>16 - 148</w:t>
              </w:r>
            </w:hyperlink>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03"/>
        </w:trPr>
        <w:tc>
          <w:tcPr>
            <w:tcW w:w="500" w:type="dxa"/>
            <w:vAlign w:val="bottom"/>
            <w:tcBorders>
              <w:top w:val="single" w:sz="8" w:color="0000EE"/>
            </w:tcBorders>
          </w:tcPr>
          <w:p>
            <w:pPr>
              <w:spacing w:after="0"/>
              <w:rPr>
                <w:sz w:val="20"/>
                <w:szCs w:val="20"/>
                <w:color w:val="auto"/>
              </w:rPr>
            </w:pPr>
            <w:r>
              <w:rPr>
                <w:rFonts w:ascii="Arial" w:cs="Arial" w:eastAsia="Arial" w:hAnsi="Arial"/>
                <w:sz w:val="17"/>
                <w:szCs w:val="17"/>
                <w:color w:val="auto"/>
              </w:rPr>
              <w:t>US$</w:t>
            </w:r>
          </w:p>
        </w:tc>
        <w:tc>
          <w:tcPr>
            <w:tcW w:w="500" w:type="dxa"/>
            <w:vAlign w:val="bottom"/>
            <w:tcBorders>
              <w:top w:val="single" w:sz="8" w:color="0000EE"/>
            </w:tcBorders>
          </w:tcPr>
          <w:p>
            <w:pPr>
              <w:jc w:val="right"/>
              <w:ind w:right="113"/>
              <w:spacing w:after="0"/>
              <w:rPr>
                <w:sz w:val="20"/>
                <w:szCs w:val="20"/>
                <w:color w:val="auto"/>
              </w:rPr>
            </w:pPr>
            <w:r>
              <w:rPr>
                <w:rFonts w:ascii="Arial" w:cs="Arial" w:eastAsia="Arial" w:hAnsi="Arial"/>
                <w:sz w:val="17"/>
                <w:szCs w:val="17"/>
                <w:color w:val="auto"/>
              </w:rPr>
              <w:t>=</w:t>
            </w:r>
          </w:p>
        </w:tc>
        <w:tc>
          <w:tcPr>
            <w:tcW w:w="2180" w:type="dxa"/>
            <w:vAlign w:val="bottom"/>
            <w:tcBorders>
              <w:top w:val="single" w:sz="8" w:color="0000EE"/>
            </w:tcBorders>
            <w:gridSpan w:val="5"/>
          </w:tcPr>
          <w:p>
            <w:pPr>
              <w:ind w:left="80"/>
              <w:spacing w:after="0"/>
              <w:rPr>
                <w:sz w:val="20"/>
                <w:szCs w:val="20"/>
                <w:color w:val="auto"/>
              </w:rPr>
            </w:pPr>
            <w:r>
              <w:rPr>
                <w:rFonts w:ascii="Arial" w:cs="Arial" w:eastAsia="Arial" w:hAnsi="Arial"/>
                <w:sz w:val="17"/>
                <w:szCs w:val="17"/>
                <w:color w:val="auto"/>
              </w:rPr>
              <w:t>United States dollar</w:t>
            </w:r>
          </w:p>
        </w:tc>
        <w:tc>
          <w:tcPr>
            <w:tcW w:w="3900" w:type="dxa"/>
            <w:vAlign w:val="bottom"/>
            <w:tcBorders>
              <w:top w:val="single" w:sz="8" w:color="CCEEFF"/>
            </w:tcBorders>
            <w:gridSpan w:val="2"/>
          </w:tcPr>
          <w:p>
            <w:pPr>
              <w:spacing w:after="0"/>
              <w:rPr>
                <w:sz w:val="24"/>
                <w:szCs w:val="24"/>
                <w:color w:val="auto"/>
              </w:rPr>
            </w:pPr>
          </w:p>
        </w:tc>
        <w:tc>
          <w:tcPr>
            <w:tcW w:w="3760" w:type="dxa"/>
            <w:vAlign w:val="bottom"/>
            <w:tcBorders>
              <w:top w:val="single" w:sz="8" w:color="CCEEFF"/>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500" w:type="dxa"/>
            <w:vAlign w:val="bottom"/>
          </w:tcPr>
          <w:p>
            <w:pPr>
              <w:spacing w:after="0"/>
              <w:rPr>
                <w:sz w:val="20"/>
                <w:szCs w:val="20"/>
                <w:color w:val="auto"/>
              </w:rPr>
            </w:pPr>
            <w:r>
              <w:rPr>
                <w:rFonts w:ascii="Arial" w:cs="Arial" w:eastAsia="Arial" w:hAnsi="Arial"/>
                <w:sz w:val="17"/>
                <w:szCs w:val="17"/>
                <w:color w:val="auto"/>
              </w:rPr>
              <w:t>S/</w:t>
            </w:r>
          </w:p>
        </w:tc>
        <w:tc>
          <w:tcPr>
            <w:tcW w:w="500" w:type="dxa"/>
            <w:vAlign w:val="bottom"/>
          </w:tcPr>
          <w:p>
            <w:pPr>
              <w:jc w:val="right"/>
              <w:ind w:right="113"/>
              <w:spacing w:after="0"/>
              <w:rPr>
                <w:sz w:val="20"/>
                <w:szCs w:val="20"/>
                <w:color w:val="auto"/>
              </w:rPr>
            </w:pPr>
            <w:r>
              <w:rPr>
                <w:rFonts w:ascii="Arial" w:cs="Arial" w:eastAsia="Arial" w:hAnsi="Arial"/>
                <w:sz w:val="17"/>
                <w:szCs w:val="17"/>
                <w:color w:val="auto"/>
              </w:rPr>
              <w:t>=</w:t>
            </w:r>
          </w:p>
        </w:tc>
        <w:tc>
          <w:tcPr>
            <w:tcW w:w="6080" w:type="dxa"/>
            <w:vAlign w:val="bottom"/>
            <w:gridSpan w:val="7"/>
          </w:tcPr>
          <w:p>
            <w:pPr>
              <w:ind w:left="80"/>
              <w:spacing w:after="0"/>
              <w:rPr>
                <w:sz w:val="20"/>
                <w:szCs w:val="20"/>
                <w:color w:val="auto"/>
              </w:rPr>
            </w:pPr>
            <w:r>
              <w:rPr>
                <w:rFonts w:ascii="Arial" w:cs="Arial" w:eastAsia="Arial" w:hAnsi="Arial"/>
                <w:sz w:val="17"/>
                <w:szCs w:val="17"/>
                <w:color w:val="auto"/>
              </w:rPr>
              <w:t>Sol</w:t>
            </w:r>
          </w:p>
        </w:tc>
        <w:tc>
          <w:tcPr>
            <w:tcW w:w="3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24"/>
        </w:trPr>
        <w:tc>
          <w:tcPr>
            <w:tcW w:w="5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620" w:type="dxa"/>
            <w:vAlign w:val="bottom"/>
            <w:tcBorders>
              <w:bottom w:val="single" w:sz="8" w:color="auto"/>
            </w:tcBorders>
          </w:tcPr>
          <w:p>
            <w:pPr>
              <w:spacing w:after="0"/>
              <w:rPr>
                <w:sz w:val="24"/>
                <w:szCs w:val="24"/>
                <w:color w:val="auto"/>
              </w:rPr>
            </w:pPr>
          </w:p>
        </w:tc>
        <w:tc>
          <w:tcPr>
            <w:tcW w:w="37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75" w:right="239" w:bottom="1440" w:gutter="0" w:footer="0" w:header="0"/>
        </w:sectPr>
      </w:pPr>
    </w:p>
    <w:bookmarkStart w:id="5" w:name="page6"/>
    <w:bookmarkEnd w:id="5"/>
    <w:p>
      <w:pPr>
        <w:spacing w:after="0"/>
        <w:rPr>
          <w:sz w:val="20"/>
          <w:szCs w:val="20"/>
          <w:color w:val="auto"/>
        </w:rPr>
      </w:pPr>
      <w:r>
        <w:rPr>
          <w:rFonts w:ascii="Arial" w:cs="Arial" w:eastAsia="Arial" w:hAnsi="Arial"/>
          <w:sz w:val="17"/>
          <w:szCs w:val="17"/>
          <w:color w:val="auto"/>
        </w:rPr>
        <w:t>(A free translation of the original in Spanish)</w:t>
      </w:r>
    </w:p>
    <w:p>
      <w:pPr>
        <w:spacing w:after="0" w:line="2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REPORT OF THE INDEPENDENT AUDITORS</w:t>
      </w:r>
    </w:p>
    <w:p>
      <w:pPr>
        <w:spacing w:after="0" w:line="226" w:lineRule="exact"/>
        <w:rPr>
          <w:sz w:val="20"/>
          <w:szCs w:val="20"/>
          <w:color w:val="auto"/>
        </w:rPr>
      </w:pPr>
    </w:p>
    <w:p>
      <w:pPr>
        <w:spacing w:after="0"/>
        <w:rPr>
          <w:sz w:val="20"/>
          <w:szCs w:val="20"/>
          <w:color w:val="auto"/>
        </w:rPr>
      </w:pPr>
      <w:r>
        <w:rPr>
          <w:rFonts w:ascii="Arial" w:cs="Arial" w:eastAsia="Arial" w:hAnsi="Arial"/>
          <w:sz w:val="17"/>
          <w:szCs w:val="17"/>
          <w:color w:val="auto"/>
        </w:rPr>
        <w:t>To The Shareholders</w:t>
      </w:r>
    </w:p>
    <w:p>
      <w:pPr>
        <w:spacing w:after="0" w:line="2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CREDICORP LTD.</w:t>
      </w:r>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Opinion on the audit of the consolidated financial statements</w:t>
      </w:r>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opinion</w:t>
      </w:r>
    </w:p>
    <w:p>
      <w:pPr>
        <w:spacing w:after="0" w:line="220" w:lineRule="exact"/>
        <w:rPr>
          <w:sz w:val="20"/>
          <w:szCs w:val="20"/>
          <w:color w:val="auto"/>
        </w:rPr>
      </w:pPr>
    </w:p>
    <w:p>
      <w:pPr>
        <w:spacing w:after="0" w:line="274" w:lineRule="auto"/>
        <w:rPr>
          <w:sz w:val="20"/>
          <w:szCs w:val="20"/>
          <w:color w:val="auto"/>
        </w:rPr>
      </w:pPr>
      <w:r>
        <w:rPr>
          <w:rFonts w:ascii="Arial" w:cs="Arial" w:eastAsia="Arial" w:hAnsi="Arial"/>
          <w:sz w:val="17"/>
          <w:szCs w:val="17"/>
          <w:color w:val="auto"/>
        </w:rPr>
        <w:t xml:space="preserve">In our opinion, the consolidated financial statements present fairly, in all material aspects the consolidated financial position of </w:t>
      </w:r>
      <w:r>
        <w:rPr>
          <w:rFonts w:ascii="Arial" w:cs="Arial" w:eastAsia="Arial" w:hAnsi="Arial"/>
          <w:sz w:val="17"/>
          <w:szCs w:val="17"/>
          <w:b w:val="1"/>
          <w:bCs w:val="1"/>
          <w:color w:val="auto"/>
        </w:rPr>
        <w:t>Credicorp Ltd. and its subsidiaries</w:t>
      </w:r>
      <w:r>
        <w:rPr>
          <w:rFonts w:ascii="Arial" w:cs="Arial" w:eastAsia="Arial" w:hAnsi="Arial"/>
          <w:sz w:val="17"/>
          <w:szCs w:val="17"/>
          <w:color w:val="auto"/>
        </w:rPr>
        <w:t xml:space="preserve"> </w:t>
      </w:r>
      <w:r>
        <w:rPr>
          <w:rFonts w:ascii="Arial" w:cs="Arial" w:eastAsia="Arial" w:hAnsi="Arial"/>
          <w:sz w:val="17"/>
          <w:szCs w:val="17"/>
          <w:b w:val="1"/>
          <w:bCs w:val="1"/>
          <w:color w:val="auto"/>
        </w:rPr>
        <w:t xml:space="preserve">(the Group) </w:t>
      </w:r>
      <w:r>
        <w:rPr>
          <w:rFonts w:ascii="Arial" w:cs="Arial" w:eastAsia="Arial" w:hAnsi="Arial"/>
          <w:sz w:val="17"/>
          <w:szCs w:val="17"/>
          <w:color w:val="auto"/>
        </w:rPr>
        <w:t>as at December 31, 2017, their consolidated financial performance and consolidated cash flows for the year then ended in accordance with the</w:t>
      </w:r>
      <w:r>
        <w:rPr>
          <w:rFonts w:ascii="Arial" w:cs="Arial" w:eastAsia="Arial" w:hAnsi="Arial"/>
          <w:sz w:val="17"/>
          <w:szCs w:val="17"/>
          <w:b w:val="1"/>
          <w:bCs w:val="1"/>
          <w:color w:val="auto"/>
        </w:rPr>
        <w:t xml:space="preserve"> </w:t>
      </w:r>
      <w:r>
        <w:rPr>
          <w:rFonts w:ascii="Arial" w:cs="Arial" w:eastAsia="Arial" w:hAnsi="Arial"/>
          <w:sz w:val="17"/>
          <w:szCs w:val="17"/>
          <w:color w:val="auto"/>
        </w:rPr>
        <w:t>International Financial Reporting Standards (IFRS) issued by the International Accounting Standards Board (IASB).</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What we have audited</w:t>
      </w:r>
    </w:p>
    <w:p>
      <w:pPr>
        <w:spacing w:after="0" w:line="226" w:lineRule="exact"/>
        <w:rPr>
          <w:sz w:val="20"/>
          <w:szCs w:val="20"/>
          <w:color w:val="auto"/>
        </w:rPr>
      </w:pPr>
    </w:p>
    <w:p>
      <w:pPr>
        <w:spacing w:after="0"/>
        <w:rPr>
          <w:sz w:val="20"/>
          <w:szCs w:val="20"/>
          <w:color w:val="auto"/>
        </w:rPr>
      </w:pPr>
      <w:r>
        <w:rPr>
          <w:rFonts w:ascii="Arial" w:cs="Arial" w:eastAsia="Arial" w:hAnsi="Arial"/>
          <w:sz w:val="17"/>
          <w:szCs w:val="17"/>
          <w:color w:val="auto"/>
        </w:rPr>
        <w:t>The Group’s consolidated financial statements comprise:</w:t>
      </w:r>
    </w:p>
    <w:p>
      <w:pPr>
        <w:spacing w:after="0" w:line="220" w:lineRule="exact"/>
        <w:rPr>
          <w:sz w:val="20"/>
          <w:szCs w:val="20"/>
          <w:color w:val="auto"/>
        </w:rPr>
      </w:pPr>
    </w:p>
    <w:p>
      <w:pPr>
        <w:ind w:left="280" w:hanging="276"/>
        <w:spacing w:after="0"/>
        <w:tabs>
          <w:tab w:leader="none" w:pos="280" w:val="left"/>
        </w:tabs>
        <w:numPr>
          <w:ilvl w:val="0"/>
          <w:numId w:val="1"/>
        </w:numPr>
        <w:rPr>
          <w:rFonts w:ascii="Arial" w:cs="Arial" w:eastAsia="Arial" w:hAnsi="Arial"/>
          <w:sz w:val="17"/>
          <w:szCs w:val="17"/>
          <w:color w:val="auto"/>
        </w:rPr>
      </w:pPr>
      <w:r>
        <w:rPr>
          <w:rFonts w:ascii="Arial" w:cs="Arial" w:eastAsia="Arial" w:hAnsi="Arial"/>
          <w:sz w:val="17"/>
          <w:szCs w:val="17"/>
          <w:color w:val="auto"/>
        </w:rPr>
        <w:t>the consolidated statement of financial position as at December 31, 2017;</w:t>
      </w:r>
    </w:p>
    <w:p>
      <w:pPr>
        <w:spacing w:after="0" w:line="24" w:lineRule="exact"/>
        <w:rPr>
          <w:rFonts w:ascii="Arial" w:cs="Arial" w:eastAsia="Arial" w:hAnsi="Arial"/>
          <w:sz w:val="17"/>
          <w:szCs w:val="17"/>
          <w:color w:val="auto"/>
        </w:rPr>
      </w:pPr>
    </w:p>
    <w:p>
      <w:pPr>
        <w:ind w:left="280" w:hanging="276"/>
        <w:spacing w:after="0"/>
        <w:tabs>
          <w:tab w:leader="none" w:pos="280" w:val="left"/>
        </w:tabs>
        <w:numPr>
          <w:ilvl w:val="0"/>
          <w:numId w:val="1"/>
        </w:numPr>
        <w:rPr>
          <w:rFonts w:ascii="Arial" w:cs="Arial" w:eastAsia="Arial" w:hAnsi="Arial"/>
          <w:sz w:val="17"/>
          <w:szCs w:val="17"/>
          <w:color w:val="auto"/>
        </w:rPr>
      </w:pPr>
      <w:r>
        <w:rPr>
          <w:rFonts w:ascii="Arial" w:cs="Arial" w:eastAsia="Arial" w:hAnsi="Arial"/>
          <w:sz w:val="17"/>
          <w:szCs w:val="17"/>
          <w:color w:val="auto"/>
        </w:rPr>
        <w:t>the consolidated statement of income for the year then ended;</w:t>
      </w:r>
    </w:p>
    <w:p>
      <w:pPr>
        <w:spacing w:after="0" w:line="12" w:lineRule="exact"/>
        <w:rPr>
          <w:rFonts w:ascii="Arial" w:cs="Arial" w:eastAsia="Arial" w:hAnsi="Arial"/>
          <w:sz w:val="17"/>
          <w:szCs w:val="17"/>
          <w:color w:val="auto"/>
        </w:rPr>
      </w:pPr>
    </w:p>
    <w:p>
      <w:pPr>
        <w:ind w:left="280" w:hanging="276"/>
        <w:spacing w:after="0"/>
        <w:tabs>
          <w:tab w:leader="none" w:pos="280" w:val="left"/>
        </w:tabs>
        <w:numPr>
          <w:ilvl w:val="0"/>
          <w:numId w:val="1"/>
        </w:numPr>
        <w:rPr>
          <w:rFonts w:ascii="Arial" w:cs="Arial" w:eastAsia="Arial" w:hAnsi="Arial"/>
          <w:sz w:val="17"/>
          <w:szCs w:val="17"/>
          <w:color w:val="auto"/>
        </w:rPr>
      </w:pPr>
      <w:r>
        <w:rPr>
          <w:rFonts w:ascii="Arial" w:cs="Arial" w:eastAsia="Arial" w:hAnsi="Arial"/>
          <w:sz w:val="17"/>
          <w:szCs w:val="17"/>
          <w:color w:val="auto"/>
        </w:rPr>
        <w:t>the consolidated statement of comprehensive income for the year then ended;</w:t>
      </w:r>
    </w:p>
    <w:p>
      <w:pPr>
        <w:spacing w:after="0" w:line="12" w:lineRule="exact"/>
        <w:rPr>
          <w:rFonts w:ascii="Arial" w:cs="Arial" w:eastAsia="Arial" w:hAnsi="Arial"/>
          <w:sz w:val="17"/>
          <w:szCs w:val="17"/>
          <w:color w:val="auto"/>
        </w:rPr>
      </w:pPr>
    </w:p>
    <w:p>
      <w:pPr>
        <w:ind w:left="280" w:hanging="276"/>
        <w:spacing w:after="0"/>
        <w:tabs>
          <w:tab w:leader="none" w:pos="280" w:val="left"/>
        </w:tabs>
        <w:numPr>
          <w:ilvl w:val="0"/>
          <w:numId w:val="1"/>
        </w:numPr>
        <w:rPr>
          <w:rFonts w:ascii="Arial" w:cs="Arial" w:eastAsia="Arial" w:hAnsi="Arial"/>
          <w:sz w:val="17"/>
          <w:szCs w:val="17"/>
          <w:color w:val="auto"/>
        </w:rPr>
      </w:pPr>
      <w:r>
        <w:rPr>
          <w:rFonts w:ascii="Arial" w:cs="Arial" w:eastAsia="Arial" w:hAnsi="Arial"/>
          <w:sz w:val="17"/>
          <w:szCs w:val="17"/>
          <w:color w:val="auto"/>
        </w:rPr>
        <w:t>the consolidated statement of changes in equity for the year then ended;</w:t>
      </w:r>
    </w:p>
    <w:p>
      <w:pPr>
        <w:spacing w:after="0" w:line="12" w:lineRule="exact"/>
        <w:rPr>
          <w:rFonts w:ascii="Arial" w:cs="Arial" w:eastAsia="Arial" w:hAnsi="Arial"/>
          <w:sz w:val="17"/>
          <w:szCs w:val="17"/>
          <w:color w:val="auto"/>
        </w:rPr>
      </w:pPr>
    </w:p>
    <w:p>
      <w:pPr>
        <w:ind w:left="280" w:hanging="276"/>
        <w:spacing w:after="0"/>
        <w:tabs>
          <w:tab w:leader="none" w:pos="280" w:val="left"/>
        </w:tabs>
        <w:numPr>
          <w:ilvl w:val="0"/>
          <w:numId w:val="1"/>
        </w:numPr>
        <w:rPr>
          <w:rFonts w:ascii="Arial" w:cs="Arial" w:eastAsia="Arial" w:hAnsi="Arial"/>
          <w:sz w:val="17"/>
          <w:szCs w:val="17"/>
          <w:color w:val="auto"/>
        </w:rPr>
      </w:pPr>
      <w:r>
        <w:rPr>
          <w:rFonts w:ascii="Arial" w:cs="Arial" w:eastAsia="Arial" w:hAnsi="Arial"/>
          <w:sz w:val="17"/>
          <w:szCs w:val="17"/>
          <w:color w:val="auto"/>
        </w:rPr>
        <w:t>the consolidated statement of cash flows for the year then ended; and</w:t>
      </w:r>
    </w:p>
    <w:p>
      <w:pPr>
        <w:spacing w:after="0" w:line="12" w:lineRule="exact"/>
        <w:rPr>
          <w:rFonts w:ascii="Arial" w:cs="Arial" w:eastAsia="Arial" w:hAnsi="Arial"/>
          <w:sz w:val="17"/>
          <w:szCs w:val="17"/>
          <w:color w:val="auto"/>
        </w:rPr>
      </w:pPr>
    </w:p>
    <w:p>
      <w:pPr>
        <w:ind w:left="280" w:hanging="276"/>
        <w:spacing w:after="0"/>
        <w:tabs>
          <w:tab w:leader="none" w:pos="280" w:val="left"/>
        </w:tabs>
        <w:numPr>
          <w:ilvl w:val="0"/>
          <w:numId w:val="1"/>
        </w:numPr>
        <w:rPr>
          <w:rFonts w:ascii="Arial" w:cs="Arial" w:eastAsia="Arial" w:hAnsi="Arial"/>
          <w:sz w:val="17"/>
          <w:szCs w:val="17"/>
          <w:color w:val="auto"/>
        </w:rPr>
      </w:pPr>
      <w:r>
        <w:rPr>
          <w:rFonts w:ascii="Arial" w:cs="Arial" w:eastAsia="Arial" w:hAnsi="Arial"/>
          <w:sz w:val="17"/>
          <w:szCs w:val="17"/>
          <w:color w:val="auto"/>
        </w:rPr>
        <w:t>the Notes to the consolidated financial statements, which include a summary of the significant accounting policies.</w:t>
      </w: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Basis for opinion</w:t>
      </w:r>
    </w:p>
    <w:p>
      <w:pPr>
        <w:spacing w:after="0" w:line="226" w:lineRule="exact"/>
        <w:rPr>
          <w:sz w:val="20"/>
          <w:szCs w:val="20"/>
          <w:color w:val="auto"/>
        </w:rPr>
      </w:pPr>
    </w:p>
    <w:p>
      <w:pPr>
        <w:spacing w:after="0" w:line="285" w:lineRule="auto"/>
        <w:rPr>
          <w:sz w:val="20"/>
          <w:szCs w:val="20"/>
          <w:color w:val="auto"/>
        </w:rPr>
      </w:pPr>
      <w:r>
        <w:rPr>
          <w:rFonts w:ascii="Arial" w:cs="Arial" w:eastAsia="Arial" w:hAnsi="Arial"/>
          <w:sz w:val="17"/>
          <w:szCs w:val="17"/>
          <w:color w:val="auto"/>
        </w:rPr>
        <w:t xml:space="preserve">We conducted our audit in accordance with International Auditing Standards (ISAs). Our responsibilities under those standards are further described in the </w:t>
      </w:r>
      <w:r>
        <w:rPr>
          <w:rFonts w:ascii="Arial" w:cs="Arial" w:eastAsia="Arial" w:hAnsi="Arial"/>
          <w:sz w:val="17"/>
          <w:szCs w:val="17"/>
          <w:i w:val="1"/>
          <w:iCs w:val="1"/>
          <w:color w:val="auto"/>
        </w:rPr>
        <w:t>Auditor’s</w:t>
      </w:r>
      <w:r>
        <w:rPr>
          <w:rFonts w:ascii="Arial" w:cs="Arial" w:eastAsia="Arial" w:hAnsi="Arial"/>
          <w:sz w:val="17"/>
          <w:szCs w:val="17"/>
          <w:color w:val="auto"/>
        </w:rPr>
        <w:t xml:space="preserve"> </w:t>
      </w:r>
      <w:r>
        <w:rPr>
          <w:rFonts w:ascii="Arial" w:cs="Arial" w:eastAsia="Arial" w:hAnsi="Arial"/>
          <w:sz w:val="17"/>
          <w:szCs w:val="17"/>
          <w:i w:val="1"/>
          <w:iCs w:val="1"/>
          <w:color w:val="auto"/>
        </w:rPr>
        <w:t>responsibilities for the audit of the consolidated financial statements section of our report.</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color w:val="auto"/>
        </w:rPr>
        <w:t>We believe that the audit evidence we have obtained is sufficient and appropriate to provide a basis for our opinion.</w:t>
      </w:r>
    </w:p>
    <w:p>
      <w:pPr>
        <w:spacing w:after="0" w:line="2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Independence</w:t>
      </w:r>
    </w:p>
    <w:p>
      <w:pPr>
        <w:spacing w:after="0" w:line="226" w:lineRule="exact"/>
        <w:rPr>
          <w:sz w:val="20"/>
          <w:szCs w:val="20"/>
          <w:color w:val="auto"/>
        </w:rPr>
      </w:pPr>
    </w:p>
    <w:p>
      <w:pPr>
        <w:ind w:right="100"/>
        <w:spacing w:after="0" w:line="262" w:lineRule="auto"/>
        <w:rPr>
          <w:sz w:val="20"/>
          <w:szCs w:val="20"/>
          <w:color w:val="auto"/>
        </w:rPr>
      </w:pPr>
      <w:r>
        <w:rPr>
          <w:rFonts w:ascii="Arial" w:cs="Arial" w:eastAsia="Arial" w:hAnsi="Arial"/>
          <w:sz w:val="17"/>
          <w:szCs w:val="17"/>
          <w:color w:val="auto"/>
        </w:rPr>
        <w:t xml:space="preserve">We are independent of the Group in accordance with the </w:t>
      </w:r>
      <w:r>
        <w:rPr>
          <w:rFonts w:ascii="Arial" w:cs="Arial" w:eastAsia="Arial" w:hAnsi="Arial"/>
          <w:sz w:val="17"/>
          <w:szCs w:val="17"/>
          <w:i w:val="1"/>
          <w:iCs w:val="1"/>
          <w:color w:val="auto"/>
        </w:rPr>
        <w:t>International Ethics Standards Board for Accountants’ Code of Ethics for Professional Accountants</w:t>
      </w:r>
      <w:r>
        <w:rPr>
          <w:rFonts w:ascii="Arial" w:cs="Arial" w:eastAsia="Arial" w:hAnsi="Arial"/>
          <w:sz w:val="17"/>
          <w:szCs w:val="17"/>
          <w:color w:val="auto"/>
        </w:rPr>
        <w:t xml:space="preserve"> (IESBA Code of Ethics) and the ethical requirements of the </w:t>
      </w:r>
      <w:r>
        <w:rPr>
          <w:rFonts w:ascii="Arial" w:cs="Arial" w:eastAsia="Arial" w:hAnsi="Arial"/>
          <w:sz w:val="17"/>
          <w:szCs w:val="17"/>
          <w:i w:val="1"/>
          <w:iCs w:val="1"/>
          <w:color w:val="auto"/>
        </w:rPr>
        <w:t>Code of Professional Ethics</w:t>
      </w:r>
      <w:r>
        <w:rPr>
          <w:rFonts w:ascii="Arial" w:cs="Arial" w:eastAsia="Arial" w:hAnsi="Arial"/>
          <w:sz w:val="17"/>
          <w:szCs w:val="17"/>
          <w:color w:val="auto"/>
        </w:rPr>
        <w:t xml:space="preserve"> issued by the Board of Deans of the Institutes of Peruvian Certified Public Accountants, which are relevant for our audit of the consolidated financial statements. We have fulfilled our other ethical responsibilities in accordance with the IESBA Code of Ethics and the ethical requirements of the </w:t>
      </w:r>
      <w:r>
        <w:rPr>
          <w:rFonts w:ascii="Arial" w:cs="Arial" w:eastAsia="Arial" w:hAnsi="Arial"/>
          <w:sz w:val="17"/>
          <w:szCs w:val="17"/>
          <w:i w:val="1"/>
          <w:iCs w:val="1"/>
          <w:color w:val="auto"/>
        </w:rPr>
        <w:t>Code of Professional Ethics</w:t>
      </w:r>
      <w:r>
        <w:rPr>
          <w:rFonts w:ascii="Arial" w:cs="Arial" w:eastAsia="Arial" w:hAnsi="Arial"/>
          <w:sz w:val="17"/>
          <w:szCs w:val="17"/>
          <w:color w:val="auto"/>
        </w:rPr>
        <w:t xml:space="preserve"> issued by the Board of Deans of the Institutes of Peruvian Certified Accountants.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386080</wp:posOffset>
            </wp:positionV>
            <wp:extent cx="725170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1700" cy="8255"/>
                    </a:xfrm>
                    <a:prstGeom prst="rect">
                      <a:avLst/>
                    </a:prstGeom>
                    <a:noFill/>
                  </pic:spPr>
                </pic:pic>
              </a:graphicData>
            </a:graphic>
          </wp:anchor>
        </w:drawing>
      </w:r>
    </w:p>
    <w:p>
      <w:pPr>
        <w:sectPr>
          <w:pgSz w:w="11900" w:h="16838" w:orient="portrait"/>
          <w:cols w:equalWidth="0" w:num="1">
            <w:col w:w="11400"/>
          </w:cols>
          <w:pgMar w:left="240" w:top="881" w:right="259" w:bottom="1440" w:gutter="0" w:footer="0" w:header="0"/>
        </w:sectPr>
      </w:pPr>
    </w:p>
    <w:bookmarkStart w:id="6" w:name="page7"/>
    <w:bookmarkEnd w:id="6"/>
    <w:p>
      <w:pPr>
        <w:spacing w:after="0"/>
        <w:rPr>
          <w:sz w:val="20"/>
          <w:szCs w:val="20"/>
          <w:color w:val="auto"/>
        </w:rPr>
      </w:pPr>
      <w:r>
        <w:rPr>
          <w:rFonts w:ascii="Arial" w:cs="Arial" w:eastAsia="Arial" w:hAnsi="Arial"/>
          <w:sz w:val="17"/>
          <w:szCs w:val="17"/>
          <w:b w:val="1"/>
          <w:bCs w:val="1"/>
          <w:color w:val="auto"/>
        </w:rPr>
        <w:t>Our audit approach</w:t>
      </w:r>
    </w:p>
    <w:p>
      <w:pPr>
        <w:spacing w:after="0" w:line="22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Overview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332740</wp:posOffset>
            </wp:positionH>
            <wp:positionV relativeFrom="paragraph">
              <wp:posOffset>15875</wp:posOffset>
            </wp:positionV>
            <wp:extent cx="6921500" cy="195516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21500" cy="1955165"/>
                    </a:xfrm>
                    <a:prstGeom prst="rect">
                      <a:avLst/>
                    </a:prstGeom>
                    <a:noFill/>
                  </pic:spPr>
                </pic:pic>
              </a:graphicData>
            </a:graphic>
          </wp:anchor>
        </w:drawing>
      </w:r>
    </w:p>
    <w:p>
      <w:pPr>
        <w:spacing w:after="0" w:line="44" w:lineRule="exact"/>
        <w:rPr>
          <w:sz w:val="20"/>
          <w:szCs w:val="20"/>
          <w:color w:val="auto"/>
        </w:rPr>
      </w:pPr>
    </w:p>
    <w:p>
      <w:pPr>
        <w:ind w:left="2840" w:right="300"/>
        <w:spacing w:after="0" w:line="322" w:lineRule="auto"/>
        <w:rPr>
          <w:sz w:val="20"/>
          <w:szCs w:val="20"/>
          <w:color w:val="auto"/>
        </w:rPr>
      </w:pPr>
      <w:r>
        <w:rPr>
          <w:rFonts w:ascii="Arial" w:cs="Arial" w:eastAsia="Arial" w:hAnsi="Arial"/>
          <w:sz w:val="15"/>
          <w:szCs w:val="15"/>
          <w:color w:val="auto"/>
        </w:rPr>
        <w:t>An audit is designed to obtain reasonable assurance about whether the consolidated financial statements are free from material misstatement. Errors may arise due to error or fraud. These are considered material if, individually or in total, they could reasonably influence the economic decisions that users make based on the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1743075</wp:posOffset>
            </wp:positionH>
            <wp:positionV relativeFrom="paragraph">
              <wp:posOffset>95250</wp:posOffset>
            </wp:positionV>
            <wp:extent cx="551116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511165" cy="8255"/>
                    </a:xfrm>
                    <a:prstGeom prst="rect">
                      <a:avLst/>
                    </a:prstGeom>
                    <a:noFill/>
                  </pic:spPr>
                </pic:pic>
              </a:graphicData>
            </a:graphic>
          </wp:anchor>
        </w:drawing>
      </w:r>
    </w:p>
    <w:p>
      <w:pPr>
        <w:spacing w:after="0" w:line="169" w:lineRule="exact"/>
        <w:rPr>
          <w:sz w:val="20"/>
          <w:szCs w:val="20"/>
          <w:color w:val="auto"/>
        </w:rPr>
      </w:pPr>
    </w:p>
    <w:p>
      <w:pPr>
        <w:ind w:left="2840" w:right="140"/>
        <w:spacing w:after="0" w:line="262" w:lineRule="auto"/>
        <w:rPr>
          <w:sz w:val="20"/>
          <w:szCs w:val="20"/>
          <w:color w:val="auto"/>
        </w:rPr>
      </w:pPr>
      <w:r>
        <w:rPr>
          <w:rFonts w:ascii="Arial" w:cs="Arial" w:eastAsia="Arial" w:hAnsi="Arial"/>
          <w:sz w:val="17"/>
          <w:szCs w:val="17"/>
          <w:color w:val="auto"/>
        </w:rPr>
        <w:t>The scope of our audit and the nature, timing and extent of our procedures was determined by our risk assessment that the consolidated financial statements may contain material errors, whether due to fraud or error. We carried out our audit procedures based on the approach of legal entities considered financially significant in the context of the Group, with a combination of full scope audits and audits of specific accounts to achieve the desired level of evidence at a consolidated level.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1743075</wp:posOffset>
            </wp:positionH>
            <wp:positionV relativeFrom="paragraph">
              <wp:posOffset>122555</wp:posOffset>
            </wp:positionV>
            <wp:extent cx="551116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511165" cy="8255"/>
                    </a:xfrm>
                    <a:prstGeom prst="rect">
                      <a:avLst/>
                    </a:prstGeom>
                    <a:noFill/>
                  </pic:spPr>
                </pic:pic>
              </a:graphicData>
            </a:graphic>
          </wp:anchor>
        </w:drawing>
      </w:r>
    </w:p>
    <w:p>
      <w:pPr>
        <w:spacing w:after="0" w:line="212" w:lineRule="exact"/>
        <w:rPr>
          <w:sz w:val="20"/>
          <w:szCs w:val="20"/>
          <w:color w:val="auto"/>
        </w:rPr>
      </w:pPr>
    </w:p>
    <w:p>
      <w:pPr>
        <w:ind w:left="2840" w:right="420"/>
        <w:spacing w:after="0" w:line="285" w:lineRule="auto"/>
        <w:rPr>
          <w:sz w:val="20"/>
          <w:szCs w:val="20"/>
          <w:color w:val="auto"/>
        </w:rPr>
      </w:pPr>
      <w:r>
        <w:rPr>
          <w:rFonts w:ascii="Arial" w:cs="Arial" w:eastAsia="Arial" w:hAnsi="Arial"/>
          <w:sz w:val="17"/>
          <w:szCs w:val="17"/>
          <w:i w:val="1"/>
          <w:iCs w:val="1"/>
          <w:color w:val="auto"/>
        </w:rPr>
        <w:t xml:space="preserve">Key Audit Matters (KAM) </w:t>
      </w:r>
      <w:r>
        <w:rPr>
          <w:rFonts w:ascii="Arial" w:cs="Arial" w:eastAsia="Arial" w:hAnsi="Arial"/>
          <w:sz w:val="17"/>
          <w:szCs w:val="17"/>
          <w:color w:val="auto"/>
        </w:rPr>
        <w:t>are those which, in our professional judgment, were of most significance in our audit of the</w:t>
      </w:r>
      <w:r>
        <w:rPr>
          <w:rFonts w:ascii="Arial" w:cs="Arial" w:eastAsia="Arial" w:hAnsi="Arial"/>
          <w:sz w:val="17"/>
          <w:szCs w:val="17"/>
          <w:i w:val="1"/>
          <w:iCs w:val="1"/>
          <w:color w:val="auto"/>
        </w:rPr>
        <w:t xml:space="preserve"> </w:t>
      </w:r>
      <w:r>
        <w:rPr>
          <w:rFonts w:ascii="Arial" w:cs="Arial" w:eastAsia="Arial" w:hAnsi="Arial"/>
          <w:sz w:val="17"/>
          <w:szCs w:val="17"/>
          <w:color w:val="auto"/>
        </w:rPr>
        <w:t>consolidated financial statements of the current period:</w:t>
      </w:r>
    </w:p>
    <w:p>
      <w:pPr>
        <w:spacing w:after="0" w:line="159" w:lineRule="exact"/>
        <w:rPr>
          <w:sz w:val="20"/>
          <w:szCs w:val="20"/>
          <w:color w:val="auto"/>
        </w:rPr>
      </w:pPr>
    </w:p>
    <w:p>
      <w:pPr>
        <w:ind w:left="3100" w:hanging="261"/>
        <w:spacing w:after="0"/>
        <w:tabs>
          <w:tab w:leader="none" w:pos="3100" w:val="left"/>
        </w:tabs>
        <w:numPr>
          <w:ilvl w:val="0"/>
          <w:numId w:val="2"/>
        </w:numPr>
        <w:rPr>
          <w:rFonts w:ascii="Arial" w:cs="Arial" w:eastAsia="Arial" w:hAnsi="Arial"/>
          <w:sz w:val="17"/>
          <w:szCs w:val="17"/>
          <w:color w:val="auto"/>
        </w:rPr>
      </w:pPr>
      <w:r>
        <w:rPr>
          <w:rFonts w:ascii="Arial" w:cs="Arial" w:eastAsia="Arial" w:hAnsi="Arial"/>
          <w:sz w:val="17"/>
          <w:szCs w:val="17"/>
          <w:color w:val="auto"/>
        </w:rPr>
        <w:t>Information technology environment;</w:t>
      </w:r>
    </w:p>
    <w:p>
      <w:pPr>
        <w:spacing w:after="0" w:line="24" w:lineRule="exact"/>
        <w:rPr>
          <w:rFonts w:ascii="Arial" w:cs="Arial" w:eastAsia="Arial" w:hAnsi="Arial"/>
          <w:sz w:val="17"/>
          <w:szCs w:val="17"/>
          <w:color w:val="auto"/>
        </w:rPr>
      </w:pPr>
    </w:p>
    <w:p>
      <w:pPr>
        <w:ind w:left="3080" w:hanging="241"/>
        <w:spacing w:after="0"/>
        <w:tabs>
          <w:tab w:leader="none" w:pos="3080" w:val="left"/>
        </w:tabs>
        <w:numPr>
          <w:ilvl w:val="0"/>
          <w:numId w:val="2"/>
        </w:numPr>
        <w:rPr>
          <w:rFonts w:ascii="Arial" w:cs="Arial" w:eastAsia="Arial" w:hAnsi="Arial"/>
          <w:sz w:val="17"/>
          <w:szCs w:val="17"/>
          <w:color w:val="auto"/>
        </w:rPr>
      </w:pPr>
      <w:r>
        <w:rPr>
          <w:rFonts w:ascii="Arial" w:cs="Arial" w:eastAsia="Arial" w:hAnsi="Arial"/>
          <w:sz w:val="17"/>
          <w:szCs w:val="17"/>
          <w:color w:val="auto"/>
        </w:rPr>
        <w:t>Allowance for loan losses; and</w:t>
      </w:r>
    </w:p>
    <w:p>
      <w:pPr>
        <w:spacing w:after="0" w:line="12" w:lineRule="exact"/>
        <w:rPr>
          <w:rFonts w:ascii="Arial" w:cs="Arial" w:eastAsia="Arial" w:hAnsi="Arial"/>
          <w:sz w:val="17"/>
          <w:szCs w:val="17"/>
          <w:color w:val="auto"/>
        </w:rPr>
      </w:pPr>
    </w:p>
    <w:p>
      <w:pPr>
        <w:ind w:left="3100" w:hanging="261"/>
        <w:spacing w:after="0"/>
        <w:tabs>
          <w:tab w:leader="none" w:pos="3100" w:val="left"/>
        </w:tabs>
        <w:numPr>
          <w:ilvl w:val="0"/>
          <w:numId w:val="2"/>
        </w:numPr>
        <w:rPr>
          <w:rFonts w:ascii="Arial" w:cs="Arial" w:eastAsia="Arial" w:hAnsi="Arial"/>
          <w:sz w:val="17"/>
          <w:szCs w:val="17"/>
          <w:color w:val="auto"/>
        </w:rPr>
      </w:pPr>
      <w:r>
        <w:rPr>
          <w:rFonts w:ascii="Arial" w:cs="Arial" w:eastAsia="Arial" w:hAnsi="Arial"/>
          <w:sz w:val="17"/>
          <w:szCs w:val="17"/>
          <w:color w:val="auto"/>
        </w:rPr>
        <w:t>Valuation of the mathematical life annuities reserves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271780</wp:posOffset>
            </wp:positionV>
            <wp:extent cx="725170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17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160"/>
        <w:spacing w:after="0" w:line="286" w:lineRule="auto"/>
        <w:rPr>
          <w:sz w:val="20"/>
          <w:szCs w:val="20"/>
          <w:color w:val="auto"/>
        </w:rPr>
      </w:pPr>
      <w:r>
        <w:rPr>
          <w:rFonts w:ascii="Arial" w:cs="Arial" w:eastAsia="Arial" w:hAnsi="Arial"/>
          <w:sz w:val="16"/>
          <w:szCs w:val="16"/>
          <w:color w:val="auto"/>
        </w:rPr>
        <w:t>As part of designing of our audit, we determined materiality and assessed the risks of material misstatement in the consolidated financial statements. In particular, we considered the cases where management has made subjective judgments; for example, in respect of significant accounting estimates that involve making assumptions and considering future events that are inherently uncertain. We also addressed the risk of management override of internal controls, including, among other matters, consideration of whether there was evidence of bias that represented a risk of material misstatement due to fraud.</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How we designed the scope of our audit of the Group</w:t>
      </w:r>
    </w:p>
    <w:p>
      <w:pPr>
        <w:spacing w:after="0" w:line="220" w:lineRule="exact"/>
        <w:rPr>
          <w:sz w:val="20"/>
          <w:szCs w:val="20"/>
          <w:color w:val="auto"/>
        </w:rPr>
      </w:pPr>
    </w:p>
    <w:p>
      <w:pPr>
        <w:ind w:right="200"/>
        <w:spacing w:after="0" w:line="355" w:lineRule="auto"/>
        <w:rPr>
          <w:sz w:val="20"/>
          <w:szCs w:val="20"/>
          <w:color w:val="auto"/>
        </w:rPr>
      </w:pPr>
      <w:r>
        <w:rPr>
          <w:rFonts w:ascii="Arial" w:cs="Arial" w:eastAsia="Arial" w:hAnsi="Arial"/>
          <w:sz w:val="15"/>
          <w:szCs w:val="15"/>
          <w:color w:val="auto"/>
        </w:rPr>
        <w:t>We have designed the scope of our audit in order to be able to carry out sufficient work to permit us to issue an opinion regarding the consolidated financial statements as a whole, taking into account the structure of the Group, the accounting processes and controls and the economic sector in which the Group operates.</w:t>
      </w:r>
    </w:p>
    <w:p>
      <w:pPr>
        <w:spacing w:after="0" w:line="113"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Our audit for the year ended December 31, 2017, does not represent significant changes in relation to the audit of last year, thus, in establishing the general approach of the Group, we determined the type of work that required to be done on the components, based mainly on individual legal entities. In that sense, we consider Banco de Crédito del Perú S.A. and Mibanco, Banco de la Microempresa S.A., as significant components based on their individual contributions to profit before tax, and Pacífico Compañía de Seguros y Reaseguros S.A. due to the significant risk related to the valuation of the mathematical life annuity reserves. Additionally, we have considered the individual work carried out in each subsidiary, for the purpose of the issue of the statutory audit opinion for each entity.</w:t>
      </w: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- 2 -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24130</wp:posOffset>
            </wp:positionV>
            <wp:extent cx="725170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1700" cy="8255"/>
                    </a:xfrm>
                    <a:prstGeom prst="rect">
                      <a:avLst/>
                    </a:prstGeom>
                    <a:noFill/>
                  </pic:spPr>
                </pic:pic>
              </a:graphicData>
            </a:graphic>
          </wp:anchor>
        </w:drawing>
      </w:r>
    </w:p>
    <w:p>
      <w:pPr>
        <w:sectPr>
          <w:pgSz w:w="11900" w:h="16838" w:orient="portrait"/>
          <w:cols w:equalWidth="0" w:num="1">
            <w:col w:w="11420"/>
          </w:cols>
          <w:pgMar w:left="240" w:top="875" w:right="239" w:bottom="1440" w:gutter="0" w:footer="0" w:header="0"/>
        </w:sectPr>
      </w:pPr>
    </w:p>
    <w:bookmarkStart w:id="7" w:name="page8"/>
    <w:bookmarkEnd w:id="7"/>
    <w:p>
      <w:pPr>
        <w:ind w:right="80"/>
        <w:spacing w:after="0" w:line="305" w:lineRule="auto"/>
        <w:rPr>
          <w:sz w:val="20"/>
          <w:szCs w:val="20"/>
          <w:color w:val="auto"/>
        </w:rPr>
      </w:pPr>
      <w:r>
        <w:rPr>
          <w:rFonts w:ascii="Arial" w:cs="Arial" w:eastAsia="Arial" w:hAnsi="Arial"/>
          <w:sz w:val="15"/>
          <w:szCs w:val="15"/>
          <w:color w:val="auto"/>
        </w:rPr>
        <w:t>The statutory audit of the subsidiaries includes work performed by other firms of PwC in the region, like Panama, Chile, Colombia and Bolivia. For said works we determined the level of participation that we needed to obtain in the auditing work in those entities in order to conclude as to whether sufficient and appropriate audit evidence had been obtained as a basis for our opinion with regard to the consolidated financial statements as a whole. This includes regular communication with the other PwC firms mentioned above during the entire year, the issue of instructions, visits to the auditors of components by the key members of the main work team, a review of the results of their audit procedures including the nature, timing and extent of the work that affect the audit opinion of the Group.</w:t>
      </w:r>
    </w:p>
    <w:p>
      <w:pPr>
        <w:spacing w:after="0" w:line="15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Key Audit Matters (KAM)</w:t>
      </w:r>
    </w:p>
    <w:p>
      <w:pPr>
        <w:spacing w:after="0" w:line="220" w:lineRule="exact"/>
        <w:rPr>
          <w:sz w:val="20"/>
          <w:szCs w:val="20"/>
          <w:color w:val="auto"/>
        </w:rPr>
      </w:pPr>
    </w:p>
    <w:p>
      <w:pPr>
        <w:ind w:right="60"/>
        <w:spacing w:after="0" w:line="265" w:lineRule="auto"/>
        <w:rPr>
          <w:sz w:val="20"/>
          <w:szCs w:val="20"/>
          <w:color w:val="auto"/>
        </w:rPr>
      </w:pPr>
      <w:r>
        <w:rPr>
          <w:rFonts w:ascii="Arial" w:cs="Arial" w:eastAsia="Arial" w:hAnsi="Arial"/>
          <w:sz w:val="17"/>
          <w:szCs w:val="17"/>
          <w:color w:val="auto"/>
        </w:rPr>
        <w:t>Key audit matters are those matters that, in our professional judgment, were of most significance in our audit of the consolidated financial statements of the current period. The scope of our audit and the key audit matters have not changed significantly in relation to the previous year. The audit matters were addressed in the context of our audit of the consolidated financial statements as a whole, and in forming our opinion thereon; and, we do not provide a separate opinion on these matters.</w:t>
      </w:r>
    </w:p>
    <w:p>
      <w:pPr>
        <w:sectPr>
          <w:pgSz w:w="11900" w:h="16838" w:orient="portrait"/>
          <w:cols w:equalWidth="0" w:num="1">
            <w:col w:w="11360"/>
          </w:cols>
          <w:pgMar w:left="240" w:top="881" w:right="299" w:bottom="1440" w:gutter="0" w:footer="0" w:header="0"/>
        </w:sectPr>
      </w:pP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Key Audit Matters (KAM)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24130</wp:posOffset>
            </wp:positionV>
            <wp:extent cx="355600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556000" cy="8255"/>
                    </a:xfrm>
                    <a:prstGeom prst="rect">
                      <a:avLst/>
                    </a:prstGeom>
                    <a:noFill/>
                  </pic:spPr>
                </pic:pic>
              </a:graphicData>
            </a:graphic>
          </wp:anchor>
        </w:drawing>
      </w:r>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Information technology environment</w:t>
      </w:r>
    </w:p>
    <w:p>
      <w:pPr>
        <w:spacing w:after="0" w:line="109" w:lineRule="exact"/>
        <w:rPr>
          <w:sz w:val="20"/>
          <w:szCs w:val="20"/>
          <w:color w:val="auto"/>
        </w:rPr>
      </w:pPr>
    </w:p>
    <w:p>
      <w:pPr>
        <w:ind w:right="60"/>
        <w:spacing w:after="0" w:line="262" w:lineRule="auto"/>
        <w:rPr>
          <w:sz w:val="20"/>
          <w:szCs w:val="20"/>
          <w:color w:val="auto"/>
        </w:rPr>
      </w:pPr>
      <w:r>
        <w:rPr>
          <w:rFonts w:ascii="Arial" w:cs="Arial" w:eastAsia="Arial" w:hAnsi="Arial"/>
          <w:sz w:val="17"/>
          <w:szCs w:val="17"/>
          <w:color w:val="auto"/>
        </w:rPr>
        <w:t>Credicorp Ltd. and subsidiaries are highly dependent on their technology structure, both for the processing of their operations, as well as for the reasonable preparation and presentation of their consolidated financial statements, which leads us to consider the information technology environment as an important area of focus in our audit.</w:t>
      </w:r>
    </w:p>
    <w:p>
      <w:pPr>
        <w:spacing w:after="0" w:line="180" w:lineRule="exact"/>
        <w:rPr>
          <w:sz w:val="20"/>
          <w:szCs w:val="20"/>
          <w:color w:val="auto"/>
        </w:rPr>
      </w:pPr>
    </w:p>
    <w:p>
      <w:pPr>
        <w:ind w:right="40"/>
        <w:spacing w:after="0" w:line="277" w:lineRule="auto"/>
        <w:rPr>
          <w:sz w:val="20"/>
          <w:szCs w:val="20"/>
          <w:color w:val="auto"/>
        </w:rPr>
      </w:pPr>
      <w:r>
        <w:rPr>
          <w:rFonts w:ascii="Arial" w:cs="Arial" w:eastAsia="Arial" w:hAnsi="Arial"/>
          <w:sz w:val="16"/>
          <w:szCs w:val="16"/>
          <w:color w:val="auto"/>
        </w:rPr>
        <w:t>The Group has technological infrastructure for its business activities, as well as ongoing plans for the improvement and maintenance of the access management and change in the pertinent systems and applications, the development of new programs, automated controls and automated components in the relevant business processes. The controls to authorize, control, restrict and cancel accesses to the technology environment and program changes are fundamental for mitigating the potential risk of fraud or error based on the misuse or improper change in the systems of the Group, thus ensuring the integrity of the financial information and accounting records.</w:t>
      </w:r>
    </w:p>
    <w:p>
      <w:pPr>
        <w:spacing w:after="0" w:line="168" w:lineRule="exact"/>
        <w:rPr>
          <w:sz w:val="20"/>
          <w:szCs w:val="20"/>
          <w:color w:val="auto"/>
        </w:rPr>
      </w:pPr>
    </w:p>
    <w:p>
      <w:pPr>
        <w:spacing w:after="0" w:line="261" w:lineRule="auto"/>
        <w:rPr>
          <w:sz w:val="20"/>
          <w:szCs w:val="20"/>
          <w:color w:val="auto"/>
        </w:rPr>
      </w:pPr>
      <w:r>
        <w:rPr>
          <w:rFonts w:ascii="Arial" w:cs="Arial" w:eastAsia="Arial" w:hAnsi="Arial"/>
          <w:sz w:val="17"/>
          <w:szCs w:val="17"/>
          <w:color w:val="auto"/>
        </w:rPr>
        <w:t>The Group has an information technology structure, which comprises more than one technology environment with different processes and segregated controls; furthermore, it is currently implementing a digital transformation process, a situation that leads to an increase in the risks associated with information security and cybersecurity, possibly affecting the operational continuity of the Group companies and/or their reputation.</w:t>
      </w:r>
    </w:p>
    <w:p>
      <w:pPr>
        <w:spacing w:after="0" w:line="180"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The lack of a suitable general technology control environment and its dependent controls could trigger incorrect processing of critical information used for the preparation of the consolidated financial statements.</w:t>
      </w:r>
    </w:p>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How our audit addressed the key audit matter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24130</wp:posOffset>
            </wp:positionV>
            <wp:extent cx="354774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547745" cy="8255"/>
                    </a:xfrm>
                    <a:prstGeom prst="rect">
                      <a:avLst/>
                    </a:prstGeom>
                    <a:noFill/>
                  </pic:spPr>
                </pic:pic>
              </a:graphicData>
            </a:graphic>
          </wp:anchor>
        </w:drawing>
      </w:r>
    </w:p>
    <w:p>
      <w:pPr>
        <w:spacing w:after="0" w:line="200" w:lineRule="exact"/>
        <w:rPr>
          <w:sz w:val="20"/>
          <w:szCs w:val="20"/>
          <w:color w:val="auto"/>
        </w:rPr>
      </w:pPr>
    </w:p>
    <w:p>
      <w:pPr>
        <w:spacing w:after="0" w:line="325" w:lineRule="exact"/>
        <w:rPr>
          <w:sz w:val="20"/>
          <w:szCs w:val="20"/>
          <w:color w:val="auto"/>
        </w:rPr>
      </w:pPr>
    </w:p>
    <w:p>
      <w:pPr>
        <w:spacing w:after="0" w:line="277" w:lineRule="auto"/>
        <w:rPr>
          <w:sz w:val="20"/>
          <w:szCs w:val="20"/>
          <w:color w:val="auto"/>
        </w:rPr>
      </w:pPr>
      <w:r>
        <w:rPr>
          <w:rFonts w:ascii="Arial" w:cs="Arial" w:eastAsia="Arial" w:hAnsi="Arial"/>
          <w:sz w:val="16"/>
          <w:szCs w:val="16"/>
          <w:color w:val="auto"/>
        </w:rPr>
        <w:t>With the participation of specialists in systems audit, we evaluated and tested the design and operational effectiveness of the general controls of information technology. Although our audit is not for the purpose of giving an opinion on the effectiveness of the Information Technology (IT) controls, we reviewed the Group’s framework of governance of IT and the controls on the management of access to the programs, and data, the development of and changes in programs, the IT operations, we evaluated the mechanisms implemented by the Group in response to possible cybersecurity events and the segregation of functions, including compensating controls, when necessary.</w:t>
      </w:r>
    </w:p>
    <w:p>
      <w:pPr>
        <w:spacing w:after="0" w:line="168" w:lineRule="exact"/>
        <w:rPr>
          <w:sz w:val="20"/>
          <w:szCs w:val="20"/>
          <w:color w:val="auto"/>
        </w:rPr>
      </w:pPr>
    </w:p>
    <w:p>
      <w:pPr>
        <w:ind w:right="20"/>
        <w:spacing w:after="0" w:line="276" w:lineRule="auto"/>
        <w:rPr>
          <w:sz w:val="20"/>
          <w:szCs w:val="20"/>
          <w:color w:val="auto"/>
        </w:rPr>
      </w:pPr>
      <w:r>
        <w:rPr>
          <w:rFonts w:ascii="Arial" w:cs="Arial" w:eastAsia="Arial" w:hAnsi="Arial"/>
          <w:sz w:val="16"/>
          <w:szCs w:val="16"/>
          <w:color w:val="auto"/>
        </w:rPr>
        <w:t>The IT environment and the controls established by management, combined with the testing of controls, including compensating controls, which we have applied, provide us with a reasonable basis for depositing our confidence in the integrity and reliability of the information generated for the preparation of the Group’s consolidated financial statements. Furthermore, we have validated the existence of mechanisms for the mitigation of technology risks and attack prevention, of preventive measures to ensure the continuous operation of its security and access controls, personnel awareness-raising campaigns in matters of security, identity and access management, among others, which contribute to the mitigation of cybersecurity risks.</w:t>
      </w:r>
    </w:p>
    <w:p>
      <w:pPr>
        <w:spacing w:after="0" w:line="1462" w:lineRule="exact"/>
        <w:rPr>
          <w:sz w:val="20"/>
          <w:szCs w:val="20"/>
          <w:color w:val="auto"/>
        </w:rPr>
      </w:pPr>
    </w:p>
    <w:p>
      <w:pPr>
        <w:sectPr>
          <w:pgSz w:w="11900" w:h="16838" w:orient="portrait"/>
          <w:cols w:equalWidth="0" w:num="2">
            <w:col w:w="5560" w:space="280"/>
            <w:col w:w="5520"/>
          </w:cols>
          <w:pgMar w:left="240" w:top="881" w:right="299" w:bottom="1440" w:gutter="0" w:footer="0" w:header="0"/>
          <w:type w:val="continuous"/>
        </w:sectPr>
      </w:pPr>
    </w:p>
    <w:p>
      <w:pPr>
        <w:spacing w:after="0" w:line="163" w:lineRule="exact"/>
        <w:rPr>
          <w:sz w:val="20"/>
          <w:szCs w:val="20"/>
          <w:color w:val="auto"/>
        </w:rPr>
      </w:pPr>
    </w:p>
    <w:p>
      <w:pPr>
        <w:jc w:val="center"/>
        <w:ind w:right="-79"/>
        <w:spacing w:after="0"/>
        <w:rPr>
          <w:sz w:val="20"/>
          <w:szCs w:val="20"/>
          <w:color w:val="auto"/>
        </w:rPr>
      </w:pPr>
      <w:r>
        <w:rPr>
          <w:rFonts w:ascii="Arial" w:cs="Arial" w:eastAsia="Arial" w:hAnsi="Arial"/>
          <w:sz w:val="15"/>
          <w:szCs w:val="15"/>
          <w:color w:val="auto"/>
        </w:rPr>
        <w:t>- 3 -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30480</wp:posOffset>
            </wp:positionV>
            <wp:extent cx="725170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1700" cy="8255"/>
                    </a:xfrm>
                    <a:prstGeom prst="rect">
                      <a:avLst/>
                    </a:prstGeom>
                    <a:noFill/>
                  </pic:spPr>
                </pic:pic>
              </a:graphicData>
            </a:graphic>
          </wp:anchor>
        </w:drawing>
      </w:r>
    </w:p>
    <w:p>
      <w:pPr>
        <w:sectPr>
          <w:pgSz w:w="11900" w:h="16838" w:orient="portrait"/>
          <w:cols w:equalWidth="0" w:num="1">
            <w:col w:w="11360"/>
          </w:cols>
          <w:pgMar w:left="240" w:top="881" w:right="299" w:bottom="1440" w:gutter="0" w:footer="0" w:header="0"/>
          <w:type w:val="continuous"/>
        </w:sectPr>
      </w:pPr>
    </w:p>
    <w:bookmarkStart w:id="8" w:name="page9"/>
    <w:bookmarkEnd w:id="8"/>
    <w:p>
      <w:pPr>
        <w:spacing w:after="0"/>
        <w:tabs>
          <w:tab w:leader="none" w:pos="5820" w:val="left"/>
        </w:tabs>
        <w:rPr>
          <w:sz w:val="20"/>
          <w:szCs w:val="20"/>
          <w:color w:val="auto"/>
        </w:rPr>
      </w:pPr>
      <w:r>
        <w:rPr>
          <w:rFonts w:ascii="Arial" w:cs="Arial" w:eastAsia="Arial" w:hAnsi="Arial"/>
          <w:sz w:val="17"/>
          <w:szCs w:val="17"/>
          <w:b w:val="1"/>
          <w:bCs w:val="1"/>
          <w:i w:val="1"/>
          <w:iCs w:val="1"/>
          <w:color w:val="auto"/>
        </w:rPr>
        <w:drawing>
          <wp:anchor simplePos="0" relativeHeight="251657728" behindDoc="1" locked="0" layoutInCell="0" allowOverlap="1">
            <wp:simplePos x="0" y="0"/>
            <wp:positionH relativeFrom="page">
              <wp:posOffset>154940</wp:posOffset>
            </wp:positionH>
            <wp:positionV relativeFrom="page">
              <wp:posOffset>567690</wp:posOffset>
            </wp:positionV>
            <wp:extent cx="7251700" cy="2971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1700" cy="297180"/>
                    </a:xfrm>
                    <a:prstGeom prst="rect">
                      <a:avLst/>
                    </a:prstGeom>
                    <a:noFill/>
                  </pic:spPr>
                </pic:pic>
              </a:graphicData>
            </a:graphic>
          </wp:anchor>
        </w:drawing>
        <w:t>Key Audit Matter (KAM)</w:t>
      </w:r>
      <w:r>
        <w:rPr>
          <w:sz w:val="20"/>
          <w:szCs w:val="20"/>
          <w:color w:val="auto"/>
        </w:rPr>
        <w:tab/>
      </w:r>
      <w:r>
        <w:rPr>
          <w:rFonts w:ascii="Arial" w:cs="Arial" w:eastAsia="Arial" w:hAnsi="Arial"/>
          <w:sz w:val="14"/>
          <w:szCs w:val="14"/>
          <w:b w:val="1"/>
          <w:bCs w:val="1"/>
          <w:i w:val="1"/>
          <w:iCs w:val="1"/>
          <w:color w:val="auto"/>
        </w:rPr>
        <w:t>How our audit addressed the key audit matter</w:t>
      </w:r>
    </w:p>
    <w:p>
      <w:pPr>
        <w:sectPr>
          <w:pgSz w:w="11900" w:h="16838" w:orient="portrait"/>
          <w:cols w:equalWidth="0" w:num="1">
            <w:col w:w="11420"/>
          </w:cols>
          <w:pgMar w:left="240" w:top="907" w:right="239" w:bottom="1440" w:gutter="0" w:footer="0" w:header="0"/>
        </w:sectPr>
      </w:pPr>
    </w:p>
    <w:p>
      <w:pPr>
        <w:spacing w:after="0" w:line="24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Allowance for loan losses</w:t>
      </w:r>
    </w:p>
    <w:p>
      <w:pPr>
        <w:spacing w:after="0" w:line="226" w:lineRule="exact"/>
        <w:rPr>
          <w:sz w:val="20"/>
          <w:szCs w:val="20"/>
          <w:color w:val="auto"/>
        </w:rPr>
      </w:pPr>
    </w:p>
    <w:p>
      <w:pPr>
        <w:jc w:val="both"/>
        <w:ind w:right="340"/>
        <w:spacing w:after="0" w:line="270" w:lineRule="auto"/>
        <w:rPr>
          <w:sz w:val="20"/>
          <w:szCs w:val="20"/>
          <w:color w:val="auto"/>
        </w:rPr>
      </w:pPr>
      <w:r>
        <w:rPr>
          <w:rFonts w:ascii="Arial" w:cs="Arial" w:eastAsia="Arial" w:hAnsi="Arial"/>
          <w:sz w:val="17"/>
          <w:szCs w:val="17"/>
          <w:color w:val="auto"/>
        </w:rPr>
        <w:t>As mentioned in Notes 3 (i), 3 (ad), 7 and 32.1 to the consolidated financial statements, the allowance for loan losses at December 31, 2017 amounts to S/4,943 million.</w:t>
      </w:r>
    </w:p>
    <w:p>
      <w:pPr>
        <w:spacing w:after="0" w:line="172" w:lineRule="exact"/>
        <w:rPr>
          <w:sz w:val="20"/>
          <w:szCs w:val="20"/>
          <w:color w:val="auto"/>
        </w:rPr>
      </w:pPr>
    </w:p>
    <w:p>
      <w:pPr>
        <w:ind w:right="120"/>
        <w:spacing w:after="0" w:line="262" w:lineRule="auto"/>
        <w:rPr>
          <w:sz w:val="20"/>
          <w:szCs w:val="20"/>
          <w:color w:val="auto"/>
        </w:rPr>
      </w:pPr>
      <w:r>
        <w:rPr>
          <w:rFonts w:ascii="Arial" w:cs="Arial" w:eastAsia="Arial" w:hAnsi="Arial"/>
          <w:sz w:val="17"/>
          <w:szCs w:val="17"/>
          <w:color w:val="auto"/>
        </w:rPr>
        <w:t>Credit risk is the most important risk for the Group activities. Credit exposures arise mainly from financing activities in the form of direct credits and off-balance financial instruments, such as contingent credits (indirect loans). All exposure to credit risk (direct or indirect) is mitigated by control processes and policies.</w:t>
      </w:r>
    </w:p>
    <w:p>
      <w:pPr>
        <w:spacing w:after="0" w:line="180" w:lineRule="exact"/>
        <w:rPr>
          <w:sz w:val="20"/>
          <w:szCs w:val="20"/>
          <w:color w:val="auto"/>
        </w:rPr>
      </w:pPr>
    </w:p>
    <w:p>
      <w:pPr>
        <w:spacing w:after="0" w:line="280" w:lineRule="auto"/>
        <w:rPr>
          <w:sz w:val="20"/>
          <w:szCs w:val="20"/>
          <w:color w:val="auto"/>
        </w:rPr>
      </w:pPr>
      <w:r>
        <w:rPr>
          <w:rFonts w:ascii="Arial" w:cs="Arial" w:eastAsia="Arial" w:hAnsi="Arial"/>
          <w:sz w:val="16"/>
          <w:szCs w:val="16"/>
          <w:color w:val="auto"/>
        </w:rPr>
        <w:t>For the determination of the allowance for loan losses, management has developed specific methodologies for wholesale and retail credits. Those methodologies imply a process with various assumptions and judgments, among which are, the financial situation of the counterparty, the expected future cash flows, the estimated recoverable values of guarantees and adverse effects due to changes in the political and economic environments.</w:t>
      </w:r>
    </w:p>
    <w:p>
      <w:pPr>
        <w:spacing w:after="0" w:line="167" w:lineRule="exact"/>
        <w:rPr>
          <w:sz w:val="20"/>
          <w:szCs w:val="20"/>
          <w:color w:val="auto"/>
        </w:rPr>
      </w:pPr>
    </w:p>
    <w:p>
      <w:pPr>
        <w:ind w:right="280"/>
        <w:spacing w:after="0" w:line="294" w:lineRule="auto"/>
        <w:rPr>
          <w:sz w:val="20"/>
          <w:szCs w:val="20"/>
          <w:color w:val="auto"/>
        </w:rPr>
      </w:pPr>
      <w:r>
        <w:rPr>
          <w:rFonts w:ascii="Arial" w:cs="Arial" w:eastAsia="Arial" w:hAnsi="Arial"/>
          <w:sz w:val="16"/>
          <w:szCs w:val="16"/>
          <w:color w:val="auto"/>
        </w:rPr>
        <w:t>The use of different techniques and assumptions of the model could result in significantly different provisions. Furthermore, credit risk management is complex and depends on the database being reliable and complete.</w:t>
      </w:r>
    </w:p>
    <w:p>
      <w:pPr>
        <w:spacing w:after="0" w:line="155" w:lineRule="exact"/>
        <w:rPr>
          <w:sz w:val="20"/>
          <w:szCs w:val="20"/>
          <w:color w:val="auto"/>
        </w:rPr>
      </w:pPr>
    </w:p>
    <w:p>
      <w:pPr>
        <w:spacing w:after="0"/>
        <w:rPr>
          <w:sz w:val="20"/>
          <w:szCs w:val="20"/>
          <w:color w:val="auto"/>
        </w:rPr>
      </w:pPr>
      <w:r>
        <w:rPr>
          <w:rFonts w:ascii="Arial" w:cs="Arial" w:eastAsia="Arial" w:hAnsi="Arial"/>
          <w:sz w:val="17"/>
          <w:szCs w:val="17"/>
          <w:color w:val="auto"/>
        </w:rPr>
        <w:t>Considering the foregoing, this was an area of focus in our audit.</w:t>
      </w:r>
    </w:p>
    <w:p>
      <w:pPr>
        <w:spacing w:after="0" w:line="220" w:lineRule="exact"/>
        <w:rPr>
          <w:sz w:val="20"/>
          <w:szCs w:val="20"/>
          <w:color w:val="auto"/>
        </w:rPr>
      </w:pPr>
    </w:p>
    <w:p>
      <w:pPr>
        <w:spacing w:after="0" w:line="311" w:lineRule="auto"/>
        <w:rPr>
          <w:sz w:val="20"/>
          <w:szCs w:val="20"/>
          <w:color w:val="auto"/>
        </w:rPr>
      </w:pPr>
      <w:r>
        <w:rPr>
          <w:rFonts w:ascii="Arial" w:cs="Arial" w:eastAsia="Arial" w:hAnsi="Arial"/>
          <w:sz w:val="15"/>
          <w:szCs w:val="15"/>
          <w:color w:val="auto"/>
        </w:rPr>
        <w:t>Furthermore, as mentioned in note 3 (ad), on January 1, 2018, IFRS 9 ‘Financial instruments’, becomes effective, which combines the phases of classification and measurement, impairment and hedge accounting of the IASB project to replace IAS 39 ‘Financial instruments: Measurement and recognition’.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line="276" w:lineRule="auto"/>
        <w:rPr>
          <w:sz w:val="20"/>
          <w:szCs w:val="20"/>
          <w:color w:val="auto"/>
        </w:rPr>
      </w:pPr>
      <w:r>
        <w:rPr>
          <w:rFonts w:ascii="Arial" w:cs="Arial" w:eastAsia="Arial" w:hAnsi="Arial"/>
          <w:sz w:val="16"/>
          <w:szCs w:val="16"/>
          <w:color w:val="auto"/>
        </w:rPr>
        <w:t>Our work on the evaluation of the allowance for loan losses has focused on the evaluation and testing of the design and operational effectiveness of the controls over the data and calculation of the allowance for loan losses. These controls included, among others: i) the integrity of the data base and the auxiliary systems; ii) models and assumptions adopted by the management to determine the value of the portfolio of recoverable loans; iii) the follow up and valuation of the guarantees; iv) the validation and approval by management; and v) the preparation and disclosure in the Notes to the financial statements. Additionally, we tested information technology controls over the data extraction and calculation of the allowance.</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color w:val="auto"/>
        </w:rPr>
        <w:t>We focused our audit, among others, on the following aspects:</w:t>
      </w:r>
    </w:p>
    <w:p>
      <w:pPr>
        <w:spacing w:after="0" w:line="220" w:lineRule="exact"/>
        <w:rPr>
          <w:sz w:val="20"/>
          <w:szCs w:val="20"/>
          <w:color w:val="auto"/>
        </w:rPr>
      </w:pPr>
    </w:p>
    <w:p>
      <w:pPr>
        <w:ind w:left="540" w:hanging="251"/>
        <w:spacing w:after="0"/>
        <w:tabs>
          <w:tab w:leader="none" w:pos="540" w:val="left"/>
        </w:tabs>
        <w:numPr>
          <w:ilvl w:val="0"/>
          <w:numId w:val="3"/>
        </w:numPr>
        <w:rPr>
          <w:rFonts w:ascii="Arial" w:cs="Arial" w:eastAsia="Arial" w:hAnsi="Arial"/>
          <w:sz w:val="17"/>
          <w:szCs w:val="17"/>
          <w:color w:val="auto"/>
        </w:rPr>
      </w:pPr>
      <w:r>
        <w:rPr>
          <w:rFonts w:ascii="Arial" w:cs="Arial" w:eastAsia="Arial" w:hAnsi="Arial"/>
          <w:sz w:val="17"/>
          <w:szCs w:val="17"/>
          <w:color w:val="auto"/>
        </w:rPr>
        <w:t>Evaluation of compliance of the parameters established by IAS 39;</w:t>
      </w:r>
    </w:p>
    <w:p>
      <w:pPr>
        <w:spacing w:after="0" w:line="24" w:lineRule="exact"/>
        <w:rPr>
          <w:rFonts w:ascii="Arial" w:cs="Arial" w:eastAsia="Arial" w:hAnsi="Arial"/>
          <w:sz w:val="17"/>
          <w:szCs w:val="17"/>
          <w:color w:val="auto"/>
        </w:rPr>
      </w:pPr>
    </w:p>
    <w:p>
      <w:pPr>
        <w:ind w:left="600" w:right="800" w:hanging="311"/>
        <w:spacing w:after="0" w:line="289" w:lineRule="auto"/>
        <w:tabs>
          <w:tab w:leader="none" w:pos="548" w:val="left"/>
        </w:tabs>
        <w:numPr>
          <w:ilvl w:val="0"/>
          <w:numId w:val="3"/>
        </w:numPr>
        <w:rPr>
          <w:rFonts w:ascii="Arial" w:cs="Arial" w:eastAsia="Arial" w:hAnsi="Arial"/>
          <w:sz w:val="15"/>
          <w:szCs w:val="15"/>
          <w:color w:val="auto"/>
        </w:rPr>
      </w:pPr>
      <w:r>
        <w:rPr>
          <w:rFonts w:ascii="Arial" w:cs="Arial" w:eastAsia="Arial" w:hAnsi="Arial"/>
          <w:sz w:val="15"/>
          <w:szCs w:val="15"/>
          <w:color w:val="auto"/>
        </w:rPr>
        <w:t>Evaluation of the reasonableness of the models and principal assumptions used for the calculation of provisions;</w:t>
      </w:r>
    </w:p>
    <w:p>
      <w:pPr>
        <w:ind w:left="600" w:hanging="311"/>
        <w:spacing w:after="0" w:line="255" w:lineRule="auto"/>
        <w:tabs>
          <w:tab w:leader="none" w:pos="548" w:val="left"/>
        </w:tabs>
        <w:numPr>
          <w:ilvl w:val="0"/>
          <w:numId w:val="3"/>
        </w:numPr>
        <w:rPr>
          <w:rFonts w:ascii="Arial" w:cs="Arial" w:eastAsia="Arial" w:hAnsi="Arial"/>
          <w:sz w:val="17"/>
          <w:szCs w:val="17"/>
          <w:color w:val="auto"/>
        </w:rPr>
      </w:pPr>
      <w:r>
        <w:rPr>
          <w:rFonts w:ascii="Arial" w:cs="Arial" w:eastAsia="Arial" w:hAnsi="Arial"/>
          <w:sz w:val="17"/>
          <w:szCs w:val="17"/>
          <w:color w:val="auto"/>
        </w:rPr>
        <w:t>Revision of the methodology used to segregate the loan portfolios based on homogeneous characteristics;</w:t>
      </w:r>
    </w:p>
    <w:p>
      <w:pPr>
        <w:ind w:left="600" w:right="160" w:hanging="311"/>
        <w:spacing w:after="0" w:line="255" w:lineRule="auto"/>
        <w:tabs>
          <w:tab w:leader="none" w:pos="548" w:val="left"/>
        </w:tabs>
        <w:numPr>
          <w:ilvl w:val="0"/>
          <w:numId w:val="3"/>
        </w:numPr>
        <w:rPr>
          <w:rFonts w:ascii="Arial" w:cs="Arial" w:eastAsia="Arial" w:hAnsi="Arial"/>
          <w:sz w:val="17"/>
          <w:szCs w:val="17"/>
          <w:color w:val="auto"/>
        </w:rPr>
      </w:pPr>
      <w:r>
        <w:rPr>
          <w:rFonts w:ascii="Arial" w:cs="Arial" w:eastAsia="Arial" w:hAnsi="Arial"/>
          <w:sz w:val="17"/>
          <w:szCs w:val="17"/>
          <w:color w:val="auto"/>
        </w:rPr>
        <w:t>Evaluation of the methodology for estimating future cash flows of clients with past due loans (impaired portfolio) and the determination of the probability of default by clients without arrears (unimpaired portfolio);</w:t>
      </w:r>
    </w:p>
    <w:p>
      <w:pPr>
        <w:ind w:left="600" w:right="520" w:hanging="311"/>
        <w:spacing w:after="0" w:line="255" w:lineRule="auto"/>
        <w:tabs>
          <w:tab w:leader="none" w:pos="548" w:val="left"/>
        </w:tabs>
        <w:numPr>
          <w:ilvl w:val="0"/>
          <w:numId w:val="3"/>
        </w:numPr>
        <w:rPr>
          <w:rFonts w:ascii="Arial" w:cs="Arial" w:eastAsia="Arial" w:hAnsi="Arial"/>
          <w:sz w:val="17"/>
          <w:szCs w:val="17"/>
          <w:color w:val="auto"/>
        </w:rPr>
      </w:pPr>
      <w:r>
        <w:rPr>
          <w:rFonts w:ascii="Arial" w:cs="Arial" w:eastAsia="Arial" w:hAnsi="Arial"/>
          <w:sz w:val="17"/>
          <w:szCs w:val="17"/>
          <w:color w:val="auto"/>
        </w:rPr>
        <w:t>Evaluation of whether the data used to estimate the provision are complete and accurate; and</w:t>
      </w:r>
    </w:p>
    <w:p>
      <w:pPr>
        <w:ind w:left="600" w:right="480" w:hanging="311"/>
        <w:spacing w:after="0" w:line="270" w:lineRule="auto"/>
        <w:tabs>
          <w:tab w:leader="none" w:pos="548" w:val="left"/>
        </w:tabs>
        <w:numPr>
          <w:ilvl w:val="0"/>
          <w:numId w:val="3"/>
        </w:numPr>
        <w:rPr>
          <w:rFonts w:ascii="Arial" w:cs="Arial" w:eastAsia="Arial" w:hAnsi="Arial"/>
          <w:sz w:val="17"/>
          <w:szCs w:val="17"/>
          <w:color w:val="auto"/>
        </w:rPr>
      </w:pPr>
      <w:r>
        <w:rPr>
          <w:rFonts w:ascii="Arial" w:cs="Arial" w:eastAsia="Arial" w:hAnsi="Arial"/>
          <w:sz w:val="17"/>
          <w:szCs w:val="17"/>
          <w:color w:val="auto"/>
        </w:rPr>
        <w:t>Independent re-performance of the calculation of the provision in December of 2017.</w:t>
      </w:r>
    </w:p>
    <w:p>
      <w:pPr>
        <w:spacing w:after="0" w:line="171" w:lineRule="exact"/>
        <w:rPr>
          <w:sz w:val="20"/>
          <w:szCs w:val="20"/>
          <w:color w:val="auto"/>
        </w:rPr>
      </w:pPr>
    </w:p>
    <w:p>
      <w:pPr>
        <w:ind w:right="100"/>
        <w:spacing w:after="0" w:line="280" w:lineRule="auto"/>
        <w:rPr>
          <w:sz w:val="20"/>
          <w:szCs w:val="20"/>
          <w:color w:val="auto"/>
        </w:rPr>
      </w:pPr>
      <w:r>
        <w:rPr>
          <w:rFonts w:ascii="Arial" w:cs="Arial" w:eastAsia="Arial" w:hAnsi="Arial"/>
          <w:sz w:val="16"/>
          <w:szCs w:val="16"/>
          <w:color w:val="auto"/>
        </w:rPr>
        <w:t>Furthermore, we obtained an understanding of the process developed by the Group for the analysis, implementation and disclosure of the qualitative and/or quantitative aspects of IFRS 9, in addition to which, with the assistance of our specialists, we carried out certain audit procedures related to the compliance of the standard’s disclosure requirements, among others, we highlight the following procedures performed:</w:t>
      </w:r>
    </w:p>
    <w:p>
      <w:pPr>
        <w:spacing w:after="0" w:line="200" w:lineRule="exact"/>
        <w:rPr>
          <w:sz w:val="20"/>
          <w:szCs w:val="20"/>
          <w:color w:val="auto"/>
        </w:rPr>
      </w:pPr>
    </w:p>
    <w:p>
      <w:pPr>
        <w:sectPr>
          <w:pgSz w:w="11900" w:h="16838" w:orient="portrait"/>
          <w:cols w:equalWidth="0" w:num="2">
            <w:col w:w="5580" w:space="280"/>
            <w:col w:w="5560"/>
          </w:cols>
          <w:pgMar w:left="240" w:top="907" w:right="239" w:bottom="1440" w:gutter="0" w:footer="0" w:header="0"/>
          <w:type w:val="continuous"/>
        </w:sectPr>
      </w:pP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- 4 -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30480</wp:posOffset>
            </wp:positionV>
            <wp:extent cx="725170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1700" cy="8255"/>
                    </a:xfrm>
                    <a:prstGeom prst="rect">
                      <a:avLst/>
                    </a:prstGeom>
                    <a:noFill/>
                  </pic:spPr>
                </pic:pic>
              </a:graphicData>
            </a:graphic>
          </wp:anchor>
        </w:drawing>
      </w:r>
    </w:p>
    <w:p>
      <w:pPr>
        <w:sectPr>
          <w:pgSz w:w="11900" w:h="16838" w:orient="portrait"/>
          <w:cols w:equalWidth="0" w:num="1">
            <w:col w:w="11420"/>
          </w:cols>
          <w:pgMar w:left="240" w:top="907" w:right="239" w:bottom="1440" w:gutter="0" w:footer="0" w:header="0"/>
          <w:type w:val="continuous"/>
        </w:sectPr>
      </w:pPr>
    </w:p>
    <w:bookmarkStart w:id="9" w:name="page10"/>
    <w:bookmarkEnd w:id="9"/>
    <w:p>
      <w:pPr>
        <w:ind w:right="20"/>
        <w:spacing w:after="0" w:line="322" w:lineRule="auto"/>
        <w:rPr>
          <w:sz w:val="20"/>
          <w:szCs w:val="20"/>
          <w:color w:val="auto"/>
        </w:rPr>
      </w:pPr>
      <w:r>
        <w:rPr>
          <w:rFonts w:ascii="Arial" w:cs="Arial" w:eastAsia="Arial" w:hAnsi="Arial"/>
          <w:sz w:val="15"/>
          <w:szCs w:val="15"/>
          <w:color w:val="auto"/>
        </w:rPr>
        <w:t>IFRS 9, among other aspects, introduces a new impairment model based on expected credit losses of the credit portfolio and other instruments, which differs significantly from the current model under IAS 39 of incurred credit losses.</w:t>
      </w:r>
    </w:p>
    <w:p>
      <w:pPr>
        <w:spacing w:after="0" w:line="137" w:lineRule="exact"/>
        <w:rPr>
          <w:sz w:val="20"/>
          <w:szCs w:val="20"/>
          <w:color w:val="auto"/>
        </w:rPr>
      </w:pPr>
    </w:p>
    <w:p>
      <w:pPr>
        <w:spacing w:after="0" w:line="276" w:lineRule="auto"/>
        <w:rPr>
          <w:sz w:val="20"/>
          <w:szCs w:val="20"/>
          <w:color w:val="auto"/>
        </w:rPr>
      </w:pPr>
      <w:r>
        <w:rPr>
          <w:rFonts w:ascii="Arial" w:cs="Arial" w:eastAsia="Arial" w:hAnsi="Arial"/>
          <w:sz w:val="16"/>
          <w:szCs w:val="16"/>
          <w:color w:val="auto"/>
        </w:rPr>
        <w:t>Thus, the Group established a structured project in order to adapt its processes to the new accounting rules as established by this IFRS. In this way, as a disclosure requirement of IAS 8 – Accounting Policies, Changes in Accounting Estimates and Errors, Management has revealed a disclosure of qualitative information from the application of IFRS 9, as well as estimating the most relevant impacts that this standard will have on the financial information of the next fiscal period, based on the balances and premises of the operations at December 31, 2017. Considering the amplitude and complexity of implementation of this standard and the disclosure requirements, we include this matter as a relevant part of our audit focus in this area.</w:t>
      </w:r>
    </w:p>
    <w:p>
      <w:pPr>
        <w:spacing w:after="0" w:line="20" w:lineRule="exact"/>
        <w:rPr>
          <w:sz w:val="20"/>
          <w:szCs w:val="20"/>
          <w:color w:val="auto"/>
        </w:rPr>
      </w:pPr>
      <w:r>
        <w:rPr>
          <w:sz w:val="20"/>
          <w:szCs w:val="20"/>
          <w:color w:val="auto"/>
        </w:rPr>
        <w:br w:type="column"/>
      </w:r>
    </w:p>
    <w:p>
      <w:pPr>
        <w:ind w:left="620" w:right="380" w:hanging="317"/>
        <w:spacing w:after="0" w:line="262" w:lineRule="auto"/>
        <w:tabs>
          <w:tab w:leader="none" w:pos="568" w:val="left"/>
        </w:tabs>
        <w:numPr>
          <w:ilvl w:val="0"/>
          <w:numId w:val="4"/>
        </w:numPr>
        <w:rPr>
          <w:rFonts w:ascii="Arial" w:cs="Arial" w:eastAsia="Arial" w:hAnsi="Arial"/>
          <w:sz w:val="17"/>
          <w:szCs w:val="17"/>
          <w:color w:val="auto"/>
        </w:rPr>
      </w:pPr>
      <w:r>
        <w:rPr>
          <w:rFonts w:ascii="Arial" w:cs="Arial" w:eastAsia="Arial" w:hAnsi="Arial"/>
          <w:sz w:val="17"/>
          <w:szCs w:val="17"/>
          <w:color w:val="auto"/>
        </w:rPr>
        <w:t>Review of the accounting policies and methodological framework developed by the Group;</w:t>
      </w:r>
    </w:p>
    <w:p>
      <w:pPr>
        <w:spacing w:after="0" w:line="1" w:lineRule="exact"/>
        <w:rPr>
          <w:rFonts w:ascii="Arial" w:cs="Arial" w:eastAsia="Arial" w:hAnsi="Arial"/>
          <w:sz w:val="17"/>
          <w:szCs w:val="17"/>
          <w:color w:val="auto"/>
        </w:rPr>
      </w:pPr>
    </w:p>
    <w:p>
      <w:pPr>
        <w:ind w:left="620" w:hanging="317"/>
        <w:spacing w:after="0" w:line="289" w:lineRule="auto"/>
        <w:tabs>
          <w:tab w:leader="none" w:pos="568" w:val="left"/>
        </w:tabs>
        <w:numPr>
          <w:ilvl w:val="0"/>
          <w:numId w:val="4"/>
        </w:numPr>
        <w:rPr>
          <w:rFonts w:ascii="Arial" w:cs="Arial" w:eastAsia="Arial" w:hAnsi="Arial"/>
          <w:sz w:val="15"/>
          <w:szCs w:val="15"/>
          <w:color w:val="auto"/>
        </w:rPr>
      </w:pPr>
      <w:r>
        <w:rPr>
          <w:rFonts w:ascii="Arial" w:cs="Arial" w:eastAsia="Arial" w:hAnsi="Arial"/>
          <w:sz w:val="15"/>
          <w:szCs w:val="15"/>
          <w:color w:val="auto"/>
        </w:rPr>
        <w:t>Evaluation of the reasonableness of the models and main assumptions used for the calculation of impairment based on expected credit losses;</w:t>
      </w:r>
    </w:p>
    <w:p>
      <w:pPr>
        <w:ind w:left="620" w:right="60" w:hanging="317"/>
        <w:spacing w:after="0" w:line="255" w:lineRule="auto"/>
        <w:tabs>
          <w:tab w:leader="none" w:pos="568" w:val="left"/>
        </w:tabs>
        <w:numPr>
          <w:ilvl w:val="0"/>
          <w:numId w:val="4"/>
        </w:numPr>
        <w:rPr>
          <w:rFonts w:ascii="Arial" w:cs="Arial" w:eastAsia="Arial" w:hAnsi="Arial"/>
          <w:sz w:val="17"/>
          <w:szCs w:val="17"/>
          <w:color w:val="auto"/>
        </w:rPr>
      </w:pPr>
      <w:r>
        <w:rPr>
          <w:rFonts w:ascii="Arial" w:cs="Arial" w:eastAsia="Arial" w:hAnsi="Arial"/>
          <w:sz w:val="17"/>
          <w:szCs w:val="17"/>
          <w:color w:val="auto"/>
        </w:rPr>
        <w:t>Obtaining and proving from a sample of operations, their adequate classification, recording and valuation based on the business models are consistent with the flow collection model (amortized cost) and the model of flow collection and sale of assets (fair value through comprehensive income) based solely on payments of principal and interest (criterion of SPPI test);</w:t>
      </w:r>
    </w:p>
    <w:p>
      <w:pPr>
        <w:spacing w:after="0" w:line="1" w:lineRule="exact"/>
        <w:rPr>
          <w:rFonts w:ascii="Arial" w:cs="Arial" w:eastAsia="Arial" w:hAnsi="Arial"/>
          <w:sz w:val="17"/>
          <w:szCs w:val="17"/>
          <w:color w:val="auto"/>
        </w:rPr>
      </w:pPr>
    </w:p>
    <w:p>
      <w:pPr>
        <w:ind w:left="620" w:right="280" w:hanging="317"/>
        <w:spacing w:after="0" w:line="260" w:lineRule="auto"/>
        <w:tabs>
          <w:tab w:leader="none" w:pos="568" w:val="left"/>
        </w:tabs>
        <w:numPr>
          <w:ilvl w:val="0"/>
          <w:numId w:val="4"/>
        </w:numPr>
        <w:rPr>
          <w:rFonts w:ascii="Arial" w:cs="Arial" w:eastAsia="Arial" w:hAnsi="Arial"/>
          <w:sz w:val="17"/>
          <w:szCs w:val="17"/>
          <w:color w:val="auto"/>
        </w:rPr>
      </w:pPr>
      <w:r>
        <w:rPr>
          <w:rFonts w:ascii="Arial" w:cs="Arial" w:eastAsia="Arial" w:hAnsi="Arial"/>
          <w:sz w:val="17"/>
          <w:szCs w:val="17"/>
          <w:color w:val="auto"/>
        </w:rPr>
        <w:t>Review and independent reprocessing of the calculation based on a sample of the impairment provision on the basis of expected credit losses, considering the balances and premises of the operations at December 31, 2017.</w:t>
      </w:r>
    </w:p>
    <w:p>
      <w:pPr>
        <w:spacing w:after="0" w:line="180" w:lineRule="exact"/>
        <w:rPr>
          <w:sz w:val="20"/>
          <w:szCs w:val="20"/>
          <w:color w:val="auto"/>
        </w:rPr>
      </w:pPr>
    </w:p>
    <w:p>
      <w:pPr>
        <w:ind w:right="220"/>
        <w:spacing w:after="0" w:line="261" w:lineRule="auto"/>
        <w:rPr>
          <w:sz w:val="20"/>
          <w:szCs w:val="20"/>
          <w:color w:val="auto"/>
        </w:rPr>
      </w:pPr>
      <w:r>
        <w:rPr>
          <w:rFonts w:ascii="Arial" w:cs="Arial" w:eastAsia="Arial" w:hAnsi="Arial"/>
          <w:sz w:val="17"/>
          <w:szCs w:val="17"/>
          <w:color w:val="auto"/>
        </w:rPr>
        <w:t>We consider that the criteria and assumptions adopted by management to determine the allowance for loan losses under IAS 39, as well as the information disclosed in the consolidated financial statements, including the disclosures required by IAS 8 in relation to the application of IFRS 9, are reasonable in the relevant aspects in the context of the consolidated financial statements.</w:t>
      </w:r>
    </w:p>
    <w:p>
      <w:pPr>
        <w:spacing w:after="0" w:line="200" w:lineRule="exact"/>
        <w:rPr>
          <w:sz w:val="20"/>
          <w:szCs w:val="20"/>
          <w:color w:val="auto"/>
        </w:rPr>
      </w:pPr>
    </w:p>
    <w:p>
      <w:pPr>
        <w:sectPr>
          <w:pgSz w:w="11900" w:h="16838" w:orient="portrait"/>
          <w:cols w:equalWidth="0" w:num="2">
            <w:col w:w="5600" w:space="260"/>
            <w:col w:w="5520"/>
          </w:cols>
          <w:pgMar w:left="240" w:top="881" w:right="279" w:bottom="1440" w:gutter="0" w:footer="0" w:header="0"/>
        </w:sectPr>
      </w:pPr>
    </w:p>
    <w:p>
      <w:pPr>
        <w:spacing w:after="0" w:line="188"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- 5 -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30480</wp:posOffset>
            </wp:positionV>
            <wp:extent cx="725170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1700" cy="8255"/>
                    </a:xfrm>
                    <a:prstGeom prst="rect">
                      <a:avLst/>
                    </a:prstGeom>
                    <a:noFill/>
                  </pic:spPr>
                </pic:pic>
              </a:graphicData>
            </a:graphic>
          </wp:anchor>
        </w:drawing>
      </w:r>
    </w:p>
    <w:p>
      <w:pPr>
        <w:sectPr>
          <w:pgSz w:w="11900" w:h="16838" w:orient="portrait"/>
          <w:cols w:equalWidth="0" w:num="1">
            <w:col w:w="11380"/>
          </w:cols>
          <w:pgMar w:left="240" w:top="881" w:right="279" w:bottom="1440" w:gutter="0" w:footer="0" w:header="0"/>
          <w:type w:val="continuous"/>
        </w:sectPr>
      </w:pPr>
    </w:p>
    <w:bookmarkStart w:id="10" w:name="page11"/>
    <w:bookmarkEnd w:id="10"/>
    <w:p>
      <w:pPr>
        <w:spacing w:after="0"/>
        <w:tabs>
          <w:tab w:leader="none" w:pos="5820" w:val="left"/>
        </w:tabs>
        <w:rPr>
          <w:sz w:val="20"/>
          <w:szCs w:val="20"/>
          <w:color w:val="auto"/>
        </w:rPr>
      </w:pPr>
      <w:r>
        <w:rPr>
          <w:rFonts w:ascii="Arial" w:cs="Arial" w:eastAsia="Arial" w:hAnsi="Arial"/>
          <w:sz w:val="17"/>
          <w:szCs w:val="17"/>
          <w:b w:val="1"/>
          <w:bCs w:val="1"/>
          <w:i w:val="1"/>
          <w:iCs w:val="1"/>
          <w:color w:val="auto"/>
        </w:rPr>
        <w:drawing>
          <wp:anchor simplePos="0" relativeHeight="251657728" behindDoc="1" locked="0" layoutInCell="0" allowOverlap="1">
            <wp:simplePos x="0" y="0"/>
            <wp:positionH relativeFrom="page">
              <wp:posOffset>154940</wp:posOffset>
            </wp:positionH>
            <wp:positionV relativeFrom="page">
              <wp:posOffset>567690</wp:posOffset>
            </wp:positionV>
            <wp:extent cx="7251700" cy="156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1700" cy="156845"/>
                    </a:xfrm>
                    <a:prstGeom prst="rect">
                      <a:avLst/>
                    </a:prstGeom>
                    <a:noFill/>
                  </pic:spPr>
                </pic:pic>
              </a:graphicData>
            </a:graphic>
          </wp:anchor>
        </w:drawing>
        <w:t>Key Audit Matter (KAM)</w:t>
      </w:r>
      <w:r>
        <w:rPr>
          <w:sz w:val="20"/>
          <w:szCs w:val="20"/>
          <w:color w:val="auto"/>
        </w:rPr>
        <w:tab/>
      </w:r>
      <w:r>
        <w:rPr>
          <w:rFonts w:ascii="Arial" w:cs="Arial" w:eastAsia="Arial" w:hAnsi="Arial"/>
          <w:sz w:val="14"/>
          <w:szCs w:val="14"/>
          <w:b w:val="1"/>
          <w:bCs w:val="1"/>
          <w:i w:val="1"/>
          <w:iCs w:val="1"/>
          <w:color w:val="auto"/>
        </w:rPr>
        <w:t>How our audit addressed the key audit matter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24130</wp:posOffset>
            </wp:positionV>
            <wp:extent cx="725170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1700" cy="8255"/>
                    </a:xfrm>
                    <a:prstGeom prst="rect">
                      <a:avLst/>
                    </a:prstGeom>
                    <a:noFill/>
                  </pic:spPr>
                </pic:pic>
              </a:graphicData>
            </a:graphic>
          </wp:anchor>
        </w:drawing>
      </w:r>
    </w:p>
    <w:p>
      <w:pPr>
        <w:sectPr>
          <w:pgSz w:w="11900" w:h="16838" w:orient="portrait"/>
          <w:cols w:equalWidth="0" w:num="1">
            <w:col w:w="11400"/>
          </w:cols>
          <w:pgMar w:left="240" w:top="907" w:right="259" w:bottom="1440" w:gutter="0" w:footer="0" w:header="0"/>
        </w:sectPr>
      </w:pPr>
    </w:p>
    <w:p>
      <w:pPr>
        <w:spacing w:after="0" w:line="24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Valuation of the mathematical life annuities reserves</w:t>
      </w:r>
    </w:p>
    <w:p>
      <w:pPr>
        <w:spacing w:after="0" w:line="239" w:lineRule="exact"/>
        <w:rPr>
          <w:sz w:val="20"/>
          <w:szCs w:val="20"/>
          <w:color w:val="auto"/>
        </w:rPr>
      </w:pPr>
    </w:p>
    <w:p>
      <w:pPr>
        <w:ind w:right="240"/>
        <w:spacing w:after="0" w:line="270" w:lineRule="auto"/>
        <w:rPr>
          <w:sz w:val="20"/>
          <w:szCs w:val="20"/>
          <w:color w:val="auto"/>
        </w:rPr>
      </w:pPr>
      <w:r>
        <w:rPr>
          <w:rFonts w:ascii="Arial" w:cs="Arial" w:eastAsia="Arial" w:hAnsi="Arial"/>
          <w:sz w:val="17"/>
          <w:szCs w:val="17"/>
          <w:color w:val="auto"/>
        </w:rPr>
        <w:t>The amount recognized as mathematical reserves for life annuities is S/3,465 million at December 31, 2017, See Notes 3 (e) and 15 to the consolidated financial statements.</w:t>
      </w:r>
    </w:p>
    <w:p>
      <w:pPr>
        <w:spacing w:after="0" w:line="172" w:lineRule="exact"/>
        <w:rPr>
          <w:sz w:val="20"/>
          <w:szCs w:val="20"/>
          <w:color w:val="auto"/>
        </w:rPr>
      </w:pPr>
    </w:p>
    <w:p>
      <w:pPr>
        <w:spacing w:after="0" w:line="265" w:lineRule="auto"/>
        <w:rPr>
          <w:sz w:val="20"/>
          <w:szCs w:val="20"/>
          <w:color w:val="auto"/>
        </w:rPr>
      </w:pPr>
      <w:r>
        <w:rPr>
          <w:rFonts w:ascii="Arial" w:cs="Arial" w:eastAsia="Arial" w:hAnsi="Arial"/>
          <w:sz w:val="17"/>
          <w:szCs w:val="17"/>
          <w:color w:val="auto"/>
        </w:rPr>
        <w:t>The valuation of the Group’s insurance contracts depends on some key subjective assumptions regarding future events. The valuation of the liabilities generated by insurance contracts is made based on the actuarial assumptions and data used in the calculation.</w:t>
      </w:r>
    </w:p>
    <w:p>
      <w:pPr>
        <w:spacing w:after="0" w:line="176" w:lineRule="exact"/>
        <w:rPr>
          <w:sz w:val="20"/>
          <w:szCs w:val="20"/>
          <w:color w:val="auto"/>
        </w:rPr>
      </w:pPr>
    </w:p>
    <w:p>
      <w:pPr>
        <w:ind w:right="40"/>
        <w:spacing w:after="0" w:line="265" w:lineRule="auto"/>
        <w:rPr>
          <w:sz w:val="20"/>
          <w:szCs w:val="20"/>
          <w:color w:val="auto"/>
        </w:rPr>
      </w:pPr>
      <w:r>
        <w:rPr>
          <w:rFonts w:ascii="Arial" w:cs="Arial" w:eastAsia="Arial" w:hAnsi="Arial"/>
          <w:sz w:val="17"/>
          <w:szCs w:val="17"/>
          <w:color w:val="auto"/>
        </w:rPr>
        <w:t>Some of the key actuarial economic assumptions used in the valuation of the insurance contracts are critical and include, among others, the discount rate, life expectancy of the population and the future expenses to be incurred to maintain the existing policies.</w:t>
      </w:r>
    </w:p>
    <w:p>
      <w:pPr>
        <w:spacing w:after="0" w:line="176" w:lineRule="exact"/>
        <w:rPr>
          <w:sz w:val="20"/>
          <w:szCs w:val="20"/>
          <w:color w:val="auto"/>
        </w:rPr>
      </w:pPr>
    </w:p>
    <w:p>
      <w:pPr>
        <w:ind w:right="160"/>
        <w:spacing w:after="0" w:line="294" w:lineRule="auto"/>
        <w:rPr>
          <w:sz w:val="20"/>
          <w:szCs w:val="20"/>
          <w:color w:val="auto"/>
        </w:rPr>
      </w:pPr>
      <w:r>
        <w:rPr>
          <w:rFonts w:ascii="Arial" w:cs="Arial" w:eastAsia="Arial" w:hAnsi="Arial"/>
          <w:sz w:val="16"/>
          <w:szCs w:val="16"/>
          <w:color w:val="auto"/>
        </w:rPr>
        <w:t>Minor changes in each of these key assumptions could result in significant impacts in the valuation of the obligations for those insurance contracts and in the respective impacts reflected in the consolidated statement of income.</w:t>
      </w:r>
    </w:p>
    <w:p>
      <w:pPr>
        <w:spacing w:after="0" w:line="155" w:lineRule="exact"/>
        <w:rPr>
          <w:sz w:val="20"/>
          <w:szCs w:val="20"/>
          <w:color w:val="auto"/>
        </w:rPr>
      </w:pPr>
    </w:p>
    <w:p>
      <w:pPr>
        <w:ind w:right="80"/>
        <w:spacing w:after="0" w:line="285" w:lineRule="auto"/>
        <w:rPr>
          <w:sz w:val="20"/>
          <w:szCs w:val="20"/>
          <w:color w:val="auto"/>
        </w:rPr>
      </w:pPr>
      <w:r>
        <w:rPr>
          <w:rFonts w:ascii="Arial" w:cs="Arial" w:eastAsia="Arial" w:hAnsi="Arial"/>
          <w:sz w:val="17"/>
          <w:szCs w:val="17"/>
          <w:color w:val="auto"/>
        </w:rPr>
        <w:t>Considering the above, this accounting estimate was an important matter in our audit.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line="261" w:lineRule="auto"/>
        <w:rPr>
          <w:sz w:val="20"/>
          <w:szCs w:val="20"/>
          <w:color w:val="auto"/>
        </w:rPr>
      </w:pPr>
      <w:r>
        <w:rPr>
          <w:rFonts w:ascii="Arial" w:cs="Arial" w:eastAsia="Arial" w:hAnsi="Arial"/>
          <w:sz w:val="17"/>
          <w:szCs w:val="17"/>
          <w:color w:val="auto"/>
        </w:rPr>
        <w:t>We obtained an understanding and applied tests to the key controls in the processes of mathematic reserves and the related processes, to analyze the actuarial and economic assumptions, as well as the data used in the calculations. We identified that the key controls related to the determination of the assumptions and the methodology of the calculation, were designed, implemented and operate effectively.</w:t>
      </w:r>
    </w:p>
    <w:p>
      <w:pPr>
        <w:spacing w:after="0" w:line="180" w:lineRule="exact"/>
        <w:rPr>
          <w:sz w:val="20"/>
          <w:szCs w:val="20"/>
          <w:color w:val="auto"/>
        </w:rPr>
      </w:pPr>
    </w:p>
    <w:p>
      <w:pPr>
        <w:ind w:right="20"/>
        <w:spacing w:after="0" w:line="265" w:lineRule="auto"/>
        <w:rPr>
          <w:sz w:val="20"/>
          <w:szCs w:val="20"/>
          <w:color w:val="auto"/>
        </w:rPr>
      </w:pPr>
      <w:r>
        <w:rPr>
          <w:rFonts w:ascii="Arial" w:cs="Arial" w:eastAsia="Arial" w:hAnsi="Arial"/>
          <w:sz w:val="17"/>
          <w:szCs w:val="17"/>
          <w:color w:val="auto"/>
        </w:rPr>
        <w:t>We held meetings with the financial, investment and actuarial management areas, in order to obtain an understanding of the judgments and criteria used to determine the key actuarial economic assumptions used in the calculation of the mathematical life annuity reserves.</w:t>
      </w:r>
    </w:p>
    <w:p>
      <w:pPr>
        <w:spacing w:after="0" w:line="176" w:lineRule="exact"/>
        <w:rPr>
          <w:sz w:val="20"/>
          <w:szCs w:val="20"/>
          <w:color w:val="auto"/>
        </w:rPr>
      </w:pPr>
    </w:p>
    <w:p>
      <w:pPr>
        <w:ind w:right="40"/>
        <w:spacing w:after="0" w:line="280" w:lineRule="auto"/>
        <w:rPr>
          <w:sz w:val="20"/>
          <w:szCs w:val="20"/>
          <w:color w:val="auto"/>
        </w:rPr>
      </w:pPr>
      <w:r>
        <w:rPr>
          <w:rFonts w:ascii="Arial" w:cs="Arial" w:eastAsia="Arial" w:hAnsi="Arial"/>
          <w:sz w:val="16"/>
          <w:szCs w:val="16"/>
          <w:color w:val="auto"/>
        </w:rPr>
        <w:t>We have reviewed the adequacy of the actuarial and economic assumptions as a whole. With the participation of actuarial specialists, we evaluated the reasonableness and consistency of the actuarial assumptions in an independent manner and we considered they are reasonable, including the questioning of management with regard to the main criteria and judgments applied. Our evaluation included reference to independent comparative data.</w:t>
      </w:r>
    </w:p>
    <w:p>
      <w:pPr>
        <w:spacing w:after="0" w:line="167" w:lineRule="exact"/>
        <w:rPr>
          <w:sz w:val="20"/>
          <w:szCs w:val="20"/>
          <w:color w:val="auto"/>
        </w:rPr>
      </w:pPr>
    </w:p>
    <w:p>
      <w:pPr>
        <w:ind w:right="160"/>
        <w:spacing w:after="0" w:line="311" w:lineRule="auto"/>
        <w:rPr>
          <w:sz w:val="20"/>
          <w:szCs w:val="20"/>
          <w:color w:val="auto"/>
        </w:rPr>
      </w:pPr>
      <w:r>
        <w:rPr>
          <w:rFonts w:ascii="Arial" w:cs="Arial" w:eastAsia="Arial" w:hAnsi="Arial"/>
          <w:sz w:val="15"/>
          <w:szCs w:val="15"/>
          <w:color w:val="auto"/>
        </w:rPr>
        <w:t>Based on the results of our auditing work, we considered that the assumptions applied and criteria used to determine the estimates used by the Group’s management, in relation to the amounts recognized as mathematical life annuities reserves are reasonable to the Consolidated Financial Statements.</w:t>
      </w:r>
    </w:p>
    <w:p>
      <w:pPr>
        <w:spacing w:after="0" w:line="200" w:lineRule="exact"/>
        <w:rPr>
          <w:sz w:val="20"/>
          <w:szCs w:val="20"/>
          <w:color w:val="auto"/>
        </w:rPr>
      </w:pPr>
    </w:p>
    <w:p>
      <w:pPr>
        <w:sectPr>
          <w:pgSz w:w="11900" w:h="16838" w:orient="portrait"/>
          <w:cols w:equalWidth="0" w:num="2">
            <w:col w:w="5580" w:space="260"/>
            <w:col w:w="5560"/>
          </w:cols>
          <w:pgMar w:left="240" w:top="907" w:right="259" w:bottom="1440" w:gutter="0" w:footer="0" w:header="0"/>
          <w:type w:val="continuous"/>
        </w:sectPr>
      </w:pPr>
    </w:p>
    <w:p>
      <w:pPr>
        <w:spacing w:after="0" w:line="153"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- 6 -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30480</wp:posOffset>
            </wp:positionV>
            <wp:extent cx="725170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1700" cy="8255"/>
                    </a:xfrm>
                    <a:prstGeom prst="rect">
                      <a:avLst/>
                    </a:prstGeom>
                    <a:noFill/>
                  </pic:spPr>
                </pic:pic>
              </a:graphicData>
            </a:graphic>
          </wp:anchor>
        </w:drawing>
      </w:r>
    </w:p>
    <w:p>
      <w:pPr>
        <w:sectPr>
          <w:pgSz w:w="11900" w:h="16838" w:orient="portrait"/>
          <w:cols w:equalWidth="0" w:num="1">
            <w:col w:w="11400"/>
          </w:cols>
          <w:pgMar w:left="240" w:top="907" w:right="259" w:bottom="1440" w:gutter="0" w:footer="0" w:header="0"/>
          <w:type w:val="continuous"/>
        </w:sectPr>
      </w:pPr>
    </w:p>
    <w:bookmarkStart w:id="11" w:name="page12"/>
    <w:bookmarkEnd w:id="11"/>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154940</wp:posOffset>
            </wp:positionH>
            <wp:positionV relativeFrom="page">
              <wp:posOffset>567690</wp:posOffset>
            </wp:positionV>
            <wp:extent cx="725170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1700" cy="8255"/>
                    </a:xfrm>
                    <a:prstGeom prst="rect">
                      <a:avLst/>
                    </a:prstGeom>
                    <a:noFill/>
                  </pic:spPr>
                </pic:pic>
              </a:graphicData>
            </a:graphic>
          </wp:anchor>
        </w:drawing>
        <w:t>Responsibilities of management and those charged with Corporate Governance for the consolidated financial statements</w:t>
      </w:r>
    </w:p>
    <w:p>
      <w:pPr>
        <w:spacing w:after="0" w:line="226" w:lineRule="exact"/>
        <w:rPr>
          <w:sz w:val="20"/>
          <w:szCs w:val="20"/>
          <w:color w:val="auto"/>
        </w:rPr>
      </w:pPr>
    </w:p>
    <w:p>
      <w:pPr>
        <w:ind w:right="80"/>
        <w:spacing w:after="0" w:line="294" w:lineRule="auto"/>
        <w:rPr>
          <w:sz w:val="20"/>
          <w:szCs w:val="20"/>
          <w:color w:val="auto"/>
        </w:rPr>
      </w:pPr>
      <w:r>
        <w:rPr>
          <w:rFonts w:ascii="Arial" w:cs="Arial" w:eastAsia="Arial" w:hAnsi="Arial"/>
          <w:sz w:val="16"/>
          <w:szCs w:val="16"/>
          <w:color w:val="auto"/>
        </w:rPr>
        <w:t>Management is responsible for the preparation and fair presentation of the consolidated financial statements in accordance with the International Financial Reporting Standards (IFRS) issued by the International Accounting Standards Board (IASB), and for such internal control as management determines is necessary to enable the preparation of consolidated financial statements that are free from material misstatement, whether due to fraud or error.</w:t>
      </w:r>
    </w:p>
    <w:p>
      <w:pPr>
        <w:spacing w:after="0" w:line="155"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In preparing the consolidated financial statements, management is responsible for assessing the Group’s ability to continue as a going concern, disclosing, as applicable, the matters related to the going concern and using the going concern basis of accounting, unless management either intends to liquidate the Group or to cease operations or has no realistic alternative but to do so.</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color w:val="auto"/>
        </w:rPr>
        <w:t>Those charge with the Corporate Governance of Credicorp Ltd. and its subsidiaries are responsible for overseeing the Group’s financial reporting process.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154940</wp:posOffset>
            </wp:positionV>
            <wp:extent cx="725170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1700" cy="8255"/>
                    </a:xfrm>
                    <a:prstGeom prst="rect">
                      <a:avLst/>
                    </a:prstGeom>
                    <a:noFill/>
                  </pic:spPr>
                </pic:pic>
              </a:graphicData>
            </a:graphic>
          </wp:anchor>
        </w:drawing>
      </w:r>
    </w:p>
    <w:p>
      <w:pPr>
        <w:spacing w:after="0" w:line="24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Auditor’s responsibilities for the audit of the consolidated financial statements</w:t>
      </w:r>
    </w:p>
    <w:p>
      <w:pPr>
        <w:spacing w:after="0" w:line="226" w:lineRule="exact"/>
        <w:rPr>
          <w:sz w:val="20"/>
          <w:szCs w:val="20"/>
          <w:color w:val="auto"/>
        </w:rPr>
      </w:pPr>
    </w:p>
    <w:p>
      <w:pPr>
        <w:ind w:right="60"/>
        <w:spacing w:after="0" w:line="262" w:lineRule="auto"/>
        <w:rPr>
          <w:sz w:val="20"/>
          <w:szCs w:val="20"/>
          <w:color w:val="auto"/>
        </w:rPr>
      </w:pPr>
      <w:r>
        <w:rPr>
          <w:rFonts w:ascii="Arial" w:cs="Arial" w:eastAsia="Arial" w:hAnsi="Arial"/>
          <w:sz w:val="17"/>
          <w:szCs w:val="17"/>
          <w:color w:val="auto"/>
        </w:rPr>
        <w:t>Our objectives are to obtain reasonable assurance about whether the consolidated financial statements as a whole are free from material misstatement, whether due to fraud or error, and to issue an auditor’s report that includes our opinion. Reasonable assurance is a high level of assurance, but is not a guarantee that an audit conducted in accordance with International Auditing Standards will always detect a material misstatement, when it exist. Misstatements can arise from fraud or error and are considered material if, individually or in the aggregate, they could reasonably be expected to influence the economic decisions of users taken on the basis of these consolidated financial statements.</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color w:val="auto"/>
        </w:rPr>
        <w:t>As part of an audit in accordance with ISAs, we exercise professional judgment and maintain professional skepticism throughout the audit. We also:</w:t>
      </w:r>
    </w:p>
    <w:p>
      <w:pPr>
        <w:spacing w:after="0" w:line="220" w:lineRule="exact"/>
        <w:rPr>
          <w:sz w:val="20"/>
          <w:szCs w:val="20"/>
          <w:color w:val="auto"/>
        </w:rPr>
      </w:pPr>
    </w:p>
    <w:p>
      <w:pPr>
        <w:ind w:left="280" w:right="140" w:hanging="276"/>
        <w:spacing w:after="0" w:line="265" w:lineRule="auto"/>
        <w:tabs>
          <w:tab w:leader="none" w:pos="280" w:val="left"/>
        </w:tabs>
        <w:numPr>
          <w:ilvl w:val="0"/>
          <w:numId w:val="5"/>
        </w:numPr>
        <w:rPr>
          <w:rFonts w:ascii="Arial" w:cs="Arial" w:eastAsia="Arial" w:hAnsi="Arial"/>
          <w:sz w:val="17"/>
          <w:szCs w:val="17"/>
          <w:color w:val="auto"/>
        </w:rPr>
      </w:pPr>
      <w:r>
        <w:rPr>
          <w:rFonts w:ascii="Arial" w:cs="Arial" w:eastAsia="Arial" w:hAnsi="Arial"/>
          <w:sz w:val="17"/>
          <w:szCs w:val="17"/>
          <w:color w:val="auto"/>
        </w:rPr>
        <w:t>Identify and assess the risks of material misstatement of the consolidated financial statements, whether due to fraud or error, design and perform audit procedures responsive to those risks, and obtain audit evidence that is sufficient and appropriate to provide a basis for our opinion. The risk of not detecting a material misstatement resulting from fraud is higher than for one resulting from error, as fraud may involve collusion, forgery, intentional omissions, misrepresentations, or the override of internal control.</w:t>
      </w:r>
    </w:p>
    <w:p>
      <w:pPr>
        <w:spacing w:after="0" w:line="202" w:lineRule="exact"/>
        <w:rPr>
          <w:rFonts w:ascii="Arial" w:cs="Arial" w:eastAsia="Arial" w:hAnsi="Arial"/>
          <w:sz w:val="17"/>
          <w:szCs w:val="17"/>
          <w:color w:val="auto"/>
        </w:rPr>
      </w:pPr>
    </w:p>
    <w:p>
      <w:pPr>
        <w:ind w:left="280" w:right="260" w:hanging="276"/>
        <w:spacing w:after="0" w:line="285" w:lineRule="auto"/>
        <w:tabs>
          <w:tab w:leader="none" w:pos="280" w:val="left"/>
        </w:tabs>
        <w:numPr>
          <w:ilvl w:val="0"/>
          <w:numId w:val="5"/>
        </w:numPr>
        <w:rPr>
          <w:rFonts w:ascii="Arial" w:cs="Arial" w:eastAsia="Arial" w:hAnsi="Arial"/>
          <w:sz w:val="17"/>
          <w:szCs w:val="17"/>
          <w:color w:val="auto"/>
        </w:rPr>
      </w:pPr>
      <w:r>
        <w:rPr>
          <w:rFonts w:ascii="Arial" w:cs="Arial" w:eastAsia="Arial" w:hAnsi="Arial"/>
          <w:sz w:val="17"/>
          <w:szCs w:val="17"/>
          <w:color w:val="auto"/>
        </w:rPr>
        <w:t>Obtain an understanding of internal control relevant to the audit in order to design audit procedures that are appropriate in the circumstances, but not for the purpose of expressing an opinion on the effectiveness of the Credicorp Ltd. and its subsidiaries’ internal control.</w:t>
      </w:r>
    </w:p>
    <w:p>
      <w:pPr>
        <w:spacing w:after="0" w:line="185" w:lineRule="exact"/>
        <w:rPr>
          <w:rFonts w:ascii="Arial" w:cs="Arial" w:eastAsia="Arial" w:hAnsi="Arial"/>
          <w:sz w:val="17"/>
          <w:szCs w:val="17"/>
          <w:color w:val="auto"/>
        </w:rPr>
      </w:pPr>
    </w:p>
    <w:p>
      <w:pPr>
        <w:ind w:left="280" w:hanging="276"/>
        <w:spacing w:after="0"/>
        <w:tabs>
          <w:tab w:leader="none" w:pos="280" w:val="left"/>
        </w:tabs>
        <w:numPr>
          <w:ilvl w:val="0"/>
          <w:numId w:val="5"/>
        </w:numPr>
        <w:rPr>
          <w:rFonts w:ascii="Arial" w:cs="Arial" w:eastAsia="Arial" w:hAnsi="Arial"/>
          <w:sz w:val="16"/>
          <w:szCs w:val="16"/>
          <w:color w:val="auto"/>
        </w:rPr>
      </w:pPr>
      <w:r>
        <w:rPr>
          <w:rFonts w:ascii="Arial" w:cs="Arial" w:eastAsia="Arial" w:hAnsi="Arial"/>
          <w:sz w:val="16"/>
          <w:szCs w:val="16"/>
          <w:color w:val="auto"/>
        </w:rPr>
        <w:t>Evaluate the appropriateness of accounting policies used and the reasonableness of accounting estimates and related disclosures made by management.</w:t>
      </w:r>
    </w:p>
    <w:p>
      <w:pPr>
        <w:spacing w:after="0" w:line="257" w:lineRule="exact"/>
        <w:rPr>
          <w:rFonts w:ascii="Arial" w:cs="Arial" w:eastAsia="Arial" w:hAnsi="Arial"/>
          <w:sz w:val="16"/>
          <w:szCs w:val="16"/>
          <w:color w:val="auto"/>
        </w:rPr>
      </w:pPr>
    </w:p>
    <w:p>
      <w:pPr>
        <w:ind w:left="280" w:hanging="276"/>
        <w:spacing w:after="0" w:line="261" w:lineRule="auto"/>
        <w:tabs>
          <w:tab w:leader="none" w:pos="280" w:val="left"/>
        </w:tabs>
        <w:numPr>
          <w:ilvl w:val="0"/>
          <w:numId w:val="5"/>
        </w:numPr>
        <w:rPr>
          <w:rFonts w:ascii="Arial" w:cs="Arial" w:eastAsia="Arial" w:hAnsi="Arial"/>
          <w:sz w:val="17"/>
          <w:szCs w:val="17"/>
          <w:color w:val="auto"/>
        </w:rPr>
      </w:pPr>
      <w:r>
        <w:rPr>
          <w:rFonts w:ascii="Arial" w:cs="Arial" w:eastAsia="Arial" w:hAnsi="Arial"/>
          <w:sz w:val="17"/>
          <w:szCs w:val="17"/>
          <w:color w:val="auto"/>
        </w:rPr>
        <w:t>Conclude on the appropriateness of management’s use of the going concern basis of accounting and, based on the audit evidence obtained, nothing come to our attention about a material uncertainty exists related to events or conditions that may cast significant doubt on the Credicorp Ltd. and its subsidiaries’ ability to continue as a going concern. If we conclude that a material uncertainty exists, we are required to draw attention in our auditor’s report to the related disclosures in the consolidated financial statements or, if such disclosures are inadequate, to modify our opinion. Our conclusions are based on the audit evidence obtained up to the date of our auditor’s report. However, future events or conditions may cause the Credicorp Ltd. and its subsidiaries to cease to continue as a going concern.</w:t>
      </w:r>
    </w:p>
    <w:p>
      <w:pPr>
        <w:spacing w:after="0" w:line="387" w:lineRule="exact"/>
        <w:rPr>
          <w:rFonts w:ascii="Arial" w:cs="Arial" w:eastAsia="Arial" w:hAnsi="Arial"/>
          <w:sz w:val="17"/>
          <w:szCs w:val="17"/>
          <w:color w:val="auto"/>
        </w:rPr>
      </w:pPr>
    </w:p>
    <w:p>
      <w:pPr>
        <w:ind w:left="5680" w:hanging="104"/>
        <w:spacing w:after="0"/>
        <w:tabs>
          <w:tab w:leader="none" w:pos="5680" w:val="left"/>
        </w:tabs>
        <w:numPr>
          <w:ilvl w:val="1"/>
          <w:numId w:val="5"/>
        </w:numPr>
        <w:rPr>
          <w:rFonts w:ascii="Arial" w:cs="Arial" w:eastAsia="Arial" w:hAnsi="Arial"/>
          <w:sz w:val="17"/>
          <w:szCs w:val="17"/>
          <w:color w:val="auto"/>
        </w:rPr>
      </w:pPr>
      <w:r>
        <w:rPr>
          <w:rFonts w:ascii="Arial" w:cs="Arial" w:eastAsia="Arial" w:hAnsi="Arial"/>
          <w:sz w:val="17"/>
          <w:szCs w:val="17"/>
          <w:color w:val="auto"/>
        </w:rPr>
        <w:t>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15875</wp:posOffset>
            </wp:positionV>
            <wp:extent cx="725170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1700" cy="8255"/>
                    </a:xfrm>
                    <a:prstGeom prst="rect">
                      <a:avLst/>
                    </a:prstGeom>
                    <a:noFill/>
                  </pic:spPr>
                </pic:pic>
              </a:graphicData>
            </a:graphic>
          </wp:anchor>
        </w:drawing>
      </w:r>
    </w:p>
    <w:p>
      <w:pPr>
        <w:sectPr>
          <w:pgSz w:w="11900" w:h="16838" w:orient="portrait"/>
          <w:cols w:equalWidth="0" w:num="1">
            <w:col w:w="11340"/>
          </w:cols>
          <w:pgMar w:left="240" w:top="901" w:right="319" w:bottom="1440" w:gutter="0" w:footer="0" w:header="0"/>
        </w:sectPr>
      </w:pPr>
    </w:p>
    <w:bookmarkStart w:id="12" w:name="page13"/>
    <w:bookmarkEnd w:id="12"/>
    <w:p>
      <w:pPr>
        <w:ind w:left="280" w:right="600" w:hanging="276"/>
        <w:spacing w:after="0" w:line="285" w:lineRule="auto"/>
        <w:tabs>
          <w:tab w:leader="none" w:pos="280" w:val="left"/>
        </w:tabs>
        <w:numPr>
          <w:ilvl w:val="0"/>
          <w:numId w:val="6"/>
        </w:numPr>
        <w:rPr>
          <w:rFonts w:ascii="Arial" w:cs="Arial" w:eastAsia="Arial" w:hAnsi="Arial"/>
          <w:sz w:val="17"/>
          <w:szCs w:val="17"/>
          <w:color w:val="auto"/>
        </w:rPr>
      </w:pPr>
      <w:r>
        <w:rPr>
          <w:rFonts w:ascii="Arial" w:cs="Arial" w:eastAsia="Arial" w:hAnsi="Arial"/>
          <w:sz w:val="17"/>
          <w:szCs w:val="17"/>
          <w:color w:val="auto"/>
        </w:rPr>
        <w:t>Evaluate the overall presentation, structure and content of the consolidated financial statements, including the disclosures, and whether the consolidated financial statements represent the underlying transactions and events in a manner that achieves fair presentation.</w:t>
      </w:r>
    </w:p>
    <w:p>
      <w:pPr>
        <w:spacing w:after="0" w:line="185" w:lineRule="exact"/>
        <w:rPr>
          <w:rFonts w:ascii="Arial" w:cs="Arial" w:eastAsia="Arial" w:hAnsi="Arial"/>
          <w:sz w:val="17"/>
          <w:szCs w:val="17"/>
          <w:color w:val="auto"/>
        </w:rPr>
      </w:pPr>
    </w:p>
    <w:p>
      <w:pPr>
        <w:jc w:val="both"/>
        <w:ind w:left="280" w:right="160" w:hanging="276"/>
        <w:spacing w:after="0" w:line="270" w:lineRule="auto"/>
        <w:tabs>
          <w:tab w:leader="none" w:pos="280" w:val="left"/>
        </w:tabs>
        <w:numPr>
          <w:ilvl w:val="0"/>
          <w:numId w:val="6"/>
        </w:numPr>
        <w:rPr>
          <w:rFonts w:ascii="Arial" w:cs="Arial" w:eastAsia="Arial" w:hAnsi="Arial"/>
          <w:sz w:val="17"/>
          <w:szCs w:val="17"/>
          <w:color w:val="auto"/>
        </w:rPr>
      </w:pPr>
      <w:r>
        <w:rPr>
          <w:rFonts w:ascii="Arial" w:cs="Arial" w:eastAsia="Arial" w:hAnsi="Arial"/>
          <w:sz w:val="17"/>
          <w:szCs w:val="17"/>
          <w:color w:val="auto"/>
        </w:rPr>
        <w:t>Obtain sufficient appropriate audit evidence regarding the financial information of the entities or business activities within the Group to express an opinion on the consolidated financial statements. We are responsible for the direction, supervision and performance of the Group audit. We remain solely responsible for our audit opinion.</w:t>
      </w:r>
    </w:p>
    <w:p>
      <w:pPr>
        <w:spacing w:after="0" w:line="172" w:lineRule="exact"/>
        <w:rPr>
          <w:sz w:val="20"/>
          <w:szCs w:val="20"/>
          <w:color w:val="auto"/>
        </w:rPr>
      </w:pPr>
    </w:p>
    <w:p>
      <w:pPr>
        <w:ind w:right="180"/>
        <w:spacing w:after="0" w:line="285" w:lineRule="auto"/>
        <w:rPr>
          <w:sz w:val="20"/>
          <w:szCs w:val="20"/>
          <w:color w:val="auto"/>
        </w:rPr>
      </w:pPr>
      <w:r>
        <w:rPr>
          <w:rFonts w:ascii="Arial" w:cs="Arial" w:eastAsia="Arial" w:hAnsi="Arial"/>
          <w:sz w:val="17"/>
          <w:szCs w:val="17"/>
          <w:color w:val="auto"/>
        </w:rPr>
        <w:t>We communicated with those charged with Corporate Governance regarding, among other matters, the planned scope and timing of the audit and significant audit findings, including any significant deficiencies in internal control that we identified during our audit.</w:t>
      </w:r>
    </w:p>
    <w:p>
      <w:pPr>
        <w:spacing w:after="0" w:line="15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also provided those charged with Corporate Governance with a statement that we have complied with relevant ethical requirements regarding independence, and we have communicated to them all relationships and other matters that may reasonably be thought to bear on our independence, and where applicable, including the respective safeguards.</w:t>
      </w:r>
    </w:p>
    <w:p>
      <w:pPr>
        <w:spacing w:after="0" w:line="172" w:lineRule="exact"/>
        <w:rPr>
          <w:sz w:val="20"/>
          <w:szCs w:val="20"/>
          <w:color w:val="auto"/>
        </w:rPr>
      </w:pPr>
    </w:p>
    <w:p>
      <w:pPr>
        <w:ind w:right="60"/>
        <w:spacing w:after="0" w:line="311" w:lineRule="auto"/>
        <w:rPr>
          <w:sz w:val="20"/>
          <w:szCs w:val="20"/>
          <w:color w:val="auto"/>
        </w:rPr>
      </w:pPr>
      <w:r>
        <w:rPr>
          <w:rFonts w:ascii="Arial" w:cs="Arial" w:eastAsia="Arial" w:hAnsi="Arial"/>
          <w:sz w:val="15"/>
          <w:szCs w:val="15"/>
          <w:color w:val="auto"/>
        </w:rPr>
        <w:t>From the matters communicated with those charged with Corporate Governance, we determined those matters that were of most significance in the audit of the consolidated financial statements of the current period and are therefore the key audit matters. We have described these matters in our auditor’s report unless law or regulation precludes public disclosure about the matter or when, in extremely rare circumstances, we determine that a matter should not be communicated in our report because the adverse consequences of doing so would reasonably be expected to outweigh the public interest benefits of such communication.</w:t>
      </w:r>
    </w:p>
    <w:p>
      <w:pPr>
        <w:spacing w:after="0" w:line="145" w:lineRule="exact"/>
        <w:rPr>
          <w:sz w:val="20"/>
          <w:szCs w:val="20"/>
          <w:color w:val="auto"/>
        </w:rPr>
      </w:pPr>
    </w:p>
    <w:p>
      <w:pPr>
        <w:spacing w:after="0"/>
        <w:rPr>
          <w:sz w:val="20"/>
          <w:szCs w:val="20"/>
          <w:color w:val="auto"/>
        </w:rPr>
      </w:pPr>
      <w:r>
        <w:rPr>
          <w:rFonts w:ascii="Arial" w:cs="Arial" w:eastAsia="Arial" w:hAnsi="Arial"/>
          <w:sz w:val="17"/>
          <w:szCs w:val="17"/>
          <w:color w:val="auto"/>
        </w:rPr>
        <w:t>Lima, Peru</w:t>
      </w:r>
    </w:p>
    <w:p>
      <w:pPr>
        <w:spacing w:after="0" w:line="25" w:lineRule="exact"/>
        <w:rPr>
          <w:sz w:val="20"/>
          <w:szCs w:val="20"/>
          <w:color w:val="auto"/>
        </w:rPr>
      </w:pPr>
    </w:p>
    <w:p>
      <w:pPr>
        <w:spacing w:after="0"/>
        <w:rPr>
          <w:sz w:val="20"/>
          <w:szCs w:val="20"/>
          <w:color w:val="auto"/>
        </w:rPr>
      </w:pPr>
      <w:r>
        <w:rPr>
          <w:rFonts w:ascii="Arial" w:cs="Arial" w:eastAsia="Arial" w:hAnsi="Arial"/>
          <w:sz w:val="17"/>
          <w:szCs w:val="17"/>
          <w:color w:val="auto"/>
        </w:rPr>
        <w:t>February 28, 2018</w:t>
      </w:r>
    </w:p>
    <w:p>
      <w:pPr>
        <w:spacing w:after="0" w:line="12" w:lineRule="exact"/>
        <w:rPr>
          <w:sz w:val="20"/>
          <w:szCs w:val="20"/>
          <w:color w:val="auto"/>
        </w:rPr>
      </w:pPr>
    </w:p>
    <w:p>
      <w:pPr>
        <w:spacing w:after="0"/>
        <w:rPr>
          <w:sz w:val="20"/>
          <w:szCs w:val="20"/>
          <w:color w:val="auto"/>
        </w:rPr>
      </w:pPr>
      <w:r>
        <w:rPr>
          <w:rFonts w:ascii="Arial" w:cs="Arial" w:eastAsia="Arial" w:hAnsi="Arial"/>
          <w:sz w:val="17"/>
          <w:szCs w:val="17"/>
          <w:color w:val="auto"/>
        </w:rPr>
        <w:t>/S/ Gaveglio, Aparicio y Asociados S.C.R.L.</w:t>
      </w:r>
    </w:p>
    <w:p>
      <w:pPr>
        <w:spacing w:after="0" w:line="208" w:lineRule="exact"/>
        <w:rPr>
          <w:sz w:val="20"/>
          <w:szCs w:val="20"/>
          <w:color w:val="auto"/>
        </w:rPr>
      </w:pPr>
    </w:p>
    <w:p>
      <w:pPr>
        <w:spacing w:after="0"/>
        <w:rPr>
          <w:sz w:val="20"/>
          <w:szCs w:val="20"/>
          <w:color w:val="auto"/>
        </w:rPr>
      </w:pPr>
      <w:r>
        <w:rPr>
          <w:rFonts w:ascii="Arial" w:cs="Arial" w:eastAsia="Arial" w:hAnsi="Arial"/>
          <w:sz w:val="17"/>
          <w:szCs w:val="17"/>
          <w:color w:val="auto"/>
        </w:rPr>
        <w:t>Countersigned by</w:t>
      </w:r>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color w:val="auto"/>
        </w:rPr>
        <w:t>——————————————————(partner)</w:t>
      </w:r>
    </w:p>
    <w:p>
      <w:pPr>
        <w:spacing w:after="0" w:line="25" w:lineRule="exact"/>
        <w:rPr>
          <w:sz w:val="20"/>
          <w:szCs w:val="20"/>
          <w:color w:val="auto"/>
        </w:rPr>
      </w:pPr>
    </w:p>
    <w:p>
      <w:pPr>
        <w:spacing w:after="0"/>
        <w:rPr>
          <w:sz w:val="20"/>
          <w:szCs w:val="20"/>
          <w:color w:val="auto"/>
        </w:rPr>
      </w:pPr>
      <w:r>
        <w:rPr>
          <w:rFonts w:ascii="Arial" w:cs="Arial" w:eastAsia="Arial" w:hAnsi="Arial"/>
          <w:sz w:val="17"/>
          <w:szCs w:val="17"/>
          <w:color w:val="auto"/>
        </w:rPr>
        <w:t>/S/ Fernando Gaveglio</w:t>
      </w:r>
    </w:p>
    <w:p>
      <w:pPr>
        <w:spacing w:after="0" w:line="12" w:lineRule="exact"/>
        <w:rPr>
          <w:sz w:val="20"/>
          <w:szCs w:val="20"/>
          <w:color w:val="auto"/>
        </w:rPr>
      </w:pPr>
    </w:p>
    <w:p>
      <w:pPr>
        <w:spacing w:after="0"/>
        <w:rPr>
          <w:sz w:val="20"/>
          <w:szCs w:val="20"/>
          <w:color w:val="auto"/>
        </w:rPr>
      </w:pPr>
      <w:r>
        <w:rPr>
          <w:rFonts w:ascii="Arial" w:cs="Arial" w:eastAsia="Arial" w:hAnsi="Arial"/>
          <w:sz w:val="17"/>
          <w:szCs w:val="17"/>
          <w:color w:val="auto"/>
        </w:rPr>
        <w:t>Peruvian Certified Public Accountant</w:t>
      </w:r>
    </w:p>
    <w:p>
      <w:pPr>
        <w:spacing w:after="0" w:line="12" w:lineRule="exact"/>
        <w:rPr>
          <w:sz w:val="20"/>
          <w:szCs w:val="20"/>
          <w:color w:val="auto"/>
        </w:rPr>
      </w:pPr>
    </w:p>
    <w:p>
      <w:pPr>
        <w:spacing w:after="0"/>
        <w:rPr>
          <w:sz w:val="20"/>
          <w:szCs w:val="20"/>
          <w:color w:val="auto"/>
        </w:rPr>
      </w:pPr>
      <w:r>
        <w:rPr>
          <w:rFonts w:ascii="Arial" w:cs="Arial" w:eastAsia="Arial" w:hAnsi="Arial"/>
          <w:sz w:val="17"/>
          <w:szCs w:val="17"/>
          <w:color w:val="auto"/>
        </w:rPr>
        <w:t>Registration No.01-019847</w:t>
      </w:r>
    </w:p>
    <w:p>
      <w:pPr>
        <w:spacing w:after="0" w:line="200" w:lineRule="exact"/>
        <w:rPr>
          <w:sz w:val="20"/>
          <w:szCs w:val="20"/>
          <w:color w:val="auto"/>
        </w:rPr>
      </w:pPr>
    </w:p>
    <w:p>
      <w:pPr>
        <w:spacing w:after="0" w:line="21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- 8 -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15875</wp:posOffset>
            </wp:positionV>
            <wp:extent cx="725170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1700" cy="8255"/>
                    </a:xfrm>
                    <a:prstGeom prst="rect">
                      <a:avLst/>
                    </a:prstGeom>
                    <a:noFill/>
                  </pic:spPr>
                </pic:pic>
              </a:graphicData>
            </a:graphic>
          </wp:anchor>
        </w:drawing>
      </w:r>
    </w:p>
    <w:p>
      <w:pPr>
        <w:sectPr>
          <w:pgSz w:w="11900" w:h="16838" w:orient="portrait"/>
          <w:cols w:equalWidth="0" w:num="1">
            <w:col w:w="11400"/>
          </w:cols>
          <w:pgMar w:left="240" w:top="881" w:right="259" w:bottom="1440" w:gutter="0" w:footer="0" w:header="0"/>
        </w:sectPr>
      </w:pPr>
    </w:p>
    <w:bookmarkStart w:id="13" w:name="page14"/>
    <w:bookmarkEnd w:id="13"/>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6440" w:type="dxa"/>
            <w:vAlign w:val="bottom"/>
          </w:tcPr>
          <w:p>
            <w:pPr>
              <w:spacing w:after="0"/>
              <w:rPr>
                <w:sz w:val="20"/>
                <w:szCs w:val="20"/>
                <w:color w:val="auto"/>
              </w:rPr>
            </w:pPr>
            <w:r>
              <w:rPr>
                <w:rFonts w:ascii="Arial" w:cs="Arial" w:eastAsia="Arial" w:hAnsi="Arial"/>
                <w:sz w:val="17"/>
                <w:szCs w:val="17"/>
                <w:b w:val="1"/>
                <w:bCs w:val="1"/>
                <w:color w:val="auto"/>
              </w:rPr>
              <w:t>CREDICORP LTD. AND SUBSIDIARIES</w:t>
            </w:r>
          </w:p>
        </w:tc>
        <w:tc>
          <w:tcPr>
            <w:tcW w:w="21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397"/>
        </w:trPr>
        <w:tc>
          <w:tcPr>
            <w:tcW w:w="6440" w:type="dxa"/>
            <w:vAlign w:val="bottom"/>
          </w:tcPr>
          <w:p>
            <w:pPr>
              <w:spacing w:after="0"/>
              <w:rPr>
                <w:sz w:val="20"/>
                <w:szCs w:val="20"/>
                <w:color w:val="auto"/>
              </w:rPr>
            </w:pPr>
            <w:r>
              <w:rPr>
                <w:rFonts w:ascii="Arial" w:cs="Arial" w:eastAsia="Arial" w:hAnsi="Arial"/>
                <w:sz w:val="17"/>
                <w:szCs w:val="17"/>
                <w:b w:val="1"/>
                <w:bCs w:val="1"/>
                <w:color w:val="auto"/>
              </w:rPr>
              <w:t>CONSOLIDATED STATEMENT OF FINANCIAL POSITION</w:t>
            </w:r>
          </w:p>
        </w:tc>
        <w:tc>
          <w:tcPr>
            <w:tcW w:w="2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26"/>
        </w:trPr>
        <w:tc>
          <w:tcPr>
            <w:tcW w:w="6440" w:type="dxa"/>
            <w:vAlign w:val="bottom"/>
          </w:tcPr>
          <w:p>
            <w:pPr>
              <w:spacing w:after="0"/>
              <w:rPr>
                <w:sz w:val="20"/>
                <w:szCs w:val="20"/>
                <w:color w:val="auto"/>
              </w:rPr>
            </w:pPr>
            <w:r>
              <w:rPr>
                <w:rFonts w:ascii="Arial" w:cs="Arial" w:eastAsia="Arial" w:hAnsi="Arial"/>
                <w:sz w:val="17"/>
                <w:szCs w:val="17"/>
                <w:b w:val="1"/>
                <w:bCs w:val="1"/>
                <w:color w:val="auto"/>
              </w:rPr>
              <w:t>AT DECEMBER 31, 2017 AND 2016</w:t>
            </w:r>
          </w:p>
        </w:tc>
        <w:tc>
          <w:tcPr>
            <w:tcW w:w="21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429"/>
        </w:trPr>
        <w:tc>
          <w:tcPr>
            <w:tcW w:w="6440" w:type="dxa"/>
            <w:vAlign w:val="bottom"/>
          </w:tcPr>
          <w:p>
            <w:pPr>
              <w:spacing w:after="0"/>
              <w:rPr>
                <w:sz w:val="24"/>
                <w:szCs w:val="24"/>
                <w:color w:val="auto"/>
              </w:rPr>
            </w:pPr>
          </w:p>
        </w:tc>
        <w:tc>
          <w:tcPr>
            <w:tcW w:w="2160" w:type="dxa"/>
            <w:vAlign w:val="bottom"/>
          </w:tcPr>
          <w:p>
            <w:pPr>
              <w:ind w:left="1400"/>
              <w:spacing w:after="0"/>
              <w:rPr>
                <w:sz w:val="20"/>
                <w:szCs w:val="20"/>
                <w:color w:val="auto"/>
              </w:rPr>
            </w:pPr>
            <w:r>
              <w:rPr>
                <w:rFonts w:ascii="Arial" w:cs="Arial" w:eastAsia="Arial" w:hAnsi="Arial"/>
                <w:sz w:val="17"/>
                <w:szCs w:val="17"/>
                <w:b w:val="1"/>
                <w:bCs w:val="1"/>
                <w:color w:val="auto"/>
              </w:rPr>
              <w:t>Note</w:t>
            </w:r>
          </w:p>
        </w:tc>
        <w:tc>
          <w:tcPr>
            <w:tcW w:w="1260" w:type="dxa"/>
            <w:vAlign w:val="bottom"/>
            <w:tcBorders>
              <w:bottom w:val="single" w:sz="8" w:color="auto"/>
            </w:tcBorders>
          </w:tcPr>
          <w:p>
            <w:pPr>
              <w:jc w:val="right"/>
              <w:ind w:right="373"/>
              <w:spacing w:after="0"/>
              <w:rPr>
                <w:sz w:val="20"/>
                <w:szCs w:val="20"/>
                <w:color w:val="auto"/>
              </w:rPr>
            </w:pPr>
            <w:r>
              <w:rPr>
                <w:rFonts w:ascii="Arial" w:cs="Arial" w:eastAsia="Arial" w:hAnsi="Arial"/>
                <w:sz w:val="17"/>
                <w:szCs w:val="17"/>
                <w:b w:val="1"/>
                <w:bCs w:val="1"/>
                <w:color w:val="auto"/>
              </w:rPr>
              <w:t>2017</w:t>
            </w:r>
          </w:p>
        </w:tc>
        <w:tc>
          <w:tcPr>
            <w:tcW w:w="220" w:type="dxa"/>
            <w:vAlign w:val="bottom"/>
          </w:tcPr>
          <w:p>
            <w:pPr>
              <w:spacing w:after="0"/>
              <w:rPr>
                <w:sz w:val="24"/>
                <w:szCs w:val="24"/>
                <w:color w:val="auto"/>
              </w:rPr>
            </w:pPr>
          </w:p>
        </w:tc>
        <w:tc>
          <w:tcPr>
            <w:tcW w:w="1240" w:type="dxa"/>
            <w:vAlign w:val="bottom"/>
            <w:tcBorders>
              <w:bottom w:val="single" w:sz="8" w:color="auto"/>
            </w:tcBorders>
          </w:tcPr>
          <w:p>
            <w:pPr>
              <w:jc w:val="right"/>
              <w:ind w:right="353"/>
              <w:spacing w:after="0"/>
              <w:rPr>
                <w:sz w:val="20"/>
                <w:szCs w:val="20"/>
                <w:color w:val="auto"/>
              </w:rPr>
            </w:pPr>
            <w:r>
              <w:rPr>
                <w:rFonts w:ascii="Arial" w:cs="Arial" w:eastAsia="Arial" w:hAnsi="Arial"/>
                <w:sz w:val="17"/>
                <w:szCs w:val="17"/>
                <w:b w:val="1"/>
                <w:bCs w:val="1"/>
                <w:color w:val="auto"/>
              </w:rPr>
              <w:t>2016</w:t>
            </w:r>
          </w:p>
        </w:tc>
        <w:tc>
          <w:tcPr>
            <w:tcW w:w="100" w:type="dxa"/>
            <w:vAlign w:val="bottom"/>
          </w:tcPr>
          <w:p>
            <w:pPr>
              <w:spacing w:after="0"/>
              <w:rPr>
                <w:sz w:val="24"/>
                <w:szCs w:val="24"/>
                <w:color w:val="auto"/>
              </w:rPr>
            </w:pPr>
          </w:p>
        </w:tc>
      </w:tr>
      <w:tr>
        <w:trPr>
          <w:trHeight w:val="201"/>
        </w:trPr>
        <w:tc>
          <w:tcPr>
            <w:tcW w:w="644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1260" w:type="dxa"/>
            <w:vAlign w:val="bottom"/>
          </w:tcPr>
          <w:p>
            <w:pPr>
              <w:jc w:val="center"/>
              <w:spacing w:after="0"/>
              <w:rPr>
                <w:sz w:val="20"/>
                <w:szCs w:val="20"/>
                <w:color w:val="auto"/>
              </w:rPr>
            </w:pPr>
            <w:r>
              <w:rPr>
                <w:rFonts w:ascii="Arial" w:cs="Arial" w:eastAsia="Arial" w:hAnsi="Arial"/>
                <w:sz w:val="17"/>
                <w:szCs w:val="17"/>
                <w:b w:val="1"/>
                <w:bCs w:val="1"/>
                <w:color w:val="auto"/>
                <w:w w:val="93"/>
              </w:rPr>
              <w:t>S/(000)</w:t>
            </w:r>
          </w:p>
        </w:tc>
        <w:tc>
          <w:tcPr>
            <w:tcW w:w="220" w:type="dxa"/>
            <w:vAlign w:val="bottom"/>
          </w:tcPr>
          <w:p>
            <w:pPr>
              <w:spacing w:after="0"/>
              <w:rPr>
                <w:sz w:val="17"/>
                <w:szCs w:val="17"/>
                <w:color w:val="auto"/>
              </w:rPr>
            </w:pPr>
          </w:p>
        </w:tc>
        <w:tc>
          <w:tcPr>
            <w:tcW w:w="1240" w:type="dxa"/>
            <w:vAlign w:val="bottom"/>
          </w:tcPr>
          <w:p>
            <w:pPr>
              <w:jc w:val="center"/>
              <w:spacing w:after="0"/>
              <w:rPr>
                <w:sz w:val="20"/>
                <w:szCs w:val="20"/>
                <w:color w:val="auto"/>
              </w:rPr>
            </w:pPr>
            <w:r>
              <w:rPr>
                <w:rFonts w:ascii="Arial" w:cs="Arial" w:eastAsia="Arial" w:hAnsi="Arial"/>
                <w:sz w:val="17"/>
                <w:szCs w:val="17"/>
                <w:b w:val="1"/>
                <w:bCs w:val="1"/>
                <w:color w:val="auto"/>
                <w:w w:val="93"/>
              </w:rPr>
              <w:t>S/(000)</w:t>
            </w:r>
          </w:p>
        </w:tc>
        <w:tc>
          <w:tcPr>
            <w:tcW w:w="100" w:type="dxa"/>
            <w:vAlign w:val="bottom"/>
          </w:tcPr>
          <w:p>
            <w:pPr>
              <w:spacing w:after="0"/>
              <w:rPr>
                <w:sz w:val="17"/>
                <w:szCs w:val="17"/>
                <w:color w:val="auto"/>
              </w:rPr>
            </w:pPr>
          </w:p>
        </w:tc>
      </w:tr>
      <w:tr>
        <w:trPr>
          <w:trHeight w:val="208"/>
        </w:trPr>
        <w:tc>
          <w:tcPr>
            <w:tcW w:w="644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Assets</w:t>
            </w:r>
          </w:p>
        </w:tc>
        <w:tc>
          <w:tcPr>
            <w:tcW w:w="21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8"/>
        </w:trPr>
        <w:tc>
          <w:tcPr>
            <w:tcW w:w="644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8"/>
        </w:trPr>
        <w:tc>
          <w:tcPr>
            <w:tcW w:w="6440" w:type="dxa"/>
            <w:vAlign w:val="bottom"/>
            <w:shd w:val="clear" w:color="auto" w:fill="CCEEFF"/>
          </w:tcPr>
          <w:p>
            <w:pPr>
              <w:spacing w:after="0"/>
              <w:rPr>
                <w:sz w:val="20"/>
                <w:szCs w:val="20"/>
                <w:color w:val="auto"/>
              </w:rPr>
            </w:pPr>
            <w:r>
              <w:rPr>
                <w:rFonts w:ascii="Arial" w:cs="Arial" w:eastAsia="Arial" w:hAnsi="Arial"/>
                <w:sz w:val="17"/>
                <w:szCs w:val="17"/>
                <w:color w:val="auto"/>
              </w:rPr>
              <w:t>Cash and due from banks:</w:t>
            </w:r>
          </w:p>
        </w:tc>
        <w:tc>
          <w:tcPr>
            <w:tcW w:w="2160" w:type="dxa"/>
            <w:vAlign w:val="bottom"/>
            <w:shd w:val="clear" w:color="auto" w:fill="CCEEFF"/>
          </w:tcPr>
          <w:p>
            <w:pPr>
              <w:jc w:val="center"/>
              <w:ind w:left="913"/>
              <w:spacing w:after="0"/>
              <w:rPr>
                <w:sz w:val="20"/>
                <w:szCs w:val="20"/>
                <w:color w:val="auto"/>
              </w:rPr>
            </w:pPr>
            <w:r>
              <w:rPr>
                <w:rFonts w:ascii="Arial" w:cs="Arial" w:eastAsia="Arial" w:hAnsi="Arial"/>
                <w:sz w:val="17"/>
                <w:szCs w:val="17"/>
                <w:color w:val="auto"/>
                <w:w w:val="84"/>
              </w:rPr>
              <w:t>4</w:t>
            </w: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8"/>
        </w:trPr>
        <w:tc>
          <w:tcPr>
            <w:tcW w:w="6440" w:type="dxa"/>
            <w:vAlign w:val="bottom"/>
          </w:tcPr>
          <w:p>
            <w:pPr>
              <w:ind w:left="180"/>
              <w:spacing w:after="0"/>
              <w:rPr>
                <w:sz w:val="20"/>
                <w:szCs w:val="20"/>
                <w:color w:val="auto"/>
              </w:rPr>
            </w:pPr>
            <w:r>
              <w:rPr>
                <w:rFonts w:ascii="Arial" w:cs="Arial" w:eastAsia="Arial" w:hAnsi="Arial"/>
                <w:sz w:val="17"/>
                <w:szCs w:val="17"/>
                <w:color w:val="auto"/>
              </w:rPr>
              <w:t>Non-interest-bearing</w:t>
            </w:r>
          </w:p>
        </w:tc>
        <w:tc>
          <w:tcPr>
            <w:tcW w:w="21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6,019,776</w:t>
            </w:r>
          </w:p>
        </w:tc>
        <w:tc>
          <w:tcPr>
            <w:tcW w:w="22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7"/>
                <w:szCs w:val="17"/>
                <w:color w:val="auto"/>
              </w:rPr>
              <w:t>5,568,657</w:t>
            </w:r>
          </w:p>
        </w:tc>
      </w:tr>
      <w:tr>
        <w:trPr>
          <w:trHeight w:val="221"/>
        </w:trPr>
        <w:tc>
          <w:tcPr>
            <w:tcW w:w="6440" w:type="dxa"/>
            <w:vAlign w:val="bottom"/>
            <w:shd w:val="clear" w:color="auto" w:fill="CCEEFF"/>
          </w:tcPr>
          <w:p>
            <w:pPr>
              <w:ind w:left="180"/>
              <w:spacing w:after="0"/>
              <w:rPr>
                <w:sz w:val="20"/>
                <w:szCs w:val="20"/>
                <w:color w:val="auto"/>
              </w:rPr>
            </w:pPr>
            <w:r>
              <w:rPr>
                <w:rFonts w:ascii="Arial" w:cs="Arial" w:eastAsia="Arial" w:hAnsi="Arial"/>
                <w:sz w:val="17"/>
                <w:szCs w:val="17"/>
                <w:color w:val="auto"/>
              </w:rPr>
              <w:t>Interest-bearing</w:t>
            </w:r>
          </w:p>
        </w:tc>
        <w:tc>
          <w:tcPr>
            <w:tcW w:w="216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17,202,211</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11,077,112</w:t>
            </w:r>
          </w:p>
        </w:tc>
      </w:tr>
      <w:tr>
        <w:trPr>
          <w:trHeight w:val="201"/>
        </w:trPr>
        <w:tc>
          <w:tcPr>
            <w:tcW w:w="644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23,221,987</w:t>
            </w:r>
          </w:p>
        </w:tc>
        <w:tc>
          <w:tcPr>
            <w:tcW w:w="220" w:type="dxa"/>
            <w:vAlign w:val="bottom"/>
          </w:tcPr>
          <w:p>
            <w:pPr>
              <w:spacing w:after="0"/>
              <w:rPr>
                <w:sz w:val="17"/>
                <w:szCs w:val="17"/>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16,645,769</w:t>
            </w:r>
          </w:p>
        </w:tc>
        <w:tc>
          <w:tcPr>
            <w:tcW w:w="100" w:type="dxa"/>
            <w:vAlign w:val="bottom"/>
          </w:tcPr>
          <w:p>
            <w:pPr>
              <w:spacing w:after="0"/>
              <w:rPr>
                <w:sz w:val="17"/>
                <w:szCs w:val="17"/>
                <w:color w:val="auto"/>
              </w:rPr>
            </w:pPr>
          </w:p>
        </w:tc>
      </w:tr>
      <w:tr>
        <w:trPr>
          <w:trHeight w:val="208"/>
        </w:trPr>
        <w:tc>
          <w:tcPr>
            <w:tcW w:w="6440" w:type="dxa"/>
            <w:vAlign w:val="bottom"/>
            <w:shd w:val="clear" w:color="auto" w:fill="CCEEFF"/>
          </w:tcPr>
          <w:p>
            <w:pPr>
              <w:spacing w:after="0"/>
              <w:rPr>
                <w:sz w:val="20"/>
                <w:szCs w:val="20"/>
                <w:color w:val="auto"/>
              </w:rPr>
            </w:pPr>
            <w:r>
              <w:rPr>
                <w:rFonts w:ascii="Arial" w:cs="Arial" w:eastAsia="Arial" w:hAnsi="Arial"/>
                <w:sz w:val="17"/>
                <w:szCs w:val="17"/>
                <w:color w:val="auto"/>
              </w:rPr>
              <w:t>Cash collateral, reverse repurchase agreements and securities borrowings</w:t>
            </w:r>
          </w:p>
        </w:tc>
        <w:tc>
          <w:tcPr>
            <w:tcW w:w="2160" w:type="dxa"/>
            <w:vAlign w:val="bottom"/>
            <w:shd w:val="clear" w:color="auto" w:fill="CCEEFF"/>
          </w:tcPr>
          <w:p>
            <w:pPr>
              <w:jc w:val="center"/>
              <w:ind w:left="913"/>
              <w:spacing w:after="0"/>
              <w:rPr>
                <w:sz w:val="20"/>
                <w:szCs w:val="20"/>
                <w:color w:val="auto"/>
              </w:rPr>
            </w:pPr>
            <w:r>
              <w:rPr>
                <w:rFonts w:ascii="Arial" w:cs="Arial" w:eastAsia="Arial" w:hAnsi="Arial"/>
                <w:sz w:val="17"/>
                <w:szCs w:val="17"/>
                <w:color w:val="auto"/>
                <w:w w:val="92"/>
              </w:rPr>
              <w:t>5(a)</w:t>
            </w: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7,480,420</w:t>
            </w: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10,919,624</w:t>
            </w:r>
          </w:p>
        </w:tc>
      </w:tr>
      <w:tr>
        <w:trPr>
          <w:trHeight w:val="208"/>
        </w:trPr>
        <w:tc>
          <w:tcPr>
            <w:tcW w:w="644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8"/>
        </w:trPr>
        <w:tc>
          <w:tcPr>
            <w:tcW w:w="6440" w:type="dxa"/>
            <w:vAlign w:val="bottom"/>
            <w:shd w:val="clear" w:color="auto" w:fill="CCEEFF"/>
          </w:tcPr>
          <w:p>
            <w:pPr>
              <w:spacing w:after="0"/>
              <w:rPr>
                <w:sz w:val="20"/>
                <w:szCs w:val="20"/>
                <w:color w:val="auto"/>
              </w:rPr>
            </w:pPr>
            <w:r>
              <w:rPr>
                <w:rFonts w:ascii="Arial" w:cs="Arial" w:eastAsia="Arial" w:hAnsi="Arial"/>
                <w:sz w:val="17"/>
                <w:szCs w:val="17"/>
                <w:color w:val="auto"/>
              </w:rPr>
              <w:t>Investments:</w:t>
            </w:r>
          </w:p>
        </w:tc>
        <w:tc>
          <w:tcPr>
            <w:tcW w:w="21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8"/>
        </w:trPr>
        <w:tc>
          <w:tcPr>
            <w:tcW w:w="6440" w:type="dxa"/>
            <w:vAlign w:val="bottom"/>
          </w:tcPr>
          <w:p>
            <w:pPr>
              <w:spacing w:after="0"/>
              <w:rPr>
                <w:sz w:val="20"/>
                <w:szCs w:val="20"/>
                <w:color w:val="auto"/>
              </w:rPr>
            </w:pPr>
            <w:r>
              <w:rPr>
                <w:rFonts w:ascii="Arial" w:cs="Arial" w:eastAsia="Arial" w:hAnsi="Arial"/>
                <w:sz w:val="17"/>
                <w:szCs w:val="17"/>
                <w:color w:val="auto"/>
              </w:rPr>
              <w:t>Trading securities</w:t>
            </w:r>
          </w:p>
        </w:tc>
        <w:tc>
          <w:tcPr>
            <w:tcW w:w="2160" w:type="dxa"/>
            <w:vAlign w:val="bottom"/>
          </w:tcPr>
          <w:p>
            <w:pPr>
              <w:jc w:val="center"/>
              <w:ind w:left="913"/>
              <w:spacing w:after="0"/>
              <w:rPr>
                <w:sz w:val="20"/>
                <w:szCs w:val="20"/>
                <w:color w:val="auto"/>
              </w:rPr>
            </w:pPr>
            <w:r>
              <w:rPr>
                <w:rFonts w:ascii="Arial" w:cs="Arial" w:eastAsia="Arial" w:hAnsi="Arial"/>
                <w:sz w:val="17"/>
                <w:szCs w:val="17"/>
                <w:color w:val="auto"/>
                <w:w w:val="92"/>
              </w:rPr>
              <w:t>6(a)</w:t>
            </w:r>
          </w:p>
        </w:tc>
        <w:tc>
          <w:tcPr>
            <w:tcW w:w="1260" w:type="dxa"/>
            <w:vAlign w:val="bottom"/>
          </w:tcPr>
          <w:p>
            <w:pPr>
              <w:jc w:val="right"/>
              <w:spacing w:after="0"/>
              <w:rPr>
                <w:sz w:val="20"/>
                <w:szCs w:val="20"/>
                <w:color w:val="auto"/>
              </w:rPr>
            </w:pPr>
            <w:r>
              <w:rPr>
                <w:rFonts w:ascii="Arial" w:cs="Arial" w:eastAsia="Arial" w:hAnsi="Arial"/>
                <w:sz w:val="17"/>
                <w:szCs w:val="17"/>
                <w:color w:val="auto"/>
              </w:rPr>
              <w:t>4,024,737</w:t>
            </w:r>
          </w:p>
        </w:tc>
        <w:tc>
          <w:tcPr>
            <w:tcW w:w="22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7"/>
                <w:szCs w:val="17"/>
                <w:color w:val="auto"/>
              </w:rPr>
              <w:t>4,015,019</w:t>
            </w:r>
          </w:p>
        </w:tc>
      </w:tr>
      <w:tr>
        <w:trPr>
          <w:trHeight w:val="208"/>
        </w:trPr>
        <w:tc>
          <w:tcPr>
            <w:tcW w:w="6440" w:type="dxa"/>
            <w:vAlign w:val="bottom"/>
            <w:shd w:val="clear" w:color="auto" w:fill="CCEEFF"/>
          </w:tcPr>
          <w:p>
            <w:pPr>
              <w:spacing w:after="0"/>
              <w:rPr>
                <w:sz w:val="18"/>
                <w:szCs w:val="18"/>
                <w:color w:val="auto"/>
              </w:rPr>
            </w:pPr>
          </w:p>
        </w:tc>
        <w:tc>
          <w:tcPr>
            <w:tcW w:w="21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8"/>
        </w:trPr>
        <w:tc>
          <w:tcPr>
            <w:tcW w:w="6440" w:type="dxa"/>
            <w:vAlign w:val="bottom"/>
          </w:tcPr>
          <w:p>
            <w:pPr>
              <w:spacing w:after="0"/>
              <w:rPr>
                <w:sz w:val="20"/>
                <w:szCs w:val="20"/>
                <w:color w:val="auto"/>
              </w:rPr>
            </w:pPr>
            <w:r>
              <w:rPr>
                <w:rFonts w:ascii="Arial" w:cs="Arial" w:eastAsia="Arial" w:hAnsi="Arial"/>
                <w:sz w:val="17"/>
                <w:szCs w:val="17"/>
                <w:color w:val="auto"/>
              </w:rPr>
              <w:t>Available-for-sale investments</w:t>
            </w:r>
          </w:p>
        </w:tc>
        <w:tc>
          <w:tcPr>
            <w:tcW w:w="2160" w:type="dxa"/>
            <w:vAlign w:val="bottom"/>
          </w:tcPr>
          <w:p>
            <w:pPr>
              <w:spacing w:after="0"/>
              <w:rPr>
                <w:sz w:val="18"/>
                <w:szCs w:val="18"/>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7"/>
                <w:szCs w:val="17"/>
                <w:color w:val="auto"/>
              </w:rPr>
              <w:t>21,732,107</w:t>
            </w:r>
          </w:p>
        </w:tc>
        <w:tc>
          <w:tcPr>
            <w:tcW w:w="1340" w:type="dxa"/>
            <w:vAlign w:val="bottom"/>
            <w:gridSpan w:val="2"/>
          </w:tcPr>
          <w:p>
            <w:pPr>
              <w:jc w:val="right"/>
              <w:ind w:right="100"/>
              <w:spacing w:after="0"/>
              <w:rPr>
                <w:sz w:val="20"/>
                <w:szCs w:val="20"/>
                <w:color w:val="auto"/>
              </w:rPr>
            </w:pPr>
            <w:r>
              <w:rPr>
                <w:rFonts w:ascii="Arial" w:cs="Arial" w:eastAsia="Arial" w:hAnsi="Arial"/>
                <w:sz w:val="17"/>
                <w:szCs w:val="17"/>
                <w:color w:val="auto"/>
              </w:rPr>
              <w:t>17,086,774</w:t>
            </w:r>
          </w:p>
        </w:tc>
      </w:tr>
      <w:tr>
        <w:trPr>
          <w:trHeight w:val="221"/>
        </w:trPr>
        <w:tc>
          <w:tcPr>
            <w:tcW w:w="6440" w:type="dxa"/>
            <w:vAlign w:val="bottom"/>
            <w:shd w:val="clear" w:color="auto" w:fill="CCEEFF"/>
          </w:tcPr>
          <w:p>
            <w:pPr>
              <w:spacing w:after="0"/>
              <w:rPr>
                <w:sz w:val="20"/>
                <w:szCs w:val="20"/>
                <w:color w:val="auto"/>
              </w:rPr>
            </w:pPr>
            <w:r>
              <w:rPr>
                <w:rFonts w:ascii="Arial" w:cs="Arial" w:eastAsia="Arial" w:hAnsi="Arial"/>
                <w:sz w:val="17"/>
                <w:szCs w:val="17"/>
                <w:color w:val="auto"/>
              </w:rPr>
              <w:t>Available-for-sale investments pledged as collateral</w:t>
            </w:r>
          </w:p>
        </w:tc>
        <w:tc>
          <w:tcPr>
            <w:tcW w:w="2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2,691,784</w:t>
            </w:r>
          </w:p>
        </w:tc>
        <w:tc>
          <w:tcPr>
            <w:tcW w:w="2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1,598,893</w:t>
            </w:r>
          </w:p>
        </w:tc>
      </w:tr>
      <w:tr>
        <w:trPr>
          <w:trHeight w:val="201"/>
        </w:trPr>
        <w:tc>
          <w:tcPr>
            <w:tcW w:w="6440" w:type="dxa"/>
            <w:vAlign w:val="bottom"/>
          </w:tcPr>
          <w:p>
            <w:pPr>
              <w:spacing w:after="0"/>
              <w:rPr>
                <w:sz w:val="17"/>
                <w:szCs w:val="17"/>
                <w:color w:val="auto"/>
              </w:rPr>
            </w:pPr>
          </w:p>
        </w:tc>
        <w:tc>
          <w:tcPr>
            <w:tcW w:w="2160" w:type="dxa"/>
            <w:vAlign w:val="bottom"/>
          </w:tcPr>
          <w:p>
            <w:pPr>
              <w:jc w:val="center"/>
              <w:ind w:left="913"/>
              <w:spacing w:after="0"/>
              <w:rPr>
                <w:sz w:val="20"/>
                <w:szCs w:val="20"/>
                <w:color w:val="auto"/>
              </w:rPr>
            </w:pPr>
            <w:r>
              <w:rPr>
                <w:rFonts w:ascii="Arial" w:cs="Arial" w:eastAsia="Arial" w:hAnsi="Arial"/>
                <w:sz w:val="17"/>
                <w:szCs w:val="17"/>
                <w:color w:val="auto"/>
                <w:w w:val="92"/>
              </w:rPr>
              <w:t>6(a)</w:t>
            </w: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24,423,891</w:t>
            </w:r>
          </w:p>
        </w:tc>
        <w:tc>
          <w:tcPr>
            <w:tcW w:w="220" w:type="dxa"/>
            <w:vAlign w:val="bottom"/>
          </w:tcPr>
          <w:p>
            <w:pPr>
              <w:spacing w:after="0"/>
              <w:rPr>
                <w:sz w:val="17"/>
                <w:szCs w:val="17"/>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18,685,667</w:t>
            </w:r>
          </w:p>
        </w:tc>
        <w:tc>
          <w:tcPr>
            <w:tcW w:w="100" w:type="dxa"/>
            <w:vAlign w:val="bottom"/>
          </w:tcPr>
          <w:p>
            <w:pPr>
              <w:spacing w:after="0"/>
              <w:rPr>
                <w:sz w:val="17"/>
                <w:szCs w:val="17"/>
                <w:color w:val="auto"/>
              </w:rPr>
            </w:pPr>
          </w:p>
        </w:tc>
      </w:tr>
      <w:tr>
        <w:trPr>
          <w:trHeight w:val="208"/>
        </w:trPr>
        <w:tc>
          <w:tcPr>
            <w:tcW w:w="6440" w:type="dxa"/>
            <w:vAlign w:val="bottom"/>
            <w:shd w:val="clear" w:color="auto" w:fill="CCEEFF"/>
          </w:tcPr>
          <w:p>
            <w:pPr>
              <w:spacing w:after="0"/>
              <w:rPr>
                <w:sz w:val="18"/>
                <w:szCs w:val="18"/>
                <w:color w:val="auto"/>
              </w:rPr>
            </w:pPr>
          </w:p>
        </w:tc>
        <w:tc>
          <w:tcPr>
            <w:tcW w:w="21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8"/>
        </w:trPr>
        <w:tc>
          <w:tcPr>
            <w:tcW w:w="6440" w:type="dxa"/>
            <w:vAlign w:val="bottom"/>
          </w:tcPr>
          <w:p>
            <w:pPr>
              <w:spacing w:after="0"/>
              <w:rPr>
                <w:sz w:val="20"/>
                <w:szCs w:val="20"/>
                <w:color w:val="auto"/>
              </w:rPr>
            </w:pPr>
            <w:r>
              <w:rPr>
                <w:rFonts w:ascii="Arial" w:cs="Arial" w:eastAsia="Arial" w:hAnsi="Arial"/>
                <w:sz w:val="17"/>
                <w:szCs w:val="17"/>
                <w:color w:val="auto"/>
              </w:rPr>
              <w:t>Held-to-maturity investments</w:t>
            </w:r>
          </w:p>
        </w:tc>
        <w:tc>
          <w:tcPr>
            <w:tcW w:w="21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1,826,394</w:t>
            </w:r>
          </w:p>
        </w:tc>
        <w:tc>
          <w:tcPr>
            <w:tcW w:w="22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7"/>
                <w:szCs w:val="17"/>
                <w:color w:val="auto"/>
              </w:rPr>
              <w:t>2,867,755</w:t>
            </w:r>
          </w:p>
        </w:tc>
      </w:tr>
      <w:tr>
        <w:trPr>
          <w:trHeight w:val="221"/>
        </w:trPr>
        <w:tc>
          <w:tcPr>
            <w:tcW w:w="6440" w:type="dxa"/>
            <w:vAlign w:val="bottom"/>
            <w:shd w:val="clear" w:color="auto" w:fill="CCEEFF"/>
          </w:tcPr>
          <w:p>
            <w:pPr>
              <w:spacing w:after="0"/>
              <w:rPr>
                <w:sz w:val="20"/>
                <w:szCs w:val="20"/>
                <w:color w:val="auto"/>
              </w:rPr>
            </w:pPr>
            <w:r>
              <w:rPr>
                <w:rFonts w:ascii="Arial" w:cs="Arial" w:eastAsia="Arial" w:hAnsi="Arial"/>
                <w:sz w:val="17"/>
                <w:szCs w:val="17"/>
                <w:color w:val="auto"/>
              </w:rPr>
              <w:t>Held-to-maturity investments pledged as collateral</w:t>
            </w:r>
          </w:p>
        </w:tc>
        <w:tc>
          <w:tcPr>
            <w:tcW w:w="2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2,586,979</w:t>
            </w:r>
          </w:p>
        </w:tc>
        <w:tc>
          <w:tcPr>
            <w:tcW w:w="2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2,250,665</w:t>
            </w:r>
          </w:p>
        </w:tc>
      </w:tr>
      <w:tr>
        <w:trPr>
          <w:trHeight w:val="201"/>
        </w:trPr>
        <w:tc>
          <w:tcPr>
            <w:tcW w:w="6440" w:type="dxa"/>
            <w:vAlign w:val="bottom"/>
            <w:tcBorders>
              <w:bottom w:val="single" w:sz="8" w:color="CCEEFF"/>
            </w:tcBorders>
          </w:tcPr>
          <w:p>
            <w:pPr>
              <w:spacing w:after="0"/>
              <w:rPr>
                <w:sz w:val="17"/>
                <w:szCs w:val="17"/>
                <w:color w:val="auto"/>
              </w:rPr>
            </w:pPr>
          </w:p>
        </w:tc>
        <w:tc>
          <w:tcPr>
            <w:tcW w:w="2160" w:type="dxa"/>
            <w:vAlign w:val="bottom"/>
            <w:tcBorders>
              <w:bottom w:val="single" w:sz="8" w:color="CCEEFF"/>
            </w:tcBorders>
          </w:tcPr>
          <w:p>
            <w:pPr>
              <w:jc w:val="center"/>
              <w:ind w:left="893"/>
              <w:spacing w:after="0"/>
              <w:rPr>
                <w:sz w:val="20"/>
                <w:szCs w:val="20"/>
                <w:color w:val="auto"/>
              </w:rPr>
            </w:pPr>
            <w:r>
              <w:rPr>
                <w:rFonts w:ascii="Arial" w:cs="Arial" w:eastAsia="Arial" w:hAnsi="Arial"/>
                <w:sz w:val="17"/>
                <w:szCs w:val="17"/>
                <w:color w:val="auto"/>
                <w:w w:val="99"/>
              </w:rPr>
              <w:t>6(b)</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4,413,373</w:t>
            </w:r>
          </w:p>
        </w:tc>
        <w:tc>
          <w:tcPr>
            <w:tcW w:w="220" w:type="dxa"/>
            <w:vAlign w:val="bottom"/>
            <w:tcBorders>
              <w:bottom w:val="single" w:sz="8" w:color="CCEEFF"/>
            </w:tcBorders>
          </w:tcPr>
          <w:p>
            <w:pPr>
              <w:spacing w:after="0"/>
              <w:rPr>
                <w:sz w:val="17"/>
                <w:szCs w:val="17"/>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5,118,420</w:t>
            </w:r>
          </w:p>
        </w:tc>
        <w:tc>
          <w:tcPr>
            <w:tcW w:w="100" w:type="dxa"/>
            <w:vAlign w:val="bottom"/>
            <w:tcBorders>
              <w:bottom w:val="single" w:sz="8" w:color="CCEEFF"/>
            </w:tcBorders>
          </w:tcPr>
          <w:p>
            <w:pPr>
              <w:spacing w:after="0"/>
              <w:rPr>
                <w:sz w:val="17"/>
                <w:szCs w:val="17"/>
                <w:color w:val="auto"/>
              </w:rPr>
            </w:pPr>
          </w:p>
        </w:tc>
      </w:tr>
      <w:tr>
        <w:trPr>
          <w:trHeight w:val="201"/>
        </w:trPr>
        <w:tc>
          <w:tcPr>
            <w:tcW w:w="6440" w:type="dxa"/>
            <w:vAlign w:val="bottom"/>
            <w:shd w:val="clear" w:color="auto" w:fill="CCEEFF"/>
          </w:tcPr>
          <w:p>
            <w:pPr>
              <w:spacing w:after="0"/>
              <w:rPr>
                <w:sz w:val="17"/>
                <w:szCs w:val="17"/>
                <w:color w:val="auto"/>
              </w:rPr>
            </w:pPr>
          </w:p>
        </w:tc>
        <w:tc>
          <w:tcPr>
            <w:tcW w:w="216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32,862,001</w:t>
            </w:r>
          </w:p>
        </w:tc>
        <w:tc>
          <w:tcPr>
            <w:tcW w:w="22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27,819,106</w:t>
            </w:r>
          </w:p>
        </w:tc>
        <w:tc>
          <w:tcPr>
            <w:tcW w:w="100" w:type="dxa"/>
            <w:vAlign w:val="bottom"/>
            <w:shd w:val="clear" w:color="auto" w:fill="CCEEFF"/>
          </w:tcPr>
          <w:p>
            <w:pPr>
              <w:spacing w:after="0"/>
              <w:rPr>
                <w:sz w:val="17"/>
                <w:szCs w:val="17"/>
                <w:color w:val="auto"/>
              </w:rPr>
            </w:pPr>
          </w:p>
        </w:tc>
      </w:tr>
      <w:tr>
        <w:trPr>
          <w:trHeight w:val="208"/>
        </w:trPr>
        <w:tc>
          <w:tcPr>
            <w:tcW w:w="644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8"/>
        </w:trPr>
        <w:tc>
          <w:tcPr>
            <w:tcW w:w="6440" w:type="dxa"/>
            <w:vAlign w:val="bottom"/>
            <w:shd w:val="clear" w:color="auto" w:fill="CCEEFF"/>
          </w:tcPr>
          <w:p>
            <w:pPr>
              <w:spacing w:after="0"/>
              <w:rPr>
                <w:sz w:val="20"/>
                <w:szCs w:val="20"/>
                <w:color w:val="auto"/>
              </w:rPr>
            </w:pPr>
            <w:r>
              <w:rPr>
                <w:rFonts w:ascii="Arial" w:cs="Arial" w:eastAsia="Arial" w:hAnsi="Arial"/>
                <w:sz w:val="17"/>
                <w:szCs w:val="17"/>
                <w:color w:val="auto"/>
              </w:rPr>
              <w:t>Loans, net:</w:t>
            </w:r>
          </w:p>
        </w:tc>
        <w:tc>
          <w:tcPr>
            <w:tcW w:w="2160" w:type="dxa"/>
            <w:vAlign w:val="bottom"/>
            <w:shd w:val="clear" w:color="auto" w:fill="CCEEFF"/>
          </w:tcPr>
          <w:p>
            <w:pPr>
              <w:jc w:val="center"/>
              <w:ind w:left="913"/>
              <w:spacing w:after="0"/>
              <w:rPr>
                <w:sz w:val="20"/>
                <w:szCs w:val="20"/>
                <w:color w:val="auto"/>
              </w:rPr>
            </w:pPr>
            <w:r>
              <w:rPr>
                <w:rFonts w:ascii="Arial" w:cs="Arial" w:eastAsia="Arial" w:hAnsi="Arial"/>
                <w:sz w:val="17"/>
                <w:szCs w:val="17"/>
                <w:color w:val="auto"/>
                <w:w w:val="84"/>
              </w:rPr>
              <w:t>7</w:t>
            </w: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8"/>
        </w:trPr>
        <w:tc>
          <w:tcPr>
            <w:tcW w:w="6440" w:type="dxa"/>
            <w:vAlign w:val="bottom"/>
          </w:tcPr>
          <w:p>
            <w:pPr>
              <w:ind w:left="180"/>
              <w:spacing w:after="0"/>
              <w:rPr>
                <w:sz w:val="20"/>
                <w:szCs w:val="20"/>
                <w:color w:val="auto"/>
              </w:rPr>
            </w:pPr>
            <w:r>
              <w:rPr>
                <w:rFonts w:ascii="Arial" w:cs="Arial" w:eastAsia="Arial" w:hAnsi="Arial"/>
                <w:sz w:val="17"/>
                <w:szCs w:val="17"/>
                <w:color w:val="auto"/>
              </w:rPr>
              <w:t>Loans, net of unearned income</w:t>
            </w:r>
          </w:p>
        </w:tc>
        <w:tc>
          <w:tcPr>
            <w:tcW w:w="21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100,477,775</w:t>
            </w:r>
          </w:p>
        </w:tc>
        <w:tc>
          <w:tcPr>
            <w:tcW w:w="22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7"/>
                <w:szCs w:val="17"/>
                <w:color w:val="auto"/>
              </w:rPr>
              <w:t>94,768,901</w:t>
            </w:r>
          </w:p>
        </w:tc>
      </w:tr>
      <w:tr>
        <w:trPr>
          <w:trHeight w:val="221"/>
        </w:trPr>
        <w:tc>
          <w:tcPr>
            <w:tcW w:w="6440" w:type="dxa"/>
            <w:vAlign w:val="bottom"/>
            <w:shd w:val="clear" w:color="auto" w:fill="CCEEFF"/>
          </w:tcPr>
          <w:p>
            <w:pPr>
              <w:ind w:left="180"/>
              <w:spacing w:after="0"/>
              <w:rPr>
                <w:sz w:val="20"/>
                <w:szCs w:val="20"/>
                <w:color w:val="auto"/>
              </w:rPr>
            </w:pPr>
            <w:r>
              <w:rPr>
                <w:rFonts w:ascii="Arial" w:cs="Arial" w:eastAsia="Arial" w:hAnsi="Arial"/>
                <w:sz w:val="17"/>
                <w:szCs w:val="17"/>
                <w:color w:val="auto"/>
              </w:rPr>
              <w:t>Allowance for loan losses</w:t>
            </w:r>
          </w:p>
        </w:tc>
        <w:tc>
          <w:tcPr>
            <w:tcW w:w="216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(4,500,498)</w:t>
            </w:r>
          </w:p>
        </w:tc>
        <w:tc>
          <w:tcPr>
            <w:tcW w:w="13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(4,207,133)</w:t>
            </w:r>
          </w:p>
        </w:tc>
      </w:tr>
      <w:tr>
        <w:trPr>
          <w:trHeight w:val="201"/>
        </w:trPr>
        <w:tc>
          <w:tcPr>
            <w:tcW w:w="644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95,977,277</w:t>
            </w:r>
          </w:p>
        </w:tc>
        <w:tc>
          <w:tcPr>
            <w:tcW w:w="220" w:type="dxa"/>
            <w:vAlign w:val="bottom"/>
          </w:tcPr>
          <w:p>
            <w:pPr>
              <w:spacing w:after="0"/>
              <w:rPr>
                <w:sz w:val="17"/>
                <w:szCs w:val="17"/>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90,561,768</w:t>
            </w:r>
          </w:p>
        </w:tc>
        <w:tc>
          <w:tcPr>
            <w:tcW w:w="100" w:type="dxa"/>
            <w:vAlign w:val="bottom"/>
          </w:tcPr>
          <w:p>
            <w:pPr>
              <w:spacing w:after="0"/>
              <w:rPr>
                <w:sz w:val="17"/>
                <w:szCs w:val="17"/>
                <w:color w:val="auto"/>
              </w:rPr>
            </w:pPr>
          </w:p>
        </w:tc>
      </w:tr>
      <w:tr>
        <w:trPr>
          <w:trHeight w:val="208"/>
        </w:trPr>
        <w:tc>
          <w:tcPr>
            <w:tcW w:w="6440" w:type="dxa"/>
            <w:vAlign w:val="bottom"/>
            <w:shd w:val="clear" w:color="auto" w:fill="CCEEFF"/>
          </w:tcPr>
          <w:p>
            <w:pPr>
              <w:spacing w:after="0"/>
              <w:rPr>
                <w:sz w:val="18"/>
                <w:szCs w:val="18"/>
                <w:color w:val="auto"/>
              </w:rPr>
            </w:pPr>
          </w:p>
        </w:tc>
        <w:tc>
          <w:tcPr>
            <w:tcW w:w="21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8"/>
        </w:trPr>
        <w:tc>
          <w:tcPr>
            <w:tcW w:w="6440" w:type="dxa"/>
            <w:vAlign w:val="bottom"/>
          </w:tcPr>
          <w:p>
            <w:pPr>
              <w:spacing w:after="0"/>
              <w:rPr>
                <w:sz w:val="20"/>
                <w:szCs w:val="20"/>
                <w:color w:val="auto"/>
              </w:rPr>
            </w:pPr>
            <w:r>
              <w:rPr>
                <w:rFonts w:ascii="Arial" w:cs="Arial" w:eastAsia="Arial" w:hAnsi="Arial"/>
                <w:sz w:val="17"/>
                <w:szCs w:val="17"/>
                <w:color w:val="auto"/>
              </w:rPr>
              <w:t>Financial assets designated at fair value through profit or loss</w:t>
            </w:r>
          </w:p>
        </w:tc>
        <w:tc>
          <w:tcPr>
            <w:tcW w:w="2160" w:type="dxa"/>
            <w:vAlign w:val="bottom"/>
          </w:tcPr>
          <w:p>
            <w:pPr>
              <w:jc w:val="center"/>
              <w:ind w:left="913"/>
              <w:spacing w:after="0"/>
              <w:rPr>
                <w:sz w:val="20"/>
                <w:szCs w:val="20"/>
                <w:color w:val="auto"/>
              </w:rPr>
            </w:pPr>
            <w:r>
              <w:rPr>
                <w:rFonts w:ascii="Arial" w:cs="Arial" w:eastAsia="Arial" w:hAnsi="Arial"/>
                <w:sz w:val="17"/>
                <w:szCs w:val="17"/>
                <w:color w:val="auto"/>
                <w:w w:val="84"/>
              </w:rPr>
              <w:t>8</w:t>
            </w:r>
          </w:p>
        </w:tc>
        <w:tc>
          <w:tcPr>
            <w:tcW w:w="1260" w:type="dxa"/>
            <w:vAlign w:val="bottom"/>
          </w:tcPr>
          <w:p>
            <w:pPr>
              <w:jc w:val="right"/>
              <w:spacing w:after="0"/>
              <w:rPr>
                <w:sz w:val="20"/>
                <w:szCs w:val="20"/>
                <w:color w:val="auto"/>
              </w:rPr>
            </w:pPr>
            <w:r>
              <w:rPr>
                <w:rFonts w:ascii="Arial" w:cs="Arial" w:eastAsia="Arial" w:hAnsi="Arial"/>
                <w:sz w:val="17"/>
                <w:szCs w:val="17"/>
                <w:color w:val="auto"/>
              </w:rPr>
              <w:t>537,685</w:t>
            </w:r>
          </w:p>
        </w:tc>
        <w:tc>
          <w:tcPr>
            <w:tcW w:w="22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7"/>
                <w:szCs w:val="17"/>
                <w:color w:val="auto"/>
              </w:rPr>
              <w:t>459,099</w:t>
            </w:r>
          </w:p>
        </w:tc>
      </w:tr>
      <w:tr>
        <w:trPr>
          <w:trHeight w:val="208"/>
        </w:trPr>
        <w:tc>
          <w:tcPr>
            <w:tcW w:w="6440" w:type="dxa"/>
            <w:vAlign w:val="bottom"/>
            <w:shd w:val="clear" w:color="auto" w:fill="CCEEFF"/>
          </w:tcPr>
          <w:p>
            <w:pPr>
              <w:spacing w:after="0"/>
              <w:rPr>
                <w:sz w:val="20"/>
                <w:szCs w:val="20"/>
                <w:color w:val="auto"/>
              </w:rPr>
            </w:pPr>
            <w:r>
              <w:rPr>
                <w:rFonts w:ascii="Arial" w:cs="Arial" w:eastAsia="Arial" w:hAnsi="Arial"/>
                <w:sz w:val="17"/>
                <w:szCs w:val="17"/>
                <w:color w:val="auto"/>
              </w:rPr>
              <w:t>Premiums and other policies receivable</w:t>
            </w:r>
          </w:p>
        </w:tc>
        <w:tc>
          <w:tcPr>
            <w:tcW w:w="2160" w:type="dxa"/>
            <w:vAlign w:val="bottom"/>
            <w:shd w:val="clear" w:color="auto" w:fill="CCEEFF"/>
          </w:tcPr>
          <w:p>
            <w:pPr>
              <w:ind w:left="1420"/>
              <w:spacing w:after="0"/>
              <w:rPr>
                <w:sz w:val="20"/>
                <w:szCs w:val="20"/>
                <w:color w:val="auto"/>
              </w:rPr>
            </w:pPr>
            <w:r>
              <w:rPr>
                <w:rFonts w:ascii="Arial" w:cs="Arial" w:eastAsia="Arial" w:hAnsi="Arial"/>
                <w:sz w:val="17"/>
                <w:szCs w:val="17"/>
                <w:color w:val="auto"/>
              </w:rPr>
              <w:t>9 (a)</w:t>
            </w: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656,829</w:t>
            </w: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643,224</w:t>
            </w:r>
          </w:p>
        </w:tc>
      </w:tr>
      <w:tr>
        <w:trPr>
          <w:trHeight w:val="208"/>
        </w:trPr>
        <w:tc>
          <w:tcPr>
            <w:tcW w:w="6440" w:type="dxa"/>
            <w:vAlign w:val="bottom"/>
          </w:tcPr>
          <w:p>
            <w:pPr>
              <w:spacing w:after="0"/>
              <w:rPr>
                <w:sz w:val="20"/>
                <w:szCs w:val="20"/>
                <w:color w:val="auto"/>
              </w:rPr>
            </w:pPr>
            <w:r>
              <w:rPr>
                <w:rFonts w:ascii="Arial" w:cs="Arial" w:eastAsia="Arial" w:hAnsi="Arial"/>
                <w:sz w:val="17"/>
                <w:szCs w:val="17"/>
                <w:color w:val="auto"/>
              </w:rPr>
              <w:t>Accounts receivable from reinsurers and coinsurers</w:t>
            </w:r>
          </w:p>
        </w:tc>
        <w:tc>
          <w:tcPr>
            <w:tcW w:w="2160" w:type="dxa"/>
            <w:vAlign w:val="bottom"/>
          </w:tcPr>
          <w:p>
            <w:pPr>
              <w:ind w:left="1400"/>
              <w:spacing w:after="0"/>
              <w:rPr>
                <w:sz w:val="20"/>
                <w:szCs w:val="20"/>
                <w:color w:val="auto"/>
              </w:rPr>
            </w:pPr>
            <w:r>
              <w:rPr>
                <w:rFonts w:ascii="Arial" w:cs="Arial" w:eastAsia="Arial" w:hAnsi="Arial"/>
                <w:sz w:val="17"/>
                <w:szCs w:val="17"/>
                <w:color w:val="auto"/>
              </w:rPr>
              <w:t>9 (b)</w:t>
            </w:r>
          </w:p>
        </w:tc>
        <w:tc>
          <w:tcPr>
            <w:tcW w:w="1260" w:type="dxa"/>
            <w:vAlign w:val="bottom"/>
          </w:tcPr>
          <w:p>
            <w:pPr>
              <w:jc w:val="right"/>
              <w:spacing w:after="0"/>
              <w:rPr>
                <w:sz w:val="20"/>
                <w:szCs w:val="20"/>
                <w:color w:val="auto"/>
              </w:rPr>
            </w:pPr>
            <w:r>
              <w:rPr>
                <w:rFonts w:ascii="Arial" w:cs="Arial" w:eastAsia="Arial" w:hAnsi="Arial"/>
                <w:sz w:val="17"/>
                <w:szCs w:val="17"/>
                <w:color w:val="auto"/>
              </w:rPr>
              <w:t>715,695</w:t>
            </w:r>
          </w:p>
        </w:tc>
        <w:tc>
          <w:tcPr>
            <w:tcW w:w="22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7"/>
                <w:szCs w:val="17"/>
                <w:color w:val="auto"/>
              </w:rPr>
              <w:t>454,187</w:t>
            </w:r>
          </w:p>
        </w:tc>
      </w:tr>
      <w:tr>
        <w:trPr>
          <w:trHeight w:val="208"/>
        </w:trPr>
        <w:tc>
          <w:tcPr>
            <w:tcW w:w="6440" w:type="dxa"/>
            <w:vAlign w:val="bottom"/>
            <w:shd w:val="clear" w:color="auto" w:fill="CCEEFF"/>
          </w:tcPr>
          <w:p>
            <w:pPr>
              <w:spacing w:after="0"/>
              <w:rPr>
                <w:sz w:val="20"/>
                <w:szCs w:val="20"/>
                <w:color w:val="auto"/>
              </w:rPr>
            </w:pPr>
            <w:r>
              <w:rPr>
                <w:rFonts w:ascii="Arial" w:cs="Arial" w:eastAsia="Arial" w:hAnsi="Arial"/>
                <w:sz w:val="17"/>
                <w:szCs w:val="17"/>
                <w:color w:val="auto"/>
              </w:rPr>
              <w:t>Property, furniture and equipment, net</w:t>
            </w:r>
          </w:p>
        </w:tc>
        <w:tc>
          <w:tcPr>
            <w:tcW w:w="2160" w:type="dxa"/>
            <w:vAlign w:val="bottom"/>
            <w:shd w:val="clear" w:color="auto" w:fill="CCEEFF"/>
          </w:tcPr>
          <w:p>
            <w:pPr>
              <w:jc w:val="center"/>
              <w:ind w:left="893"/>
              <w:spacing w:after="0"/>
              <w:rPr>
                <w:sz w:val="20"/>
                <w:szCs w:val="20"/>
                <w:color w:val="auto"/>
              </w:rPr>
            </w:pPr>
            <w:r>
              <w:rPr>
                <w:rFonts w:ascii="Arial" w:cs="Arial" w:eastAsia="Arial" w:hAnsi="Arial"/>
                <w:sz w:val="17"/>
                <w:szCs w:val="17"/>
                <w:color w:val="auto"/>
                <w:w w:val="94"/>
              </w:rPr>
              <w:t>10</w:t>
            </w: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1,509,492</w:t>
            </w: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1,551,703</w:t>
            </w:r>
          </w:p>
        </w:tc>
      </w:tr>
      <w:tr>
        <w:trPr>
          <w:trHeight w:val="208"/>
        </w:trPr>
        <w:tc>
          <w:tcPr>
            <w:tcW w:w="6440" w:type="dxa"/>
            <w:vAlign w:val="bottom"/>
          </w:tcPr>
          <w:p>
            <w:pPr>
              <w:spacing w:after="0"/>
              <w:rPr>
                <w:sz w:val="20"/>
                <w:szCs w:val="20"/>
                <w:color w:val="auto"/>
              </w:rPr>
            </w:pPr>
            <w:r>
              <w:rPr>
                <w:rFonts w:ascii="Arial" w:cs="Arial" w:eastAsia="Arial" w:hAnsi="Arial"/>
                <w:sz w:val="17"/>
                <w:szCs w:val="17"/>
                <w:color w:val="auto"/>
              </w:rPr>
              <w:t>Due from customers on acceptances</w:t>
            </w:r>
          </w:p>
        </w:tc>
        <w:tc>
          <w:tcPr>
            <w:tcW w:w="21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532,034</w:t>
            </w:r>
          </w:p>
        </w:tc>
        <w:tc>
          <w:tcPr>
            <w:tcW w:w="22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7"/>
                <w:szCs w:val="17"/>
                <w:color w:val="auto"/>
              </w:rPr>
              <w:t>491,139</w:t>
            </w:r>
          </w:p>
        </w:tc>
      </w:tr>
      <w:tr>
        <w:trPr>
          <w:trHeight w:val="208"/>
        </w:trPr>
        <w:tc>
          <w:tcPr>
            <w:tcW w:w="6440" w:type="dxa"/>
            <w:vAlign w:val="bottom"/>
            <w:shd w:val="clear" w:color="auto" w:fill="CCEEFF"/>
          </w:tcPr>
          <w:p>
            <w:pPr>
              <w:spacing w:after="0"/>
              <w:rPr>
                <w:sz w:val="20"/>
                <w:szCs w:val="20"/>
                <w:color w:val="auto"/>
              </w:rPr>
            </w:pPr>
            <w:r>
              <w:rPr>
                <w:rFonts w:ascii="Arial" w:cs="Arial" w:eastAsia="Arial" w:hAnsi="Arial"/>
                <w:sz w:val="17"/>
                <w:szCs w:val="17"/>
                <w:color w:val="auto"/>
              </w:rPr>
              <w:t>Intangible assets and goodwill, net</w:t>
            </w:r>
          </w:p>
        </w:tc>
        <w:tc>
          <w:tcPr>
            <w:tcW w:w="2160" w:type="dxa"/>
            <w:vAlign w:val="bottom"/>
            <w:shd w:val="clear" w:color="auto" w:fill="CCEEFF"/>
          </w:tcPr>
          <w:p>
            <w:pPr>
              <w:jc w:val="center"/>
              <w:ind w:left="913"/>
              <w:spacing w:after="0"/>
              <w:rPr>
                <w:sz w:val="20"/>
                <w:szCs w:val="20"/>
                <w:color w:val="auto"/>
              </w:rPr>
            </w:pPr>
            <w:r>
              <w:rPr>
                <w:rFonts w:ascii="Arial" w:cs="Arial" w:eastAsia="Arial" w:hAnsi="Arial"/>
                <w:sz w:val="17"/>
                <w:szCs w:val="17"/>
                <w:color w:val="auto"/>
                <w:w w:val="84"/>
              </w:rPr>
              <w:t>11</w:t>
            </w: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1,978,865</w:t>
            </w: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1,960,690</w:t>
            </w:r>
          </w:p>
        </w:tc>
      </w:tr>
      <w:tr>
        <w:trPr>
          <w:trHeight w:val="221"/>
        </w:trPr>
        <w:tc>
          <w:tcPr>
            <w:tcW w:w="6440" w:type="dxa"/>
            <w:vAlign w:val="bottom"/>
          </w:tcPr>
          <w:p>
            <w:pPr>
              <w:spacing w:after="0"/>
              <w:rPr>
                <w:sz w:val="20"/>
                <w:szCs w:val="20"/>
                <w:color w:val="auto"/>
              </w:rPr>
            </w:pPr>
            <w:r>
              <w:rPr>
                <w:rFonts w:ascii="Arial" w:cs="Arial" w:eastAsia="Arial" w:hAnsi="Arial"/>
                <w:sz w:val="17"/>
                <w:szCs w:val="17"/>
                <w:color w:val="auto"/>
              </w:rPr>
              <w:t>Other assets</w:t>
            </w:r>
          </w:p>
        </w:tc>
        <w:tc>
          <w:tcPr>
            <w:tcW w:w="2160" w:type="dxa"/>
            <w:vAlign w:val="bottom"/>
          </w:tcPr>
          <w:p>
            <w:pPr>
              <w:jc w:val="center"/>
              <w:ind w:left="893"/>
              <w:spacing w:after="0"/>
              <w:rPr>
                <w:sz w:val="20"/>
                <w:szCs w:val="20"/>
                <w:color w:val="auto"/>
              </w:rPr>
            </w:pPr>
            <w:r>
              <w:rPr>
                <w:rFonts w:ascii="Arial" w:cs="Arial" w:eastAsia="Arial" w:hAnsi="Arial"/>
                <w:sz w:val="17"/>
                <w:szCs w:val="17"/>
                <w:color w:val="auto"/>
                <w:w w:val="94"/>
              </w:rPr>
              <w:t>12</w:t>
            </w:r>
          </w:p>
        </w:tc>
        <w:tc>
          <w:tcPr>
            <w:tcW w:w="1260" w:type="dxa"/>
            <w:vAlign w:val="bottom"/>
          </w:tcPr>
          <w:p>
            <w:pPr>
              <w:jc w:val="right"/>
              <w:spacing w:after="0"/>
              <w:rPr>
                <w:sz w:val="20"/>
                <w:szCs w:val="20"/>
                <w:color w:val="auto"/>
              </w:rPr>
            </w:pPr>
            <w:r>
              <w:rPr>
                <w:rFonts w:ascii="Arial" w:cs="Arial" w:eastAsia="Arial" w:hAnsi="Arial"/>
                <w:sz w:val="17"/>
                <w:szCs w:val="17"/>
                <w:color w:val="auto"/>
              </w:rPr>
              <w:t>4,999,998</w:t>
            </w:r>
          </w:p>
        </w:tc>
        <w:tc>
          <w:tcPr>
            <w:tcW w:w="220" w:type="dxa"/>
            <w:vAlign w:val="bottom"/>
          </w:tcPr>
          <w:p>
            <w:pPr>
              <w:spacing w:after="0"/>
              <w:rPr>
                <w:sz w:val="19"/>
                <w:szCs w:val="19"/>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7"/>
                <w:szCs w:val="17"/>
                <w:color w:val="auto"/>
              </w:rPr>
              <w:t>4,928,913</w:t>
            </w:r>
          </w:p>
        </w:tc>
      </w:tr>
      <w:tr>
        <w:trPr>
          <w:trHeight w:val="201"/>
        </w:trPr>
        <w:tc>
          <w:tcPr>
            <w:tcW w:w="6440" w:type="dxa"/>
            <w:vAlign w:val="bottom"/>
            <w:tcBorders>
              <w:top w:val="single" w:sz="8" w:color="CCEEFF"/>
            </w:tcBorders>
            <w:shd w:val="clear" w:color="auto" w:fill="CCEEFF"/>
          </w:tcPr>
          <w:p>
            <w:pPr>
              <w:spacing w:after="0"/>
              <w:rPr>
                <w:sz w:val="17"/>
                <w:szCs w:val="17"/>
                <w:color w:val="auto"/>
              </w:rPr>
            </w:pPr>
          </w:p>
        </w:tc>
        <w:tc>
          <w:tcPr>
            <w:tcW w:w="2160" w:type="dxa"/>
            <w:vAlign w:val="bottom"/>
            <w:tcBorders>
              <w:top w:val="single" w:sz="8" w:color="CCEEFF"/>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74"/>
        </w:trPr>
        <w:tc>
          <w:tcPr>
            <w:tcW w:w="6440" w:type="dxa"/>
            <w:vAlign w:val="bottom"/>
          </w:tcPr>
          <w:p>
            <w:pPr>
              <w:spacing w:after="0"/>
              <w:rPr>
                <w:sz w:val="20"/>
                <w:szCs w:val="20"/>
                <w:color w:val="auto"/>
              </w:rPr>
            </w:pPr>
            <w:r>
              <w:rPr>
                <w:rFonts w:ascii="Arial" w:cs="Arial" w:eastAsia="Arial" w:hAnsi="Arial"/>
                <w:sz w:val="17"/>
                <w:szCs w:val="17"/>
                <w:b w:val="1"/>
                <w:bCs w:val="1"/>
                <w:color w:val="auto"/>
              </w:rPr>
              <w:t>Total assets</w:t>
            </w:r>
          </w:p>
        </w:tc>
        <w:tc>
          <w:tcPr>
            <w:tcW w:w="216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170,472,283</w:t>
            </w:r>
          </w:p>
        </w:tc>
        <w:tc>
          <w:tcPr>
            <w:tcW w:w="220" w:type="dxa"/>
            <w:vAlign w:val="bottom"/>
          </w:tcPr>
          <w:p>
            <w:pPr>
              <w:spacing w:after="0"/>
              <w:rPr>
                <w:sz w:val="23"/>
                <w:szCs w:val="23"/>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7"/>
                <w:szCs w:val="17"/>
                <w:color w:val="auto"/>
              </w:rPr>
              <w:t>156,435,222</w:t>
            </w:r>
          </w:p>
        </w:tc>
      </w:tr>
      <w:tr>
        <w:trPr>
          <w:trHeight w:val="187"/>
        </w:trPr>
        <w:tc>
          <w:tcPr>
            <w:tcW w:w="6440" w:type="dxa"/>
            <w:vAlign w:val="bottom"/>
            <w:tcBorders>
              <w:top w:val="single" w:sz="8" w:color="CCEEFF"/>
            </w:tcBorders>
            <w:shd w:val="clear" w:color="auto" w:fill="CCEEFF"/>
          </w:tcPr>
          <w:p>
            <w:pPr>
              <w:spacing w:after="0"/>
              <w:rPr>
                <w:sz w:val="16"/>
                <w:szCs w:val="16"/>
                <w:color w:val="auto"/>
              </w:rPr>
            </w:pPr>
          </w:p>
        </w:tc>
        <w:tc>
          <w:tcPr>
            <w:tcW w:w="2160" w:type="dxa"/>
            <w:vAlign w:val="bottom"/>
            <w:tcBorders>
              <w:top w:val="single" w:sz="8" w:color="CCEEFF"/>
            </w:tcBorders>
            <w:shd w:val="clear" w:color="auto" w:fill="CCEEFF"/>
          </w:tcPr>
          <w:p>
            <w:pPr>
              <w:spacing w:after="0"/>
              <w:rPr>
                <w:sz w:val="16"/>
                <w:szCs w:val="16"/>
                <w:color w:val="auto"/>
              </w:rPr>
            </w:pPr>
          </w:p>
        </w:tc>
        <w:tc>
          <w:tcPr>
            <w:tcW w:w="126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2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r>
      <w:tr>
        <w:trPr>
          <w:trHeight w:val="208"/>
        </w:trPr>
        <w:tc>
          <w:tcPr>
            <w:tcW w:w="6440" w:type="dxa"/>
            <w:vAlign w:val="bottom"/>
          </w:tcPr>
          <w:p>
            <w:pPr>
              <w:spacing w:after="0"/>
              <w:rPr>
                <w:sz w:val="20"/>
                <w:szCs w:val="20"/>
                <w:color w:val="auto"/>
              </w:rPr>
            </w:pPr>
            <w:r>
              <w:rPr>
                <w:rFonts w:ascii="Arial" w:cs="Arial" w:eastAsia="Arial" w:hAnsi="Arial"/>
                <w:sz w:val="17"/>
                <w:szCs w:val="17"/>
                <w:b w:val="1"/>
                <w:bCs w:val="1"/>
                <w:color w:val="auto"/>
              </w:rPr>
              <w:t>Liabilities and Equity</w:t>
            </w:r>
          </w:p>
        </w:tc>
        <w:tc>
          <w:tcPr>
            <w:tcW w:w="2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8"/>
        </w:trPr>
        <w:tc>
          <w:tcPr>
            <w:tcW w:w="6440" w:type="dxa"/>
            <w:vAlign w:val="bottom"/>
            <w:shd w:val="clear" w:color="auto" w:fill="CCEEFF"/>
          </w:tcPr>
          <w:p>
            <w:pPr>
              <w:spacing w:after="0"/>
              <w:rPr>
                <w:sz w:val="18"/>
                <w:szCs w:val="18"/>
                <w:color w:val="auto"/>
              </w:rPr>
            </w:pPr>
          </w:p>
        </w:tc>
        <w:tc>
          <w:tcPr>
            <w:tcW w:w="21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8"/>
        </w:trPr>
        <w:tc>
          <w:tcPr>
            <w:tcW w:w="6440" w:type="dxa"/>
            <w:vAlign w:val="bottom"/>
          </w:tcPr>
          <w:p>
            <w:pPr>
              <w:spacing w:after="0"/>
              <w:rPr>
                <w:sz w:val="20"/>
                <w:szCs w:val="20"/>
                <w:color w:val="auto"/>
              </w:rPr>
            </w:pPr>
            <w:r>
              <w:rPr>
                <w:rFonts w:ascii="Arial" w:cs="Arial" w:eastAsia="Arial" w:hAnsi="Arial"/>
                <w:sz w:val="17"/>
                <w:szCs w:val="17"/>
                <w:color w:val="auto"/>
              </w:rPr>
              <w:t>Deposits and obligations:</w:t>
            </w:r>
          </w:p>
        </w:tc>
        <w:tc>
          <w:tcPr>
            <w:tcW w:w="2160" w:type="dxa"/>
            <w:vAlign w:val="bottom"/>
          </w:tcPr>
          <w:p>
            <w:pPr>
              <w:jc w:val="center"/>
              <w:ind w:left="953"/>
              <w:spacing w:after="0"/>
              <w:rPr>
                <w:sz w:val="20"/>
                <w:szCs w:val="20"/>
                <w:color w:val="auto"/>
              </w:rPr>
            </w:pPr>
            <w:r>
              <w:rPr>
                <w:rFonts w:ascii="Arial" w:cs="Arial" w:eastAsia="Arial" w:hAnsi="Arial"/>
                <w:sz w:val="17"/>
                <w:szCs w:val="17"/>
                <w:color w:val="auto"/>
                <w:w w:val="84"/>
              </w:rPr>
              <w:t>13</w:t>
            </w: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8"/>
        </w:trPr>
        <w:tc>
          <w:tcPr>
            <w:tcW w:w="6440" w:type="dxa"/>
            <w:vAlign w:val="bottom"/>
            <w:shd w:val="clear" w:color="auto" w:fill="CCEEFF"/>
          </w:tcPr>
          <w:p>
            <w:pPr>
              <w:ind w:left="180"/>
              <w:spacing w:after="0"/>
              <w:rPr>
                <w:sz w:val="20"/>
                <w:szCs w:val="20"/>
                <w:color w:val="auto"/>
              </w:rPr>
            </w:pPr>
            <w:r>
              <w:rPr>
                <w:rFonts w:ascii="Arial" w:cs="Arial" w:eastAsia="Arial" w:hAnsi="Arial"/>
                <w:sz w:val="17"/>
                <w:szCs w:val="17"/>
                <w:color w:val="auto"/>
              </w:rPr>
              <w:t>Non-interest-bearing</w:t>
            </w:r>
          </w:p>
        </w:tc>
        <w:tc>
          <w:tcPr>
            <w:tcW w:w="2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29,382,909</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28,084,691</w:t>
            </w:r>
          </w:p>
        </w:tc>
      </w:tr>
      <w:tr>
        <w:trPr>
          <w:trHeight w:val="221"/>
        </w:trPr>
        <w:tc>
          <w:tcPr>
            <w:tcW w:w="6440" w:type="dxa"/>
            <w:vAlign w:val="bottom"/>
          </w:tcPr>
          <w:p>
            <w:pPr>
              <w:ind w:left="180"/>
              <w:spacing w:after="0"/>
              <w:rPr>
                <w:sz w:val="20"/>
                <w:szCs w:val="20"/>
                <w:color w:val="auto"/>
              </w:rPr>
            </w:pPr>
            <w:r>
              <w:rPr>
                <w:rFonts w:ascii="Arial" w:cs="Arial" w:eastAsia="Arial" w:hAnsi="Arial"/>
                <w:sz w:val="17"/>
                <w:szCs w:val="17"/>
                <w:color w:val="auto"/>
              </w:rPr>
              <w:t>Interest-bearing</w:t>
            </w:r>
          </w:p>
        </w:tc>
        <w:tc>
          <w:tcPr>
            <w:tcW w:w="2160" w:type="dxa"/>
            <w:vAlign w:val="bottom"/>
          </w:tcPr>
          <w:p>
            <w:pPr>
              <w:spacing w:after="0"/>
              <w:rPr>
                <w:sz w:val="19"/>
                <w:szCs w:val="19"/>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7"/>
                <w:szCs w:val="17"/>
                <w:color w:val="auto"/>
              </w:rPr>
              <w:t>67,787,502</w:t>
            </w:r>
          </w:p>
        </w:tc>
        <w:tc>
          <w:tcPr>
            <w:tcW w:w="1340" w:type="dxa"/>
            <w:vAlign w:val="bottom"/>
            <w:gridSpan w:val="2"/>
          </w:tcPr>
          <w:p>
            <w:pPr>
              <w:jc w:val="right"/>
              <w:ind w:right="100"/>
              <w:spacing w:after="0"/>
              <w:rPr>
                <w:sz w:val="20"/>
                <w:szCs w:val="20"/>
                <w:color w:val="auto"/>
              </w:rPr>
            </w:pPr>
            <w:r>
              <w:rPr>
                <w:rFonts w:ascii="Arial" w:cs="Arial" w:eastAsia="Arial" w:hAnsi="Arial"/>
                <w:sz w:val="17"/>
                <w:szCs w:val="17"/>
                <w:color w:val="auto"/>
              </w:rPr>
              <w:t>57,831,696</w:t>
            </w:r>
          </w:p>
        </w:tc>
      </w:tr>
      <w:tr>
        <w:trPr>
          <w:trHeight w:val="201"/>
        </w:trPr>
        <w:tc>
          <w:tcPr>
            <w:tcW w:w="6440" w:type="dxa"/>
            <w:vAlign w:val="bottom"/>
            <w:tcBorders>
              <w:top w:val="single" w:sz="8" w:color="CCEEFF"/>
            </w:tcBorders>
            <w:shd w:val="clear" w:color="auto" w:fill="CCEEFF"/>
          </w:tcPr>
          <w:p>
            <w:pPr>
              <w:spacing w:after="0"/>
              <w:rPr>
                <w:sz w:val="17"/>
                <w:szCs w:val="17"/>
                <w:color w:val="auto"/>
              </w:rPr>
            </w:pPr>
          </w:p>
        </w:tc>
        <w:tc>
          <w:tcPr>
            <w:tcW w:w="2160" w:type="dxa"/>
            <w:vAlign w:val="bottom"/>
            <w:tcBorders>
              <w:top w:val="single" w:sz="8" w:color="CCEEFF"/>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97,170,411</w:t>
            </w:r>
          </w:p>
        </w:tc>
        <w:tc>
          <w:tcPr>
            <w:tcW w:w="22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85,916,387</w:t>
            </w:r>
          </w:p>
        </w:tc>
        <w:tc>
          <w:tcPr>
            <w:tcW w:w="100" w:type="dxa"/>
            <w:vAlign w:val="bottom"/>
            <w:tcBorders>
              <w:top w:val="single" w:sz="8" w:color="CCEEFF"/>
            </w:tcBorders>
            <w:shd w:val="clear" w:color="auto" w:fill="CCEEFF"/>
          </w:tcPr>
          <w:p>
            <w:pPr>
              <w:spacing w:after="0"/>
              <w:rPr>
                <w:sz w:val="17"/>
                <w:szCs w:val="17"/>
                <w:color w:val="auto"/>
              </w:rPr>
            </w:pPr>
          </w:p>
        </w:tc>
      </w:tr>
      <w:tr>
        <w:trPr>
          <w:trHeight w:val="208"/>
        </w:trPr>
        <w:tc>
          <w:tcPr>
            <w:tcW w:w="644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8"/>
        </w:trPr>
        <w:tc>
          <w:tcPr>
            <w:tcW w:w="6440" w:type="dxa"/>
            <w:vAlign w:val="bottom"/>
            <w:shd w:val="clear" w:color="auto" w:fill="CCEEFF"/>
          </w:tcPr>
          <w:p>
            <w:pPr>
              <w:spacing w:after="0"/>
              <w:rPr>
                <w:sz w:val="20"/>
                <w:szCs w:val="20"/>
                <w:color w:val="auto"/>
              </w:rPr>
            </w:pPr>
            <w:r>
              <w:rPr>
                <w:rFonts w:ascii="Arial" w:cs="Arial" w:eastAsia="Arial" w:hAnsi="Arial"/>
                <w:sz w:val="17"/>
                <w:szCs w:val="17"/>
                <w:color w:val="auto"/>
              </w:rPr>
              <w:t>Payables from repurchase agreements and security lending</w:t>
            </w:r>
          </w:p>
        </w:tc>
        <w:tc>
          <w:tcPr>
            <w:tcW w:w="2160" w:type="dxa"/>
            <w:vAlign w:val="bottom"/>
            <w:shd w:val="clear" w:color="auto" w:fill="CCEEFF"/>
          </w:tcPr>
          <w:p>
            <w:pPr>
              <w:jc w:val="center"/>
              <w:ind w:left="953"/>
              <w:spacing w:after="0"/>
              <w:rPr>
                <w:sz w:val="20"/>
                <w:szCs w:val="20"/>
                <w:color w:val="auto"/>
              </w:rPr>
            </w:pPr>
            <w:r>
              <w:rPr>
                <w:rFonts w:ascii="Arial" w:cs="Arial" w:eastAsia="Arial" w:hAnsi="Arial"/>
                <w:sz w:val="17"/>
                <w:szCs w:val="17"/>
                <w:color w:val="auto"/>
                <w:w w:val="92"/>
              </w:rPr>
              <w:t>5(b)</w:t>
            </w: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13,415,843</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15,127,999</w:t>
            </w:r>
          </w:p>
        </w:tc>
      </w:tr>
      <w:tr>
        <w:trPr>
          <w:trHeight w:val="208"/>
        </w:trPr>
        <w:tc>
          <w:tcPr>
            <w:tcW w:w="6440" w:type="dxa"/>
            <w:vAlign w:val="bottom"/>
          </w:tcPr>
          <w:p>
            <w:pPr>
              <w:spacing w:after="0"/>
              <w:rPr>
                <w:sz w:val="20"/>
                <w:szCs w:val="20"/>
                <w:color w:val="auto"/>
              </w:rPr>
            </w:pPr>
            <w:r>
              <w:rPr>
                <w:rFonts w:ascii="Arial" w:cs="Arial" w:eastAsia="Arial" w:hAnsi="Arial"/>
                <w:sz w:val="17"/>
                <w:szCs w:val="17"/>
                <w:color w:val="auto"/>
              </w:rPr>
              <w:t>Due to banks and correspondents</w:t>
            </w:r>
          </w:p>
        </w:tc>
        <w:tc>
          <w:tcPr>
            <w:tcW w:w="2160" w:type="dxa"/>
            <w:vAlign w:val="bottom"/>
          </w:tcPr>
          <w:p>
            <w:pPr>
              <w:jc w:val="center"/>
              <w:ind w:left="953"/>
              <w:spacing w:after="0"/>
              <w:rPr>
                <w:sz w:val="20"/>
                <w:szCs w:val="20"/>
                <w:color w:val="auto"/>
              </w:rPr>
            </w:pPr>
            <w:r>
              <w:rPr>
                <w:rFonts w:ascii="Arial" w:cs="Arial" w:eastAsia="Arial" w:hAnsi="Arial"/>
                <w:sz w:val="17"/>
                <w:szCs w:val="17"/>
                <w:color w:val="auto"/>
                <w:w w:val="84"/>
              </w:rPr>
              <w:t>14</w:t>
            </w:r>
          </w:p>
        </w:tc>
        <w:tc>
          <w:tcPr>
            <w:tcW w:w="1260" w:type="dxa"/>
            <w:vAlign w:val="bottom"/>
          </w:tcPr>
          <w:p>
            <w:pPr>
              <w:jc w:val="right"/>
              <w:spacing w:after="0"/>
              <w:rPr>
                <w:sz w:val="20"/>
                <w:szCs w:val="20"/>
                <w:color w:val="auto"/>
              </w:rPr>
            </w:pPr>
            <w:r>
              <w:rPr>
                <w:rFonts w:ascii="Arial" w:cs="Arial" w:eastAsia="Arial" w:hAnsi="Arial"/>
                <w:sz w:val="17"/>
                <w:szCs w:val="17"/>
                <w:color w:val="auto"/>
              </w:rPr>
              <w:t>7,996,889</w:t>
            </w:r>
          </w:p>
        </w:tc>
        <w:tc>
          <w:tcPr>
            <w:tcW w:w="22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7"/>
                <w:szCs w:val="17"/>
                <w:color w:val="auto"/>
              </w:rPr>
              <w:t>7,493,916</w:t>
            </w:r>
          </w:p>
        </w:tc>
      </w:tr>
      <w:tr>
        <w:trPr>
          <w:trHeight w:val="208"/>
        </w:trPr>
        <w:tc>
          <w:tcPr>
            <w:tcW w:w="6440" w:type="dxa"/>
            <w:vAlign w:val="bottom"/>
            <w:shd w:val="clear" w:color="auto" w:fill="CCEEFF"/>
          </w:tcPr>
          <w:p>
            <w:pPr>
              <w:spacing w:after="0"/>
              <w:rPr>
                <w:sz w:val="20"/>
                <w:szCs w:val="20"/>
                <w:color w:val="auto"/>
              </w:rPr>
            </w:pPr>
            <w:r>
              <w:rPr>
                <w:rFonts w:ascii="Arial" w:cs="Arial" w:eastAsia="Arial" w:hAnsi="Arial"/>
                <w:sz w:val="17"/>
                <w:szCs w:val="17"/>
                <w:color w:val="auto"/>
              </w:rPr>
              <w:t>Banker’s acceptances outstanding</w:t>
            </w:r>
          </w:p>
        </w:tc>
        <w:tc>
          <w:tcPr>
            <w:tcW w:w="21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532,034</w:t>
            </w: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491,139</w:t>
            </w:r>
          </w:p>
        </w:tc>
      </w:tr>
      <w:tr>
        <w:trPr>
          <w:trHeight w:val="208"/>
        </w:trPr>
        <w:tc>
          <w:tcPr>
            <w:tcW w:w="6440" w:type="dxa"/>
            <w:vAlign w:val="bottom"/>
          </w:tcPr>
          <w:p>
            <w:pPr>
              <w:spacing w:after="0"/>
              <w:rPr>
                <w:sz w:val="20"/>
                <w:szCs w:val="20"/>
                <w:color w:val="auto"/>
              </w:rPr>
            </w:pPr>
            <w:r>
              <w:rPr>
                <w:rFonts w:ascii="Arial" w:cs="Arial" w:eastAsia="Arial" w:hAnsi="Arial"/>
                <w:sz w:val="17"/>
                <w:szCs w:val="17"/>
                <w:color w:val="auto"/>
              </w:rPr>
              <w:t>Accounts payable to reinsurers</w:t>
            </w:r>
          </w:p>
        </w:tc>
        <w:tc>
          <w:tcPr>
            <w:tcW w:w="2160" w:type="dxa"/>
            <w:vAlign w:val="bottom"/>
          </w:tcPr>
          <w:p>
            <w:pPr>
              <w:jc w:val="center"/>
              <w:ind w:left="953"/>
              <w:spacing w:after="0"/>
              <w:rPr>
                <w:sz w:val="20"/>
                <w:szCs w:val="20"/>
                <w:color w:val="auto"/>
              </w:rPr>
            </w:pPr>
            <w:r>
              <w:rPr>
                <w:rFonts w:ascii="Arial" w:cs="Arial" w:eastAsia="Arial" w:hAnsi="Arial"/>
                <w:sz w:val="17"/>
                <w:szCs w:val="17"/>
                <w:color w:val="auto"/>
                <w:w w:val="92"/>
              </w:rPr>
              <w:t>9(b)</w:t>
            </w:r>
          </w:p>
        </w:tc>
        <w:tc>
          <w:tcPr>
            <w:tcW w:w="1260" w:type="dxa"/>
            <w:vAlign w:val="bottom"/>
          </w:tcPr>
          <w:p>
            <w:pPr>
              <w:jc w:val="right"/>
              <w:spacing w:after="0"/>
              <w:rPr>
                <w:sz w:val="20"/>
                <w:szCs w:val="20"/>
                <w:color w:val="auto"/>
              </w:rPr>
            </w:pPr>
            <w:r>
              <w:rPr>
                <w:rFonts w:ascii="Arial" w:cs="Arial" w:eastAsia="Arial" w:hAnsi="Arial"/>
                <w:sz w:val="17"/>
                <w:szCs w:val="17"/>
                <w:color w:val="auto"/>
              </w:rPr>
              <w:t>235,185</w:t>
            </w:r>
          </w:p>
        </w:tc>
        <w:tc>
          <w:tcPr>
            <w:tcW w:w="22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7"/>
                <w:szCs w:val="17"/>
                <w:color w:val="auto"/>
              </w:rPr>
              <w:t>233,892</w:t>
            </w:r>
          </w:p>
        </w:tc>
      </w:tr>
      <w:tr>
        <w:trPr>
          <w:trHeight w:val="208"/>
        </w:trPr>
        <w:tc>
          <w:tcPr>
            <w:tcW w:w="6440" w:type="dxa"/>
            <w:vAlign w:val="bottom"/>
            <w:shd w:val="clear" w:color="auto" w:fill="CCEEFF"/>
          </w:tcPr>
          <w:p>
            <w:pPr>
              <w:spacing w:after="0"/>
              <w:rPr>
                <w:sz w:val="18"/>
                <w:szCs w:val="18"/>
                <w:color w:val="auto"/>
              </w:rPr>
            </w:pPr>
          </w:p>
        </w:tc>
        <w:tc>
          <w:tcPr>
            <w:tcW w:w="21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8"/>
        </w:trPr>
        <w:tc>
          <w:tcPr>
            <w:tcW w:w="6440" w:type="dxa"/>
            <w:vAlign w:val="bottom"/>
          </w:tcPr>
          <w:p>
            <w:pPr>
              <w:spacing w:after="0"/>
              <w:rPr>
                <w:sz w:val="20"/>
                <w:szCs w:val="20"/>
                <w:color w:val="auto"/>
              </w:rPr>
            </w:pPr>
            <w:r>
              <w:rPr>
                <w:rFonts w:ascii="Arial" w:cs="Arial" w:eastAsia="Arial" w:hAnsi="Arial"/>
                <w:sz w:val="17"/>
                <w:szCs w:val="17"/>
                <w:color w:val="auto"/>
              </w:rPr>
              <w:t>Financial liabilities at fair value through profit or loss</w:t>
            </w:r>
          </w:p>
        </w:tc>
        <w:tc>
          <w:tcPr>
            <w:tcW w:w="2160" w:type="dxa"/>
            <w:vAlign w:val="bottom"/>
          </w:tcPr>
          <w:p>
            <w:pPr>
              <w:ind w:left="1360"/>
              <w:spacing w:after="0"/>
              <w:rPr>
                <w:sz w:val="20"/>
                <w:szCs w:val="20"/>
                <w:color w:val="auto"/>
              </w:rPr>
            </w:pPr>
            <w:r>
              <w:rPr>
                <w:rFonts w:ascii="Arial" w:cs="Arial" w:eastAsia="Arial" w:hAnsi="Arial"/>
                <w:sz w:val="17"/>
                <w:szCs w:val="17"/>
                <w:color w:val="auto"/>
              </w:rPr>
              <w:t>3(f)(v)</w:t>
            </w:r>
          </w:p>
        </w:tc>
        <w:tc>
          <w:tcPr>
            <w:tcW w:w="1260" w:type="dxa"/>
            <w:vAlign w:val="bottom"/>
          </w:tcPr>
          <w:p>
            <w:pPr>
              <w:jc w:val="right"/>
              <w:spacing w:after="0"/>
              <w:rPr>
                <w:sz w:val="20"/>
                <w:szCs w:val="20"/>
                <w:color w:val="auto"/>
              </w:rPr>
            </w:pPr>
            <w:r>
              <w:rPr>
                <w:rFonts w:ascii="Arial" w:cs="Arial" w:eastAsia="Arial" w:hAnsi="Arial"/>
                <w:sz w:val="17"/>
                <w:szCs w:val="17"/>
                <w:color w:val="auto"/>
              </w:rPr>
              <w:t>168,089</w:t>
            </w:r>
          </w:p>
        </w:tc>
        <w:tc>
          <w:tcPr>
            <w:tcW w:w="22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7"/>
                <w:szCs w:val="17"/>
                <w:color w:val="auto"/>
              </w:rPr>
              <w:t>209,520</w:t>
            </w:r>
          </w:p>
        </w:tc>
      </w:tr>
      <w:tr>
        <w:trPr>
          <w:trHeight w:val="208"/>
        </w:trPr>
        <w:tc>
          <w:tcPr>
            <w:tcW w:w="6440" w:type="dxa"/>
            <w:vAlign w:val="bottom"/>
            <w:shd w:val="clear" w:color="auto" w:fill="CCEEFF"/>
          </w:tcPr>
          <w:p>
            <w:pPr>
              <w:spacing w:after="0"/>
              <w:rPr>
                <w:sz w:val="18"/>
                <w:szCs w:val="18"/>
                <w:color w:val="auto"/>
              </w:rPr>
            </w:pPr>
          </w:p>
        </w:tc>
        <w:tc>
          <w:tcPr>
            <w:tcW w:w="21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195"/>
        </w:trPr>
        <w:tc>
          <w:tcPr>
            <w:tcW w:w="6440" w:type="dxa"/>
            <w:vAlign w:val="bottom"/>
          </w:tcPr>
          <w:p>
            <w:pPr>
              <w:spacing w:after="0"/>
              <w:rPr>
                <w:sz w:val="20"/>
                <w:szCs w:val="20"/>
                <w:color w:val="auto"/>
              </w:rPr>
            </w:pPr>
            <w:r>
              <w:rPr>
                <w:rFonts w:ascii="Arial" w:cs="Arial" w:eastAsia="Arial" w:hAnsi="Arial"/>
                <w:sz w:val="17"/>
                <w:szCs w:val="17"/>
                <w:color w:val="auto"/>
              </w:rPr>
              <w:t>Technical reserves, insurance claims reserves</w:t>
            </w:r>
          </w:p>
        </w:tc>
        <w:tc>
          <w:tcPr>
            <w:tcW w:w="21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20"/>
        </w:trPr>
        <w:tc>
          <w:tcPr>
            <w:tcW w:w="6440" w:type="dxa"/>
            <w:vAlign w:val="bottom"/>
          </w:tcPr>
          <w:p>
            <w:pPr>
              <w:spacing w:after="0"/>
              <w:rPr>
                <w:sz w:val="20"/>
                <w:szCs w:val="20"/>
                <w:color w:val="auto"/>
              </w:rPr>
            </w:pPr>
            <w:r>
              <w:rPr>
                <w:rFonts w:ascii="Arial" w:cs="Arial" w:eastAsia="Arial" w:hAnsi="Arial"/>
                <w:sz w:val="17"/>
                <w:szCs w:val="17"/>
                <w:color w:val="auto"/>
              </w:rPr>
              <w:t>and unearned premiums</w:t>
            </w:r>
          </w:p>
        </w:tc>
        <w:tc>
          <w:tcPr>
            <w:tcW w:w="2160" w:type="dxa"/>
            <w:vAlign w:val="bottom"/>
          </w:tcPr>
          <w:p>
            <w:pPr>
              <w:jc w:val="center"/>
              <w:ind w:left="953"/>
              <w:spacing w:after="0"/>
              <w:rPr>
                <w:sz w:val="20"/>
                <w:szCs w:val="20"/>
                <w:color w:val="auto"/>
              </w:rPr>
            </w:pPr>
            <w:r>
              <w:rPr>
                <w:rFonts w:ascii="Arial" w:cs="Arial" w:eastAsia="Arial" w:hAnsi="Arial"/>
                <w:sz w:val="17"/>
                <w:szCs w:val="17"/>
                <w:color w:val="auto"/>
                <w:w w:val="84"/>
              </w:rPr>
              <w:t>15</w:t>
            </w:r>
          </w:p>
        </w:tc>
        <w:tc>
          <w:tcPr>
            <w:tcW w:w="1260" w:type="dxa"/>
            <w:vAlign w:val="bottom"/>
          </w:tcPr>
          <w:p>
            <w:pPr>
              <w:jc w:val="right"/>
              <w:spacing w:after="0"/>
              <w:rPr>
                <w:sz w:val="20"/>
                <w:szCs w:val="20"/>
                <w:color w:val="auto"/>
              </w:rPr>
            </w:pPr>
            <w:r>
              <w:rPr>
                <w:rFonts w:ascii="Arial" w:cs="Arial" w:eastAsia="Arial" w:hAnsi="Arial"/>
                <w:sz w:val="17"/>
                <w:szCs w:val="17"/>
                <w:color w:val="auto"/>
              </w:rPr>
              <w:t>7,443,760</w:t>
            </w:r>
          </w:p>
        </w:tc>
        <w:tc>
          <w:tcPr>
            <w:tcW w:w="220" w:type="dxa"/>
            <w:vAlign w:val="bottom"/>
          </w:tcPr>
          <w:p>
            <w:pPr>
              <w:spacing w:after="0"/>
              <w:rPr>
                <w:sz w:val="19"/>
                <w:szCs w:val="19"/>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7"/>
                <w:szCs w:val="17"/>
                <w:color w:val="auto"/>
              </w:rPr>
              <w:t>6,786,189</w:t>
            </w:r>
          </w:p>
        </w:tc>
      </w:tr>
      <w:tr>
        <w:trPr>
          <w:trHeight w:val="208"/>
        </w:trPr>
        <w:tc>
          <w:tcPr>
            <w:tcW w:w="6440" w:type="dxa"/>
            <w:vAlign w:val="bottom"/>
            <w:shd w:val="clear" w:color="auto" w:fill="CCEEFF"/>
          </w:tcPr>
          <w:p>
            <w:pPr>
              <w:spacing w:after="0"/>
              <w:rPr>
                <w:sz w:val="20"/>
                <w:szCs w:val="20"/>
                <w:color w:val="auto"/>
              </w:rPr>
            </w:pPr>
            <w:r>
              <w:rPr>
                <w:rFonts w:ascii="Arial" w:cs="Arial" w:eastAsia="Arial" w:hAnsi="Arial"/>
                <w:sz w:val="17"/>
                <w:szCs w:val="17"/>
                <w:color w:val="auto"/>
              </w:rPr>
              <w:t>Bonds and notes issued</w:t>
            </w:r>
          </w:p>
        </w:tc>
        <w:tc>
          <w:tcPr>
            <w:tcW w:w="2160" w:type="dxa"/>
            <w:vAlign w:val="bottom"/>
            <w:shd w:val="clear" w:color="auto" w:fill="CCEEFF"/>
          </w:tcPr>
          <w:p>
            <w:pPr>
              <w:jc w:val="center"/>
              <w:ind w:left="953"/>
              <w:spacing w:after="0"/>
              <w:rPr>
                <w:sz w:val="20"/>
                <w:szCs w:val="20"/>
                <w:color w:val="auto"/>
              </w:rPr>
            </w:pPr>
            <w:r>
              <w:rPr>
                <w:rFonts w:ascii="Arial" w:cs="Arial" w:eastAsia="Arial" w:hAnsi="Arial"/>
                <w:sz w:val="17"/>
                <w:szCs w:val="17"/>
                <w:color w:val="auto"/>
                <w:w w:val="84"/>
              </w:rPr>
              <w:t>16</w:t>
            </w: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16,242,257</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15,939,603</w:t>
            </w:r>
          </w:p>
        </w:tc>
      </w:tr>
      <w:tr>
        <w:trPr>
          <w:trHeight w:val="221"/>
        </w:trPr>
        <w:tc>
          <w:tcPr>
            <w:tcW w:w="6440" w:type="dxa"/>
            <w:vAlign w:val="bottom"/>
          </w:tcPr>
          <w:p>
            <w:pPr>
              <w:spacing w:after="0"/>
              <w:rPr>
                <w:sz w:val="20"/>
                <w:szCs w:val="20"/>
                <w:color w:val="auto"/>
              </w:rPr>
            </w:pPr>
            <w:r>
              <w:rPr>
                <w:rFonts w:ascii="Arial" w:cs="Arial" w:eastAsia="Arial" w:hAnsi="Arial"/>
                <w:sz w:val="17"/>
                <w:szCs w:val="17"/>
                <w:color w:val="auto"/>
              </w:rPr>
              <w:t>Other liabilities</w:t>
            </w:r>
          </w:p>
        </w:tc>
        <w:tc>
          <w:tcPr>
            <w:tcW w:w="2160" w:type="dxa"/>
            <w:vAlign w:val="bottom"/>
          </w:tcPr>
          <w:p>
            <w:pPr>
              <w:jc w:val="center"/>
              <w:ind w:left="953"/>
              <w:spacing w:after="0"/>
              <w:rPr>
                <w:sz w:val="20"/>
                <w:szCs w:val="20"/>
                <w:color w:val="auto"/>
              </w:rPr>
            </w:pPr>
            <w:r>
              <w:rPr>
                <w:rFonts w:ascii="Arial" w:cs="Arial" w:eastAsia="Arial" w:hAnsi="Arial"/>
                <w:sz w:val="17"/>
                <w:szCs w:val="17"/>
                <w:color w:val="auto"/>
                <w:w w:val="84"/>
              </w:rPr>
              <w:t>12</w:t>
            </w:r>
          </w:p>
        </w:tc>
        <w:tc>
          <w:tcPr>
            <w:tcW w:w="1260" w:type="dxa"/>
            <w:vAlign w:val="bottom"/>
          </w:tcPr>
          <w:p>
            <w:pPr>
              <w:jc w:val="right"/>
              <w:spacing w:after="0"/>
              <w:rPr>
                <w:sz w:val="20"/>
                <w:szCs w:val="20"/>
                <w:color w:val="auto"/>
              </w:rPr>
            </w:pPr>
            <w:r>
              <w:rPr>
                <w:rFonts w:ascii="Arial" w:cs="Arial" w:eastAsia="Arial" w:hAnsi="Arial"/>
                <w:sz w:val="17"/>
                <w:szCs w:val="17"/>
                <w:color w:val="auto"/>
              </w:rPr>
              <w:t>5,014,112</w:t>
            </w:r>
          </w:p>
        </w:tc>
        <w:tc>
          <w:tcPr>
            <w:tcW w:w="220" w:type="dxa"/>
            <w:vAlign w:val="bottom"/>
          </w:tcPr>
          <w:p>
            <w:pPr>
              <w:spacing w:after="0"/>
              <w:rPr>
                <w:sz w:val="19"/>
                <w:szCs w:val="19"/>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7"/>
                <w:szCs w:val="17"/>
                <w:color w:val="auto"/>
              </w:rPr>
              <w:t>4,120,066</w:t>
            </w:r>
          </w:p>
        </w:tc>
      </w:tr>
      <w:tr>
        <w:trPr>
          <w:trHeight w:val="201"/>
        </w:trPr>
        <w:tc>
          <w:tcPr>
            <w:tcW w:w="6440" w:type="dxa"/>
            <w:vAlign w:val="bottom"/>
            <w:tcBorders>
              <w:top w:val="single" w:sz="8" w:color="CCEEFF"/>
            </w:tcBorders>
            <w:shd w:val="clear" w:color="auto" w:fill="CCEEFF"/>
          </w:tcPr>
          <w:p>
            <w:pPr>
              <w:spacing w:after="0"/>
              <w:rPr>
                <w:sz w:val="17"/>
                <w:szCs w:val="17"/>
                <w:color w:val="auto"/>
              </w:rPr>
            </w:pPr>
          </w:p>
        </w:tc>
        <w:tc>
          <w:tcPr>
            <w:tcW w:w="2160" w:type="dxa"/>
            <w:vAlign w:val="bottom"/>
            <w:tcBorders>
              <w:top w:val="single" w:sz="8" w:color="CCEEFF"/>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21"/>
        </w:trPr>
        <w:tc>
          <w:tcPr>
            <w:tcW w:w="6440" w:type="dxa"/>
            <w:vAlign w:val="bottom"/>
          </w:tcPr>
          <w:p>
            <w:pPr>
              <w:spacing w:after="0"/>
              <w:rPr>
                <w:sz w:val="20"/>
                <w:szCs w:val="20"/>
                <w:color w:val="auto"/>
              </w:rPr>
            </w:pPr>
            <w:r>
              <w:rPr>
                <w:rFonts w:ascii="Arial" w:cs="Arial" w:eastAsia="Arial" w:hAnsi="Arial"/>
                <w:sz w:val="17"/>
                <w:szCs w:val="17"/>
                <w:b w:val="1"/>
                <w:bCs w:val="1"/>
                <w:color w:val="auto"/>
              </w:rPr>
              <w:t>Total liabilities</w:t>
            </w:r>
          </w:p>
        </w:tc>
        <w:tc>
          <w:tcPr>
            <w:tcW w:w="2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148,218,580</w:t>
            </w:r>
          </w:p>
        </w:tc>
        <w:tc>
          <w:tcPr>
            <w:tcW w:w="220" w:type="dxa"/>
            <w:vAlign w:val="bottom"/>
          </w:tcPr>
          <w:p>
            <w:pPr>
              <w:spacing w:after="0"/>
              <w:rPr>
                <w:sz w:val="19"/>
                <w:szCs w:val="19"/>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7"/>
                <w:szCs w:val="17"/>
                <w:color w:val="auto"/>
              </w:rPr>
              <w:t>136,318,711</w:t>
            </w:r>
          </w:p>
        </w:tc>
      </w:tr>
      <w:tr>
        <w:trPr>
          <w:trHeight w:val="201"/>
        </w:trPr>
        <w:tc>
          <w:tcPr>
            <w:tcW w:w="6440" w:type="dxa"/>
            <w:vAlign w:val="bottom"/>
            <w:tcBorders>
              <w:top w:val="single" w:sz="8" w:color="CCEEFF"/>
            </w:tcBorders>
            <w:shd w:val="clear" w:color="auto" w:fill="CCEEFF"/>
          </w:tcPr>
          <w:p>
            <w:pPr>
              <w:spacing w:after="0"/>
              <w:rPr>
                <w:sz w:val="17"/>
                <w:szCs w:val="17"/>
                <w:color w:val="auto"/>
              </w:rPr>
            </w:pPr>
          </w:p>
        </w:tc>
        <w:tc>
          <w:tcPr>
            <w:tcW w:w="2160" w:type="dxa"/>
            <w:vAlign w:val="bottom"/>
            <w:tcBorders>
              <w:top w:val="single" w:sz="8" w:color="CCEEFF"/>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08"/>
        </w:trPr>
        <w:tc>
          <w:tcPr>
            <w:tcW w:w="6440" w:type="dxa"/>
            <w:vAlign w:val="bottom"/>
          </w:tcPr>
          <w:p>
            <w:pPr>
              <w:spacing w:after="0"/>
              <w:rPr>
                <w:sz w:val="20"/>
                <w:szCs w:val="20"/>
                <w:color w:val="auto"/>
              </w:rPr>
            </w:pPr>
            <w:r>
              <w:rPr>
                <w:rFonts w:ascii="Arial" w:cs="Arial" w:eastAsia="Arial" w:hAnsi="Arial"/>
                <w:sz w:val="17"/>
                <w:szCs w:val="17"/>
                <w:b w:val="1"/>
                <w:bCs w:val="1"/>
                <w:color w:val="auto"/>
              </w:rPr>
              <w:t>Equity</w:t>
            </w:r>
          </w:p>
        </w:tc>
        <w:tc>
          <w:tcPr>
            <w:tcW w:w="2160" w:type="dxa"/>
            <w:vAlign w:val="bottom"/>
          </w:tcPr>
          <w:p>
            <w:pPr>
              <w:jc w:val="center"/>
              <w:ind w:left="953"/>
              <w:spacing w:after="0"/>
              <w:rPr>
                <w:sz w:val="20"/>
                <w:szCs w:val="20"/>
                <w:color w:val="auto"/>
              </w:rPr>
            </w:pPr>
            <w:r>
              <w:rPr>
                <w:rFonts w:ascii="Arial" w:cs="Arial" w:eastAsia="Arial" w:hAnsi="Arial"/>
                <w:sz w:val="17"/>
                <w:szCs w:val="17"/>
                <w:color w:val="auto"/>
                <w:w w:val="84"/>
              </w:rPr>
              <w:t>17</w:t>
            </w: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8"/>
        </w:trPr>
        <w:tc>
          <w:tcPr>
            <w:tcW w:w="6440" w:type="dxa"/>
            <w:vAlign w:val="bottom"/>
            <w:shd w:val="clear" w:color="auto" w:fill="CCEEFF"/>
          </w:tcPr>
          <w:p>
            <w:pPr>
              <w:spacing w:after="0"/>
              <w:rPr>
                <w:sz w:val="20"/>
                <w:szCs w:val="20"/>
                <w:color w:val="auto"/>
              </w:rPr>
            </w:pPr>
            <w:r>
              <w:rPr>
                <w:rFonts w:ascii="Arial" w:cs="Arial" w:eastAsia="Arial" w:hAnsi="Arial"/>
                <w:sz w:val="17"/>
                <w:szCs w:val="17"/>
                <w:color w:val="auto"/>
              </w:rPr>
              <w:t>Equity attributable to Credicorp´s equity holders</w:t>
            </w:r>
          </w:p>
        </w:tc>
        <w:tc>
          <w:tcPr>
            <w:tcW w:w="21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8"/>
        </w:trPr>
        <w:tc>
          <w:tcPr>
            <w:tcW w:w="6440" w:type="dxa"/>
            <w:vAlign w:val="bottom"/>
          </w:tcPr>
          <w:p>
            <w:pPr>
              <w:spacing w:after="0"/>
              <w:rPr>
                <w:sz w:val="20"/>
                <w:szCs w:val="20"/>
                <w:color w:val="auto"/>
              </w:rPr>
            </w:pPr>
            <w:r>
              <w:rPr>
                <w:rFonts w:ascii="Arial" w:cs="Arial" w:eastAsia="Arial" w:hAnsi="Arial"/>
                <w:sz w:val="17"/>
                <w:szCs w:val="17"/>
                <w:color w:val="auto"/>
              </w:rPr>
              <w:t>Capital stock</w:t>
            </w:r>
          </w:p>
        </w:tc>
        <w:tc>
          <w:tcPr>
            <w:tcW w:w="21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1,318,993</w:t>
            </w:r>
          </w:p>
        </w:tc>
        <w:tc>
          <w:tcPr>
            <w:tcW w:w="22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7"/>
                <w:szCs w:val="17"/>
                <w:color w:val="auto"/>
              </w:rPr>
              <w:t>1,318,993</w:t>
            </w:r>
          </w:p>
        </w:tc>
      </w:tr>
      <w:tr>
        <w:trPr>
          <w:trHeight w:val="208"/>
        </w:trPr>
        <w:tc>
          <w:tcPr>
            <w:tcW w:w="6440" w:type="dxa"/>
            <w:vAlign w:val="bottom"/>
            <w:shd w:val="clear" w:color="auto" w:fill="CCEEFF"/>
          </w:tcPr>
          <w:p>
            <w:pPr>
              <w:ind w:left="180"/>
              <w:spacing w:after="0"/>
              <w:rPr>
                <w:sz w:val="20"/>
                <w:szCs w:val="20"/>
                <w:color w:val="auto"/>
              </w:rPr>
            </w:pPr>
            <w:r>
              <w:rPr>
                <w:rFonts w:ascii="Arial" w:cs="Arial" w:eastAsia="Arial" w:hAnsi="Arial"/>
                <w:sz w:val="17"/>
                <w:szCs w:val="17"/>
                <w:color w:val="auto"/>
              </w:rPr>
              <w:t>Treasury stock</w:t>
            </w:r>
          </w:p>
        </w:tc>
        <w:tc>
          <w:tcPr>
            <w:tcW w:w="2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(208,937)</w:t>
            </w:r>
          </w:p>
        </w:tc>
        <w:tc>
          <w:tcPr>
            <w:tcW w:w="13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(209,322)</w:t>
            </w:r>
          </w:p>
        </w:tc>
      </w:tr>
      <w:tr>
        <w:trPr>
          <w:trHeight w:val="208"/>
        </w:trPr>
        <w:tc>
          <w:tcPr>
            <w:tcW w:w="6440" w:type="dxa"/>
            <w:vAlign w:val="bottom"/>
          </w:tcPr>
          <w:p>
            <w:pPr>
              <w:ind w:left="180"/>
              <w:spacing w:after="0"/>
              <w:rPr>
                <w:sz w:val="20"/>
                <w:szCs w:val="20"/>
                <w:color w:val="auto"/>
              </w:rPr>
            </w:pPr>
            <w:r>
              <w:rPr>
                <w:rFonts w:ascii="Arial" w:cs="Arial" w:eastAsia="Arial" w:hAnsi="Arial"/>
                <w:sz w:val="17"/>
                <w:szCs w:val="17"/>
                <w:color w:val="auto"/>
              </w:rPr>
              <w:t>Capital Surplus</w:t>
            </w:r>
          </w:p>
        </w:tc>
        <w:tc>
          <w:tcPr>
            <w:tcW w:w="21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271,948</w:t>
            </w:r>
          </w:p>
        </w:tc>
        <w:tc>
          <w:tcPr>
            <w:tcW w:w="22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7"/>
                <w:szCs w:val="17"/>
                <w:color w:val="auto"/>
              </w:rPr>
              <w:t>280,876</w:t>
            </w:r>
          </w:p>
        </w:tc>
      </w:tr>
      <w:tr>
        <w:trPr>
          <w:trHeight w:val="208"/>
        </w:trPr>
        <w:tc>
          <w:tcPr>
            <w:tcW w:w="6440" w:type="dxa"/>
            <w:vAlign w:val="bottom"/>
            <w:shd w:val="clear" w:color="auto" w:fill="CCEEFF"/>
          </w:tcPr>
          <w:p>
            <w:pPr>
              <w:ind w:left="180"/>
              <w:spacing w:after="0"/>
              <w:rPr>
                <w:sz w:val="20"/>
                <w:szCs w:val="20"/>
                <w:color w:val="auto"/>
              </w:rPr>
            </w:pPr>
            <w:r>
              <w:rPr>
                <w:rFonts w:ascii="Arial" w:cs="Arial" w:eastAsia="Arial" w:hAnsi="Arial"/>
                <w:sz w:val="17"/>
                <w:szCs w:val="17"/>
                <w:color w:val="auto"/>
              </w:rPr>
              <w:t>Reserves</w:t>
            </w:r>
          </w:p>
        </w:tc>
        <w:tc>
          <w:tcPr>
            <w:tcW w:w="2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14,647,709</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13,539,091</w:t>
            </w:r>
          </w:p>
        </w:tc>
      </w:tr>
      <w:tr>
        <w:trPr>
          <w:trHeight w:val="208"/>
        </w:trPr>
        <w:tc>
          <w:tcPr>
            <w:tcW w:w="6440" w:type="dxa"/>
            <w:vAlign w:val="bottom"/>
          </w:tcPr>
          <w:p>
            <w:pPr>
              <w:ind w:left="180"/>
              <w:spacing w:after="0"/>
              <w:rPr>
                <w:sz w:val="20"/>
                <w:szCs w:val="20"/>
                <w:color w:val="auto"/>
              </w:rPr>
            </w:pPr>
            <w:r>
              <w:rPr>
                <w:rFonts w:ascii="Arial" w:cs="Arial" w:eastAsia="Arial" w:hAnsi="Arial"/>
                <w:sz w:val="17"/>
                <w:szCs w:val="17"/>
                <w:color w:val="auto"/>
              </w:rPr>
              <w:t>Other reserves</w:t>
            </w:r>
          </w:p>
        </w:tc>
        <w:tc>
          <w:tcPr>
            <w:tcW w:w="21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1,455,594</w:t>
            </w:r>
          </w:p>
        </w:tc>
        <w:tc>
          <w:tcPr>
            <w:tcW w:w="22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7"/>
                <w:szCs w:val="17"/>
                <w:color w:val="auto"/>
              </w:rPr>
              <w:t>1,209,731</w:t>
            </w:r>
          </w:p>
        </w:tc>
      </w:tr>
      <w:tr>
        <w:trPr>
          <w:trHeight w:val="221"/>
        </w:trPr>
        <w:tc>
          <w:tcPr>
            <w:tcW w:w="6440" w:type="dxa"/>
            <w:vAlign w:val="bottom"/>
            <w:shd w:val="clear" w:color="auto" w:fill="CCEEFF"/>
          </w:tcPr>
          <w:p>
            <w:pPr>
              <w:ind w:left="180"/>
              <w:spacing w:after="0"/>
              <w:rPr>
                <w:sz w:val="20"/>
                <w:szCs w:val="20"/>
                <w:color w:val="auto"/>
              </w:rPr>
            </w:pPr>
            <w:r>
              <w:rPr>
                <w:rFonts w:ascii="Arial" w:cs="Arial" w:eastAsia="Arial" w:hAnsi="Arial"/>
                <w:sz w:val="17"/>
                <w:szCs w:val="17"/>
                <w:color w:val="auto"/>
              </w:rPr>
              <w:t>Retained earnings</w:t>
            </w:r>
          </w:p>
        </w:tc>
        <w:tc>
          <w:tcPr>
            <w:tcW w:w="2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4,271,260</w:t>
            </w:r>
          </w:p>
        </w:tc>
        <w:tc>
          <w:tcPr>
            <w:tcW w:w="2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3,516,766</w:t>
            </w:r>
          </w:p>
        </w:tc>
      </w:tr>
      <w:tr>
        <w:trPr>
          <w:trHeight w:val="201"/>
        </w:trPr>
        <w:tc>
          <w:tcPr>
            <w:tcW w:w="644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21,756,567</w:t>
            </w:r>
          </w:p>
        </w:tc>
        <w:tc>
          <w:tcPr>
            <w:tcW w:w="220" w:type="dxa"/>
            <w:vAlign w:val="bottom"/>
          </w:tcPr>
          <w:p>
            <w:pPr>
              <w:spacing w:after="0"/>
              <w:rPr>
                <w:sz w:val="17"/>
                <w:szCs w:val="17"/>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19,656,135</w:t>
            </w:r>
          </w:p>
        </w:tc>
        <w:tc>
          <w:tcPr>
            <w:tcW w:w="100" w:type="dxa"/>
            <w:vAlign w:val="bottom"/>
          </w:tcPr>
          <w:p>
            <w:pPr>
              <w:spacing w:after="0"/>
              <w:rPr>
                <w:sz w:val="17"/>
                <w:szCs w:val="17"/>
                <w:color w:val="auto"/>
              </w:rPr>
            </w:pPr>
          </w:p>
        </w:tc>
      </w:tr>
      <w:tr>
        <w:trPr>
          <w:trHeight w:val="221"/>
        </w:trPr>
        <w:tc>
          <w:tcPr>
            <w:tcW w:w="6440" w:type="dxa"/>
            <w:vAlign w:val="bottom"/>
            <w:shd w:val="clear" w:color="auto" w:fill="CCEEFF"/>
          </w:tcPr>
          <w:p>
            <w:pPr>
              <w:ind w:left="180"/>
              <w:spacing w:after="0"/>
              <w:rPr>
                <w:sz w:val="20"/>
                <w:szCs w:val="20"/>
                <w:color w:val="auto"/>
              </w:rPr>
            </w:pPr>
            <w:r>
              <w:rPr>
                <w:rFonts w:ascii="Arial" w:cs="Arial" w:eastAsia="Arial" w:hAnsi="Arial"/>
                <w:sz w:val="17"/>
                <w:szCs w:val="17"/>
                <w:color w:val="auto"/>
              </w:rPr>
              <w:t>Non-controlling interest</w:t>
            </w:r>
          </w:p>
        </w:tc>
        <w:tc>
          <w:tcPr>
            <w:tcW w:w="2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497,136</w:t>
            </w:r>
          </w:p>
        </w:tc>
        <w:tc>
          <w:tcPr>
            <w:tcW w:w="2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460,376</w:t>
            </w:r>
          </w:p>
        </w:tc>
      </w:tr>
      <w:tr>
        <w:trPr>
          <w:trHeight w:val="241"/>
        </w:trPr>
        <w:tc>
          <w:tcPr>
            <w:tcW w:w="6440" w:type="dxa"/>
            <w:vAlign w:val="bottom"/>
            <w:tcBorders>
              <w:bottom w:val="single" w:sz="8" w:color="CCEEFF"/>
            </w:tcBorders>
          </w:tcPr>
          <w:p>
            <w:pPr>
              <w:spacing w:after="0"/>
              <w:rPr>
                <w:sz w:val="20"/>
                <w:szCs w:val="20"/>
                <w:color w:val="auto"/>
              </w:rPr>
            </w:pPr>
          </w:p>
        </w:tc>
        <w:tc>
          <w:tcPr>
            <w:tcW w:w="2160" w:type="dxa"/>
            <w:vAlign w:val="bottom"/>
            <w:tcBorders>
              <w:bottom w:val="single" w:sz="8" w:color="CCEEFF"/>
            </w:tcBorders>
          </w:tcPr>
          <w:p>
            <w:pPr>
              <w:spacing w:after="0"/>
              <w:rPr>
                <w:sz w:val="20"/>
                <w:szCs w:val="20"/>
                <w:color w:val="auto"/>
              </w:rPr>
            </w:pPr>
          </w:p>
        </w:tc>
        <w:tc>
          <w:tcPr>
            <w:tcW w:w="1260" w:type="dxa"/>
            <w:vAlign w:val="bottom"/>
            <w:tcBorders>
              <w:top w:val="single" w:sz="8" w:color="auto"/>
              <w:bottom w:val="single" w:sz="8" w:color="CCEEFF"/>
            </w:tcBorders>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1240" w:type="dxa"/>
            <w:vAlign w:val="bottom"/>
            <w:tcBorders>
              <w:top w:val="single" w:sz="8" w:color="auto"/>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r>
    </w:tbl>
    <w:p>
      <w:pPr>
        <w:sectPr>
          <w:pgSz w:w="11900" w:h="16900" w:orient="portrait"/>
          <w:cols w:equalWidth="0" w:num="1">
            <w:col w:w="11420"/>
          </w:cols>
          <w:pgMar w:left="240" w:top="875" w:right="239" w:bottom="0" w:gutter="0" w:footer="0" w:header="0"/>
        </w:sectPr>
      </w:pPr>
    </w:p>
    <w:bookmarkStart w:id="14" w:name="page15"/>
    <w:bookmarkEnd w:id="1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860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Total equity</w:t>
            </w:r>
          </w:p>
        </w:tc>
        <w:tc>
          <w:tcPr>
            <w:tcW w:w="100" w:type="dxa"/>
            <w:vAlign w:val="bottom"/>
            <w:shd w:val="clear" w:color="auto" w:fill="CCEEFF"/>
          </w:tcPr>
          <w:p>
            <w:pPr>
              <w:spacing w:after="0"/>
              <w:rPr>
                <w:sz w:val="20"/>
                <w:szCs w:val="20"/>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22,253,703</w:t>
            </w:r>
          </w:p>
        </w:tc>
        <w:tc>
          <w:tcPr>
            <w:tcW w:w="10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20,116,511</w:t>
            </w:r>
          </w:p>
        </w:tc>
        <w:tc>
          <w:tcPr>
            <w:tcW w:w="0" w:type="dxa"/>
            <w:vAlign w:val="bottom"/>
          </w:tcPr>
          <w:p>
            <w:pPr>
              <w:spacing w:after="0"/>
              <w:rPr>
                <w:sz w:val="1"/>
                <w:szCs w:val="1"/>
                <w:color w:val="auto"/>
              </w:rPr>
            </w:pPr>
          </w:p>
        </w:tc>
      </w:tr>
      <w:tr>
        <w:trPr>
          <w:trHeight w:val="181"/>
        </w:trPr>
        <w:tc>
          <w:tcPr>
            <w:tcW w:w="860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860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Total liabilities and equity</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170,472,283</w:t>
            </w:r>
          </w:p>
        </w:tc>
        <w:tc>
          <w:tcPr>
            <w:tcW w:w="220" w:type="dxa"/>
            <w:vAlign w:val="bottom"/>
            <w:shd w:val="clear" w:color="auto" w:fill="CCEEFF"/>
          </w:tcPr>
          <w:p>
            <w:pPr>
              <w:spacing w:after="0"/>
              <w:rPr>
                <w:sz w:val="20"/>
                <w:szCs w:val="20"/>
                <w:color w:val="auto"/>
              </w:rPr>
            </w:pPr>
          </w:p>
        </w:tc>
        <w:tc>
          <w:tcPr>
            <w:tcW w:w="1340" w:type="dxa"/>
            <w:vAlign w:val="bottom"/>
            <w:gridSpan w:val="3"/>
            <w:shd w:val="clear" w:color="auto" w:fill="CCEEFF"/>
          </w:tcPr>
          <w:p>
            <w:pPr>
              <w:jc w:val="right"/>
              <w:ind w:right="100"/>
              <w:spacing w:after="0"/>
              <w:rPr>
                <w:sz w:val="20"/>
                <w:szCs w:val="20"/>
                <w:color w:val="auto"/>
              </w:rPr>
            </w:pPr>
            <w:r>
              <w:rPr>
                <w:rFonts w:ascii="Arial" w:cs="Arial" w:eastAsia="Arial" w:hAnsi="Arial"/>
                <w:sz w:val="17"/>
                <w:szCs w:val="17"/>
                <w:color w:val="auto"/>
              </w:rPr>
              <w:t>156,435,222</w:t>
            </w:r>
          </w:p>
        </w:tc>
        <w:tc>
          <w:tcPr>
            <w:tcW w:w="0" w:type="dxa"/>
            <w:vAlign w:val="bottom"/>
          </w:tcPr>
          <w:p>
            <w:pPr>
              <w:spacing w:after="0"/>
              <w:rPr>
                <w:sz w:val="1"/>
                <w:szCs w:val="1"/>
                <w:color w:val="auto"/>
              </w:rPr>
            </w:pPr>
          </w:p>
        </w:tc>
      </w:tr>
      <w:tr>
        <w:trPr>
          <w:trHeight w:val="20"/>
        </w:trPr>
        <w:tc>
          <w:tcPr>
            <w:tcW w:w="86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7"/>
                <w:szCs w:val="17"/>
                <w:color w:val="auto"/>
              </w:rPr>
              <w:t>The accompanying Notes are an integral part of these consolidated financial statements.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5"/>
        </w:trPr>
        <w:tc>
          <w:tcPr>
            <w:tcW w:w="860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24"/>
        </w:trPr>
        <w:tc>
          <w:tcPr>
            <w:tcW w:w="8600" w:type="dxa"/>
            <w:vAlign w:val="bottom"/>
            <w:tcBorders>
              <w:bottom w:val="single" w:sz="8" w:color="auto"/>
            </w:tcBorders>
          </w:tcPr>
          <w:p>
            <w:pPr>
              <w:jc w:val="right"/>
              <w:ind w:right="2653"/>
              <w:spacing w:after="0"/>
              <w:rPr>
                <w:sz w:val="20"/>
                <w:szCs w:val="20"/>
                <w:color w:val="auto"/>
              </w:rPr>
            </w:pPr>
            <w:r>
              <w:rPr>
                <w:rFonts w:ascii="Arial" w:cs="Arial" w:eastAsia="Arial" w:hAnsi="Arial"/>
                <w:sz w:val="17"/>
                <w:szCs w:val="17"/>
                <w:color w:val="auto"/>
              </w:rPr>
              <w:t>- 9 -</w:t>
            </w:r>
          </w:p>
        </w:tc>
        <w:tc>
          <w:tcPr>
            <w:tcW w:w="1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-981075</wp:posOffset>
            </wp:positionV>
            <wp:extent cx="7251700" cy="1403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1700" cy="140335"/>
                    </a:xfrm>
                    <a:prstGeom prst="rect">
                      <a:avLst/>
                    </a:prstGeom>
                    <a:noFill/>
                  </pic:spPr>
                </pic:pic>
              </a:graphicData>
            </a:graphic>
          </wp:anchor>
        </w:drawing>
      </w:r>
    </w:p>
    <w:p>
      <w:pPr>
        <w:sectPr>
          <w:pgSz w:w="11900" w:h="16838" w:orient="portrait"/>
          <w:cols w:equalWidth="0" w:num="1">
            <w:col w:w="11420"/>
          </w:cols>
          <w:pgMar w:left="240" w:top="140" w:right="23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226"/>
        </w:trPr>
        <w:tc>
          <w:tcPr>
            <w:tcW w:w="5580" w:type="dxa"/>
            <w:vAlign w:val="bottom"/>
          </w:tcPr>
          <w:p>
            <w:pPr>
              <w:spacing w:after="0"/>
              <w:rPr>
                <w:sz w:val="20"/>
                <w:szCs w:val="20"/>
                <w:color w:val="auto"/>
              </w:rPr>
            </w:pPr>
            <w:r>
              <w:rPr>
                <w:rFonts w:ascii="Arial" w:cs="Arial" w:eastAsia="Arial" w:hAnsi="Arial"/>
                <w:sz w:val="17"/>
                <w:szCs w:val="17"/>
                <w:b w:val="1"/>
                <w:bCs w:val="1"/>
                <w:color w:val="auto"/>
              </w:rPr>
              <w:t>CREDICORP LTD. AND SUBSIDIARIES</w:t>
            </w:r>
          </w:p>
        </w:tc>
        <w:tc>
          <w:tcPr>
            <w:tcW w:w="16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403"/>
        </w:trPr>
        <w:tc>
          <w:tcPr>
            <w:tcW w:w="5580" w:type="dxa"/>
            <w:vAlign w:val="bottom"/>
          </w:tcPr>
          <w:p>
            <w:pPr>
              <w:spacing w:after="0"/>
              <w:rPr>
                <w:sz w:val="20"/>
                <w:szCs w:val="20"/>
                <w:color w:val="auto"/>
              </w:rPr>
            </w:pPr>
            <w:r>
              <w:rPr>
                <w:rFonts w:ascii="Arial" w:cs="Arial" w:eastAsia="Arial" w:hAnsi="Arial"/>
                <w:sz w:val="17"/>
                <w:szCs w:val="17"/>
                <w:color w:val="auto"/>
              </w:rPr>
              <w:t>CONSOLIDATED STATEMENT OF INCOME</w:t>
            </w:r>
          </w:p>
        </w:tc>
        <w:tc>
          <w:tcPr>
            <w:tcW w:w="16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20"/>
        </w:trPr>
        <w:tc>
          <w:tcPr>
            <w:tcW w:w="5580" w:type="dxa"/>
            <w:vAlign w:val="bottom"/>
          </w:tcPr>
          <w:p>
            <w:pPr>
              <w:spacing w:after="0"/>
              <w:rPr>
                <w:sz w:val="20"/>
                <w:szCs w:val="20"/>
                <w:color w:val="auto"/>
              </w:rPr>
            </w:pPr>
            <w:r>
              <w:rPr>
                <w:rFonts w:ascii="Arial" w:cs="Arial" w:eastAsia="Arial" w:hAnsi="Arial"/>
                <w:sz w:val="17"/>
                <w:szCs w:val="17"/>
                <w:color w:val="auto"/>
              </w:rPr>
              <w:t>FOR THE YEARS ENDED DECEMBER 31, 2017, 2016 AND 2015</w:t>
            </w:r>
          </w:p>
        </w:tc>
        <w:tc>
          <w:tcPr>
            <w:tcW w:w="16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429"/>
        </w:trPr>
        <w:tc>
          <w:tcPr>
            <w:tcW w:w="5580" w:type="dxa"/>
            <w:vAlign w:val="bottom"/>
          </w:tcPr>
          <w:p>
            <w:pPr>
              <w:spacing w:after="0"/>
              <w:rPr>
                <w:sz w:val="24"/>
                <w:szCs w:val="24"/>
                <w:color w:val="auto"/>
              </w:rPr>
            </w:pPr>
          </w:p>
        </w:tc>
        <w:tc>
          <w:tcPr>
            <w:tcW w:w="1620" w:type="dxa"/>
            <w:vAlign w:val="bottom"/>
          </w:tcPr>
          <w:p>
            <w:pPr>
              <w:jc w:val="center"/>
              <w:ind w:left="273"/>
              <w:spacing w:after="0"/>
              <w:rPr>
                <w:sz w:val="20"/>
                <w:szCs w:val="20"/>
                <w:color w:val="auto"/>
              </w:rPr>
            </w:pPr>
            <w:r>
              <w:rPr>
                <w:rFonts w:ascii="Arial" w:cs="Arial" w:eastAsia="Arial" w:hAnsi="Arial"/>
                <w:sz w:val="17"/>
                <w:szCs w:val="17"/>
                <w:b w:val="1"/>
                <w:bCs w:val="1"/>
                <w:color w:val="auto"/>
                <w:w w:val="89"/>
              </w:rPr>
              <w:t>Note</w:t>
            </w:r>
          </w:p>
        </w:tc>
        <w:tc>
          <w:tcPr>
            <w:tcW w:w="1240" w:type="dxa"/>
            <w:vAlign w:val="bottom"/>
            <w:tcBorders>
              <w:bottom w:val="single" w:sz="8" w:color="auto"/>
            </w:tcBorders>
          </w:tcPr>
          <w:p>
            <w:pPr>
              <w:jc w:val="right"/>
              <w:ind w:right="353"/>
              <w:spacing w:after="0"/>
              <w:rPr>
                <w:sz w:val="20"/>
                <w:szCs w:val="20"/>
                <w:color w:val="auto"/>
              </w:rPr>
            </w:pPr>
            <w:r>
              <w:rPr>
                <w:rFonts w:ascii="Arial" w:cs="Arial" w:eastAsia="Arial" w:hAnsi="Arial"/>
                <w:sz w:val="17"/>
                <w:szCs w:val="17"/>
                <w:b w:val="1"/>
                <w:bCs w:val="1"/>
                <w:color w:val="auto"/>
              </w:rPr>
              <w:t>2017</w:t>
            </w:r>
          </w:p>
        </w:tc>
        <w:tc>
          <w:tcPr>
            <w:tcW w:w="200" w:type="dxa"/>
            <w:vAlign w:val="bottom"/>
          </w:tcPr>
          <w:p>
            <w:pPr>
              <w:spacing w:after="0"/>
              <w:rPr>
                <w:sz w:val="24"/>
                <w:szCs w:val="24"/>
                <w:color w:val="auto"/>
              </w:rPr>
            </w:pPr>
          </w:p>
        </w:tc>
        <w:tc>
          <w:tcPr>
            <w:tcW w:w="1240" w:type="dxa"/>
            <w:vAlign w:val="bottom"/>
            <w:tcBorders>
              <w:bottom w:val="single" w:sz="8" w:color="auto"/>
            </w:tcBorders>
          </w:tcPr>
          <w:p>
            <w:pPr>
              <w:jc w:val="right"/>
              <w:ind w:right="353"/>
              <w:spacing w:after="0"/>
              <w:rPr>
                <w:sz w:val="20"/>
                <w:szCs w:val="20"/>
                <w:color w:val="auto"/>
              </w:rPr>
            </w:pPr>
            <w:r>
              <w:rPr>
                <w:rFonts w:ascii="Arial" w:cs="Arial" w:eastAsia="Arial" w:hAnsi="Arial"/>
                <w:sz w:val="17"/>
                <w:szCs w:val="17"/>
                <w:b w:val="1"/>
                <w:bCs w:val="1"/>
                <w:color w:val="auto"/>
              </w:rPr>
              <w:t>2016</w:t>
            </w:r>
          </w:p>
        </w:tc>
        <w:tc>
          <w:tcPr>
            <w:tcW w:w="200" w:type="dxa"/>
            <w:vAlign w:val="bottom"/>
          </w:tcPr>
          <w:p>
            <w:pPr>
              <w:spacing w:after="0"/>
              <w:rPr>
                <w:sz w:val="24"/>
                <w:szCs w:val="24"/>
                <w:color w:val="auto"/>
              </w:rPr>
            </w:pPr>
          </w:p>
        </w:tc>
        <w:tc>
          <w:tcPr>
            <w:tcW w:w="1240" w:type="dxa"/>
            <w:vAlign w:val="bottom"/>
            <w:tcBorders>
              <w:bottom w:val="single" w:sz="8" w:color="auto"/>
            </w:tcBorders>
          </w:tcPr>
          <w:p>
            <w:pPr>
              <w:jc w:val="right"/>
              <w:ind w:right="353"/>
              <w:spacing w:after="0"/>
              <w:rPr>
                <w:sz w:val="20"/>
                <w:szCs w:val="20"/>
                <w:color w:val="auto"/>
              </w:rPr>
            </w:pPr>
            <w:r>
              <w:rPr>
                <w:rFonts w:ascii="Arial" w:cs="Arial" w:eastAsia="Arial" w:hAnsi="Arial"/>
                <w:sz w:val="17"/>
                <w:szCs w:val="17"/>
                <w:b w:val="1"/>
                <w:bCs w:val="1"/>
                <w:color w:val="auto"/>
              </w:rPr>
              <w:t>2015</w:t>
            </w:r>
          </w:p>
        </w:tc>
        <w:tc>
          <w:tcPr>
            <w:tcW w:w="100" w:type="dxa"/>
            <w:vAlign w:val="bottom"/>
          </w:tcPr>
          <w:p>
            <w:pPr>
              <w:spacing w:after="0"/>
              <w:rPr>
                <w:sz w:val="24"/>
                <w:szCs w:val="24"/>
                <w:color w:val="auto"/>
              </w:rPr>
            </w:pPr>
          </w:p>
        </w:tc>
      </w:tr>
      <w:tr>
        <w:trPr>
          <w:trHeight w:val="219"/>
        </w:trPr>
        <w:tc>
          <w:tcPr>
            <w:tcW w:w="558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240" w:type="dxa"/>
            <w:vAlign w:val="bottom"/>
          </w:tcPr>
          <w:p>
            <w:pPr>
              <w:jc w:val="center"/>
              <w:spacing w:after="0"/>
              <w:rPr>
                <w:sz w:val="20"/>
                <w:szCs w:val="20"/>
                <w:color w:val="auto"/>
              </w:rPr>
            </w:pPr>
            <w:r>
              <w:rPr>
                <w:rFonts w:ascii="Arial" w:cs="Arial" w:eastAsia="Arial" w:hAnsi="Arial"/>
                <w:sz w:val="17"/>
                <w:szCs w:val="17"/>
                <w:b w:val="1"/>
                <w:bCs w:val="1"/>
                <w:color w:val="auto"/>
                <w:w w:val="93"/>
              </w:rPr>
              <w:t>S/(000)</w:t>
            </w:r>
          </w:p>
        </w:tc>
        <w:tc>
          <w:tcPr>
            <w:tcW w:w="200" w:type="dxa"/>
            <w:vAlign w:val="bottom"/>
          </w:tcPr>
          <w:p>
            <w:pPr>
              <w:spacing w:after="0"/>
              <w:rPr>
                <w:sz w:val="19"/>
                <w:szCs w:val="19"/>
                <w:color w:val="auto"/>
              </w:rPr>
            </w:pPr>
          </w:p>
        </w:tc>
        <w:tc>
          <w:tcPr>
            <w:tcW w:w="1240" w:type="dxa"/>
            <w:vAlign w:val="bottom"/>
          </w:tcPr>
          <w:p>
            <w:pPr>
              <w:jc w:val="center"/>
              <w:spacing w:after="0"/>
              <w:rPr>
                <w:sz w:val="20"/>
                <w:szCs w:val="20"/>
                <w:color w:val="auto"/>
              </w:rPr>
            </w:pPr>
            <w:r>
              <w:rPr>
                <w:rFonts w:ascii="Arial" w:cs="Arial" w:eastAsia="Arial" w:hAnsi="Arial"/>
                <w:sz w:val="17"/>
                <w:szCs w:val="17"/>
                <w:b w:val="1"/>
                <w:bCs w:val="1"/>
                <w:color w:val="auto"/>
                <w:w w:val="93"/>
              </w:rPr>
              <w:t>S/(000)</w:t>
            </w:r>
          </w:p>
        </w:tc>
        <w:tc>
          <w:tcPr>
            <w:tcW w:w="200" w:type="dxa"/>
            <w:vAlign w:val="bottom"/>
          </w:tcPr>
          <w:p>
            <w:pPr>
              <w:spacing w:after="0"/>
              <w:rPr>
                <w:sz w:val="19"/>
                <w:szCs w:val="19"/>
                <w:color w:val="auto"/>
              </w:rPr>
            </w:pPr>
          </w:p>
        </w:tc>
        <w:tc>
          <w:tcPr>
            <w:tcW w:w="1240" w:type="dxa"/>
            <w:vAlign w:val="bottom"/>
          </w:tcPr>
          <w:p>
            <w:pPr>
              <w:jc w:val="center"/>
              <w:spacing w:after="0"/>
              <w:rPr>
                <w:sz w:val="20"/>
                <w:szCs w:val="20"/>
                <w:color w:val="auto"/>
              </w:rPr>
            </w:pPr>
            <w:r>
              <w:rPr>
                <w:rFonts w:ascii="Arial" w:cs="Arial" w:eastAsia="Arial" w:hAnsi="Arial"/>
                <w:sz w:val="17"/>
                <w:szCs w:val="17"/>
                <w:b w:val="1"/>
                <w:bCs w:val="1"/>
                <w:color w:val="auto"/>
                <w:w w:val="93"/>
              </w:rPr>
              <w:t>S/(000)</w:t>
            </w:r>
          </w:p>
        </w:tc>
        <w:tc>
          <w:tcPr>
            <w:tcW w:w="100" w:type="dxa"/>
            <w:vAlign w:val="bottom"/>
          </w:tcPr>
          <w:p>
            <w:pPr>
              <w:spacing w:after="0"/>
              <w:rPr>
                <w:sz w:val="19"/>
                <w:szCs w:val="19"/>
                <w:color w:val="auto"/>
              </w:rPr>
            </w:pPr>
          </w:p>
        </w:tc>
      </w:tr>
      <w:tr>
        <w:trPr>
          <w:trHeight w:val="189"/>
        </w:trPr>
        <w:tc>
          <w:tcPr>
            <w:tcW w:w="558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08"/>
        </w:trPr>
        <w:tc>
          <w:tcPr>
            <w:tcW w:w="558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Interest and similar income</w:t>
            </w:r>
          </w:p>
        </w:tc>
        <w:tc>
          <w:tcPr>
            <w:tcW w:w="1620" w:type="dxa"/>
            <w:vAlign w:val="bottom"/>
            <w:shd w:val="clear" w:color="auto" w:fill="CCEEFF"/>
          </w:tcPr>
          <w:p>
            <w:pPr>
              <w:jc w:val="center"/>
              <w:ind w:left="273"/>
              <w:spacing w:after="0"/>
              <w:rPr>
                <w:sz w:val="20"/>
                <w:szCs w:val="20"/>
                <w:color w:val="auto"/>
              </w:rPr>
            </w:pPr>
            <w:r>
              <w:rPr>
                <w:rFonts w:ascii="Arial" w:cs="Arial" w:eastAsia="Arial" w:hAnsi="Arial"/>
                <w:sz w:val="17"/>
                <w:szCs w:val="17"/>
                <w:color w:val="auto"/>
                <w:w w:val="94"/>
              </w:rPr>
              <w:t>21</w:t>
            </w:r>
          </w:p>
        </w:tc>
        <w:tc>
          <w:tcPr>
            <w:tcW w:w="1440" w:type="dxa"/>
            <w:vAlign w:val="bottom"/>
            <w:gridSpan w:val="2"/>
            <w:shd w:val="clear" w:color="auto" w:fill="CCEEFF"/>
          </w:tcPr>
          <w:p>
            <w:pPr>
              <w:jc w:val="right"/>
              <w:ind w:right="119"/>
              <w:spacing w:after="0"/>
              <w:rPr>
                <w:sz w:val="20"/>
                <w:szCs w:val="20"/>
                <w:color w:val="auto"/>
              </w:rPr>
            </w:pPr>
            <w:r>
              <w:rPr>
                <w:rFonts w:ascii="Arial" w:cs="Arial" w:eastAsia="Arial" w:hAnsi="Arial"/>
                <w:sz w:val="17"/>
                <w:szCs w:val="17"/>
                <w:color w:val="auto"/>
              </w:rPr>
              <w:t>11,030,683</w:t>
            </w:r>
          </w:p>
        </w:tc>
        <w:tc>
          <w:tcPr>
            <w:tcW w:w="1440" w:type="dxa"/>
            <w:vAlign w:val="bottom"/>
            <w:gridSpan w:val="2"/>
            <w:shd w:val="clear" w:color="auto" w:fill="CCEEFF"/>
          </w:tcPr>
          <w:p>
            <w:pPr>
              <w:jc w:val="right"/>
              <w:ind w:right="119"/>
              <w:spacing w:after="0"/>
              <w:rPr>
                <w:sz w:val="20"/>
                <w:szCs w:val="20"/>
                <w:color w:val="auto"/>
              </w:rPr>
            </w:pPr>
            <w:r>
              <w:rPr>
                <w:rFonts w:ascii="Arial" w:cs="Arial" w:eastAsia="Arial" w:hAnsi="Arial"/>
                <w:sz w:val="17"/>
                <w:szCs w:val="17"/>
                <w:color w:val="auto"/>
              </w:rPr>
              <w:t>10,773,055</w:t>
            </w:r>
          </w:p>
        </w:tc>
        <w:tc>
          <w:tcPr>
            <w:tcW w:w="1340" w:type="dxa"/>
            <w:vAlign w:val="bottom"/>
            <w:gridSpan w:val="2"/>
            <w:shd w:val="clear" w:color="auto" w:fill="CCEEFF"/>
          </w:tcPr>
          <w:p>
            <w:pPr>
              <w:jc w:val="right"/>
              <w:ind w:right="19"/>
              <w:spacing w:after="0"/>
              <w:rPr>
                <w:sz w:val="20"/>
                <w:szCs w:val="20"/>
                <w:color w:val="auto"/>
              </w:rPr>
            </w:pPr>
            <w:r>
              <w:rPr>
                <w:rFonts w:ascii="Arial" w:cs="Arial" w:eastAsia="Arial" w:hAnsi="Arial"/>
                <w:sz w:val="17"/>
                <w:szCs w:val="17"/>
                <w:color w:val="auto"/>
              </w:rPr>
              <w:t>9,784,089</w:t>
            </w:r>
          </w:p>
        </w:tc>
      </w:tr>
      <w:tr>
        <w:trPr>
          <w:trHeight w:val="208"/>
        </w:trPr>
        <w:tc>
          <w:tcPr>
            <w:tcW w:w="55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1"/>
        </w:trPr>
        <w:tc>
          <w:tcPr>
            <w:tcW w:w="558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Interest and similar expenses</w:t>
            </w:r>
          </w:p>
        </w:tc>
        <w:tc>
          <w:tcPr>
            <w:tcW w:w="1620" w:type="dxa"/>
            <w:vAlign w:val="bottom"/>
            <w:shd w:val="clear" w:color="auto" w:fill="CCEEFF"/>
          </w:tcPr>
          <w:p>
            <w:pPr>
              <w:jc w:val="center"/>
              <w:ind w:left="273"/>
              <w:spacing w:after="0"/>
              <w:rPr>
                <w:sz w:val="20"/>
                <w:szCs w:val="20"/>
                <w:color w:val="auto"/>
              </w:rPr>
            </w:pPr>
            <w:r>
              <w:rPr>
                <w:rFonts w:ascii="Arial" w:cs="Arial" w:eastAsia="Arial" w:hAnsi="Arial"/>
                <w:sz w:val="17"/>
                <w:szCs w:val="17"/>
                <w:color w:val="auto"/>
                <w:w w:val="94"/>
              </w:rPr>
              <w:t>21</w:t>
            </w:r>
          </w:p>
        </w:tc>
        <w:tc>
          <w:tcPr>
            <w:tcW w:w="1440" w:type="dxa"/>
            <w:vAlign w:val="bottom"/>
            <w:gridSpan w:val="2"/>
            <w:shd w:val="clear" w:color="auto" w:fill="CCEEFF"/>
          </w:tcPr>
          <w:p>
            <w:pPr>
              <w:jc w:val="right"/>
              <w:ind w:right="59"/>
              <w:spacing w:after="0"/>
              <w:rPr>
                <w:sz w:val="20"/>
                <w:szCs w:val="20"/>
                <w:color w:val="auto"/>
              </w:rPr>
            </w:pPr>
            <w:r>
              <w:rPr>
                <w:rFonts w:ascii="Arial" w:cs="Arial" w:eastAsia="Arial" w:hAnsi="Arial"/>
                <w:sz w:val="17"/>
                <w:szCs w:val="17"/>
                <w:color w:val="auto"/>
              </w:rPr>
              <w:t>(2,959,196)</w:t>
            </w:r>
          </w:p>
        </w:tc>
        <w:tc>
          <w:tcPr>
            <w:tcW w:w="1440" w:type="dxa"/>
            <w:vAlign w:val="bottom"/>
            <w:gridSpan w:val="2"/>
            <w:shd w:val="clear" w:color="auto" w:fill="CCEEFF"/>
          </w:tcPr>
          <w:p>
            <w:pPr>
              <w:jc w:val="right"/>
              <w:ind w:right="59"/>
              <w:spacing w:after="0"/>
              <w:rPr>
                <w:sz w:val="20"/>
                <w:szCs w:val="20"/>
                <w:color w:val="auto"/>
              </w:rPr>
            </w:pPr>
            <w:r>
              <w:rPr>
                <w:rFonts w:ascii="Arial" w:cs="Arial" w:eastAsia="Arial" w:hAnsi="Arial"/>
                <w:sz w:val="17"/>
                <w:szCs w:val="17"/>
                <w:color w:val="auto"/>
              </w:rPr>
              <w:t>(2,914,714)</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(2,527,133)</w:t>
            </w:r>
          </w:p>
        </w:tc>
      </w:tr>
      <w:tr>
        <w:trPr>
          <w:trHeight w:val="201"/>
        </w:trPr>
        <w:tc>
          <w:tcPr>
            <w:tcW w:w="55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08"/>
        </w:trPr>
        <w:tc>
          <w:tcPr>
            <w:tcW w:w="558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Net interest, similar income and expenses</w:t>
            </w:r>
          </w:p>
        </w:tc>
        <w:tc>
          <w:tcPr>
            <w:tcW w:w="16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8,071,487</w:t>
            </w:r>
          </w:p>
        </w:tc>
        <w:tc>
          <w:tcPr>
            <w:tcW w:w="2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19"/>
              <w:spacing w:after="0"/>
              <w:rPr>
                <w:sz w:val="20"/>
                <w:szCs w:val="20"/>
                <w:color w:val="auto"/>
              </w:rPr>
            </w:pPr>
            <w:r>
              <w:rPr>
                <w:rFonts w:ascii="Arial" w:cs="Arial" w:eastAsia="Arial" w:hAnsi="Arial"/>
                <w:sz w:val="17"/>
                <w:szCs w:val="17"/>
                <w:color w:val="auto"/>
              </w:rPr>
              <w:t>7,858,341</w:t>
            </w:r>
          </w:p>
        </w:tc>
        <w:tc>
          <w:tcPr>
            <w:tcW w:w="1340" w:type="dxa"/>
            <w:vAlign w:val="bottom"/>
            <w:gridSpan w:val="2"/>
            <w:shd w:val="clear" w:color="auto" w:fill="CCEEFF"/>
          </w:tcPr>
          <w:p>
            <w:pPr>
              <w:jc w:val="right"/>
              <w:ind w:right="19"/>
              <w:spacing w:after="0"/>
              <w:rPr>
                <w:sz w:val="20"/>
                <w:szCs w:val="20"/>
                <w:color w:val="auto"/>
              </w:rPr>
            </w:pPr>
            <w:r>
              <w:rPr>
                <w:rFonts w:ascii="Arial" w:cs="Arial" w:eastAsia="Arial" w:hAnsi="Arial"/>
                <w:sz w:val="17"/>
                <w:szCs w:val="17"/>
                <w:color w:val="auto"/>
              </w:rPr>
              <w:t>7,256,956</w:t>
            </w:r>
          </w:p>
        </w:tc>
      </w:tr>
      <w:tr>
        <w:trPr>
          <w:trHeight w:val="208"/>
        </w:trPr>
        <w:tc>
          <w:tcPr>
            <w:tcW w:w="55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1"/>
        </w:trPr>
        <w:tc>
          <w:tcPr>
            <w:tcW w:w="5580" w:type="dxa"/>
            <w:vAlign w:val="bottom"/>
            <w:shd w:val="clear" w:color="auto" w:fill="CCEEFF"/>
          </w:tcPr>
          <w:p>
            <w:pPr>
              <w:spacing w:after="0"/>
              <w:rPr>
                <w:sz w:val="20"/>
                <w:szCs w:val="20"/>
                <w:color w:val="auto"/>
              </w:rPr>
            </w:pPr>
            <w:r>
              <w:rPr>
                <w:rFonts w:ascii="Arial" w:cs="Arial" w:eastAsia="Arial" w:hAnsi="Arial"/>
                <w:sz w:val="17"/>
                <w:szCs w:val="17"/>
                <w:color w:val="auto"/>
              </w:rPr>
              <w:t>Provision for loan losses, net of recoveries</w:t>
            </w:r>
          </w:p>
        </w:tc>
        <w:tc>
          <w:tcPr>
            <w:tcW w:w="1620" w:type="dxa"/>
            <w:vAlign w:val="bottom"/>
            <w:shd w:val="clear" w:color="auto" w:fill="CCEEFF"/>
          </w:tcPr>
          <w:p>
            <w:pPr>
              <w:jc w:val="center"/>
              <w:ind w:left="253"/>
              <w:spacing w:after="0"/>
              <w:rPr>
                <w:sz w:val="20"/>
                <w:szCs w:val="20"/>
                <w:color w:val="auto"/>
              </w:rPr>
            </w:pPr>
            <w:r>
              <w:rPr>
                <w:rFonts w:ascii="Arial" w:cs="Arial" w:eastAsia="Arial" w:hAnsi="Arial"/>
                <w:sz w:val="17"/>
                <w:szCs w:val="17"/>
                <w:color w:val="auto"/>
                <w:w w:val="92"/>
              </w:rPr>
              <w:t>7(d)</w:t>
            </w:r>
          </w:p>
        </w:tc>
        <w:tc>
          <w:tcPr>
            <w:tcW w:w="1440" w:type="dxa"/>
            <w:vAlign w:val="bottom"/>
            <w:gridSpan w:val="2"/>
            <w:shd w:val="clear" w:color="auto" w:fill="CCEEFF"/>
          </w:tcPr>
          <w:p>
            <w:pPr>
              <w:jc w:val="right"/>
              <w:ind w:right="59"/>
              <w:spacing w:after="0"/>
              <w:rPr>
                <w:sz w:val="20"/>
                <w:szCs w:val="20"/>
                <w:color w:val="auto"/>
              </w:rPr>
            </w:pPr>
            <w:r>
              <w:rPr>
                <w:rFonts w:ascii="Arial" w:cs="Arial" w:eastAsia="Arial" w:hAnsi="Arial"/>
                <w:sz w:val="17"/>
                <w:szCs w:val="17"/>
                <w:color w:val="auto"/>
              </w:rPr>
              <w:t>(1,789,165)</w:t>
            </w:r>
          </w:p>
        </w:tc>
        <w:tc>
          <w:tcPr>
            <w:tcW w:w="1440" w:type="dxa"/>
            <w:vAlign w:val="bottom"/>
            <w:gridSpan w:val="2"/>
            <w:shd w:val="clear" w:color="auto" w:fill="CCEEFF"/>
          </w:tcPr>
          <w:p>
            <w:pPr>
              <w:jc w:val="right"/>
              <w:ind w:right="59"/>
              <w:spacing w:after="0"/>
              <w:rPr>
                <w:sz w:val="20"/>
                <w:szCs w:val="20"/>
                <w:color w:val="auto"/>
              </w:rPr>
            </w:pPr>
            <w:r>
              <w:rPr>
                <w:rFonts w:ascii="Arial" w:cs="Arial" w:eastAsia="Arial" w:hAnsi="Arial"/>
                <w:sz w:val="17"/>
                <w:szCs w:val="17"/>
                <w:color w:val="auto"/>
              </w:rPr>
              <w:t>(1,785,495)</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(1,880,898)</w:t>
            </w:r>
          </w:p>
        </w:tc>
      </w:tr>
      <w:tr>
        <w:trPr>
          <w:trHeight w:val="214"/>
        </w:trPr>
        <w:tc>
          <w:tcPr>
            <w:tcW w:w="55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21"/>
        </w:trPr>
        <w:tc>
          <w:tcPr>
            <w:tcW w:w="558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Net Interest, similar income after provision for loan losses</w:t>
            </w:r>
          </w:p>
        </w:tc>
        <w:tc>
          <w:tcPr>
            <w:tcW w:w="16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6,282,322</w:t>
            </w:r>
          </w:p>
        </w:tc>
        <w:tc>
          <w:tcPr>
            <w:tcW w:w="20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19"/>
              <w:spacing w:after="0"/>
              <w:rPr>
                <w:sz w:val="20"/>
                <w:szCs w:val="20"/>
                <w:color w:val="auto"/>
              </w:rPr>
            </w:pPr>
            <w:r>
              <w:rPr>
                <w:rFonts w:ascii="Arial" w:cs="Arial" w:eastAsia="Arial" w:hAnsi="Arial"/>
                <w:sz w:val="17"/>
                <w:szCs w:val="17"/>
                <w:color w:val="auto"/>
              </w:rPr>
              <w:t>6,072,846</w:t>
            </w:r>
          </w:p>
        </w:tc>
        <w:tc>
          <w:tcPr>
            <w:tcW w:w="1340" w:type="dxa"/>
            <w:vAlign w:val="bottom"/>
            <w:gridSpan w:val="2"/>
            <w:shd w:val="clear" w:color="auto" w:fill="CCEEFF"/>
          </w:tcPr>
          <w:p>
            <w:pPr>
              <w:jc w:val="right"/>
              <w:ind w:right="19"/>
              <w:spacing w:after="0"/>
              <w:rPr>
                <w:sz w:val="20"/>
                <w:szCs w:val="20"/>
                <w:color w:val="auto"/>
              </w:rPr>
            </w:pPr>
            <w:r>
              <w:rPr>
                <w:rFonts w:ascii="Arial" w:cs="Arial" w:eastAsia="Arial" w:hAnsi="Arial"/>
                <w:sz w:val="17"/>
                <w:szCs w:val="17"/>
                <w:color w:val="auto"/>
              </w:rPr>
              <w:t>5,376,058</w:t>
            </w:r>
          </w:p>
        </w:tc>
      </w:tr>
      <w:tr>
        <w:trPr>
          <w:trHeight w:val="201"/>
        </w:trPr>
        <w:tc>
          <w:tcPr>
            <w:tcW w:w="55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08"/>
        </w:trPr>
        <w:tc>
          <w:tcPr>
            <w:tcW w:w="558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Other income</w:t>
            </w:r>
          </w:p>
        </w:tc>
        <w:tc>
          <w:tcPr>
            <w:tcW w:w="16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8"/>
        </w:trPr>
        <w:tc>
          <w:tcPr>
            <w:tcW w:w="5580" w:type="dxa"/>
            <w:vAlign w:val="bottom"/>
          </w:tcPr>
          <w:p>
            <w:pPr>
              <w:spacing w:after="0"/>
              <w:rPr>
                <w:sz w:val="20"/>
                <w:szCs w:val="20"/>
                <w:color w:val="auto"/>
              </w:rPr>
            </w:pPr>
            <w:r>
              <w:rPr>
                <w:rFonts w:ascii="Arial" w:cs="Arial" w:eastAsia="Arial" w:hAnsi="Arial"/>
                <w:sz w:val="17"/>
                <w:szCs w:val="17"/>
                <w:color w:val="auto"/>
              </w:rPr>
              <w:t>Commissions and fees</w:t>
            </w:r>
          </w:p>
        </w:tc>
        <w:tc>
          <w:tcPr>
            <w:tcW w:w="1620" w:type="dxa"/>
            <w:vAlign w:val="bottom"/>
          </w:tcPr>
          <w:p>
            <w:pPr>
              <w:jc w:val="center"/>
              <w:ind w:left="273"/>
              <w:spacing w:after="0"/>
              <w:rPr>
                <w:sz w:val="20"/>
                <w:szCs w:val="20"/>
                <w:color w:val="auto"/>
              </w:rPr>
            </w:pPr>
            <w:r>
              <w:rPr>
                <w:rFonts w:ascii="Arial" w:cs="Arial" w:eastAsia="Arial" w:hAnsi="Arial"/>
                <w:sz w:val="17"/>
                <w:szCs w:val="17"/>
                <w:color w:val="auto"/>
                <w:w w:val="94"/>
              </w:rPr>
              <w:t>22</w:t>
            </w:r>
          </w:p>
        </w:tc>
        <w:tc>
          <w:tcPr>
            <w:tcW w:w="1440" w:type="dxa"/>
            <w:vAlign w:val="bottom"/>
            <w:gridSpan w:val="2"/>
          </w:tcPr>
          <w:p>
            <w:pPr>
              <w:jc w:val="right"/>
              <w:ind w:right="119"/>
              <w:spacing w:after="0"/>
              <w:rPr>
                <w:sz w:val="20"/>
                <w:szCs w:val="20"/>
                <w:color w:val="auto"/>
              </w:rPr>
            </w:pPr>
            <w:r>
              <w:rPr>
                <w:rFonts w:ascii="Arial" w:cs="Arial" w:eastAsia="Arial" w:hAnsi="Arial"/>
                <w:sz w:val="17"/>
                <w:szCs w:val="17"/>
                <w:color w:val="auto"/>
              </w:rPr>
              <w:t>2,911,408</w:t>
            </w:r>
          </w:p>
        </w:tc>
        <w:tc>
          <w:tcPr>
            <w:tcW w:w="1440" w:type="dxa"/>
            <w:vAlign w:val="bottom"/>
            <w:gridSpan w:val="2"/>
          </w:tcPr>
          <w:p>
            <w:pPr>
              <w:jc w:val="right"/>
              <w:ind w:right="119"/>
              <w:spacing w:after="0"/>
              <w:rPr>
                <w:sz w:val="20"/>
                <w:szCs w:val="20"/>
                <w:color w:val="auto"/>
              </w:rPr>
            </w:pPr>
            <w:r>
              <w:rPr>
                <w:rFonts w:ascii="Arial" w:cs="Arial" w:eastAsia="Arial" w:hAnsi="Arial"/>
                <w:sz w:val="17"/>
                <w:szCs w:val="17"/>
                <w:color w:val="auto"/>
              </w:rPr>
              <w:t>2,771,561</w:t>
            </w:r>
          </w:p>
        </w:tc>
        <w:tc>
          <w:tcPr>
            <w:tcW w:w="1340" w:type="dxa"/>
            <w:vAlign w:val="bottom"/>
            <w:gridSpan w:val="2"/>
          </w:tcPr>
          <w:p>
            <w:pPr>
              <w:jc w:val="right"/>
              <w:ind w:right="19"/>
              <w:spacing w:after="0"/>
              <w:rPr>
                <w:sz w:val="20"/>
                <w:szCs w:val="20"/>
                <w:color w:val="auto"/>
              </w:rPr>
            </w:pPr>
            <w:r>
              <w:rPr>
                <w:rFonts w:ascii="Arial" w:cs="Arial" w:eastAsia="Arial" w:hAnsi="Arial"/>
                <w:sz w:val="17"/>
                <w:szCs w:val="17"/>
                <w:color w:val="auto"/>
              </w:rPr>
              <w:t>2,644,191</w:t>
            </w:r>
          </w:p>
        </w:tc>
      </w:tr>
      <w:tr>
        <w:trPr>
          <w:trHeight w:val="208"/>
        </w:trPr>
        <w:tc>
          <w:tcPr>
            <w:tcW w:w="5580" w:type="dxa"/>
            <w:vAlign w:val="bottom"/>
            <w:shd w:val="clear" w:color="auto" w:fill="CCEEFF"/>
          </w:tcPr>
          <w:p>
            <w:pPr>
              <w:spacing w:after="0"/>
              <w:rPr>
                <w:sz w:val="20"/>
                <w:szCs w:val="20"/>
                <w:color w:val="auto"/>
              </w:rPr>
            </w:pPr>
            <w:r>
              <w:rPr>
                <w:rFonts w:ascii="Arial" w:cs="Arial" w:eastAsia="Arial" w:hAnsi="Arial"/>
                <w:sz w:val="17"/>
                <w:szCs w:val="17"/>
                <w:color w:val="auto"/>
              </w:rPr>
              <w:t>Net gains on foreign exchange transactions</w:t>
            </w:r>
          </w:p>
        </w:tc>
        <w:tc>
          <w:tcPr>
            <w:tcW w:w="16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19"/>
              <w:spacing w:after="0"/>
              <w:rPr>
                <w:sz w:val="20"/>
                <w:szCs w:val="20"/>
                <w:color w:val="auto"/>
              </w:rPr>
            </w:pPr>
            <w:r>
              <w:rPr>
                <w:rFonts w:ascii="Arial" w:cs="Arial" w:eastAsia="Arial" w:hAnsi="Arial"/>
                <w:sz w:val="17"/>
                <w:szCs w:val="17"/>
                <w:color w:val="auto"/>
              </w:rPr>
              <w:t>650,228</w:t>
            </w:r>
          </w:p>
        </w:tc>
        <w:tc>
          <w:tcPr>
            <w:tcW w:w="1440" w:type="dxa"/>
            <w:vAlign w:val="bottom"/>
            <w:gridSpan w:val="2"/>
            <w:shd w:val="clear" w:color="auto" w:fill="CCEEFF"/>
          </w:tcPr>
          <w:p>
            <w:pPr>
              <w:jc w:val="right"/>
              <w:ind w:right="119"/>
              <w:spacing w:after="0"/>
              <w:rPr>
                <w:sz w:val="20"/>
                <w:szCs w:val="20"/>
                <w:color w:val="auto"/>
              </w:rPr>
            </w:pPr>
            <w:r>
              <w:rPr>
                <w:rFonts w:ascii="Arial" w:cs="Arial" w:eastAsia="Arial" w:hAnsi="Arial"/>
                <w:sz w:val="17"/>
                <w:szCs w:val="17"/>
                <w:color w:val="auto"/>
              </w:rPr>
              <w:t>698,159</w:t>
            </w:r>
          </w:p>
        </w:tc>
        <w:tc>
          <w:tcPr>
            <w:tcW w:w="1340" w:type="dxa"/>
            <w:vAlign w:val="bottom"/>
            <w:gridSpan w:val="2"/>
            <w:shd w:val="clear" w:color="auto" w:fill="CCEEFF"/>
          </w:tcPr>
          <w:p>
            <w:pPr>
              <w:jc w:val="right"/>
              <w:ind w:right="19"/>
              <w:spacing w:after="0"/>
              <w:rPr>
                <w:sz w:val="20"/>
                <w:szCs w:val="20"/>
                <w:color w:val="auto"/>
              </w:rPr>
            </w:pPr>
            <w:r>
              <w:rPr>
                <w:rFonts w:ascii="Arial" w:cs="Arial" w:eastAsia="Arial" w:hAnsi="Arial"/>
                <w:sz w:val="17"/>
                <w:szCs w:val="17"/>
                <w:color w:val="auto"/>
              </w:rPr>
              <w:t>773,798</w:t>
            </w:r>
          </w:p>
        </w:tc>
      </w:tr>
      <w:tr>
        <w:trPr>
          <w:trHeight w:val="208"/>
        </w:trPr>
        <w:tc>
          <w:tcPr>
            <w:tcW w:w="5580" w:type="dxa"/>
            <w:vAlign w:val="bottom"/>
          </w:tcPr>
          <w:p>
            <w:pPr>
              <w:spacing w:after="0"/>
              <w:rPr>
                <w:sz w:val="20"/>
                <w:szCs w:val="20"/>
                <w:color w:val="auto"/>
              </w:rPr>
            </w:pPr>
            <w:r>
              <w:rPr>
                <w:rFonts w:ascii="Arial" w:cs="Arial" w:eastAsia="Arial" w:hAnsi="Arial"/>
                <w:sz w:val="17"/>
                <w:szCs w:val="17"/>
                <w:color w:val="auto"/>
              </w:rPr>
              <w:t>Net gains on sales of securities</w:t>
            </w:r>
          </w:p>
        </w:tc>
        <w:tc>
          <w:tcPr>
            <w:tcW w:w="1620" w:type="dxa"/>
            <w:vAlign w:val="bottom"/>
          </w:tcPr>
          <w:p>
            <w:pPr>
              <w:spacing w:after="0"/>
              <w:rPr>
                <w:sz w:val="18"/>
                <w:szCs w:val="18"/>
                <w:color w:val="auto"/>
              </w:rPr>
            </w:pPr>
          </w:p>
        </w:tc>
        <w:tc>
          <w:tcPr>
            <w:tcW w:w="1440" w:type="dxa"/>
            <w:vAlign w:val="bottom"/>
            <w:gridSpan w:val="2"/>
          </w:tcPr>
          <w:p>
            <w:pPr>
              <w:jc w:val="right"/>
              <w:ind w:right="119"/>
              <w:spacing w:after="0"/>
              <w:rPr>
                <w:sz w:val="20"/>
                <w:szCs w:val="20"/>
                <w:color w:val="auto"/>
              </w:rPr>
            </w:pPr>
            <w:r>
              <w:rPr>
                <w:rFonts w:ascii="Arial" w:cs="Arial" w:eastAsia="Arial" w:hAnsi="Arial"/>
                <w:sz w:val="17"/>
                <w:szCs w:val="17"/>
                <w:color w:val="auto"/>
              </w:rPr>
              <w:t>741,781</w:t>
            </w:r>
          </w:p>
        </w:tc>
        <w:tc>
          <w:tcPr>
            <w:tcW w:w="1440" w:type="dxa"/>
            <w:vAlign w:val="bottom"/>
            <w:gridSpan w:val="2"/>
          </w:tcPr>
          <w:p>
            <w:pPr>
              <w:jc w:val="right"/>
              <w:ind w:right="119"/>
              <w:spacing w:after="0"/>
              <w:rPr>
                <w:sz w:val="20"/>
                <w:szCs w:val="20"/>
                <w:color w:val="auto"/>
              </w:rPr>
            </w:pPr>
            <w:r>
              <w:rPr>
                <w:rFonts w:ascii="Arial" w:cs="Arial" w:eastAsia="Arial" w:hAnsi="Arial"/>
                <w:sz w:val="17"/>
                <w:szCs w:val="17"/>
                <w:color w:val="auto"/>
              </w:rPr>
              <w:t>336,759</w:t>
            </w:r>
          </w:p>
        </w:tc>
        <w:tc>
          <w:tcPr>
            <w:tcW w:w="1340" w:type="dxa"/>
            <w:vAlign w:val="bottom"/>
            <w:gridSpan w:val="2"/>
          </w:tcPr>
          <w:p>
            <w:pPr>
              <w:jc w:val="right"/>
              <w:ind w:right="19"/>
              <w:spacing w:after="0"/>
              <w:rPr>
                <w:sz w:val="20"/>
                <w:szCs w:val="20"/>
                <w:color w:val="auto"/>
              </w:rPr>
            </w:pPr>
            <w:r>
              <w:rPr>
                <w:rFonts w:ascii="Arial" w:cs="Arial" w:eastAsia="Arial" w:hAnsi="Arial"/>
                <w:sz w:val="17"/>
                <w:szCs w:val="17"/>
                <w:color w:val="auto"/>
              </w:rPr>
              <w:t>248,723</w:t>
            </w:r>
          </w:p>
        </w:tc>
      </w:tr>
      <w:tr>
        <w:trPr>
          <w:trHeight w:val="208"/>
        </w:trPr>
        <w:tc>
          <w:tcPr>
            <w:tcW w:w="5580" w:type="dxa"/>
            <w:vAlign w:val="bottom"/>
            <w:shd w:val="clear" w:color="auto" w:fill="CCEEFF"/>
          </w:tcPr>
          <w:p>
            <w:pPr>
              <w:spacing w:after="0"/>
              <w:rPr>
                <w:sz w:val="20"/>
                <w:szCs w:val="20"/>
                <w:color w:val="auto"/>
              </w:rPr>
            </w:pPr>
            <w:r>
              <w:rPr>
                <w:rFonts w:ascii="Arial" w:cs="Arial" w:eastAsia="Arial" w:hAnsi="Arial"/>
                <w:sz w:val="17"/>
                <w:szCs w:val="17"/>
                <w:color w:val="auto"/>
              </w:rPr>
              <w:t>Net gains on derivatives held for trading</w:t>
            </w:r>
          </w:p>
        </w:tc>
        <w:tc>
          <w:tcPr>
            <w:tcW w:w="16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19"/>
              <w:spacing w:after="0"/>
              <w:rPr>
                <w:sz w:val="20"/>
                <w:szCs w:val="20"/>
                <w:color w:val="auto"/>
              </w:rPr>
            </w:pPr>
            <w:r>
              <w:rPr>
                <w:rFonts w:ascii="Arial" w:cs="Arial" w:eastAsia="Arial" w:hAnsi="Arial"/>
                <w:sz w:val="17"/>
                <w:szCs w:val="17"/>
                <w:color w:val="auto"/>
              </w:rPr>
              <w:t>103,580</w:t>
            </w:r>
          </w:p>
        </w:tc>
        <w:tc>
          <w:tcPr>
            <w:tcW w:w="1440" w:type="dxa"/>
            <w:vAlign w:val="bottom"/>
            <w:gridSpan w:val="2"/>
            <w:shd w:val="clear" w:color="auto" w:fill="CCEEFF"/>
          </w:tcPr>
          <w:p>
            <w:pPr>
              <w:jc w:val="right"/>
              <w:ind w:right="119"/>
              <w:spacing w:after="0"/>
              <w:rPr>
                <w:sz w:val="20"/>
                <w:szCs w:val="20"/>
                <w:color w:val="auto"/>
              </w:rPr>
            </w:pPr>
            <w:r>
              <w:rPr>
                <w:rFonts w:ascii="Arial" w:cs="Arial" w:eastAsia="Arial" w:hAnsi="Arial"/>
                <w:sz w:val="17"/>
                <w:szCs w:val="17"/>
                <w:color w:val="auto"/>
              </w:rPr>
              <w:t>44,500</w:t>
            </w:r>
          </w:p>
        </w:tc>
        <w:tc>
          <w:tcPr>
            <w:tcW w:w="1340" w:type="dxa"/>
            <w:vAlign w:val="bottom"/>
            <w:gridSpan w:val="2"/>
            <w:shd w:val="clear" w:color="auto" w:fill="CCEEFF"/>
          </w:tcPr>
          <w:p>
            <w:pPr>
              <w:jc w:val="right"/>
              <w:ind w:right="19"/>
              <w:spacing w:after="0"/>
              <w:rPr>
                <w:sz w:val="20"/>
                <w:szCs w:val="20"/>
                <w:color w:val="auto"/>
              </w:rPr>
            </w:pPr>
            <w:r>
              <w:rPr>
                <w:rFonts w:ascii="Arial" w:cs="Arial" w:eastAsia="Arial" w:hAnsi="Arial"/>
                <w:sz w:val="17"/>
                <w:szCs w:val="17"/>
                <w:color w:val="auto"/>
              </w:rPr>
              <w:t>207,938</w:t>
            </w:r>
          </w:p>
        </w:tc>
      </w:tr>
      <w:tr>
        <w:trPr>
          <w:trHeight w:val="208"/>
        </w:trPr>
        <w:tc>
          <w:tcPr>
            <w:tcW w:w="5580" w:type="dxa"/>
            <w:vAlign w:val="bottom"/>
          </w:tcPr>
          <w:p>
            <w:pPr>
              <w:spacing w:after="0"/>
              <w:rPr>
                <w:sz w:val="20"/>
                <w:szCs w:val="20"/>
                <w:color w:val="auto"/>
              </w:rPr>
            </w:pPr>
            <w:r>
              <w:rPr>
                <w:rFonts w:ascii="Arial" w:cs="Arial" w:eastAsia="Arial" w:hAnsi="Arial"/>
                <w:sz w:val="17"/>
                <w:szCs w:val="17"/>
                <w:color w:val="auto"/>
              </w:rPr>
              <w:t>Net gains from exchange difference</w:t>
            </w:r>
          </w:p>
        </w:tc>
        <w:tc>
          <w:tcPr>
            <w:tcW w:w="1620" w:type="dxa"/>
            <w:vAlign w:val="bottom"/>
          </w:tcPr>
          <w:p>
            <w:pPr>
              <w:spacing w:after="0"/>
              <w:rPr>
                <w:sz w:val="18"/>
                <w:szCs w:val="18"/>
                <w:color w:val="auto"/>
              </w:rPr>
            </w:pPr>
          </w:p>
        </w:tc>
        <w:tc>
          <w:tcPr>
            <w:tcW w:w="1440" w:type="dxa"/>
            <w:vAlign w:val="bottom"/>
            <w:gridSpan w:val="2"/>
          </w:tcPr>
          <w:p>
            <w:pPr>
              <w:jc w:val="right"/>
              <w:ind w:right="119"/>
              <w:spacing w:after="0"/>
              <w:rPr>
                <w:sz w:val="20"/>
                <w:szCs w:val="20"/>
                <w:color w:val="auto"/>
              </w:rPr>
            </w:pPr>
            <w:r>
              <w:rPr>
                <w:rFonts w:ascii="Arial" w:cs="Arial" w:eastAsia="Arial" w:hAnsi="Arial"/>
                <w:sz w:val="17"/>
                <w:szCs w:val="17"/>
                <w:color w:val="auto"/>
              </w:rPr>
              <w:t>17,394</w:t>
            </w:r>
          </w:p>
        </w:tc>
        <w:tc>
          <w:tcPr>
            <w:tcW w:w="1440" w:type="dxa"/>
            <w:vAlign w:val="bottom"/>
            <w:gridSpan w:val="2"/>
          </w:tcPr>
          <w:p>
            <w:pPr>
              <w:jc w:val="right"/>
              <w:ind w:right="119"/>
              <w:spacing w:after="0"/>
              <w:rPr>
                <w:sz w:val="20"/>
                <w:szCs w:val="20"/>
                <w:color w:val="auto"/>
              </w:rPr>
            </w:pPr>
            <w:r>
              <w:rPr>
                <w:rFonts w:ascii="Arial" w:cs="Arial" w:eastAsia="Arial" w:hAnsi="Arial"/>
                <w:sz w:val="17"/>
                <w:szCs w:val="17"/>
                <w:color w:val="auto"/>
              </w:rPr>
              <w:t>-</w:t>
            </w:r>
          </w:p>
        </w:tc>
        <w:tc>
          <w:tcPr>
            <w:tcW w:w="1340" w:type="dxa"/>
            <w:vAlign w:val="bottom"/>
            <w:gridSpan w:val="2"/>
          </w:tcPr>
          <w:p>
            <w:pPr>
              <w:jc w:val="right"/>
              <w:ind w:right="19"/>
              <w:spacing w:after="0"/>
              <w:rPr>
                <w:sz w:val="20"/>
                <w:szCs w:val="20"/>
                <w:color w:val="auto"/>
              </w:rPr>
            </w:pPr>
            <w:r>
              <w:rPr>
                <w:rFonts w:ascii="Arial" w:cs="Arial" w:eastAsia="Arial" w:hAnsi="Arial"/>
                <w:sz w:val="17"/>
                <w:szCs w:val="17"/>
                <w:color w:val="auto"/>
              </w:rPr>
              <w:t>46,563</w:t>
            </w:r>
          </w:p>
        </w:tc>
      </w:tr>
      <w:tr>
        <w:trPr>
          <w:trHeight w:val="208"/>
        </w:trPr>
        <w:tc>
          <w:tcPr>
            <w:tcW w:w="5580" w:type="dxa"/>
            <w:vAlign w:val="bottom"/>
            <w:shd w:val="clear" w:color="auto" w:fill="CCEEFF"/>
          </w:tcPr>
          <w:p>
            <w:pPr>
              <w:spacing w:after="0"/>
              <w:rPr>
                <w:sz w:val="20"/>
                <w:szCs w:val="20"/>
                <w:color w:val="auto"/>
              </w:rPr>
            </w:pPr>
            <w:r>
              <w:rPr>
                <w:rFonts w:ascii="Arial" w:cs="Arial" w:eastAsia="Arial" w:hAnsi="Arial"/>
                <w:sz w:val="17"/>
                <w:szCs w:val="17"/>
                <w:color w:val="auto"/>
                <w:w w:val="99"/>
              </w:rPr>
              <w:t>Net gains on financial assets designated at fair value through profit or loss</w:t>
            </w:r>
          </w:p>
        </w:tc>
        <w:tc>
          <w:tcPr>
            <w:tcW w:w="1620" w:type="dxa"/>
            <w:vAlign w:val="bottom"/>
            <w:shd w:val="clear" w:color="auto" w:fill="CCEEFF"/>
          </w:tcPr>
          <w:p>
            <w:pPr>
              <w:jc w:val="center"/>
              <w:ind w:left="253"/>
              <w:spacing w:after="0"/>
              <w:rPr>
                <w:sz w:val="20"/>
                <w:szCs w:val="20"/>
                <w:color w:val="auto"/>
              </w:rPr>
            </w:pPr>
            <w:r>
              <w:rPr>
                <w:rFonts w:ascii="Arial" w:cs="Arial" w:eastAsia="Arial" w:hAnsi="Arial"/>
                <w:sz w:val="17"/>
                <w:szCs w:val="17"/>
                <w:color w:val="auto"/>
                <w:w w:val="84"/>
              </w:rPr>
              <w:t>8</w:t>
            </w:r>
          </w:p>
        </w:tc>
        <w:tc>
          <w:tcPr>
            <w:tcW w:w="1440" w:type="dxa"/>
            <w:vAlign w:val="bottom"/>
            <w:gridSpan w:val="2"/>
            <w:shd w:val="clear" w:color="auto" w:fill="CCEEFF"/>
          </w:tcPr>
          <w:p>
            <w:pPr>
              <w:jc w:val="right"/>
              <w:ind w:right="119"/>
              <w:spacing w:after="0"/>
              <w:rPr>
                <w:sz w:val="20"/>
                <w:szCs w:val="20"/>
                <w:color w:val="auto"/>
              </w:rPr>
            </w:pPr>
            <w:r>
              <w:rPr>
                <w:rFonts w:ascii="Arial" w:cs="Arial" w:eastAsia="Arial" w:hAnsi="Arial"/>
                <w:sz w:val="17"/>
                <w:szCs w:val="17"/>
                <w:color w:val="auto"/>
              </w:rPr>
              <w:t>67,633</w:t>
            </w:r>
          </w:p>
        </w:tc>
        <w:tc>
          <w:tcPr>
            <w:tcW w:w="1440" w:type="dxa"/>
            <w:vAlign w:val="bottom"/>
            <w:gridSpan w:val="2"/>
            <w:shd w:val="clear" w:color="auto" w:fill="CCEEFF"/>
          </w:tcPr>
          <w:p>
            <w:pPr>
              <w:jc w:val="right"/>
              <w:ind w:right="119"/>
              <w:spacing w:after="0"/>
              <w:rPr>
                <w:sz w:val="20"/>
                <w:szCs w:val="20"/>
                <w:color w:val="auto"/>
              </w:rPr>
            </w:pPr>
            <w:r>
              <w:rPr>
                <w:rFonts w:ascii="Arial" w:cs="Arial" w:eastAsia="Arial" w:hAnsi="Arial"/>
                <w:sz w:val="17"/>
                <w:szCs w:val="17"/>
                <w:color w:val="auto"/>
              </w:rPr>
              <w:t>51,667</w:t>
            </w:r>
          </w:p>
        </w:tc>
        <w:tc>
          <w:tcPr>
            <w:tcW w:w="1340" w:type="dxa"/>
            <w:vAlign w:val="bottom"/>
            <w:gridSpan w:val="2"/>
            <w:shd w:val="clear" w:color="auto" w:fill="CCEEFF"/>
          </w:tcPr>
          <w:p>
            <w:pPr>
              <w:jc w:val="right"/>
              <w:ind w:right="19"/>
              <w:spacing w:after="0"/>
              <w:rPr>
                <w:sz w:val="20"/>
                <w:szCs w:val="20"/>
                <w:color w:val="auto"/>
              </w:rPr>
            </w:pPr>
            <w:r>
              <w:rPr>
                <w:rFonts w:ascii="Arial" w:cs="Arial" w:eastAsia="Arial" w:hAnsi="Arial"/>
                <w:sz w:val="17"/>
                <w:szCs w:val="17"/>
                <w:color w:val="auto"/>
              </w:rPr>
              <w:t>-</w:t>
            </w:r>
          </w:p>
        </w:tc>
      </w:tr>
      <w:tr>
        <w:trPr>
          <w:trHeight w:val="221"/>
        </w:trPr>
        <w:tc>
          <w:tcPr>
            <w:tcW w:w="5580" w:type="dxa"/>
            <w:vAlign w:val="bottom"/>
          </w:tcPr>
          <w:p>
            <w:pPr>
              <w:spacing w:after="0"/>
              <w:rPr>
                <w:sz w:val="20"/>
                <w:szCs w:val="20"/>
                <w:color w:val="auto"/>
              </w:rPr>
            </w:pPr>
            <w:r>
              <w:rPr>
                <w:rFonts w:ascii="Arial" w:cs="Arial" w:eastAsia="Arial" w:hAnsi="Arial"/>
                <w:sz w:val="17"/>
                <w:szCs w:val="17"/>
                <w:color w:val="auto"/>
              </w:rPr>
              <w:t>Others</w:t>
            </w:r>
          </w:p>
        </w:tc>
        <w:tc>
          <w:tcPr>
            <w:tcW w:w="1620" w:type="dxa"/>
            <w:vAlign w:val="bottom"/>
          </w:tcPr>
          <w:p>
            <w:pPr>
              <w:jc w:val="center"/>
              <w:ind w:left="273"/>
              <w:spacing w:after="0"/>
              <w:rPr>
                <w:sz w:val="20"/>
                <w:szCs w:val="20"/>
                <w:color w:val="auto"/>
              </w:rPr>
            </w:pPr>
            <w:r>
              <w:rPr>
                <w:rFonts w:ascii="Arial" w:cs="Arial" w:eastAsia="Arial" w:hAnsi="Arial"/>
                <w:sz w:val="17"/>
                <w:szCs w:val="17"/>
                <w:color w:val="auto"/>
                <w:w w:val="94"/>
              </w:rPr>
              <w:t>27</w:t>
            </w:r>
          </w:p>
        </w:tc>
        <w:tc>
          <w:tcPr>
            <w:tcW w:w="1440" w:type="dxa"/>
            <w:vAlign w:val="bottom"/>
            <w:gridSpan w:val="2"/>
          </w:tcPr>
          <w:p>
            <w:pPr>
              <w:jc w:val="right"/>
              <w:ind w:right="119"/>
              <w:spacing w:after="0"/>
              <w:rPr>
                <w:sz w:val="20"/>
                <w:szCs w:val="20"/>
                <w:color w:val="auto"/>
              </w:rPr>
            </w:pPr>
            <w:r>
              <w:rPr>
                <w:rFonts w:ascii="Arial" w:cs="Arial" w:eastAsia="Arial" w:hAnsi="Arial"/>
                <w:sz w:val="17"/>
                <w:szCs w:val="17"/>
                <w:color w:val="auto"/>
              </w:rPr>
              <w:t>396,683</w:t>
            </w:r>
          </w:p>
        </w:tc>
        <w:tc>
          <w:tcPr>
            <w:tcW w:w="1440" w:type="dxa"/>
            <w:vAlign w:val="bottom"/>
            <w:gridSpan w:val="2"/>
          </w:tcPr>
          <w:p>
            <w:pPr>
              <w:jc w:val="right"/>
              <w:ind w:right="119"/>
              <w:spacing w:after="0"/>
              <w:rPr>
                <w:sz w:val="20"/>
                <w:szCs w:val="20"/>
                <w:color w:val="auto"/>
              </w:rPr>
            </w:pPr>
            <w:r>
              <w:rPr>
                <w:rFonts w:ascii="Arial" w:cs="Arial" w:eastAsia="Arial" w:hAnsi="Arial"/>
                <w:sz w:val="17"/>
                <w:szCs w:val="17"/>
                <w:color w:val="auto"/>
              </w:rPr>
              <w:t>344,460</w:t>
            </w:r>
          </w:p>
        </w:tc>
        <w:tc>
          <w:tcPr>
            <w:tcW w:w="1340" w:type="dxa"/>
            <w:vAlign w:val="bottom"/>
            <w:gridSpan w:val="2"/>
          </w:tcPr>
          <w:p>
            <w:pPr>
              <w:jc w:val="right"/>
              <w:ind w:right="19"/>
              <w:spacing w:after="0"/>
              <w:rPr>
                <w:sz w:val="20"/>
                <w:szCs w:val="20"/>
                <w:color w:val="auto"/>
              </w:rPr>
            </w:pPr>
            <w:r>
              <w:rPr>
                <w:rFonts w:ascii="Arial" w:cs="Arial" w:eastAsia="Arial" w:hAnsi="Arial"/>
                <w:sz w:val="17"/>
                <w:szCs w:val="17"/>
                <w:color w:val="auto"/>
              </w:rPr>
              <w:t>325,666</w:t>
            </w:r>
          </w:p>
        </w:tc>
      </w:tr>
      <w:tr>
        <w:trPr>
          <w:trHeight w:val="201"/>
        </w:trPr>
        <w:tc>
          <w:tcPr>
            <w:tcW w:w="5580" w:type="dxa"/>
            <w:vAlign w:val="bottom"/>
            <w:tcBorders>
              <w:top w:val="single" w:sz="8" w:color="CCEEFF"/>
            </w:tcBorders>
            <w:shd w:val="clear" w:color="auto" w:fill="CCEEFF"/>
          </w:tcPr>
          <w:p>
            <w:pPr>
              <w:spacing w:after="0"/>
              <w:rPr>
                <w:sz w:val="17"/>
                <w:szCs w:val="17"/>
                <w:color w:val="auto"/>
              </w:rPr>
            </w:pPr>
          </w:p>
        </w:tc>
        <w:tc>
          <w:tcPr>
            <w:tcW w:w="162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4,888,707</w:t>
            </w:r>
          </w:p>
        </w:tc>
        <w:tc>
          <w:tcPr>
            <w:tcW w:w="20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4,247,106</w:t>
            </w:r>
          </w:p>
        </w:tc>
        <w:tc>
          <w:tcPr>
            <w:tcW w:w="20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4,246,879</w:t>
            </w:r>
          </w:p>
        </w:tc>
        <w:tc>
          <w:tcPr>
            <w:tcW w:w="100" w:type="dxa"/>
            <w:vAlign w:val="bottom"/>
            <w:tcBorders>
              <w:top w:val="single" w:sz="8" w:color="CCEEFF"/>
            </w:tcBorders>
            <w:shd w:val="clear" w:color="auto" w:fill="CCEEFF"/>
          </w:tcPr>
          <w:p>
            <w:pPr>
              <w:spacing w:after="0"/>
              <w:rPr>
                <w:sz w:val="17"/>
                <w:szCs w:val="17"/>
                <w:color w:val="auto"/>
              </w:rPr>
            </w:pPr>
          </w:p>
        </w:tc>
      </w:tr>
      <w:tr>
        <w:trPr>
          <w:trHeight w:val="201"/>
        </w:trPr>
        <w:tc>
          <w:tcPr>
            <w:tcW w:w="5580" w:type="dxa"/>
            <w:vAlign w:val="bottom"/>
          </w:tcPr>
          <w:p>
            <w:pPr>
              <w:spacing w:after="0"/>
              <w:rPr>
                <w:sz w:val="20"/>
                <w:szCs w:val="20"/>
                <w:color w:val="auto"/>
              </w:rPr>
            </w:pPr>
            <w:r>
              <w:rPr>
                <w:rFonts w:ascii="Arial" w:cs="Arial" w:eastAsia="Arial" w:hAnsi="Arial"/>
                <w:sz w:val="17"/>
                <w:szCs w:val="17"/>
                <w:b w:val="1"/>
                <w:bCs w:val="1"/>
                <w:color w:val="auto"/>
              </w:rPr>
              <w:t>Insurance premiums and claims</w:t>
            </w:r>
          </w:p>
        </w:tc>
        <w:tc>
          <w:tcPr>
            <w:tcW w:w="16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8"/>
        </w:trPr>
        <w:tc>
          <w:tcPr>
            <w:tcW w:w="5580" w:type="dxa"/>
            <w:vAlign w:val="bottom"/>
            <w:shd w:val="clear" w:color="auto" w:fill="CCEEFF"/>
          </w:tcPr>
          <w:p>
            <w:pPr>
              <w:spacing w:after="0"/>
              <w:rPr>
                <w:sz w:val="20"/>
                <w:szCs w:val="20"/>
                <w:color w:val="auto"/>
              </w:rPr>
            </w:pPr>
            <w:r>
              <w:rPr>
                <w:rFonts w:ascii="Arial" w:cs="Arial" w:eastAsia="Arial" w:hAnsi="Arial"/>
                <w:sz w:val="17"/>
                <w:szCs w:val="17"/>
                <w:color w:val="auto"/>
              </w:rPr>
              <w:t>Net premiums earned</w:t>
            </w:r>
          </w:p>
        </w:tc>
        <w:tc>
          <w:tcPr>
            <w:tcW w:w="1620" w:type="dxa"/>
            <w:vAlign w:val="bottom"/>
            <w:shd w:val="clear" w:color="auto" w:fill="CCEEFF"/>
          </w:tcPr>
          <w:p>
            <w:pPr>
              <w:jc w:val="center"/>
              <w:ind w:left="273"/>
              <w:spacing w:after="0"/>
              <w:rPr>
                <w:sz w:val="20"/>
                <w:szCs w:val="20"/>
                <w:color w:val="auto"/>
              </w:rPr>
            </w:pPr>
            <w:r>
              <w:rPr>
                <w:rFonts w:ascii="Arial" w:cs="Arial" w:eastAsia="Arial" w:hAnsi="Arial"/>
                <w:sz w:val="17"/>
                <w:szCs w:val="17"/>
                <w:color w:val="auto"/>
                <w:w w:val="94"/>
              </w:rPr>
              <w:t>23</w:t>
            </w: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1,808,340</w:t>
            </w:r>
          </w:p>
        </w:tc>
        <w:tc>
          <w:tcPr>
            <w:tcW w:w="2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19"/>
              <w:spacing w:after="0"/>
              <w:rPr>
                <w:sz w:val="20"/>
                <w:szCs w:val="20"/>
                <w:color w:val="auto"/>
              </w:rPr>
            </w:pPr>
            <w:r>
              <w:rPr>
                <w:rFonts w:ascii="Arial" w:cs="Arial" w:eastAsia="Arial" w:hAnsi="Arial"/>
                <w:sz w:val="17"/>
                <w:szCs w:val="17"/>
                <w:color w:val="auto"/>
              </w:rPr>
              <w:t>1,799,115</w:t>
            </w:r>
          </w:p>
        </w:tc>
        <w:tc>
          <w:tcPr>
            <w:tcW w:w="1340" w:type="dxa"/>
            <w:vAlign w:val="bottom"/>
            <w:gridSpan w:val="2"/>
            <w:shd w:val="clear" w:color="auto" w:fill="CCEEFF"/>
          </w:tcPr>
          <w:p>
            <w:pPr>
              <w:jc w:val="right"/>
              <w:ind w:right="19"/>
              <w:spacing w:after="0"/>
              <w:rPr>
                <w:sz w:val="20"/>
                <w:szCs w:val="20"/>
                <w:color w:val="auto"/>
              </w:rPr>
            </w:pPr>
            <w:r>
              <w:rPr>
                <w:rFonts w:ascii="Arial" w:cs="Arial" w:eastAsia="Arial" w:hAnsi="Arial"/>
                <w:sz w:val="17"/>
                <w:szCs w:val="17"/>
                <w:color w:val="auto"/>
              </w:rPr>
              <w:t>1,733,978</w:t>
            </w:r>
          </w:p>
        </w:tc>
      </w:tr>
      <w:tr>
        <w:trPr>
          <w:trHeight w:val="221"/>
        </w:trPr>
        <w:tc>
          <w:tcPr>
            <w:tcW w:w="5580" w:type="dxa"/>
            <w:vAlign w:val="bottom"/>
          </w:tcPr>
          <w:p>
            <w:pPr>
              <w:spacing w:after="0"/>
              <w:rPr>
                <w:sz w:val="20"/>
                <w:szCs w:val="20"/>
                <w:color w:val="auto"/>
              </w:rPr>
            </w:pPr>
            <w:r>
              <w:rPr>
                <w:rFonts w:ascii="Arial" w:cs="Arial" w:eastAsia="Arial" w:hAnsi="Arial"/>
                <w:sz w:val="17"/>
                <w:szCs w:val="17"/>
                <w:color w:val="auto"/>
              </w:rPr>
              <w:t>Net claims incurred for life, general and health insurance contracts</w:t>
            </w:r>
          </w:p>
        </w:tc>
        <w:tc>
          <w:tcPr>
            <w:tcW w:w="1620" w:type="dxa"/>
            <w:vAlign w:val="bottom"/>
          </w:tcPr>
          <w:p>
            <w:pPr>
              <w:jc w:val="center"/>
              <w:ind w:left="273"/>
              <w:spacing w:after="0"/>
              <w:rPr>
                <w:sz w:val="20"/>
                <w:szCs w:val="20"/>
                <w:color w:val="auto"/>
              </w:rPr>
            </w:pPr>
            <w:r>
              <w:rPr>
                <w:rFonts w:ascii="Arial" w:cs="Arial" w:eastAsia="Arial" w:hAnsi="Arial"/>
                <w:sz w:val="17"/>
                <w:szCs w:val="17"/>
                <w:color w:val="auto"/>
                <w:w w:val="94"/>
              </w:rPr>
              <w:t>24</w:t>
            </w:r>
          </w:p>
        </w:tc>
        <w:tc>
          <w:tcPr>
            <w:tcW w:w="1440" w:type="dxa"/>
            <w:vAlign w:val="bottom"/>
            <w:gridSpan w:val="2"/>
          </w:tcPr>
          <w:p>
            <w:pPr>
              <w:jc w:val="right"/>
              <w:ind w:right="59"/>
              <w:spacing w:after="0"/>
              <w:rPr>
                <w:sz w:val="20"/>
                <w:szCs w:val="20"/>
                <w:color w:val="auto"/>
              </w:rPr>
            </w:pPr>
            <w:r>
              <w:rPr>
                <w:rFonts w:ascii="Arial" w:cs="Arial" w:eastAsia="Arial" w:hAnsi="Arial"/>
                <w:sz w:val="17"/>
                <w:szCs w:val="17"/>
                <w:color w:val="auto"/>
              </w:rPr>
              <w:t>(1,118,304)</w:t>
            </w:r>
          </w:p>
        </w:tc>
        <w:tc>
          <w:tcPr>
            <w:tcW w:w="1440" w:type="dxa"/>
            <w:vAlign w:val="bottom"/>
            <w:gridSpan w:val="2"/>
          </w:tcPr>
          <w:p>
            <w:pPr>
              <w:jc w:val="right"/>
              <w:ind w:right="59"/>
              <w:spacing w:after="0"/>
              <w:rPr>
                <w:sz w:val="20"/>
                <w:szCs w:val="20"/>
                <w:color w:val="auto"/>
              </w:rPr>
            </w:pPr>
            <w:r>
              <w:rPr>
                <w:rFonts w:ascii="Arial" w:cs="Arial" w:eastAsia="Arial" w:hAnsi="Arial"/>
                <w:sz w:val="17"/>
                <w:szCs w:val="17"/>
                <w:color w:val="auto"/>
              </w:rPr>
              <w:t>(1,098,905)</w:t>
            </w:r>
          </w:p>
        </w:tc>
        <w:tc>
          <w:tcPr>
            <w:tcW w:w="1340" w:type="dxa"/>
            <w:vAlign w:val="bottom"/>
            <w:gridSpan w:val="2"/>
          </w:tcPr>
          <w:p>
            <w:pPr>
              <w:jc w:val="right"/>
              <w:spacing w:after="0"/>
              <w:rPr>
                <w:sz w:val="20"/>
                <w:szCs w:val="20"/>
                <w:color w:val="auto"/>
              </w:rPr>
            </w:pPr>
            <w:r>
              <w:rPr>
                <w:rFonts w:ascii="Arial" w:cs="Arial" w:eastAsia="Arial" w:hAnsi="Arial"/>
                <w:sz w:val="17"/>
                <w:szCs w:val="17"/>
                <w:color w:val="auto"/>
              </w:rPr>
              <w:t>(1,031,659)</w:t>
            </w:r>
          </w:p>
        </w:tc>
      </w:tr>
      <w:tr>
        <w:trPr>
          <w:trHeight w:val="201"/>
        </w:trPr>
        <w:tc>
          <w:tcPr>
            <w:tcW w:w="5580" w:type="dxa"/>
            <w:vAlign w:val="bottom"/>
            <w:tcBorders>
              <w:top w:val="single" w:sz="8" w:color="CCEEFF"/>
            </w:tcBorders>
            <w:shd w:val="clear" w:color="auto" w:fill="CCEEFF"/>
          </w:tcPr>
          <w:p>
            <w:pPr>
              <w:spacing w:after="0"/>
              <w:rPr>
                <w:sz w:val="17"/>
                <w:szCs w:val="17"/>
                <w:color w:val="auto"/>
              </w:rPr>
            </w:pPr>
          </w:p>
        </w:tc>
        <w:tc>
          <w:tcPr>
            <w:tcW w:w="162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08"/>
        </w:trPr>
        <w:tc>
          <w:tcPr>
            <w:tcW w:w="5580" w:type="dxa"/>
            <w:vAlign w:val="bottom"/>
          </w:tcPr>
          <w:p>
            <w:pPr>
              <w:spacing w:after="0"/>
              <w:rPr>
                <w:sz w:val="20"/>
                <w:szCs w:val="20"/>
                <w:color w:val="auto"/>
              </w:rPr>
            </w:pPr>
            <w:r>
              <w:rPr>
                <w:rFonts w:ascii="Arial" w:cs="Arial" w:eastAsia="Arial" w:hAnsi="Arial"/>
                <w:sz w:val="17"/>
                <w:szCs w:val="17"/>
                <w:b w:val="1"/>
                <w:bCs w:val="1"/>
                <w:color w:val="auto"/>
              </w:rPr>
              <w:t>Total premiums earned less claims</w:t>
            </w:r>
          </w:p>
        </w:tc>
        <w:tc>
          <w:tcPr>
            <w:tcW w:w="1620" w:type="dxa"/>
            <w:vAlign w:val="bottom"/>
          </w:tcPr>
          <w:p>
            <w:pPr>
              <w:spacing w:after="0"/>
              <w:rPr>
                <w:sz w:val="18"/>
                <w:szCs w:val="18"/>
                <w:color w:val="auto"/>
              </w:rPr>
            </w:pPr>
          </w:p>
        </w:tc>
        <w:tc>
          <w:tcPr>
            <w:tcW w:w="1440" w:type="dxa"/>
            <w:vAlign w:val="bottom"/>
            <w:gridSpan w:val="2"/>
          </w:tcPr>
          <w:p>
            <w:pPr>
              <w:jc w:val="right"/>
              <w:ind w:right="119"/>
              <w:spacing w:after="0"/>
              <w:rPr>
                <w:sz w:val="20"/>
                <w:szCs w:val="20"/>
                <w:color w:val="auto"/>
              </w:rPr>
            </w:pPr>
            <w:r>
              <w:rPr>
                <w:rFonts w:ascii="Arial" w:cs="Arial" w:eastAsia="Arial" w:hAnsi="Arial"/>
                <w:sz w:val="17"/>
                <w:szCs w:val="17"/>
                <w:color w:val="auto"/>
              </w:rPr>
              <w:t>690,036</w:t>
            </w:r>
          </w:p>
        </w:tc>
        <w:tc>
          <w:tcPr>
            <w:tcW w:w="1440" w:type="dxa"/>
            <w:vAlign w:val="bottom"/>
            <w:gridSpan w:val="2"/>
          </w:tcPr>
          <w:p>
            <w:pPr>
              <w:jc w:val="right"/>
              <w:ind w:right="119"/>
              <w:spacing w:after="0"/>
              <w:rPr>
                <w:sz w:val="20"/>
                <w:szCs w:val="20"/>
                <w:color w:val="auto"/>
              </w:rPr>
            </w:pPr>
            <w:r>
              <w:rPr>
                <w:rFonts w:ascii="Arial" w:cs="Arial" w:eastAsia="Arial" w:hAnsi="Arial"/>
                <w:sz w:val="17"/>
                <w:szCs w:val="17"/>
                <w:color w:val="auto"/>
              </w:rPr>
              <w:t>700,210</w:t>
            </w:r>
          </w:p>
        </w:tc>
        <w:tc>
          <w:tcPr>
            <w:tcW w:w="1340" w:type="dxa"/>
            <w:vAlign w:val="bottom"/>
            <w:gridSpan w:val="2"/>
          </w:tcPr>
          <w:p>
            <w:pPr>
              <w:jc w:val="right"/>
              <w:ind w:right="19"/>
              <w:spacing w:after="0"/>
              <w:rPr>
                <w:sz w:val="20"/>
                <w:szCs w:val="20"/>
                <w:color w:val="auto"/>
              </w:rPr>
            </w:pPr>
            <w:r>
              <w:rPr>
                <w:rFonts w:ascii="Arial" w:cs="Arial" w:eastAsia="Arial" w:hAnsi="Arial"/>
                <w:sz w:val="17"/>
                <w:szCs w:val="17"/>
                <w:color w:val="auto"/>
              </w:rPr>
              <w:t>702,319</w:t>
            </w:r>
          </w:p>
        </w:tc>
      </w:tr>
      <w:tr>
        <w:trPr>
          <w:trHeight w:val="208"/>
        </w:trPr>
        <w:tc>
          <w:tcPr>
            <w:tcW w:w="558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8"/>
        </w:trPr>
        <w:tc>
          <w:tcPr>
            <w:tcW w:w="5580" w:type="dxa"/>
            <w:vAlign w:val="bottom"/>
          </w:tcPr>
          <w:p>
            <w:pPr>
              <w:spacing w:after="0"/>
              <w:rPr>
                <w:sz w:val="20"/>
                <w:szCs w:val="20"/>
                <w:color w:val="auto"/>
              </w:rPr>
            </w:pPr>
            <w:r>
              <w:rPr>
                <w:rFonts w:ascii="Arial" w:cs="Arial" w:eastAsia="Arial" w:hAnsi="Arial"/>
                <w:sz w:val="17"/>
                <w:szCs w:val="17"/>
                <w:b w:val="1"/>
                <w:bCs w:val="1"/>
                <w:color w:val="auto"/>
              </w:rPr>
              <w:t>Other expenses</w:t>
            </w:r>
          </w:p>
        </w:tc>
        <w:tc>
          <w:tcPr>
            <w:tcW w:w="16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8"/>
        </w:trPr>
        <w:tc>
          <w:tcPr>
            <w:tcW w:w="5580" w:type="dxa"/>
            <w:vAlign w:val="bottom"/>
            <w:shd w:val="clear" w:color="auto" w:fill="CCEEFF"/>
          </w:tcPr>
          <w:p>
            <w:pPr>
              <w:spacing w:after="0"/>
              <w:rPr>
                <w:sz w:val="20"/>
                <w:szCs w:val="20"/>
                <w:color w:val="auto"/>
              </w:rPr>
            </w:pPr>
            <w:r>
              <w:rPr>
                <w:rFonts w:ascii="Arial" w:cs="Arial" w:eastAsia="Arial" w:hAnsi="Arial"/>
                <w:sz w:val="17"/>
                <w:szCs w:val="17"/>
                <w:color w:val="auto"/>
              </w:rPr>
              <w:t>Salaries and employees benefits</w:t>
            </w:r>
          </w:p>
        </w:tc>
        <w:tc>
          <w:tcPr>
            <w:tcW w:w="1620" w:type="dxa"/>
            <w:vAlign w:val="bottom"/>
            <w:shd w:val="clear" w:color="auto" w:fill="CCEEFF"/>
          </w:tcPr>
          <w:p>
            <w:pPr>
              <w:jc w:val="center"/>
              <w:ind w:left="273"/>
              <w:spacing w:after="0"/>
              <w:rPr>
                <w:sz w:val="20"/>
                <w:szCs w:val="20"/>
                <w:color w:val="auto"/>
              </w:rPr>
            </w:pPr>
            <w:r>
              <w:rPr>
                <w:rFonts w:ascii="Arial" w:cs="Arial" w:eastAsia="Arial" w:hAnsi="Arial"/>
                <w:sz w:val="17"/>
                <w:szCs w:val="17"/>
                <w:color w:val="auto"/>
                <w:w w:val="94"/>
              </w:rPr>
              <w:t>25</w:t>
            </w:r>
          </w:p>
        </w:tc>
        <w:tc>
          <w:tcPr>
            <w:tcW w:w="1440" w:type="dxa"/>
            <w:vAlign w:val="bottom"/>
            <w:gridSpan w:val="2"/>
            <w:shd w:val="clear" w:color="auto" w:fill="CCEEFF"/>
          </w:tcPr>
          <w:p>
            <w:pPr>
              <w:jc w:val="right"/>
              <w:ind w:right="59"/>
              <w:spacing w:after="0"/>
              <w:rPr>
                <w:sz w:val="20"/>
                <w:szCs w:val="20"/>
                <w:color w:val="auto"/>
              </w:rPr>
            </w:pPr>
            <w:r>
              <w:rPr>
                <w:rFonts w:ascii="Arial" w:cs="Arial" w:eastAsia="Arial" w:hAnsi="Arial"/>
                <w:sz w:val="17"/>
                <w:szCs w:val="17"/>
                <w:color w:val="auto"/>
              </w:rPr>
              <w:t>(3,071,020)</w:t>
            </w:r>
          </w:p>
        </w:tc>
        <w:tc>
          <w:tcPr>
            <w:tcW w:w="1440" w:type="dxa"/>
            <w:vAlign w:val="bottom"/>
            <w:gridSpan w:val="2"/>
            <w:shd w:val="clear" w:color="auto" w:fill="CCEEFF"/>
          </w:tcPr>
          <w:p>
            <w:pPr>
              <w:jc w:val="right"/>
              <w:ind w:right="59"/>
              <w:spacing w:after="0"/>
              <w:rPr>
                <w:sz w:val="20"/>
                <w:szCs w:val="20"/>
                <w:color w:val="auto"/>
              </w:rPr>
            </w:pPr>
            <w:r>
              <w:rPr>
                <w:rFonts w:ascii="Arial" w:cs="Arial" w:eastAsia="Arial" w:hAnsi="Arial"/>
                <w:sz w:val="17"/>
                <w:szCs w:val="17"/>
                <w:color w:val="auto"/>
              </w:rPr>
              <w:t>(2,942,743)</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(2,878,318)</w:t>
            </w:r>
          </w:p>
        </w:tc>
      </w:tr>
      <w:tr>
        <w:trPr>
          <w:trHeight w:val="208"/>
        </w:trPr>
        <w:tc>
          <w:tcPr>
            <w:tcW w:w="5580" w:type="dxa"/>
            <w:vAlign w:val="bottom"/>
          </w:tcPr>
          <w:p>
            <w:pPr>
              <w:spacing w:after="0"/>
              <w:rPr>
                <w:sz w:val="20"/>
                <w:szCs w:val="20"/>
                <w:color w:val="auto"/>
              </w:rPr>
            </w:pPr>
            <w:r>
              <w:rPr>
                <w:rFonts w:ascii="Arial" w:cs="Arial" w:eastAsia="Arial" w:hAnsi="Arial"/>
                <w:sz w:val="17"/>
                <w:szCs w:val="17"/>
                <w:color w:val="auto"/>
              </w:rPr>
              <w:t>Administrative expenses</w:t>
            </w:r>
          </w:p>
        </w:tc>
        <w:tc>
          <w:tcPr>
            <w:tcW w:w="1620" w:type="dxa"/>
            <w:vAlign w:val="bottom"/>
          </w:tcPr>
          <w:p>
            <w:pPr>
              <w:jc w:val="center"/>
              <w:ind w:left="273"/>
              <w:spacing w:after="0"/>
              <w:rPr>
                <w:sz w:val="20"/>
                <w:szCs w:val="20"/>
                <w:color w:val="auto"/>
              </w:rPr>
            </w:pPr>
            <w:r>
              <w:rPr>
                <w:rFonts w:ascii="Arial" w:cs="Arial" w:eastAsia="Arial" w:hAnsi="Arial"/>
                <w:sz w:val="17"/>
                <w:szCs w:val="17"/>
                <w:color w:val="auto"/>
                <w:w w:val="94"/>
              </w:rPr>
              <w:t>26</w:t>
            </w:r>
          </w:p>
        </w:tc>
        <w:tc>
          <w:tcPr>
            <w:tcW w:w="1440" w:type="dxa"/>
            <w:vAlign w:val="bottom"/>
            <w:gridSpan w:val="2"/>
          </w:tcPr>
          <w:p>
            <w:pPr>
              <w:jc w:val="right"/>
              <w:ind w:right="59"/>
              <w:spacing w:after="0"/>
              <w:rPr>
                <w:sz w:val="20"/>
                <w:szCs w:val="20"/>
                <w:color w:val="auto"/>
              </w:rPr>
            </w:pPr>
            <w:r>
              <w:rPr>
                <w:rFonts w:ascii="Arial" w:cs="Arial" w:eastAsia="Arial" w:hAnsi="Arial"/>
                <w:sz w:val="17"/>
                <w:szCs w:val="17"/>
                <w:color w:val="auto"/>
              </w:rPr>
              <w:t>(2,158,823)</w:t>
            </w:r>
          </w:p>
        </w:tc>
        <w:tc>
          <w:tcPr>
            <w:tcW w:w="1440" w:type="dxa"/>
            <w:vAlign w:val="bottom"/>
            <w:gridSpan w:val="2"/>
          </w:tcPr>
          <w:p>
            <w:pPr>
              <w:jc w:val="right"/>
              <w:ind w:right="59"/>
              <w:spacing w:after="0"/>
              <w:rPr>
                <w:sz w:val="20"/>
                <w:szCs w:val="20"/>
                <w:color w:val="auto"/>
              </w:rPr>
            </w:pPr>
            <w:r>
              <w:rPr>
                <w:rFonts w:ascii="Arial" w:cs="Arial" w:eastAsia="Arial" w:hAnsi="Arial"/>
                <w:sz w:val="17"/>
                <w:szCs w:val="17"/>
                <w:color w:val="auto"/>
              </w:rPr>
              <w:t>(2,094,678)</w:t>
            </w:r>
          </w:p>
        </w:tc>
        <w:tc>
          <w:tcPr>
            <w:tcW w:w="1340" w:type="dxa"/>
            <w:vAlign w:val="bottom"/>
            <w:gridSpan w:val="2"/>
          </w:tcPr>
          <w:p>
            <w:pPr>
              <w:jc w:val="right"/>
              <w:spacing w:after="0"/>
              <w:rPr>
                <w:sz w:val="20"/>
                <w:szCs w:val="20"/>
                <w:color w:val="auto"/>
              </w:rPr>
            </w:pPr>
            <w:r>
              <w:rPr>
                <w:rFonts w:ascii="Arial" w:cs="Arial" w:eastAsia="Arial" w:hAnsi="Arial"/>
                <w:sz w:val="17"/>
                <w:szCs w:val="17"/>
                <w:color w:val="auto"/>
              </w:rPr>
              <w:t>(1,995,802)</w:t>
            </w:r>
          </w:p>
        </w:tc>
      </w:tr>
      <w:tr>
        <w:trPr>
          <w:trHeight w:val="208"/>
        </w:trPr>
        <w:tc>
          <w:tcPr>
            <w:tcW w:w="5580" w:type="dxa"/>
            <w:vAlign w:val="bottom"/>
            <w:shd w:val="clear" w:color="auto" w:fill="CCEEFF"/>
          </w:tcPr>
          <w:p>
            <w:pPr>
              <w:spacing w:after="0"/>
              <w:rPr>
                <w:sz w:val="20"/>
                <w:szCs w:val="20"/>
                <w:color w:val="auto"/>
              </w:rPr>
            </w:pPr>
            <w:r>
              <w:rPr>
                <w:rFonts w:ascii="Arial" w:cs="Arial" w:eastAsia="Arial" w:hAnsi="Arial"/>
                <w:sz w:val="17"/>
                <w:szCs w:val="17"/>
                <w:color w:val="auto"/>
              </w:rPr>
              <w:t>Depreciation and amortization</w:t>
            </w:r>
          </w:p>
        </w:tc>
        <w:tc>
          <w:tcPr>
            <w:tcW w:w="1620" w:type="dxa"/>
            <w:vAlign w:val="bottom"/>
            <w:shd w:val="clear" w:color="auto" w:fill="CCEEFF"/>
          </w:tcPr>
          <w:p>
            <w:pPr>
              <w:jc w:val="center"/>
              <w:ind w:left="273"/>
              <w:spacing w:after="0"/>
              <w:rPr>
                <w:sz w:val="20"/>
                <w:szCs w:val="20"/>
                <w:color w:val="auto"/>
              </w:rPr>
            </w:pPr>
            <w:r>
              <w:rPr>
                <w:rFonts w:ascii="Arial" w:cs="Arial" w:eastAsia="Arial" w:hAnsi="Arial"/>
                <w:sz w:val="17"/>
                <w:szCs w:val="17"/>
                <w:color w:val="auto"/>
                <w:w w:val="90"/>
              </w:rPr>
              <w:t>10(a) and 11(a)</w:t>
            </w:r>
          </w:p>
        </w:tc>
        <w:tc>
          <w:tcPr>
            <w:tcW w:w="1440" w:type="dxa"/>
            <w:vAlign w:val="bottom"/>
            <w:gridSpan w:val="2"/>
            <w:shd w:val="clear" w:color="auto" w:fill="CCEEFF"/>
          </w:tcPr>
          <w:p>
            <w:pPr>
              <w:jc w:val="right"/>
              <w:ind w:right="59"/>
              <w:spacing w:after="0"/>
              <w:rPr>
                <w:sz w:val="20"/>
                <w:szCs w:val="20"/>
                <w:color w:val="auto"/>
              </w:rPr>
            </w:pPr>
            <w:r>
              <w:rPr>
                <w:rFonts w:ascii="Arial" w:cs="Arial" w:eastAsia="Arial" w:hAnsi="Arial"/>
                <w:sz w:val="17"/>
                <w:szCs w:val="17"/>
                <w:color w:val="auto"/>
              </w:rPr>
              <w:t>(419,975)</w:t>
            </w:r>
          </w:p>
        </w:tc>
        <w:tc>
          <w:tcPr>
            <w:tcW w:w="1440" w:type="dxa"/>
            <w:vAlign w:val="bottom"/>
            <w:gridSpan w:val="2"/>
            <w:shd w:val="clear" w:color="auto" w:fill="CCEEFF"/>
          </w:tcPr>
          <w:p>
            <w:pPr>
              <w:jc w:val="right"/>
              <w:ind w:right="59"/>
              <w:spacing w:after="0"/>
              <w:rPr>
                <w:sz w:val="20"/>
                <w:szCs w:val="20"/>
                <w:color w:val="auto"/>
              </w:rPr>
            </w:pPr>
            <w:r>
              <w:rPr>
                <w:rFonts w:ascii="Arial" w:cs="Arial" w:eastAsia="Arial" w:hAnsi="Arial"/>
                <w:sz w:val="17"/>
                <w:szCs w:val="17"/>
                <w:color w:val="auto"/>
              </w:rPr>
              <w:t>(407,061)</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(396,497)</w:t>
            </w:r>
          </w:p>
        </w:tc>
      </w:tr>
      <w:tr>
        <w:trPr>
          <w:trHeight w:val="208"/>
        </w:trPr>
        <w:tc>
          <w:tcPr>
            <w:tcW w:w="5580" w:type="dxa"/>
            <w:vAlign w:val="bottom"/>
          </w:tcPr>
          <w:p>
            <w:pPr>
              <w:spacing w:after="0"/>
              <w:rPr>
                <w:sz w:val="20"/>
                <w:szCs w:val="20"/>
                <w:color w:val="auto"/>
              </w:rPr>
            </w:pPr>
            <w:r>
              <w:rPr>
                <w:rFonts w:ascii="Arial" w:cs="Arial" w:eastAsia="Arial" w:hAnsi="Arial"/>
                <w:sz w:val="17"/>
                <w:szCs w:val="17"/>
                <w:color w:val="auto"/>
              </w:rPr>
              <w:t>Net loss from exchange difference</w:t>
            </w:r>
          </w:p>
        </w:tc>
        <w:tc>
          <w:tcPr>
            <w:tcW w:w="16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8"/>
                <w:szCs w:val="18"/>
                <w:color w:val="auto"/>
              </w:rPr>
            </w:pPr>
          </w:p>
        </w:tc>
        <w:tc>
          <w:tcPr>
            <w:tcW w:w="1440" w:type="dxa"/>
            <w:vAlign w:val="bottom"/>
            <w:gridSpan w:val="2"/>
          </w:tcPr>
          <w:p>
            <w:pPr>
              <w:jc w:val="right"/>
              <w:ind w:right="59"/>
              <w:spacing w:after="0"/>
              <w:rPr>
                <w:sz w:val="20"/>
                <w:szCs w:val="20"/>
                <w:color w:val="auto"/>
              </w:rPr>
            </w:pPr>
            <w:r>
              <w:rPr>
                <w:rFonts w:ascii="Arial" w:cs="Arial" w:eastAsia="Arial" w:hAnsi="Arial"/>
                <w:sz w:val="17"/>
                <w:szCs w:val="17"/>
                <w:color w:val="auto"/>
              </w:rPr>
              <w:t>(60,624)</w:t>
            </w:r>
          </w:p>
        </w:tc>
        <w:tc>
          <w:tcPr>
            <w:tcW w:w="1340" w:type="dxa"/>
            <w:vAlign w:val="bottom"/>
            <w:gridSpan w:val="2"/>
          </w:tcPr>
          <w:p>
            <w:pPr>
              <w:jc w:val="right"/>
              <w:ind w:right="19"/>
              <w:spacing w:after="0"/>
              <w:rPr>
                <w:sz w:val="20"/>
                <w:szCs w:val="20"/>
                <w:color w:val="auto"/>
              </w:rPr>
            </w:pPr>
            <w:r>
              <w:rPr>
                <w:rFonts w:ascii="Arial" w:cs="Arial" w:eastAsia="Arial" w:hAnsi="Arial"/>
                <w:sz w:val="17"/>
                <w:szCs w:val="17"/>
                <w:color w:val="auto"/>
              </w:rPr>
              <w:t>-</w:t>
            </w:r>
          </w:p>
        </w:tc>
      </w:tr>
      <w:tr>
        <w:trPr>
          <w:trHeight w:val="208"/>
        </w:trPr>
        <w:tc>
          <w:tcPr>
            <w:tcW w:w="5580" w:type="dxa"/>
            <w:vAlign w:val="bottom"/>
            <w:shd w:val="clear" w:color="auto" w:fill="CCEEFF"/>
          </w:tcPr>
          <w:p>
            <w:pPr>
              <w:spacing w:after="0"/>
              <w:rPr>
                <w:sz w:val="20"/>
                <w:szCs w:val="20"/>
                <w:color w:val="auto"/>
              </w:rPr>
            </w:pPr>
            <w:r>
              <w:rPr>
                <w:rFonts w:ascii="Arial" w:cs="Arial" w:eastAsia="Arial" w:hAnsi="Arial"/>
                <w:sz w:val="17"/>
                <w:szCs w:val="17"/>
                <w:color w:val="auto"/>
              </w:rPr>
              <w:t>Impairment loss on goodwill</w:t>
            </w:r>
          </w:p>
        </w:tc>
        <w:tc>
          <w:tcPr>
            <w:tcW w:w="1620" w:type="dxa"/>
            <w:vAlign w:val="bottom"/>
            <w:shd w:val="clear" w:color="auto" w:fill="CCEEFF"/>
          </w:tcPr>
          <w:p>
            <w:pPr>
              <w:jc w:val="center"/>
              <w:ind w:left="253"/>
              <w:spacing w:after="0"/>
              <w:rPr>
                <w:sz w:val="20"/>
                <w:szCs w:val="20"/>
                <w:color w:val="auto"/>
              </w:rPr>
            </w:pPr>
            <w:r>
              <w:rPr>
                <w:rFonts w:ascii="Arial" w:cs="Arial" w:eastAsia="Arial" w:hAnsi="Arial"/>
                <w:sz w:val="17"/>
                <w:szCs w:val="17"/>
                <w:color w:val="auto"/>
                <w:w w:val="90"/>
              </w:rPr>
              <w:t>11(b)</w:t>
            </w: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59"/>
              <w:spacing w:after="0"/>
              <w:rPr>
                <w:sz w:val="20"/>
                <w:szCs w:val="20"/>
                <w:color w:val="auto"/>
              </w:rPr>
            </w:pPr>
            <w:r>
              <w:rPr>
                <w:rFonts w:ascii="Arial" w:cs="Arial" w:eastAsia="Arial" w:hAnsi="Arial"/>
                <w:sz w:val="17"/>
                <w:szCs w:val="17"/>
                <w:color w:val="auto"/>
              </w:rPr>
              <w:t>(94)</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(82,374)</w:t>
            </w:r>
          </w:p>
        </w:tc>
      </w:tr>
      <w:tr>
        <w:trPr>
          <w:trHeight w:val="208"/>
        </w:trPr>
        <w:tc>
          <w:tcPr>
            <w:tcW w:w="5580" w:type="dxa"/>
            <w:vAlign w:val="bottom"/>
          </w:tcPr>
          <w:p>
            <w:pPr>
              <w:spacing w:after="0"/>
              <w:rPr>
                <w:sz w:val="20"/>
                <w:szCs w:val="20"/>
                <w:color w:val="auto"/>
              </w:rPr>
            </w:pPr>
            <w:r>
              <w:rPr>
                <w:rFonts w:ascii="Arial" w:cs="Arial" w:eastAsia="Arial" w:hAnsi="Arial"/>
                <w:sz w:val="17"/>
                <w:szCs w:val="17"/>
                <w:color w:val="auto"/>
              </w:rPr>
              <w:t>Net impairment loss on available-for-sale investments</w:t>
            </w:r>
          </w:p>
        </w:tc>
        <w:tc>
          <w:tcPr>
            <w:tcW w:w="1620" w:type="dxa"/>
            <w:vAlign w:val="bottom"/>
          </w:tcPr>
          <w:p>
            <w:pPr>
              <w:jc w:val="center"/>
              <w:ind w:left="253"/>
              <w:spacing w:after="0"/>
              <w:rPr>
                <w:sz w:val="20"/>
                <w:szCs w:val="20"/>
                <w:color w:val="auto"/>
              </w:rPr>
            </w:pPr>
            <w:r>
              <w:rPr>
                <w:rFonts w:ascii="Arial" w:cs="Arial" w:eastAsia="Arial" w:hAnsi="Arial"/>
                <w:sz w:val="17"/>
                <w:szCs w:val="17"/>
                <w:color w:val="auto"/>
                <w:w w:val="92"/>
              </w:rPr>
              <w:t>6(a)</w:t>
            </w:r>
          </w:p>
        </w:tc>
        <w:tc>
          <w:tcPr>
            <w:tcW w:w="1440" w:type="dxa"/>
            <w:vAlign w:val="bottom"/>
            <w:gridSpan w:val="2"/>
          </w:tcPr>
          <w:p>
            <w:pPr>
              <w:jc w:val="right"/>
              <w:ind w:right="59"/>
              <w:spacing w:after="0"/>
              <w:rPr>
                <w:sz w:val="20"/>
                <w:szCs w:val="20"/>
                <w:color w:val="auto"/>
              </w:rPr>
            </w:pPr>
            <w:r>
              <w:rPr>
                <w:rFonts w:ascii="Arial" w:cs="Arial" w:eastAsia="Arial" w:hAnsi="Arial"/>
                <w:sz w:val="17"/>
                <w:szCs w:val="17"/>
                <w:color w:val="auto"/>
              </w:rPr>
              <w:t>(766)</w:t>
            </w:r>
          </w:p>
        </w:tc>
        <w:tc>
          <w:tcPr>
            <w:tcW w:w="1440" w:type="dxa"/>
            <w:vAlign w:val="bottom"/>
            <w:gridSpan w:val="2"/>
          </w:tcPr>
          <w:p>
            <w:pPr>
              <w:jc w:val="right"/>
              <w:ind w:right="59"/>
              <w:spacing w:after="0"/>
              <w:rPr>
                <w:sz w:val="20"/>
                <w:szCs w:val="20"/>
                <w:color w:val="auto"/>
              </w:rPr>
            </w:pPr>
            <w:r>
              <w:rPr>
                <w:rFonts w:ascii="Arial" w:cs="Arial" w:eastAsia="Arial" w:hAnsi="Arial"/>
                <w:sz w:val="17"/>
                <w:szCs w:val="17"/>
                <w:color w:val="auto"/>
              </w:rPr>
              <w:t>(14,459)</w:t>
            </w:r>
          </w:p>
        </w:tc>
        <w:tc>
          <w:tcPr>
            <w:tcW w:w="1340" w:type="dxa"/>
            <w:vAlign w:val="bottom"/>
            <w:gridSpan w:val="2"/>
          </w:tcPr>
          <w:p>
            <w:pPr>
              <w:jc w:val="right"/>
              <w:spacing w:after="0"/>
              <w:rPr>
                <w:sz w:val="20"/>
                <w:szCs w:val="20"/>
                <w:color w:val="auto"/>
              </w:rPr>
            </w:pPr>
            <w:r>
              <w:rPr>
                <w:rFonts w:ascii="Arial" w:cs="Arial" w:eastAsia="Arial" w:hAnsi="Arial"/>
                <w:sz w:val="17"/>
                <w:szCs w:val="17"/>
                <w:color w:val="auto"/>
              </w:rPr>
              <w:t>(43,801)</w:t>
            </w:r>
          </w:p>
        </w:tc>
      </w:tr>
      <w:tr>
        <w:trPr>
          <w:trHeight w:val="208"/>
        </w:trPr>
        <w:tc>
          <w:tcPr>
            <w:tcW w:w="5580" w:type="dxa"/>
            <w:vAlign w:val="bottom"/>
            <w:shd w:val="clear" w:color="auto" w:fill="CCEEFF"/>
          </w:tcPr>
          <w:p>
            <w:pPr>
              <w:spacing w:after="0"/>
              <w:rPr>
                <w:sz w:val="20"/>
                <w:szCs w:val="20"/>
                <w:color w:val="auto"/>
              </w:rPr>
            </w:pPr>
            <w:r>
              <w:rPr>
                <w:rFonts w:ascii="Arial" w:cs="Arial" w:eastAsia="Arial" w:hAnsi="Arial"/>
                <w:sz w:val="17"/>
                <w:szCs w:val="17"/>
                <w:color w:val="auto"/>
              </w:rPr>
              <w:t>Net loss on financial assets at fair value through profit or loss</w:t>
            </w:r>
          </w:p>
        </w:tc>
        <w:tc>
          <w:tcPr>
            <w:tcW w:w="1620" w:type="dxa"/>
            <w:vAlign w:val="bottom"/>
            <w:shd w:val="clear" w:color="auto" w:fill="CCEEFF"/>
          </w:tcPr>
          <w:p>
            <w:pPr>
              <w:jc w:val="center"/>
              <w:ind w:left="253"/>
              <w:spacing w:after="0"/>
              <w:rPr>
                <w:sz w:val="20"/>
                <w:szCs w:val="20"/>
                <w:color w:val="auto"/>
              </w:rPr>
            </w:pPr>
            <w:r>
              <w:rPr>
                <w:rFonts w:ascii="Arial" w:cs="Arial" w:eastAsia="Arial" w:hAnsi="Arial"/>
                <w:sz w:val="17"/>
                <w:szCs w:val="17"/>
                <w:color w:val="auto"/>
                <w:w w:val="84"/>
              </w:rPr>
              <w:t>8</w:t>
            </w: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19"/>
              <w:spacing w:after="0"/>
              <w:rPr>
                <w:sz w:val="20"/>
                <w:szCs w:val="20"/>
                <w:color w:val="auto"/>
              </w:rPr>
            </w:pPr>
            <w:r>
              <w:rPr>
                <w:rFonts w:ascii="Arial" w:cs="Arial" w:eastAsia="Arial" w:hAnsi="Arial"/>
                <w:sz w:val="17"/>
                <w:szCs w:val="17"/>
                <w:color w:val="auto"/>
              </w:rPr>
              <w:t>-</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(33,500)</w:t>
            </w:r>
          </w:p>
        </w:tc>
      </w:tr>
      <w:tr>
        <w:trPr>
          <w:trHeight w:val="221"/>
        </w:trPr>
        <w:tc>
          <w:tcPr>
            <w:tcW w:w="5580" w:type="dxa"/>
            <w:vAlign w:val="bottom"/>
          </w:tcPr>
          <w:p>
            <w:pPr>
              <w:spacing w:after="0"/>
              <w:rPr>
                <w:sz w:val="20"/>
                <w:szCs w:val="20"/>
                <w:color w:val="auto"/>
              </w:rPr>
            </w:pPr>
            <w:r>
              <w:rPr>
                <w:rFonts w:ascii="Arial" w:cs="Arial" w:eastAsia="Arial" w:hAnsi="Arial"/>
                <w:sz w:val="17"/>
                <w:szCs w:val="17"/>
                <w:color w:val="auto"/>
              </w:rPr>
              <w:t>Others</w:t>
            </w:r>
          </w:p>
        </w:tc>
        <w:tc>
          <w:tcPr>
            <w:tcW w:w="1620" w:type="dxa"/>
            <w:vAlign w:val="bottom"/>
          </w:tcPr>
          <w:p>
            <w:pPr>
              <w:jc w:val="center"/>
              <w:ind w:left="273"/>
              <w:spacing w:after="0"/>
              <w:rPr>
                <w:sz w:val="20"/>
                <w:szCs w:val="20"/>
                <w:color w:val="auto"/>
              </w:rPr>
            </w:pPr>
            <w:r>
              <w:rPr>
                <w:rFonts w:ascii="Arial" w:cs="Arial" w:eastAsia="Arial" w:hAnsi="Arial"/>
                <w:sz w:val="17"/>
                <w:szCs w:val="17"/>
                <w:color w:val="auto"/>
                <w:w w:val="94"/>
              </w:rPr>
              <w:t>27</w:t>
            </w:r>
          </w:p>
        </w:tc>
        <w:tc>
          <w:tcPr>
            <w:tcW w:w="1440" w:type="dxa"/>
            <w:vAlign w:val="bottom"/>
            <w:gridSpan w:val="2"/>
          </w:tcPr>
          <w:p>
            <w:pPr>
              <w:jc w:val="right"/>
              <w:ind w:right="59"/>
              <w:spacing w:after="0"/>
              <w:rPr>
                <w:sz w:val="20"/>
                <w:szCs w:val="20"/>
                <w:color w:val="auto"/>
              </w:rPr>
            </w:pPr>
            <w:r>
              <w:rPr>
                <w:rFonts w:ascii="Arial" w:cs="Arial" w:eastAsia="Arial" w:hAnsi="Arial"/>
                <w:sz w:val="17"/>
                <w:szCs w:val="17"/>
                <w:color w:val="auto"/>
              </w:rPr>
              <w:t>(635,547)</w:t>
            </w:r>
          </w:p>
        </w:tc>
        <w:tc>
          <w:tcPr>
            <w:tcW w:w="1440" w:type="dxa"/>
            <w:vAlign w:val="bottom"/>
            <w:gridSpan w:val="2"/>
          </w:tcPr>
          <w:p>
            <w:pPr>
              <w:jc w:val="right"/>
              <w:ind w:right="59"/>
              <w:spacing w:after="0"/>
              <w:rPr>
                <w:sz w:val="20"/>
                <w:szCs w:val="20"/>
                <w:color w:val="auto"/>
              </w:rPr>
            </w:pPr>
            <w:r>
              <w:rPr>
                <w:rFonts w:ascii="Arial" w:cs="Arial" w:eastAsia="Arial" w:hAnsi="Arial"/>
                <w:sz w:val="17"/>
                <w:szCs w:val="17"/>
                <w:color w:val="auto"/>
              </w:rPr>
              <w:t>(609,075)</w:t>
            </w:r>
          </w:p>
        </w:tc>
        <w:tc>
          <w:tcPr>
            <w:tcW w:w="1340" w:type="dxa"/>
            <w:vAlign w:val="bottom"/>
            <w:gridSpan w:val="2"/>
          </w:tcPr>
          <w:p>
            <w:pPr>
              <w:jc w:val="right"/>
              <w:spacing w:after="0"/>
              <w:rPr>
                <w:sz w:val="20"/>
                <w:szCs w:val="20"/>
                <w:color w:val="auto"/>
              </w:rPr>
            </w:pPr>
            <w:r>
              <w:rPr>
                <w:rFonts w:ascii="Arial" w:cs="Arial" w:eastAsia="Arial" w:hAnsi="Arial"/>
                <w:sz w:val="17"/>
                <w:szCs w:val="17"/>
                <w:color w:val="auto"/>
              </w:rPr>
              <w:t>(534,372)</w:t>
            </w:r>
          </w:p>
        </w:tc>
      </w:tr>
      <w:tr>
        <w:trPr>
          <w:trHeight w:val="201"/>
        </w:trPr>
        <w:tc>
          <w:tcPr>
            <w:tcW w:w="55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b w:val="1"/>
                <w:bCs w:val="1"/>
                <w:color w:val="auto"/>
              </w:rPr>
              <w:t>Total other expenses</w:t>
            </w:r>
          </w:p>
        </w:tc>
        <w:tc>
          <w:tcPr>
            <w:tcW w:w="162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(6,286,131</w:t>
            </w:r>
          </w:p>
        </w:tc>
        <w:tc>
          <w:tcPr>
            <w:tcW w:w="200" w:type="dxa"/>
            <w:vAlign w:val="bottom"/>
            <w:tcBorders>
              <w:top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74"/>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(6,128,734</w:t>
            </w:r>
          </w:p>
        </w:tc>
        <w:tc>
          <w:tcPr>
            <w:tcW w:w="200" w:type="dxa"/>
            <w:vAlign w:val="bottom"/>
            <w:tcBorders>
              <w:top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74"/>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(5,964,664</w:t>
            </w:r>
          </w:p>
        </w:tc>
        <w:tc>
          <w:tcPr>
            <w:tcW w:w="1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r>
    </w:tbl>
    <w:p>
      <w:pPr>
        <w:spacing w:after="0" w:line="195" w:lineRule="exact"/>
        <w:rPr>
          <w:sz w:val="20"/>
          <w:szCs w:val="20"/>
          <w:color w:val="auto"/>
        </w:rPr>
      </w:pPr>
    </w:p>
    <w:p>
      <w:pPr>
        <w:spacing w:after="0"/>
        <w:rPr>
          <w:sz w:val="20"/>
          <w:szCs w:val="20"/>
          <w:color w:val="auto"/>
        </w:rPr>
      </w:pPr>
      <w:r>
        <w:rPr>
          <w:rFonts w:ascii="Arial" w:cs="Arial" w:eastAsia="Arial" w:hAnsi="Arial"/>
          <w:sz w:val="17"/>
          <w:szCs w:val="17"/>
          <w:color w:val="auto"/>
        </w:rPr>
        <w:t>The accompanying Notes are an integral part of these consolidated financial statements.</w:t>
      </w: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- 10 -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15875</wp:posOffset>
            </wp:positionV>
            <wp:extent cx="725170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1700" cy="8255"/>
                    </a:xfrm>
                    <a:prstGeom prst="rect">
                      <a:avLst/>
                    </a:prstGeom>
                    <a:noFill/>
                  </pic:spPr>
                </pic:pic>
              </a:graphicData>
            </a:graphic>
          </wp:anchor>
        </w:drawing>
      </w:r>
    </w:p>
    <w:p>
      <w:pPr>
        <w:sectPr>
          <w:pgSz w:w="11900" w:h="16838" w:orient="portrait"/>
          <w:cols w:equalWidth="0" w:num="1">
            <w:col w:w="11420"/>
          </w:cols>
          <w:pgMar w:left="240" w:top="875" w:right="23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226"/>
        </w:trPr>
        <w:tc>
          <w:tcPr>
            <w:tcW w:w="5900" w:type="dxa"/>
            <w:vAlign w:val="bottom"/>
          </w:tcPr>
          <w:p>
            <w:pPr>
              <w:spacing w:after="0"/>
              <w:rPr>
                <w:sz w:val="20"/>
                <w:szCs w:val="20"/>
                <w:color w:val="auto"/>
              </w:rPr>
            </w:pPr>
            <w:r>
              <w:rPr>
                <w:rFonts w:ascii="Arial" w:cs="Arial" w:eastAsia="Arial" w:hAnsi="Arial"/>
                <w:sz w:val="17"/>
                <w:szCs w:val="17"/>
                <w:b w:val="1"/>
                <w:bCs w:val="1"/>
                <w:color w:val="auto"/>
              </w:rPr>
              <w:t>CONSOLIDATED STATEMENT OF INCOME (CONTINUED)</w:t>
            </w:r>
          </w:p>
        </w:tc>
        <w:tc>
          <w:tcPr>
            <w:tcW w:w="1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429"/>
        </w:trPr>
        <w:tc>
          <w:tcPr>
            <w:tcW w:w="5900" w:type="dxa"/>
            <w:vAlign w:val="bottom"/>
          </w:tcPr>
          <w:p>
            <w:pPr>
              <w:spacing w:after="0"/>
              <w:rPr>
                <w:sz w:val="24"/>
                <w:szCs w:val="24"/>
                <w:color w:val="auto"/>
              </w:rPr>
            </w:pPr>
          </w:p>
        </w:tc>
        <w:tc>
          <w:tcPr>
            <w:tcW w:w="1220" w:type="dxa"/>
            <w:vAlign w:val="bottom"/>
          </w:tcPr>
          <w:p>
            <w:pPr>
              <w:ind w:left="460"/>
              <w:spacing w:after="0"/>
              <w:rPr>
                <w:sz w:val="20"/>
                <w:szCs w:val="20"/>
                <w:color w:val="auto"/>
              </w:rPr>
            </w:pPr>
            <w:r>
              <w:rPr>
                <w:rFonts w:ascii="Arial" w:cs="Arial" w:eastAsia="Arial" w:hAnsi="Arial"/>
                <w:sz w:val="17"/>
                <w:szCs w:val="17"/>
                <w:b w:val="1"/>
                <w:bCs w:val="1"/>
                <w:color w:val="auto"/>
              </w:rPr>
              <w:t>Note</w:t>
            </w:r>
          </w:p>
        </w:tc>
        <w:tc>
          <w:tcPr>
            <w:tcW w:w="1260" w:type="dxa"/>
            <w:vAlign w:val="bottom"/>
            <w:tcBorders>
              <w:bottom w:val="single" w:sz="8" w:color="auto"/>
            </w:tcBorders>
          </w:tcPr>
          <w:p>
            <w:pPr>
              <w:jc w:val="right"/>
              <w:ind w:right="373"/>
              <w:spacing w:after="0"/>
              <w:rPr>
                <w:sz w:val="20"/>
                <w:szCs w:val="20"/>
                <w:color w:val="auto"/>
              </w:rPr>
            </w:pPr>
            <w:r>
              <w:rPr>
                <w:rFonts w:ascii="Arial" w:cs="Arial" w:eastAsia="Arial" w:hAnsi="Arial"/>
                <w:sz w:val="17"/>
                <w:szCs w:val="17"/>
                <w:b w:val="1"/>
                <w:bCs w:val="1"/>
                <w:color w:val="auto"/>
              </w:rPr>
              <w:t>2017</w:t>
            </w:r>
          </w:p>
        </w:tc>
        <w:tc>
          <w:tcPr>
            <w:tcW w:w="220" w:type="dxa"/>
            <w:vAlign w:val="bottom"/>
          </w:tcPr>
          <w:p>
            <w:pPr>
              <w:spacing w:after="0"/>
              <w:rPr>
                <w:sz w:val="24"/>
                <w:szCs w:val="24"/>
                <w:color w:val="auto"/>
              </w:rPr>
            </w:pPr>
          </w:p>
        </w:tc>
        <w:tc>
          <w:tcPr>
            <w:tcW w:w="1260" w:type="dxa"/>
            <w:vAlign w:val="bottom"/>
            <w:tcBorders>
              <w:bottom w:val="single" w:sz="8" w:color="auto"/>
            </w:tcBorders>
          </w:tcPr>
          <w:p>
            <w:pPr>
              <w:jc w:val="right"/>
              <w:ind w:right="373"/>
              <w:spacing w:after="0"/>
              <w:rPr>
                <w:sz w:val="20"/>
                <w:szCs w:val="20"/>
                <w:color w:val="auto"/>
              </w:rPr>
            </w:pPr>
            <w:r>
              <w:rPr>
                <w:rFonts w:ascii="Arial" w:cs="Arial" w:eastAsia="Arial" w:hAnsi="Arial"/>
                <w:sz w:val="17"/>
                <w:szCs w:val="17"/>
                <w:b w:val="1"/>
                <w:bCs w:val="1"/>
                <w:color w:val="auto"/>
              </w:rPr>
              <w:t>2016</w:t>
            </w:r>
          </w:p>
        </w:tc>
        <w:tc>
          <w:tcPr>
            <w:tcW w:w="220" w:type="dxa"/>
            <w:vAlign w:val="bottom"/>
          </w:tcPr>
          <w:p>
            <w:pPr>
              <w:spacing w:after="0"/>
              <w:rPr>
                <w:sz w:val="24"/>
                <w:szCs w:val="24"/>
                <w:color w:val="auto"/>
              </w:rPr>
            </w:pPr>
          </w:p>
        </w:tc>
        <w:tc>
          <w:tcPr>
            <w:tcW w:w="1240" w:type="dxa"/>
            <w:vAlign w:val="bottom"/>
            <w:tcBorders>
              <w:bottom w:val="single" w:sz="8" w:color="auto"/>
            </w:tcBorders>
          </w:tcPr>
          <w:p>
            <w:pPr>
              <w:jc w:val="right"/>
              <w:ind w:right="353"/>
              <w:spacing w:after="0"/>
              <w:rPr>
                <w:sz w:val="20"/>
                <w:szCs w:val="20"/>
                <w:color w:val="auto"/>
              </w:rPr>
            </w:pPr>
            <w:r>
              <w:rPr>
                <w:rFonts w:ascii="Arial" w:cs="Arial" w:eastAsia="Arial" w:hAnsi="Arial"/>
                <w:sz w:val="17"/>
                <w:szCs w:val="17"/>
                <w:b w:val="1"/>
                <w:bCs w:val="1"/>
                <w:color w:val="auto"/>
              </w:rPr>
              <w:t>2015</w:t>
            </w:r>
          </w:p>
        </w:tc>
        <w:tc>
          <w:tcPr>
            <w:tcW w:w="100" w:type="dxa"/>
            <w:vAlign w:val="bottom"/>
          </w:tcPr>
          <w:p>
            <w:pPr>
              <w:spacing w:after="0"/>
              <w:rPr>
                <w:sz w:val="24"/>
                <w:szCs w:val="24"/>
                <w:color w:val="auto"/>
              </w:rPr>
            </w:pPr>
          </w:p>
        </w:tc>
      </w:tr>
      <w:tr>
        <w:trPr>
          <w:trHeight w:val="219"/>
        </w:trPr>
        <w:tc>
          <w:tcPr>
            <w:tcW w:w="59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60" w:type="dxa"/>
            <w:vAlign w:val="bottom"/>
          </w:tcPr>
          <w:p>
            <w:pPr>
              <w:jc w:val="center"/>
              <w:spacing w:after="0"/>
              <w:rPr>
                <w:sz w:val="20"/>
                <w:szCs w:val="20"/>
                <w:color w:val="auto"/>
              </w:rPr>
            </w:pPr>
            <w:r>
              <w:rPr>
                <w:rFonts w:ascii="Arial" w:cs="Arial" w:eastAsia="Arial" w:hAnsi="Arial"/>
                <w:sz w:val="17"/>
                <w:szCs w:val="17"/>
                <w:b w:val="1"/>
                <w:bCs w:val="1"/>
                <w:color w:val="auto"/>
                <w:w w:val="93"/>
              </w:rPr>
              <w:t>S/(000)</w:t>
            </w:r>
          </w:p>
        </w:tc>
        <w:tc>
          <w:tcPr>
            <w:tcW w:w="220" w:type="dxa"/>
            <w:vAlign w:val="bottom"/>
          </w:tcPr>
          <w:p>
            <w:pPr>
              <w:spacing w:after="0"/>
              <w:rPr>
                <w:sz w:val="19"/>
                <w:szCs w:val="19"/>
                <w:color w:val="auto"/>
              </w:rPr>
            </w:pPr>
          </w:p>
        </w:tc>
        <w:tc>
          <w:tcPr>
            <w:tcW w:w="1260" w:type="dxa"/>
            <w:vAlign w:val="bottom"/>
          </w:tcPr>
          <w:p>
            <w:pPr>
              <w:jc w:val="center"/>
              <w:spacing w:after="0"/>
              <w:rPr>
                <w:sz w:val="20"/>
                <w:szCs w:val="20"/>
                <w:color w:val="auto"/>
              </w:rPr>
            </w:pPr>
            <w:r>
              <w:rPr>
                <w:rFonts w:ascii="Arial" w:cs="Arial" w:eastAsia="Arial" w:hAnsi="Arial"/>
                <w:sz w:val="17"/>
                <w:szCs w:val="17"/>
                <w:b w:val="1"/>
                <w:bCs w:val="1"/>
                <w:color w:val="auto"/>
                <w:w w:val="93"/>
              </w:rPr>
              <w:t>S/(000)</w:t>
            </w:r>
          </w:p>
        </w:tc>
        <w:tc>
          <w:tcPr>
            <w:tcW w:w="220" w:type="dxa"/>
            <w:vAlign w:val="bottom"/>
          </w:tcPr>
          <w:p>
            <w:pPr>
              <w:spacing w:after="0"/>
              <w:rPr>
                <w:sz w:val="19"/>
                <w:szCs w:val="19"/>
                <w:color w:val="auto"/>
              </w:rPr>
            </w:pPr>
          </w:p>
        </w:tc>
        <w:tc>
          <w:tcPr>
            <w:tcW w:w="1240" w:type="dxa"/>
            <w:vAlign w:val="bottom"/>
          </w:tcPr>
          <w:p>
            <w:pPr>
              <w:jc w:val="center"/>
              <w:spacing w:after="0"/>
              <w:rPr>
                <w:sz w:val="20"/>
                <w:szCs w:val="20"/>
                <w:color w:val="auto"/>
              </w:rPr>
            </w:pPr>
            <w:r>
              <w:rPr>
                <w:rFonts w:ascii="Arial" w:cs="Arial" w:eastAsia="Arial" w:hAnsi="Arial"/>
                <w:sz w:val="17"/>
                <w:szCs w:val="17"/>
                <w:b w:val="1"/>
                <w:bCs w:val="1"/>
                <w:color w:val="auto"/>
                <w:w w:val="93"/>
              </w:rPr>
              <w:t>S/(000)</w:t>
            </w:r>
          </w:p>
        </w:tc>
        <w:tc>
          <w:tcPr>
            <w:tcW w:w="100" w:type="dxa"/>
            <w:vAlign w:val="bottom"/>
          </w:tcPr>
          <w:p>
            <w:pPr>
              <w:spacing w:after="0"/>
              <w:rPr>
                <w:sz w:val="19"/>
                <w:szCs w:val="19"/>
                <w:color w:val="auto"/>
              </w:rPr>
            </w:pPr>
          </w:p>
        </w:tc>
      </w:tr>
      <w:tr>
        <w:trPr>
          <w:trHeight w:val="189"/>
        </w:trPr>
        <w:tc>
          <w:tcPr>
            <w:tcW w:w="59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08"/>
        </w:trPr>
        <w:tc>
          <w:tcPr>
            <w:tcW w:w="590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Profit before income tax</w:t>
            </w:r>
          </w:p>
        </w:tc>
        <w:tc>
          <w:tcPr>
            <w:tcW w:w="12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5,574,934</w:t>
            </w: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4,891,428</w:t>
            </w: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4,360,592</w:t>
            </w:r>
          </w:p>
        </w:tc>
      </w:tr>
      <w:tr>
        <w:trPr>
          <w:trHeight w:val="221"/>
        </w:trPr>
        <w:tc>
          <w:tcPr>
            <w:tcW w:w="5900" w:type="dxa"/>
            <w:vAlign w:val="bottom"/>
          </w:tcPr>
          <w:p>
            <w:pPr>
              <w:spacing w:after="0"/>
              <w:rPr>
                <w:sz w:val="20"/>
                <w:szCs w:val="20"/>
                <w:color w:val="auto"/>
              </w:rPr>
            </w:pPr>
            <w:r>
              <w:rPr>
                <w:rFonts w:ascii="Arial" w:cs="Arial" w:eastAsia="Arial" w:hAnsi="Arial"/>
                <w:sz w:val="17"/>
                <w:szCs w:val="17"/>
                <w:color w:val="auto"/>
              </w:rPr>
              <w:t>Income tax</w:t>
            </w:r>
          </w:p>
        </w:tc>
        <w:tc>
          <w:tcPr>
            <w:tcW w:w="1220" w:type="dxa"/>
            <w:vAlign w:val="bottom"/>
          </w:tcPr>
          <w:p>
            <w:pPr>
              <w:jc w:val="center"/>
              <w:ind w:left="13"/>
              <w:spacing w:after="0"/>
              <w:rPr>
                <w:sz w:val="20"/>
                <w:szCs w:val="20"/>
                <w:color w:val="auto"/>
              </w:rPr>
            </w:pPr>
            <w:r>
              <w:rPr>
                <w:rFonts w:ascii="Arial" w:cs="Arial" w:eastAsia="Arial" w:hAnsi="Arial"/>
                <w:sz w:val="17"/>
                <w:szCs w:val="17"/>
                <w:color w:val="auto"/>
                <w:w w:val="90"/>
              </w:rPr>
              <w:t>18(b)</w:t>
            </w:r>
          </w:p>
        </w:tc>
        <w:tc>
          <w:tcPr>
            <w:tcW w:w="1480" w:type="dxa"/>
            <w:vAlign w:val="bottom"/>
            <w:gridSpan w:val="2"/>
          </w:tcPr>
          <w:p>
            <w:pPr>
              <w:jc w:val="right"/>
              <w:ind w:right="180"/>
              <w:spacing w:after="0"/>
              <w:rPr>
                <w:sz w:val="20"/>
                <w:szCs w:val="20"/>
                <w:color w:val="auto"/>
              </w:rPr>
            </w:pPr>
            <w:r>
              <w:rPr>
                <w:rFonts w:ascii="Arial" w:cs="Arial" w:eastAsia="Arial" w:hAnsi="Arial"/>
                <w:sz w:val="17"/>
                <w:szCs w:val="17"/>
                <w:color w:val="auto"/>
              </w:rPr>
              <w:t>(1,393,286)</w:t>
            </w:r>
          </w:p>
        </w:tc>
        <w:tc>
          <w:tcPr>
            <w:tcW w:w="1480" w:type="dxa"/>
            <w:vAlign w:val="bottom"/>
            <w:gridSpan w:val="2"/>
          </w:tcPr>
          <w:p>
            <w:pPr>
              <w:jc w:val="right"/>
              <w:ind w:right="160"/>
              <w:spacing w:after="0"/>
              <w:rPr>
                <w:sz w:val="20"/>
                <w:szCs w:val="20"/>
                <w:color w:val="auto"/>
              </w:rPr>
            </w:pPr>
            <w:r>
              <w:rPr>
                <w:rFonts w:ascii="Arial" w:cs="Arial" w:eastAsia="Arial" w:hAnsi="Arial"/>
                <w:sz w:val="17"/>
                <w:szCs w:val="17"/>
                <w:color w:val="auto"/>
              </w:rPr>
              <w:t>(1,281,448)</w:t>
            </w:r>
          </w:p>
        </w:tc>
        <w:tc>
          <w:tcPr>
            <w:tcW w:w="1340" w:type="dxa"/>
            <w:vAlign w:val="bottom"/>
            <w:gridSpan w:val="2"/>
          </w:tcPr>
          <w:p>
            <w:pPr>
              <w:jc w:val="right"/>
              <w:ind w:right="40"/>
              <w:spacing w:after="0"/>
              <w:rPr>
                <w:sz w:val="20"/>
                <w:szCs w:val="20"/>
                <w:color w:val="auto"/>
              </w:rPr>
            </w:pPr>
            <w:r>
              <w:rPr>
                <w:rFonts w:ascii="Arial" w:cs="Arial" w:eastAsia="Arial" w:hAnsi="Arial"/>
                <w:sz w:val="17"/>
                <w:szCs w:val="17"/>
                <w:color w:val="auto"/>
              </w:rPr>
              <w:t>(1,197,207)</w:t>
            </w:r>
          </w:p>
        </w:tc>
      </w:tr>
      <w:tr>
        <w:trPr>
          <w:trHeight w:val="201"/>
        </w:trPr>
        <w:tc>
          <w:tcPr>
            <w:tcW w:w="59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b w:val="1"/>
                <w:bCs w:val="1"/>
                <w:color w:val="auto"/>
              </w:rPr>
              <w:t>Net profit</w:t>
            </w:r>
          </w:p>
        </w:tc>
        <w:tc>
          <w:tcPr>
            <w:tcW w:w="1220" w:type="dxa"/>
            <w:vAlign w:val="bottom"/>
            <w:tcBorders>
              <w:top w:val="single" w:sz="8" w:color="CCEEFF"/>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4,181,648</w:t>
            </w:r>
          </w:p>
        </w:tc>
        <w:tc>
          <w:tcPr>
            <w:tcW w:w="220" w:type="dxa"/>
            <w:vAlign w:val="bottom"/>
            <w:tcBorders>
              <w:top w:val="single" w:sz="8" w:color="CCEEFF"/>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3,609,980</w:t>
            </w:r>
          </w:p>
        </w:tc>
        <w:tc>
          <w:tcPr>
            <w:tcW w:w="22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3,163,385</w:t>
            </w:r>
          </w:p>
        </w:tc>
        <w:tc>
          <w:tcPr>
            <w:tcW w:w="100" w:type="dxa"/>
            <w:vAlign w:val="bottom"/>
            <w:tcBorders>
              <w:top w:val="single" w:sz="8" w:color="CCEEFF"/>
            </w:tcBorders>
            <w:shd w:val="clear" w:color="auto" w:fill="CCEEFF"/>
          </w:tcPr>
          <w:p>
            <w:pPr>
              <w:spacing w:after="0"/>
              <w:rPr>
                <w:sz w:val="17"/>
                <w:szCs w:val="17"/>
                <w:color w:val="auto"/>
              </w:rPr>
            </w:pPr>
          </w:p>
        </w:tc>
      </w:tr>
      <w:tr>
        <w:trPr>
          <w:trHeight w:val="208"/>
        </w:trPr>
        <w:tc>
          <w:tcPr>
            <w:tcW w:w="59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8"/>
        </w:trPr>
        <w:tc>
          <w:tcPr>
            <w:tcW w:w="590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Attributable to:</w:t>
            </w:r>
          </w:p>
        </w:tc>
        <w:tc>
          <w:tcPr>
            <w:tcW w:w="1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8"/>
        </w:trPr>
        <w:tc>
          <w:tcPr>
            <w:tcW w:w="5900" w:type="dxa"/>
            <w:vAlign w:val="bottom"/>
          </w:tcPr>
          <w:p>
            <w:pPr>
              <w:spacing w:after="0"/>
              <w:rPr>
                <w:sz w:val="20"/>
                <w:szCs w:val="20"/>
                <w:color w:val="auto"/>
              </w:rPr>
            </w:pPr>
            <w:r>
              <w:rPr>
                <w:rFonts w:ascii="Arial" w:cs="Arial" w:eastAsia="Arial" w:hAnsi="Arial"/>
                <w:sz w:val="17"/>
                <w:szCs w:val="17"/>
                <w:color w:val="auto"/>
              </w:rPr>
              <w:t>Credicorp’s equity holders</w:t>
            </w:r>
          </w:p>
        </w:tc>
        <w:tc>
          <w:tcPr>
            <w:tcW w:w="1220" w:type="dxa"/>
            <w:vAlign w:val="bottom"/>
          </w:tcPr>
          <w:p>
            <w:pPr>
              <w:spacing w:after="0"/>
              <w:rPr>
                <w:sz w:val="18"/>
                <w:szCs w:val="18"/>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7"/>
                <w:szCs w:val="17"/>
                <w:color w:val="auto"/>
              </w:rPr>
              <w:t>4,091,753</w:t>
            </w:r>
          </w:p>
        </w:tc>
        <w:tc>
          <w:tcPr>
            <w:tcW w:w="1260" w:type="dxa"/>
            <w:vAlign w:val="bottom"/>
          </w:tcPr>
          <w:p>
            <w:pPr>
              <w:jc w:val="right"/>
              <w:spacing w:after="0"/>
              <w:rPr>
                <w:sz w:val="20"/>
                <w:szCs w:val="20"/>
                <w:color w:val="auto"/>
              </w:rPr>
            </w:pPr>
            <w:r>
              <w:rPr>
                <w:rFonts w:ascii="Arial" w:cs="Arial" w:eastAsia="Arial" w:hAnsi="Arial"/>
                <w:sz w:val="17"/>
                <w:szCs w:val="17"/>
                <w:color w:val="auto"/>
              </w:rPr>
              <w:t>3,514,582</w:t>
            </w:r>
          </w:p>
        </w:tc>
        <w:tc>
          <w:tcPr>
            <w:tcW w:w="22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7"/>
                <w:szCs w:val="17"/>
                <w:color w:val="auto"/>
              </w:rPr>
              <w:t>3,092,303</w:t>
            </w:r>
          </w:p>
        </w:tc>
      </w:tr>
      <w:tr>
        <w:trPr>
          <w:trHeight w:val="221"/>
        </w:trPr>
        <w:tc>
          <w:tcPr>
            <w:tcW w:w="5900" w:type="dxa"/>
            <w:vAlign w:val="bottom"/>
            <w:shd w:val="clear" w:color="auto" w:fill="CCEEFF"/>
          </w:tcPr>
          <w:p>
            <w:pPr>
              <w:spacing w:after="0"/>
              <w:rPr>
                <w:sz w:val="20"/>
                <w:szCs w:val="20"/>
                <w:color w:val="auto"/>
              </w:rPr>
            </w:pPr>
            <w:r>
              <w:rPr>
                <w:rFonts w:ascii="Arial" w:cs="Arial" w:eastAsia="Arial" w:hAnsi="Arial"/>
                <w:sz w:val="17"/>
                <w:szCs w:val="17"/>
                <w:color w:val="auto"/>
              </w:rPr>
              <w:t>Non-controlling interest</w:t>
            </w:r>
          </w:p>
        </w:tc>
        <w:tc>
          <w:tcPr>
            <w:tcW w:w="1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89,895</w:t>
            </w:r>
          </w:p>
        </w:tc>
        <w:tc>
          <w:tcPr>
            <w:tcW w:w="22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95,398</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71,082</w:t>
            </w:r>
          </w:p>
        </w:tc>
      </w:tr>
      <w:tr>
        <w:trPr>
          <w:trHeight w:val="20"/>
        </w:trPr>
        <w:tc>
          <w:tcPr>
            <w:tcW w:w="59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4"/>
        </w:trPr>
        <w:tc>
          <w:tcPr>
            <w:tcW w:w="590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4,181,648</w:t>
            </w:r>
          </w:p>
        </w:tc>
        <w:tc>
          <w:tcPr>
            <w:tcW w:w="2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3,609,980</w:t>
            </w:r>
          </w:p>
        </w:tc>
        <w:tc>
          <w:tcPr>
            <w:tcW w:w="220" w:type="dxa"/>
            <w:vAlign w:val="bottom"/>
          </w:tcPr>
          <w:p>
            <w:pPr>
              <w:spacing w:after="0"/>
              <w:rPr>
                <w:sz w:val="22"/>
                <w:szCs w:val="22"/>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7"/>
                <w:szCs w:val="17"/>
                <w:color w:val="auto"/>
              </w:rPr>
              <w:t>3,163,385</w:t>
            </w:r>
          </w:p>
        </w:tc>
      </w:tr>
      <w:tr>
        <w:trPr>
          <w:trHeight w:val="187"/>
        </w:trPr>
        <w:tc>
          <w:tcPr>
            <w:tcW w:w="5900" w:type="dxa"/>
            <w:vAlign w:val="bottom"/>
            <w:tcBorders>
              <w:top w:val="single" w:sz="8" w:color="CCEEFF"/>
            </w:tcBorders>
            <w:shd w:val="clear" w:color="auto" w:fill="CCEEFF"/>
          </w:tcPr>
          <w:p>
            <w:pPr>
              <w:spacing w:after="0"/>
              <w:rPr>
                <w:sz w:val="16"/>
                <w:szCs w:val="16"/>
                <w:color w:val="auto"/>
              </w:rPr>
            </w:pPr>
          </w:p>
        </w:tc>
        <w:tc>
          <w:tcPr>
            <w:tcW w:w="1220" w:type="dxa"/>
            <w:vAlign w:val="bottom"/>
            <w:tcBorders>
              <w:top w:val="single" w:sz="8" w:color="CCEEFF"/>
            </w:tcBorders>
            <w:shd w:val="clear" w:color="auto" w:fill="CCEEFF"/>
          </w:tcPr>
          <w:p>
            <w:pPr>
              <w:spacing w:after="0"/>
              <w:rPr>
                <w:sz w:val="16"/>
                <w:szCs w:val="16"/>
                <w:color w:val="auto"/>
              </w:rPr>
            </w:pPr>
          </w:p>
        </w:tc>
        <w:tc>
          <w:tcPr>
            <w:tcW w:w="126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26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2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r>
      <w:tr>
        <w:trPr>
          <w:trHeight w:val="189"/>
        </w:trPr>
        <w:tc>
          <w:tcPr>
            <w:tcW w:w="5900" w:type="dxa"/>
            <w:vAlign w:val="bottom"/>
          </w:tcPr>
          <w:p>
            <w:pPr>
              <w:spacing w:after="0" w:line="189" w:lineRule="exact"/>
              <w:rPr>
                <w:sz w:val="20"/>
                <w:szCs w:val="20"/>
                <w:color w:val="auto"/>
              </w:rPr>
            </w:pPr>
            <w:r>
              <w:rPr>
                <w:rFonts w:ascii="Arial" w:cs="Arial" w:eastAsia="Arial" w:hAnsi="Arial"/>
                <w:sz w:val="17"/>
                <w:szCs w:val="17"/>
                <w:b w:val="1"/>
                <w:bCs w:val="1"/>
                <w:color w:val="auto"/>
                <w:w w:val="99"/>
              </w:rPr>
              <w:t>Net basic and dilutive earnings per share attributable to equity holders of</w:t>
            </w:r>
          </w:p>
        </w:tc>
        <w:tc>
          <w:tcPr>
            <w:tcW w:w="12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26"/>
        </w:trPr>
        <w:tc>
          <w:tcPr>
            <w:tcW w:w="5900" w:type="dxa"/>
            <w:vAlign w:val="bottom"/>
          </w:tcPr>
          <w:p>
            <w:pPr>
              <w:spacing w:after="0"/>
              <w:rPr>
                <w:sz w:val="20"/>
                <w:szCs w:val="20"/>
                <w:color w:val="auto"/>
              </w:rPr>
            </w:pPr>
            <w:r>
              <w:rPr>
                <w:rFonts w:ascii="Arial" w:cs="Arial" w:eastAsia="Arial" w:hAnsi="Arial"/>
                <w:sz w:val="17"/>
                <w:szCs w:val="17"/>
                <w:b w:val="1"/>
                <w:bCs w:val="1"/>
                <w:color w:val="auto"/>
              </w:rPr>
              <w:t>Credicorp Ltd. (in Soles):</w:t>
            </w:r>
          </w:p>
        </w:tc>
        <w:tc>
          <w:tcPr>
            <w:tcW w:w="1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08"/>
        </w:trPr>
        <w:tc>
          <w:tcPr>
            <w:tcW w:w="5900" w:type="dxa"/>
            <w:vAlign w:val="bottom"/>
            <w:shd w:val="clear" w:color="auto" w:fill="CCEEFF"/>
          </w:tcPr>
          <w:p>
            <w:pPr>
              <w:spacing w:after="0"/>
              <w:rPr>
                <w:sz w:val="20"/>
                <w:szCs w:val="20"/>
                <w:color w:val="auto"/>
              </w:rPr>
            </w:pPr>
            <w:r>
              <w:rPr>
                <w:rFonts w:ascii="Arial" w:cs="Arial" w:eastAsia="Arial" w:hAnsi="Arial"/>
                <w:sz w:val="17"/>
                <w:szCs w:val="17"/>
                <w:color w:val="auto"/>
              </w:rPr>
              <w:t>Basic</w:t>
            </w:r>
          </w:p>
        </w:tc>
        <w:tc>
          <w:tcPr>
            <w:tcW w:w="1220" w:type="dxa"/>
            <w:vAlign w:val="bottom"/>
            <w:shd w:val="clear" w:color="auto" w:fill="CCEEFF"/>
          </w:tcPr>
          <w:p>
            <w:pPr>
              <w:jc w:val="center"/>
              <w:ind w:left="13"/>
              <w:spacing w:after="0"/>
              <w:rPr>
                <w:sz w:val="20"/>
                <w:szCs w:val="20"/>
                <w:color w:val="auto"/>
              </w:rPr>
            </w:pPr>
            <w:r>
              <w:rPr>
                <w:rFonts w:ascii="Arial" w:cs="Arial" w:eastAsia="Arial" w:hAnsi="Arial"/>
                <w:sz w:val="17"/>
                <w:szCs w:val="17"/>
                <w:color w:val="auto"/>
                <w:w w:val="84"/>
              </w:rPr>
              <w:t>28</w:t>
            </w: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51.49</w:t>
            </w: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44.23</w:t>
            </w: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38.91</w:t>
            </w:r>
          </w:p>
        </w:tc>
      </w:tr>
      <w:tr>
        <w:trPr>
          <w:trHeight w:val="220"/>
        </w:trPr>
        <w:tc>
          <w:tcPr>
            <w:tcW w:w="5900" w:type="dxa"/>
            <w:vAlign w:val="bottom"/>
          </w:tcPr>
          <w:p>
            <w:pPr>
              <w:spacing w:after="0"/>
              <w:rPr>
                <w:sz w:val="20"/>
                <w:szCs w:val="20"/>
                <w:color w:val="auto"/>
              </w:rPr>
            </w:pPr>
            <w:r>
              <w:rPr>
                <w:rFonts w:ascii="Arial" w:cs="Arial" w:eastAsia="Arial" w:hAnsi="Arial"/>
                <w:sz w:val="17"/>
                <w:szCs w:val="17"/>
                <w:color w:val="auto"/>
              </w:rPr>
              <w:t>Diluted</w:t>
            </w:r>
          </w:p>
        </w:tc>
        <w:tc>
          <w:tcPr>
            <w:tcW w:w="1220" w:type="dxa"/>
            <w:vAlign w:val="bottom"/>
          </w:tcPr>
          <w:p>
            <w:pPr>
              <w:jc w:val="center"/>
              <w:ind w:left="13"/>
              <w:spacing w:after="0"/>
              <w:rPr>
                <w:sz w:val="20"/>
                <w:szCs w:val="20"/>
                <w:color w:val="auto"/>
              </w:rPr>
            </w:pPr>
            <w:r>
              <w:rPr>
                <w:rFonts w:ascii="Arial" w:cs="Arial" w:eastAsia="Arial" w:hAnsi="Arial"/>
                <w:sz w:val="17"/>
                <w:szCs w:val="17"/>
                <w:color w:val="auto"/>
                <w:w w:val="84"/>
              </w:rPr>
              <w:t>28</w:t>
            </w:r>
          </w:p>
        </w:tc>
        <w:tc>
          <w:tcPr>
            <w:tcW w:w="1480" w:type="dxa"/>
            <w:vAlign w:val="bottom"/>
            <w:gridSpan w:val="2"/>
          </w:tcPr>
          <w:p>
            <w:pPr>
              <w:jc w:val="right"/>
              <w:ind w:right="220"/>
              <w:spacing w:after="0"/>
              <w:rPr>
                <w:sz w:val="20"/>
                <w:szCs w:val="20"/>
                <w:color w:val="auto"/>
              </w:rPr>
            </w:pPr>
            <w:r>
              <w:rPr>
                <w:rFonts w:ascii="Arial" w:cs="Arial" w:eastAsia="Arial" w:hAnsi="Arial"/>
                <w:sz w:val="17"/>
                <w:szCs w:val="17"/>
                <w:color w:val="auto"/>
              </w:rPr>
              <w:t>51.35</w:t>
            </w:r>
          </w:p>
        </w:tc>
        <w:tc>
          <w:tcPr>
            <w:tcW w:w="1260" w:type="dxa"/>
            <w:vAlign w:val="bottom"/>
          </w:tcPr>
          <w:p>
            <w:pPr>
              <w:jc w:val="right"/>
              <w:spacing w:after="0"/>
              <w:rPr>
                <w:sz w:val="20"/>
                <w:szCs w:val="20"/>
                <w:color w:val="auto"/>
              </w:rPr>
            </w:pPr>
            <w:r>
              <w:rPr>
                <w:rFonts w:ascii="Arial" w:cs="Arial" w:eastAsia="Arial" w:hAnsi="Arial"/>
                <w:sz w:val="17"/>
                <w:szCs w:val="17"/>
                <w:color w:val="auto"/>
              </w:rPr>
              <w:t>44.15</w:t>
            </w:r>
          </w:p>
        </w:tc>
        <w:tc>
          <w:tcPr>
            <w:tcW w:w="220" w:type="dxa"/>
            <w:vAlign w:val="bottom"/>
          </w:tcPr>
          <w:p>
            <w:pPr>
              <w:spacing w:after="0"/>
              <w:rPr>
                <w:sz w:val="19"/>
                <w:szCs w:val="19"/>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7"/>
                <w:szCs w:val="17"/>
                <w:color w:val="auto"/>
              </w:rPr>
              <w:t>38.84</w:t>
            </w:r>
          </w:p>
        </w:tc>
      </w:tr>
    </w:tbl>
    <w:p>
      <w:pPr>
        <w:spacing w:after="0" w:line="183" w:lineRule="exact"/>
        <w:rPr>
          <w:sz w:val="20"/>
          <w:szCs w:val="20"/>
          <w:color w:val="auto"/>
        </w:rPr>
      </w:pPr>
    </w:p>
    <w:p>
      <w:pPr>
        <w:spacing w:after="0"/>
        <w:rPr>
          <w:sz w:val="20"/>
          <w:szCs w:val="20"/>
          <w:color w:val="auto"/>
        </w:rPr>
      </w:pPr>
      <w:r>
        <w:rPr>
          <w:rFonts w:ascii="Arial" w:cs="Arial" w:eastAsia="Arial" w:hAnsi="Arial"/>
          <w:sz w:val="17"/>
          <w:szCs w:val="17"/>
          <w:color w:val="auto"/>
        </w:rPr>
        <w:t>The accompanying Notes are an integral part of these consolidated financial statements.</w:t>
      </w: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- 11 -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15875</wp:posOffset>
            </wp:positionV>
            <wp:extent cx="725170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1700" cy="8255"/>
                    </a:xfrm>
                    <a:prstGeom prst="rect">
                      <a:avLst/>
                    </a:prstGeom>
                    <a:noFill/>
                  </pic:spPr>
                </pic:pic>
              </a:graphicData>
            </a:graphic>
          </wp:anchor>
        </w:drawing>
      </w:r>
    </w:p>
    <w:p>
      <w:pPr>
        <w:sectPr>
          <w:pgSz w:w="11900" w:h="16838" w:orient="portrait"/>
          <w:cols w:equalWidth="0" w:num="1">
            <w:col w:w="11420"/>
          </w:cols>
          <w:pgMar w:left="240" w:top="875" w:right="239" w:bottom="1440" w:gutter="0" w:footer="0" w:header="0"/>
        </w:sectPr>
      </w:pPr>
    </w:p>
    <w:bookmarkStart w:id="17" w:name="page18"/>
    <w:bookmarkEnd w:id="17"/>
    <w:p>
      <w:pPr>
        <w:spacing w:after="0"/>
        <w:rPr>
          <w:sz w:val="20"/>
          <w:szCs w:val="20"/>
          <w:color w:val="auto"/>
        </w:rPr>
      </w:pPr>
      <w:r>
        <w:rPr>
          <w:rFonts w:ascii="Arial" w:cs="Arial" w:eastAsia="Arial" w:hAnsi="Arial"/>
          <w:sz w:val="17"/>
          <w:szCs w:val="17"/>
          <w:b w:val="1"/>
          <w:bCs w:val="1"/>
          <w:color w:val="auto"/>
        </w:rPr>
        <w:t>CREDICORP LTD. AND SUBSIDIARIES</w:t>
      </w:r>
    </w:p>
    <w:p>
      <w:pPr>
        <w:spacing w:after="0" w:line="226" w:lineRule="exact"/>
        <w:rPr>
          <w:sz w:val="20"/>
          <w:szCs w:val="20"/>
          <w:color w:val="auto"/>
        </w:rPr>
      </w:pPr>
    </w:p>
    <w:p>
      <w:pPr>
        <w:spacing w:after="0"/>
        <w:rPr>
          <w:sz w:val="20"/>
          <w:szCs w:val="20"/>
          <w:color w:val="auto"/>
        </w:rPr>
      </w:pPr>
      <w:r>
        <w:rPr>
          <w:rFonts w:ascii="Arial" w:cs="Arial" w:eastAsia="Arial" w:hAnsi="Arial"/>
          <w:sz w:val="17"/>
          <w:szCs w:val="17"/>
          <w:color w:val="auto"/>
        </w:rPr>
        <w:t>CONSOLIDATED STATEMENT OF COMPREHENSIVE INCOME</w:t>
      </w:r>
    </w:p>
    <w:p>
      <w:pPr>
        <w:spacing w:after="0" w:line="25" w:lineRule="exact"/>
        <w:rPr>
          <w:sz w:val="20"/>
          <w:szCs w:val="20"/>
          <w:color w:val="auto"/>
        </w:rPr>
      </w:pPr>
    </w:p>
    <w:p>
      <w:pPr>
        <w:spacing w:after="0"/>
        <w:rPr>
          <w:sz w:val="20"/>
          <w:szCs w:val="20"/>
          <w:color w:val="auto"/>
        </w:rPr>
      </w:pPr>
      <w:r>
        <w:rPr>
          <w:rFonts w:ascii="Arial" w:cs="Arial" w:eastAsia="Arial" w:hAnsi="Arial"/>
          <w:sz w:val="17"/>
          <w:szCs w:val="17"/>
          <w:color w:val="auto"/>
        </w:rPr>
        <w:t>FOR THE YEARS ENDED DECEMBER 31, 2017, 2016 AND 2015</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5860" w:type="dxa"/>
            <w:vAlign w:val="bottom"/>
          </w:tcPr>
          <w:p>
            <w:pPr>
              <w:spacing w:after="0"/>
              <w:rPr>
                <w:sz w:val="19"/>
                <w:szCs w:val="19"/>
                <w:color w:val="auto"/>
              </w:rPr>
            </w:pPr>
          </w:p>
        </w:tc>
        <w:tc>
          <w:tcPr>
            <w:tcW w:w="880" w:type="dxa"/>
            <w:vAlign w:val="bottom"/>
          </w:tcPr>
          <w:p>
            <w:pPr>
              <w:ind w:left="500"/>
              <w:spacing w:after="0"/>
              <w:rPr>
                <w:sz w:val="20"/>
                <w:szCs w:val="20"/>
                <w:color w:val="auto"/>
              </w:rPr>
            </w:pPr>
            <w:r>
              <w:rPr>
                <w:rFonts w:ascii="Arial" w:cs="Arial" w:eastAsia="Arial" w:hAnsi="Arial"/>
                <w:sz w:val="17"/>
                <w:szCs w:val="17"/>
                <w:b w:val="1"/>
                <w:bCs w:val="1"/>
                <w:color w:val="auto"/>
                <w:w w:val="95"/>
              </w:rPr>
              <w:t>Note</w:t>
            </w:r>
          </w:p>
        </w:tc>
      </w:tr>
      <w:tr>
        <w:trPr>
          <w:trHeight w:val="631"/>
        </w:trPr>
        <w:tc>
          <w:tcPr>
            <w:tcW w:w="5860" w:type="dxa"/>
            <w:vAlign w:val="bottom"/>
          </w:tcPr>
          <w:p>
            <w:pPr>
              <w:spacing w:after="0"/>
              <w:rPr>
                <w:sz w:val="20"/>
                <w:szCs w:val="20"/>
                <w:color w:val="auto"/>
              </w:rPr>
            </w:pPr>
            <w:r>
              <w:rPr>
                <w:rFonts w:ascii="Arial" w:cs="Arial" w:eastAsia="Arial" w:hAnsi="Arial"/>
                <w:sz w:val="17"/>
                <w:szCs w:val="17"/>
                <w:b w:val="1"/>
                <w:bCs w:val="1"/>
                <w:color w:val="auto"/>
              </w:rPr>
              <w:t>Net profit for the year</w:t>
            </w:r>
          </w:p>
        </w:tc>
        <w:tc>
          <w:tcPr>
            <w:tcW w:w="880" w:type="dxa"/>
            <w:vAlign w:val="bottom"/>
          </w:tcPr>
          <w:p>
            <w:pPr>
              <w:spacing w:after="0"/>
              <w:rPr>
                <w:sz w:val="24"/>
                <w:szCs w:val="24"/>
                <w:color w:val="auto"/>
              </w:rPr>
            </w:pPr>
          </w:p>
        </w:tc>
      </w:tr>
      <w:tr>
        <w:trPr>
          <w:trHeight w:val="214"/>
        </w:trPr>
        <w:tc>
          <w:tcPr>
            <w:tcW w:w="5860" w:type="dxa"/>
            <w:vAlign w:val="bottom"/>
          </w:tcPr>
          <w:p>
            <w:pPr>
              <w:spacing w:after="0"/>
              <w:rPr>
                <w:sz w:val="20"/>
                <w:szCs w:val="20"/>
                <w:color w:val="auto"/>
              </w:rPr>
            </w:pPr>
            <w:r>
              <w:rPr>
                <w:rFonts w:ascii="Arial" w:cs="Arial" w:eastAsia="Arial" w:hAnsi="Arial"/>
                <w:sz w:val="17"/>
                <w:szCs w:val="17"/>
                <w:b w:val="1"/>
                <w:bCs w:val="1"/>
                <w:color w:val="auto"/>
              </w:rPr>
              <w:t>Other comprehensive income</w:t>
            </w:r>
          </w:p>
        </w:tc>
        <w:tc>
          <w:tcPr>
            <w:tcW w:w="880" w:type="dxa"/>
            <w:vAlign w:val="bottom"/>
          </w:tcPr>
          <w:p>
            <w:pPr>
              <w:spacing w:after="0"/>
              <w:rPr>
                <w:sz w:val="18"/>
                <w:szCs w:val="18"/>
                <w:color w:val="auto"/>
              </w:rPr>
            </w:pPr>
          </w:p>
        </w:tc>
      </w:tr>
      <w:tr>
        <w:trPr>
          <w:trHeight w:val="208"/>
        </w:trPr>
        <w:tc>
          <w:tcPr>
            <w:tcW w:w="5860" w:type="dxa"/>
            <w:vAlign w:val="bottom"/>
          </w:tcPr>
          <w:p>
            <w:pPr>
              <w:spacing w:after="0"/>
              <w:rPr>
                <w:sz w:val="20"/>
                <w:szCs w:val="20"/>
                <w:color w:val="auto"/>
              </w:rPr>
            </w:pPr>
            <w:r>
              <w:rPr>
                <w:rFonts w:ascii="Arial" w:cs="Arial" w:eastAsia="Arial" w:hAnsi="Arial"/>
                <w:sz w:val="17"/>
                <w:szCs w:val="17"/>
                <w:color w:val="auto"/>
              </w:rPr>
              <w:t>Other comprehensive income to be reclassified to profit or loss in subsequent</w:t>
            </w:r>
          </w:p>
        </w:tc>
        <w:tc>
          <w:tcPr>
            <w:tcW w:w="880" w:type="dxa"/>
            <w:vAlign w:val="bottom"/>
          </w:tcPr>
          <w:p>
            <w:pPr>
              <w:spacing w:after="0"/>
              <w:rPr>
                <w:sz w:val="18"/>
                <w:szCs w:val="18"/>
                <w:color w:val="auto"/>
              </w:rPr>
            </w:pPr>
          </w:p>
        </w:tc>
      </w:tr>
      <w:tr>
        <w:trPr>
          <w:trHeight w:val="220"/>
        </w:trPr>
        <w:tc>
          <w:tcPr>
            <w:tcW w:w="5860" w:type="dxa"/>
            <w:vAlign w:val="bottom"/>
          </w:tcPr>
          <w:p>
            <w:pPr>
              <w:spacing w:after="0"/>
              <w:rPr>
                <w:sz w:val="20"/>
                <w:szCs w:val="20"/>
                <w:color w:val="auto"/>
              </w:rPr>
            </w:pPr>
            <w:r>
              <w:rPr>
                <w:rFonts w:ascii="Arial" w:cs="Arial" w:eastAsia="Arial" w:hAnsi="Arial"/>
                <w:sz w:val="17"/>
                <w:szCs w:val="17"/>
                <w:color w:val="auto"/>
              </w:rPr>
              <w:t>periods:</w:t>
            </w:r>
          </w:p>
        </w:tc>
        <w:tc>
          <w:tcPr>
            <w:tcW w:w="880" w:type="dxa"/>
            <w:vAlign w:val="bottom"/>
          </w:tcPr>
          <w:p>
            <w:pPr>
              <w:spacing w:after="0"/>
              <w:rPr>
                <w:sz w:val="19"/>
                <w:szCs w:val="19"/>
                <w:color w:val="auto"/>
              </w:rPr>
            </w:pPr>
          </w:p>
        </w:tc>
      </w:tr>
      <w:tr>
        <w:trPr>
          <w:trHeight w:val="403"/>
        </w:trPr>
        <w:tc>
          <w:tcPr>
            <w:tcW w:w="5860" w:type="dxa"/>
            <w:vAlign w:val="bottom"/>
          </w:tcPr>
          <w:p>
            <w:pPr>
              <w:spacing w:after="0"/>
              <w:rPr>
                <w:sz w:val="20"/>
                <w:szCs w:val="20"/>
                <w:color w:val="auto"/>
              </w:rPr>
            </w:pPr>
            <w:r>
              <w:rPr>
                <w:rFonts w:ascii="Arial" w:cs="Arial" w:eastAsia="Arial" w:hAnsi="Arial"/>
                <w:sz w:val="17"/>
                <w:szCs w:val="17"/>
                <w:color w:val="auto"/>
              </w:rPr>
              <w:t>Net (loss) gain on investments available for sale</w:t>
            </w:r>
          </w:p>
        </w:tc>
        <w:tc>
          <w:tcPr>
            <w:tcW w:w="880" w:type="dxa"/>
            <w:vAlign w:val="bottom"/>
          </w:tcPr>
          <w:p>
            <w:pPr>
              <w:ind w:left="520"/>
              <w:spacing w:after="0"/>
              <w:rPr>
                <w:sz w:val="20"/>
                <w:szCs w:val="20"/>
                <w:color w:val="auto"/>
              </w:rPr>
            </w:pPr>
            <w:r>
              <w:rPr>
                <w:rFonts w:ascii="Arial" w:cs="Arial" w:eastAsia="Arial" w:hAnsi="Arial"/>
                <w:sz w:val="17"/>
                <w:szCs w:val="17"/>
                <w:color w:val="auto"/>
                <w:w w:val="85"/>
              </w:rPr>
              <w:t>17(d)</w:t>
            </w:r>
          </w:p>
        </w:tc>
      </w:tr>
      <w:tr>
        <w:trPr>
          <w:trHeight w:val="220"/>
        </w:trPr>
        <w:tc>
          <w:tcPr>
            <w:tcW w:w="5860" w:type="dxa"/>
            <w:vAlign w:val="bottom"/>
          </w:tcPr>
          <w:p>
            <w:pPr>
              <w:spacing w:after="0"/>
              <w:rPr>
                <w:sz w:val="20"/>
                <w:szCs w:val="20"/>
                <w:color w:val="auto"/>
              </w:rPr>
            </w:pPr>
            <w:r>
              <w:rPr>
                <w:rFonts w:ascii="Arial" w:cs="Arial" w:eastAsia="Arial" w:hAnsi="Arial"/>
                <w:sz w:val="17"/>
                <w:szCs w:val="17"/>
                <w:color w:val="auto"/>
              </w:rPr>
              <w:t>Income tax</w:t>
            </w:r>
          </w:p>
        </w:tc>
        <w:tc>
          <w:tcPr>
            <w:tcW w:w="880" w:type="dxa"/>
            <w:vAlign w:val="bottom"/>
          </w:tcPr>
          <w:p>
            <w:pPr>
              <w:ind w:left="520"/>
              <w:spacing w:after="0"/>
              <w:rPr>
                <w:sz w:val="20"/>
                <w:szCs w:val="20"/>
                <w:color w:val="auto"/>
              </w:rPr>
            </w:pPr>
            <w:r>
              <w:rPr>
                <w:rFonts w:ascii="Arial" w:cs="Arial" w:eastAsia="Arial" w:hAnsi="Arial"/>
                <w:sz w:val="17"/>
                <w:szCs w:val="17"/>
                <w:color w:val="auto"/>
                <w:w w:val="85"/>
              </w:rPr>
              <w:t>17(d)</w:t>
            </w:r>
          </w:p>
        </w:tc>
      </w:tr>
      <w:tr>
        <w:trPr>
          <w:trHeight w:val="637"/>
        </w:trPr>
        <w:tc>
          <w:tcPr>
            <w:tcW w:w="5860" w:type="dxa"/>
            <w:vAlign w:val="bottom"/>
          </w:tcPr>
          <w:p>
            <w:pPr>
              <w:spacing w:after="0"/>
              <w:rPr>
                <w:sz w:val="20"/>
                <w:szCs w:val="20"/>
                <w:color w:val="auto"/>
              </w:rPr>
            </w:pPr>
            <w:r>
              <w:rPr>
                <w:rFonts w:ascii="Arial" w:cs="Arial" w:eastAsia="Arial" w:hAnsi="Arial"/>
                <w:sz w:val="17"/>
                <w:szCs w:val="17"/>
                <w:color w:val="auto"/>
              </w:rPr>
              <w:t>Net movement on cashflow hedges</w:t>
            </w:r>
          </w:p>
        </w:tc>
        <w:tc>
          <w:tcPr>
            <w:tcW w:w="880" w:type="dxa"/>
            <w:vAlign w:val="bottom"/>
          </w:tcPr>
          <w:p>
            <w:pPr>
              <w:ind w:left="520"/>
              <w:spacing w:after="0"/>
              <w:rPr>
                <w:sz w:val="20"/>
                <w:szCs w:val="20"/>
                <w:color w:val="auto"/>
              </w:rPr>
            </w:pPr>
            <w:r>
              <w:rPr>
                <w:rFonts w:ascii="Arial" w:cs="Arial" w:eastAsia="Arial" w:hAnsi="Arial"/>
                <w:sz w:val="17"/>
                <w:szCs w:val="17"/>
                <w:color w:val="auto"/>
                <w:w w:val="85"/>
              </w:rPr>
              <w:t>17(d)</w:t>
            </w:r>
          </w:p>
        </w:tc>
      </w:tr>
      <w:tr>
        <w:trPr>
          <w:trHeight w:val="220"/>
        </w:trPr>
        <w:tc>
          <w:tcPr>
            <w:tcW w:w="5860" w:type="dxa"/>
            <w:vAlign w:val="bottom"/>
          </w:tcPr>
          <w:p>
            <w:pPr>
              <w:spacing w:after="0"/>
              <w:rPr>
                <w:sz w:val="20"/>
                <w:szCs w:val="20"/>
                <w:color w:val="auto"/>
              </w:rPr>
            </w:pPr>
            <w:r>
              <w:rPr>
                <w:rFonts w:ascii="Arial" w:cs="Arial" w:eastAsia="Arial" w:hAnsi="Arial"/>
                <w:sz w:val="17"/>
                <w:szCs w:val="17"/>
                <w:color w:val="auto"/>
              </w:rPr>
              <w:t>Income tax</w:t>
            </w:r>
          </w:p>
        </w:tc>
        <w:tc>
          <w:tcPr>
            <w:tcW w:w="880" w:type="dxa"/>
            <w:vAlign w:val="bottom"/>
          </w:tcPr>
          <w:p>
            <w:pPr>
              <w:ind w:left="520"/>
              <w:spacing w:after="0"/>
              <w:rPr>
                <w:sz w:val="20"/>
                <w:szCs w:val="20"/>
                <w:color w:val="auto"/>
              </w:rPr>
            </w:pPr>
            <w:r>
              <w:rPr>
                <w:rFonts w:ascii="Arial" w:cs="Arial" w:eastAsia="Arial" w:hAnsi="Arial"/>
                <w:sz w:val="17"/>
                <w:szCs w:val="17"/>
                <w:color w:val="auto"/>
                <w:w w:val="85"/>
              </w:rPr>
              <w:t>17(d)</w:t>
            </w:r>
          </w:p>
        </w:tc>
      </w:tr>
      <w:tr>
        <w:trPr>
          <w:trHeight w:val="650"/>
        </w:trPr>
        <w:tc>
          <w:tcPr>
            <w:tcW w:w="5860" w:type="dxa"/>
            <w:vAlign w:val="bottom"/>
          </w:tcPr>
          <w:p>
            <w:pPr>
              <w:spacing w:after="0"/>
              <w:rPr>
                <w:sz w:val="20"/>
                <w:szCs w:val="20"/>
                <w:color w:val="auto"/>
              </w:rPr>
            </w:pPr>
            <w:r>
              <w:rPr>
                <w:rFonts w:ascii="Arial" w:cs="Arial" w:eastAsia="Arial" w:hAnsi="Arial"/>
                <w:sz w:val="17"/>
                <w:szCs w:val="17"/>
                <w:color w:val="auto"/>
              </w:rPr>
              <w:t>Exchange differences on translation of foreign operations</w:t>
            </w:r>
          </w:p>
        </w:tc>
        <w:tc>
          <w:tcPr>
            <w:tcW w:w="880" w:type="dxa"/>
            <w:vAlign w:val="bottom"/>
          </w:tcPr>
          <w:p>
            <w:pPr>
              <w:ind w:left="520"/>
              <w:spacing w:after="0"/>
              <w:rPr>
                <w:sz w:val="20"/>
                <w:szCs w:val="20"/>
                <w:color w:val="auto"/>
              </w:rPr>
            </w:pPr>
            <w:r>
              <w:rPr>
                <w:rFonts w:ascii="Arial" w:cs="Arial" w:eastAsia="Arial" w:hAnsi="Arial"/>
                <w:sz w:val="17"/>
                <w:szCs w:val="17"/>
                <w:color w:val="auto"/>
                <w:w w:val="85"/>
              </w:rPr>
              <w:t>17(d)</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-1880235</wp:posOffset>
            </wp:positionV>
            <wp:extent cx="7251700" cy="13208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1700" cy="13208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-1616075</wp:posOffset>
            </wp:positionV>
            <wp:extent cx="7251700" cy="26416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1700" cy="26416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-1220470</wp:posOffset>
            </wp:positionV>
            <wp:extent cx="7251700" cy="13208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1700" cy="13208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-948055</wp:posOffset>
            </wp:positionV>
            <wp:extent cx="7251700" cy="1403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1700" cy="14033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-675640</wp:posOffset>
            </wp:positionV>
            <wp:extent cx="7251700" cy="13208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1700" cy="13208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-403860</wp:posOffset>
            </wp:positionV>
            <wp:extent cx="7251700" cy="1403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1700" cy="14033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-131445</wp:posOffset>
            </wp:positionV>
            <wp:extent cx="7251700" cy="1403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1700" cy="14033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148590</wp:posOffset>
            </wp:positionV>
            <wp:extent cx="7251700" cy="1403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1700" cy="140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right="1780"/>
        <w:spacing w:after="0" w:line="293" w:lineRule="auto"/>
        <w:rPr>
          <w:sz w:val="20"/>
          <w:szCs w:val="20"/>
          <w:color w:val="auto"/>
        </w:rPr>
      </w:pPr>
      <w:r>
        <w:rPr>
          <w:rFonts w:ascii="Arial" w:cs="Arial" w:eastAsia="Arial" w:hAnsi="Arial"/>
          <w:sz w:val="17"/>
          <w:szCs w:val="17"/>
          <w:b w:val="1"/>
          <w:bCs w:val="1"/>
          <w:color w:val="auto"/>
        </w:rPr>
        <w:t>Other comprehensive (loss) income to be reclassified to profit or loss in subsequent periods, net of income tax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-290830</wp:posOffset>
            </wp:positionV>
            <wp:extent cx="7251700" cy="27241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1700" cy="272415"/>
                    </a:xfrm>
                    <a:prstGeom prst="rect">
                      <a:avLst/>
                    </a:prstGeom>
                    <a:noFill/>
                  </pic:spPr>
                </pic:pic>
              </a:graphicData>
            </a:graphic>
          </wp:anchor>
        </w:drawing>
      </w:r>
    </w:p>
    <w:p>
      <w:pPr>
        <w:spacing w:after="0" w:line="15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Total comprehensive income for the year, net of income tax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-111760</wp:posOffset>
            </wp:positionV>
            <wp:extent cx="7251700" cy="13208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1700" cy="132080"/>
                    </a:xfrm>
                    <a:prstGeom prst="rect">
                      <a:avLst/>
                    </a:prstGeom>
                    <a:noFill/>
                  </pic:spPr>
                </pic:pic>
              </a:graphicData>
            </a:graphic>
          </wp:anchor>
        </w:drawing>
      </w:r>
    </w:p>
    <w:p>
      <w:pPr>
        <w:spacing w:after="0" w:line="20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Attributable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-111760</wp:posOffset>
            </wp:positionV>
            <wp:extent cx="7251700" cy="13208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1700" cy="132080"/>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Equity holders of Credicorp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7620</wp:posOffset>
            </wp:positionV>
            <wp:extent cx="7251700" cy="1403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1700" cy="140335"/>
                    </a:xfrm>
                    <a:prstGeom prst="rect">
                      <a:avLst/>
                    </a:prstGeom>
                    <a:noFill/>
                  </pic:spPr>
                </pic:pic>
              </a:graphicData>
            </a:graphic>
          </wp:anchor>
        </w:drawing>
      </w:r>
    </w:p>
    <w:p>
      <w:pPr>
        <w:spacing w:after="0"/>
        <w:rPr>
          <w:sz w:val="20"/>
          <w:szCs w:val="20"/>
          <w:color w:val="auto"/>
        </w:rPr>
      </w:pPr>
      <w:r>
        <w:rPr>
          <w:rFonts w:ascii="Arial" w:cs="Arial" w:eastAsia="Arial" w:hAnsi="Arial"/>
          <w:sz w:val="17"/>
          <w:szCs w:val="17"/>
          <w:color w:val="auto"/>
        </w:rPr>
        <w:t>Non-controlling interest</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5"/>
          <w:szCs w:val="15"/>
          <w:color w:val="auto"/>
        </w:rPr>
        <w:t>The accompanying Notes are an integral part of these consolidated consolidated financial statements.</w:t>
      </w:r>
    </w:p>
    <w:p>
      <w:pPr>
        <w:spacing w:after="0" w:line="200" w:lineRule="exact"/>
        <w:rPr>
          <w:sz w:val="20"/>
          <w:szCs w:val="20"/>
          <w:color w:val="auto"/>
        </w:rPr>
      </w:pPr>
    </w:p>
    <w:p>
      <w:pPr>
        <w:spacing w:after="0" w:line="251" w:lineRule="exact"/>
        <w:rPr>
          <w:sz w:val="20"/>
          <w:szCs w:val="20"/>
          <w:color w:val="auto"/>
        </w:rPr>
      </w:pPr>
    </w:p>
    <w:p>
      <w:pPr>
        <w:ind w:left="5540"/>
        <w:spacing w:after="0"/>
        <w:rPr>
          <w:sz w:val="20"/>
          <w:szCs w:val="20"/>
          <w:color w:val="auto"/>
        </w:rPr>
      </w:pPr>
      <w:r>
        <w:rPr>
          <w:rFonts w:ascii="Arial" w:cs="Arial" w:eastAsia="Arial" w:hAnsi="Arial"/>
          <w:sz w:val="17"/>
          <w:szCs w:val="17"/>
          <w:color w:val="auto"/>
        </w:rPr>
        <w:t>- 12 -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15875</wp:posOffset>
            </wp:positionV>
            <wp:extent cx="725170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170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6"/>
        </w:trPr>
        <w:tc>
          <w:tcPr>
            <w:tcW w:w="1260" w:type="dxa"/>
            <w:vAlign w:val="bottom"/>
            <w:tcBorders>
              <w:bottom w:val="single" w:sz="8" w:color="auto"/>
            </w:tcBorders>
          </w:tcPr>
          <w:p>
            <w:pPr>
              <w:jc w:val="right"/>
              <w:ind w:right="373"/>
              <w:spacing w:after="0"/>
              <w:rPr>
                <w:sz w:val="20"/>
                <w:szCs w:val="20"/>
                <w:color w:val="auto"/>
              </w:rPr>
            </w:pPr>
            <w:r>
              <w:rPr>
                <w:rFonts w:ascii="Arial" w:cs="Arial" w:eastAsia="Arial" w:hAnsi="Arial"/>
                <w:sz w:val="17"/>
                <w:szCs w:val="17"/>
                <w:b w:val="1"/>
                <w:bCs w:val="1"/>
                <w:color w:val="auto"/>
              </w:rPr>
              <w:t>2017</w:t>
            </w:r>
          </w:p>
        </w:tc>
        <w:tc>
          <w:tcPr>
            <w:tcW w:w="220" w:type="dxa"/>
            <w:vAlign w:val="bottom"/>
          </w:tcPr>
          <w:p>
            <w:pPr>
              <w:spacing w:after="0"/>
              <w:rPr>
                <w:sz w:val="19"/>
                <w:szCs w:val="19"/>
                <w:color w:val="auto"/>
              </w:rPr>
            </w:pPr>
          </w:p>
        </w:tc>
        <w:tc>
          <w:tcPr>
            <w:tcW w:w="1260" w:type="dxa"/>
            <w:vAlign w:val="bottom"/>
            <w:tcBorders>
              <w:bottom w:val="single" w:sz="8" w:color="auto"/>
            </w:tcBorders>
          </w:tcPr>
          <w:p>
            <w:pPr>
              <w:jc w:val="right"/>
              <w:ind w:right="373"/>
              <w:spacing w:after="0"/>
              <w:rPr>
                <w:sz w:val="20"/>
                <w:szCs w:val="20"/>
                <w:color w:val="auto"/>
              </w:rPr>
            </w:pPr>
            <w:r>
              <w:rPr>
                <w:rFonts w:ascii="Arial" w:cs="Arial" w:eastAsia="Arial" w:hAnsi="Arial"/>
                <w:sz w:val="17"/>
                <w:szCs w:val="17"/>
                <w:b w:val="1"/>
                <w:bCs w:val="1"/>
                <w:color w:val="auto"/>
              </w:rPr>
              <w:t>2016</w:t>
            </w:r>
          </w:p>
        </w:tc>
        <w:tc>
          <w:tcPr>
            <w:tcW w:w="220" w:type="dxa"/>
            <w:vAlign w:val="bottom"/>
          </w:tcPr>
          <w:p>
            <w:pPr>
              <w:spacing w:after="0"/>
              <w:rPr>
                <w:sz w:val="19"/>
                <w:szCs w:val="19"/>
                <w:color w:val="auto"/>
              </w:rPr>
            </w:pPr>
          </w:p>
        </w:tc>
        <w:tc>
          <w:tcPr>
            <w:tcW w:w="1240" w:type="dxa"/>
            <w:vAlign w:val="bottom"/>
            <w:tcBorders>
              <w:bottom w:val="single" w:sz="8" w:color="auto"/>
            </w:tcBorders>
          </w:tcPr>
          <w:p>
            <w:pPr>
              <w:jc w:val="right"/>
              <w:ind w:right="353"/>
              <w:spacing w:after="0"/>
              <w:rPr>
                <w:sz w:val="20"/>
                <w:szCs w:val="20"/>
                <w:color w:val="auto"/>
              </w:rPr>
            </w:pPr>
            <w:r>
              <w:rPr>
                <w:rFonts w:ascii="Arial" w:cs="Arial" w:eastAsia="Arial" w:hAnsi="Arial"/>
                <w:sz w:val="17"/>
                <w:szCs w:val="17"/>
                <w:b w:val="1"/>
                <w:bCs w:val="1"/>
                <w:color w:val="auto"/>
              </w:rPr>
              <w:t>2015</w:t>
            </w:r>
          </w:p>
        </w:tc>
        <w:tc>
          <w:tcPr>
            <w:tcW w:w="20" w:type="dxa"/>
            <w:vAlign w:val="bottom"/>
          </w:tcPr>
          <w:p>
            <w:pPr>
              <w:spacing w:after="0"/>
              <w:rPr>
                <w:sz w:val="19"/>
                <w:szCs w:val="19"/>
                <w:color w:val="auto"/>
              </w:rPr>
            </w:pPr>
          </w:p>
        </w:tc>
      </w:tr>
      <w:tr>
        <w:trPr>
          <w:trHeight w:val="219"/>
        </w:trPr>
        <w:tc>
          <w:tcPr>
            <w:tcW w:w="1260" w:type="dxa"/>
            <w:vAlign w:val="bottom"/>
          </w:tcPr>
          <w:p>
            <w:pPr>
              <w:jc w:val="center"/>
              <w:spacing w:after="0"/>
              <w:rPr>
                <w:sz w:val="20"/>
                <w:szCs w:val="20"/>
                <w:color w:val="auto"/>
              </w:rPr>
            </w:pPr>
            <w:r>
              <w:rPr>
                <w:rFonts w:ascii="Arial" w:cs="Arial" w:eastAsia="Arial" w:hAnsi="Arial"/>
                <w:sz w:val="17"/>
                <w:szCs w:val="17"/>
                <w:b w:val="1"/>
                <w:bCs w:val="1"/>
                <w:color w:val="auto"/>
                <w:w w:val="89"/>
              </w:rPr>
              <w:t>S/000</w:t>
            </w:r>
          </w:p>
        </w:tc>
        <w:tc>
          <w:tcPr>
            <w:tcW w:w="220" w:type="dxa"/>
            <w:vAlign w:val="bottom"/>
          </w:tcPr>
          <w:p>
            <w:pPr>
              <w:spacing w:after="0"/>
              <w:rPr>
                <w:sz w:val="19"/>
                <w:szCs w:val="19"/>
                <w:color w:val="auto"/>
              </w:rPr>
            </w:pPr>
          </w:p>
        </w:tc>
        <w:tc>
          <w:tcPr>
            <w:tcW w:w="1260" w:type="dxa"/>
            <w:vAlign w:val="bottom"/>
          </w:tcPr>
          <w:p>
            <w:pPr>
              <w:jc w:val="center"/>
              <w:spacing w:after="0"/>
              <w:rPr>
                <w:sz w:val="20"/>
                <w:szCs w:val="20"/>
                <w:color w:val="auto"/>
              </w:rPr>
            </w:pPr>
            <w:r>
              <w:rPr>
                <w:rFonts w:ascii="Arial" w:cs="Arial" w:eastAsia="Arial" w:hAnsi="Arial"/>
                <w:sz w:val="17"/>
                <w:szCs w:val="17"/>
                <w:b w:val="1"/>
                <w:bCs w:val="1"/>
                <w:color w:val="auto"/>
                <w:w w:val="89"/>
              </w:rPr>
              <w:t>S/000</w:t>
            </w:r>
          </w:p>
        </w:tc>
        <w:tc>
          <w:tcPr>
            <w:tcW w:w="220" w:type="dxa"/>
            <w:vAlign w:val="bottom"/>
          </w:tcPr>
          <w:p>
            <w:pPr>
              <w:spacing w:after="0"/>
              <w:rPr>
                <w:sz w:val="19"/>
                <w:szCs w:val="19"/>
                <w:color w:val="auto"/>
              </w:rPr>
            </w:pPr>
          </w:p>
        </w:tc>
        <w:tc>
          <w:tcPr>
            <w:tcW w:w="1240" w:type="dxa"/>
            <w:vAlign w:val="bottom"/>
          </w:tcPr>
          <w:p>
            <w:pPr>
              <w:jc w:val="center"/>
              <w:spacing w:after="0"/>
              <w:rPr>
                <w:sz w:val="20"/>
                <w:szCs w:val="20"/>
                <w:color w:val="auto"/>
              </w:rPr>
            </w:pPr>
            <w:r>
              <w:rPr>
                <w:rFonts w:ascii="Arial" w:cs="Arial" w:eastAsia="Arial" w:hAnsi="Arial"/>
                <w:sz w:val="17"/>
                <w:szCs w:val="17"/>
                <w:b w:val="1"/>
                <w:bCs w:val="1"/>
                <w:color w:val="auto"/>
                <w:w w:val="89"/>
              </w:rPr>
              <w:t>S/000</w:t>
            </w:r>
          </w:p>
        </w:tc>
        <w:tc>
          <w:tcPr>
            <w:tcW w:w="20" w:type="dxa"/>
            <w:vAlign w:val="bottom"/>
          </w:tcPr>
          <w:p>
            <w:pPr>
              <w:spacing w:after="0"/>
              <w:rPr>
                <w:sz w:val="19"/>
                <w:szCs w:val="19"/>
                <w:color w:val="auto"/>
              </w:rPr>
            </w:pPr>
          </w:p>
        </w:tc>
      </w:tr>
      <w:tr>
        <w:trPr>
          <w:trHeight w:val="397"/>
        </w:trPr>
        <w:tc>
          <w:tcPr>
            <w:tcW w:w="1480" w:type="dxa"/>
            <w:vAlign w:val="bottom"/>
            <w:gridSpan w:val="2"/>
          </w:tcPr>
          <w:p>
            <w:pPr>
              <w:jc w:val="right"/>
              <w:ind w:right="220"/>
              <w:spacing w:after="0"/>
              <w:rPr>
                <w:sz w:val="20"/>
                <w:szCs w:val="20"/>
                <w:color w:val="auto"/>
              </w:rPr>
            </w:pPr>
            <w:r>
              <w:rPr>
                <w:rFonts w:ascii="Arial" w:cs="Arial" w:eastAsia="Arial" w:hAnsi="Arial"/>
                <w:sz w:val="17"/>
                <w:szCs w:val="17"/>
                <w:color w:val="auto"/>
              </w:rPr>
              <w:t>4,181,648</w:t>
            </w:r>
          </w:p>
        </w:tc>
        <w:tc>
          <w:tcPr>
            <w:tcW w:w="1260" w:type="dxa"/>
            <w:vAlign w:val="bottom"/>
          </w:tcPr>
          <w:p>
            <w:pPr>
              <w:jc w:val="right"/>
              <w:spacing w:after="0"/>
              <w:rPr>
                <w:sz w:val="20"/>
                <w:szCs w:val="20"/>
                <w:color w:val="auto"/>
              </w:rPr>
            </w:pPr>
            <w:r>
              <w:rPr>
                <w:rFonts w:ascii="Arial" w:cs="Arial" w:eastAsia="Arial" w:hAnsi="Arial"/>
                <w:sz w:val="17"/>
                <w:szCs w:val="17"/>
                <w:color w:val="auto"/>
              </w:rPr>
              <w:t>3,609,980</w:t>
            </w:r>
          </w:p>
        </w:tc>
        <w:tc>
          <w:tcPr>
            <w:tcW w:w="220" w:type="dxa"/>
            <w:vAlign w:val="bottom"/>
          </w:tcPr>
          <w:p>
            <w:pPr>
              <w:spacing w:after="0"/>
              <w:rPr>
                <w:sz w:val="24"/>
                <w:szCs w:val="24"/>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7"/>
                <w:szCs w:val="17"/>
                <w:color w:val="auto"/>
              </w:rPr>
              <w:t>3,163,385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1480" w:type="dxa"/>
            <w:vAlign w:val="bottom"/>
            <w:gridSpan w:val="2"/>
          </w:tcPr>
          <w:p>
            <w:pPr>
              <w:jc w:val="right"/>
              <w:ind w:right="220"/>
              <w:spacing w:after="0"/>
              <w:rPr>
                <w:sz w:val="20"/>
                <w:szCs w:val="20"/>
                <w:color w:val="auto"/>
              </w:rPr>
            </w:pPr>
            <w:r>
              <w:rPr>
                <w:rFonts w:ascii="Arial" w:cs="Arial" w:eastAsia="Arial" w:hAnsi="Arial"/>
                <w:sz w:val="17"/>
                <w:szCs w:val="17"/>
                <w:color w:val="auto"/>
              </w:rPr>
              <w:t>375,710</w:t>
            </w:r>
          </w:p>
        </w:tc>
        <w:tc>
          <w:tcPr>
            <w:tcW w:w="1260" w:type="dxa"/>
            <w:vAlign w:val="bottom"/>
          </w:tcPr>
          <w:p>
            <w:pPr>
              <w:jc w:val="right"/>
              <w:spacing w:after="0"/>
              <w:rPr>
                <w:sz w:val="20"/>
                <w:szCs w:val="20"/>
                <w:color w:val="auto"/>
              </w:rPr>
            </w:pPr>
            <w:r>
              <w:rPr>
                <w:rFonts w:ascii="Arial" w:cs="Arial" w:eastAsia="Arial" w:hAnsi="Arial"/>
                <w:sz w:val="17"/>
                <w:szCs w:val="17"/>
                <w:color w:val="auto"/>
              </w:rPr>
              <w:t>518,658</w:t>
            </w:r>
          </w:p>
        </w:tc>
        <w:tc>
          <w:tcPr>
            <w:tcW w:w="220" w:type="dxa"/>
            <w:vAlign w:val="bottom"/>
          </w:tcPr>
          <w:p>
            <w:pPr>
              <w:spacing w:after="0"/>
              <w:rPr>
                <w:sz w:val="18"/>
                <w:szCs w:val="18"/>
                <w:color w:val="auto"/>
              </w:rPr>
            </w:pPr>
          </w:p>
        </w:tc>
        <w:tc>
          <w:tcPr>
            <w:tcW w:w="1300" w:type="dxa"/>
            <w:vAlign w:val="bottom"/>
            <w:gridSpan w:val="2"/>
          </w:tcPr>
          <w:p>
            <w:pPr>
              <w:jc w:val="right"/>
              <w:spacing w:after="0"/>
              <w:rPr>
                <w:sz w:val="20"/>
                <w:szCs w:val="20"/>
                <w:color w:val="auto"/>
              </w:rPr>
            </w:pPr>
            <w:r>
              <w:rPr>
                <w:rFonts w:ascii="Arial" w:cs="Arial" w:eastAsia="Arial" w:hAnsi="Arial"/>
                <w:sz w:val="17"/>
                <w:szCs w:val="17"/>
                <w:color w:val="auto"/>
              </w:rPr>
              <w:t>(635,743)</w:t>
            </w:r>
          </w:p>
        </w:tc>
      </w:tr>
      <w:tr>
        <w:trPr>
          <w:trHeight w:val="233"/>
        </w:trPr>
        <w:tc>
          <w:tcPr>
            <w:tcW w:w="1480" w:type="dxa"/>
            <w:vAlign w:val="bottom"/>
            <w:gridSpan w:val="2"/>
          </w:tcPr>
          <w:p>
            <w:pPr>
              <w:jc w:val="right"/>
              <w:ind w:right="180"/>
              <w:spacing w:after="0"/>
              <w:rPr>
                <w:sz w:val="20"/>
                <w:szCs w:val="20"/>
                <w:color w:val="auto"/>
              </w:rPr>
            </w:pPr>
            <w:r>
              <w:rPr>
                <w:rFonts w:ascii="Arial" w:cs="Arial" w:eastAsia="Arial" w:hAnsi="Arial"/>
                <w:sz w:val="17"/>
                <w:szCs w:val="17"/>
                <w:color w:val="auto"/>
              </w:rPr>
              <w:t>(13,962)</w:t>
            </w:r>
          </w:p>
        </w:tc>
        <w:tc>
          <w:tcPr>
            <w:tcW w:w="1480" w:type="dxa"/>
            <w:vAlign w:val="bottom"/>
            <w:gridSpan w:val="2"/>
          </w:tcPr>
          <w:p>
            <w:pPr>
              <w:jc w:val="right"/>
              <w:ind w:right="160"/>
              <w:spacing w:after="0"/>
              <w:rPr>
                <w:sz w:val="20"/>
                <w:szCs w:val="20"/>
                <w:color w:val="auto"/>
              </w:rPr>
            </w:pPr>
            <w:r>
              <w:rPr>
                <w:rFonts w:ascii="Arial" w:cs="Arial" w:eastAsia="Arial" w:hAnsi="Arial"/>
                <w:sz w:val="17"/>
                <w:szCs w:val="17"/>
                <w:color w:val="auto"/>
              </w:rPr>
              <w:t>(22,975)</w:t>
            </w:r>
          </w:p>
        </w:tc>
        <w:tc>
          <w:tcPr>
            <w:tcW w:w="1240" w:type="dxa"/>
            <w:vAlign w:val="bottom"/>
          </w:tcPr>
          <w:p>
            <w:pPr>
              <w:jc w:val="right"/>
              <w:spacing w:after="0"/>
              <w:rPr>
                <w:sz w:val="20"/>
                <w:szCs w:val="20"/>
                <w:color w:val="auto"/>
              </w:rPr>
            </w:pPr>
            <w:r>
              <w:rPr>
                <w:rFonts w:ascii="Arial" w:cs="Arial" w:eastAsia="Arial" w:hAnsi="Arial"/>
                <w:sz w:val="17"/>
                <w:szCs w:val="17"/>
                <w:color w:val="auto"/>
              </w:rPr>
              <w:t>18,503</w:t>
            </w:r>
          </w:p>
        </w:tc>
        <w:tc>
          <w:tcPr>
            <w:tcW w:w="60" w:type="dxa"/>
            <w:vAlign w:val="bottom"/>
          </w:tcPr>
          <w:p>
            <w:pPr>
              <w:spacing w:after="0"/>
              <w:rPr>
                <w:sz w:val="20"/>
                <w:szCs w:val="20"/>
                <w:color w:val="auto"/>
              </w:rPr>
            </w:pPr>
          </w:p>
        </w:tc>
      </w:tr>
      <w:tr>
        <w:trPr>
          <w:trHeight w:val="213"/>
        </w:trPr>
        <w:tc>
          <w:tcPr>
            <w:tcW w:w="12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361,748</w:t>
            </w:r>
          </w:p>
        </w:tc>
        <w:tc>
          <w:tcPr>
            <w:tcW w:w="220" w:type="dxa"/>
            <w:vAlign w:val="bottom"/>
          </w:tcPr>
          <w:p>
            <w:pPr>
              <w:spacing w:after="0"/>
              <w:rPr>
                <w:sz w:val="18"/>
                <w:szCs w:val="18"/>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495,683</w:t>
            </w:r>
          </w:p>
        </w:tc>
        <w:tc>
          <w:tcPr>
            <w:tcW w:w="220" w:type="dxa"/>
            <w:vAlign w:val="bottom"/>
          </w:tcPr>
          <w:p>
            <w:pPr>
              <w:spacing w:after="0"/>
              <w:rPr>
                <w:sz w:val="18"/>
                <w:szCs w:val="18"/>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(617,240)</w:t>
            </w:r>
          </w:p>
        </w:tc>
        <w:tc>
          <w:tcPr>
            <w:tcW w:w="60" w:type="dxa"/>
            <w:vAlign w:val="bottom"/>
          </w:tcPr>
          <w:p>
            <w:pPr>
              <w:spacing w:after="0"/>
              <w:rPr>
                <w:sz w:val="18"/>
                <w:szCs w:val="18"/>
                <w:color w:val="auto"/>
              </w:rPr>
            </w:pPr>
          </w:p>
        </w:tc>
      </w:tr>
      <w:tr>
        <w:trPr>
          <w:trHeight w:val="391"/>
        </w:trPr>
        <w:tc>
          <w:tcPr>
            <w:tcW w:w="1480" w:type="dxa"/>
            <w:vAlign w:val="bottom"/>
            <w:gridSpan w:val="2"/>
          </w:tcPr>
          <w:p>
            <w:pPr>
              <w:jc w:val="right"/>
              <w:ind w:right="180"/>
              <w:spacing w:after="0"/>
              <w:rPr>
                <w:sz w:val="20"/>
                <w:szCs w:val="20"/>
                <w:color w:val="auto"/>
              </w:rPr>
            </w:pPr>
            <w:r>
              <w:rPr>
                <w:rFonts w:ascii="Arial" w:cs="Arial" w:eastAsia="Arial" w:hAnsi="Arial"/>
                <w:sz w:val="17"/>
                <w:szCs w:val="17"/>
                <w:color w:val="auto"/>
              </w:rPr>
              <w:t>(77,369)</w:t>
            </w:r>
          </w:p>
        </w:tc>
        <w:tc>
          <w:tcPr>
            <w:tcW w:w="1480" w:type="dxa"/>
            <w:vAlign w:val="bottom"/>
            <w:gridSpan w:val="2"/>
          </w:tcPr>
          <w:p>
            <w:pPr>
              <w:jc w:val="right"/>
              <w:ind w:right="160"/>
              <w:spacing w:after="0"/>
              <w:rPr>
                <w:sz w:val="20"/>
                <w:szCs w:val="20"/>
                <w:color w:val="auto"/>
              </w:rPr>
            </w:pPr>
            <w:r>
              <w:rPr>
                <w:rFonts w:ascii="Arial" w:cs="Arial" w:eastAsia="Arial" w:hAnsi="Arial"/>
                <w:sz w:val="17"/>
                <w:szCs w:val="17"/>
                <w:color w:val="auto"/>
              </w:rPr>
              <w:t>(22,109)</w:t>
            </w:r>
          </w:p>
        </w:tc>
        <w:tc>
          <w:tcPr>
            <w:tcW w:w="1240" w:type="dxa"/>
            <w:vAlign w:val="bottom"/>
          </w:tcPr>
          <w:p>
            <w:pPr>
              <w:jc w:val="right"/>
              <w:spacing w:after="0"/>
              <w:rPr>
                <w:sz w:val="20"/>
                <w:szCs w:val="20"/>
                <w:color w:val="auto"/>
              </w:rPr>
            </w:pPr>
            <w:r>
              <w:rPr>
                <w:rFonts w:ascii="Arial" w:cs="Arial" w:eastAsia="Arial" w:hAnsi="Arial"/>
                <w:sz w:val="17"/>
                <w:szCs w:val="17"/>
                <w:color w:val="auto"/>
              </w:rPr>
              <w:t>41,069</w:t>
            </w:r>
          </w:p>
        </w:tc>
        <w:tc>
          <w:tcPr>
            <w:tcW w:w="60" w:type="dxa"/>
            <w:vAlign w:val="bottom"/>
          </w:tcPr>
          <w:p>
            <w:pPr>
              <w:spacing w:after="0"/>
              <w:rPr>
                <w:sz w:val="24"/>
                <w:szCs w:val="24"/>
                <w:color w:val="auto"/>
              </w:rPr>
            </w:pPr>
          </w:p>
        </w:tc>
      </w:tr>
      <w:tr>
        <w:trPr>
          <w:trHeight w:val="233"/>
        </w:trPr>
        <w:tc>
          <w:tcPr>
            <w:tcW w:w="1480" w:type="dxa"/>
            <w:vAlign w:val="bottom"/>
            <w:gridSpan w:val="2"/>
          </w:tcPr>
          <w:p>
            <w:pPr>
              <w:jc w:val="right"/>
              <w:ind w:right="220"/>
              <w:spacing w:after="0"/>
              <w:rPr>
                <w:sz w:val="20"/>
                <w:szCs w:val="20"/>
                <w:color w:val="auto"/>
              </w:rPr>
            </w:pPr>
            <w:r>
              <w:rPr>
                <w:rFonts w:ascii="Arial" w:cs="Arial" w:eastAsia="Arial" w:hAnsi="Arial"/>
                <w:sz w:val="17"/>
                <w:szCs w:val="17"/>
                <w:color w:val="auto"/>
              </w:rPr>
              <w:t>18,719</w:t>
            </w:r>
          </w:p>
        </w:tc>
        <w:tc>
          <w:tcPr>
            <w:tcW w:w="1260" w:type="dxa"/>
            <w:vAlign w:val="bottom"/>
          </w:tcPr>
          <w:p>
            <w:pPr>
              <w:jc w:val="right"/>
              <w:spacing w:after="0"/>
              <w:rPr>
                <w:sz w:val="20"/>
                <w:szCs w:val="20"/>
                <w:color w:val="auto"/>
              </w:rPr>
            </w:pPr>
            <w:r>
              <w:rPr>
                <w:rFonts w:ascii="Arial" w:cs="Arial" w:eastAsia="Arial" w:hAnsi="Arial"/>
                <w:sz w:val="17"/>
                <w:szCs w:val="17"/>
                <w:color w:val="auto"/>
              </w:rPr>
              <w:t>2,294</w:t>
            </w:r>
          </w:p>
        </w:tc>
        <w:tc>
          <w:tcPr>
            <w:tcW w:w="220" w:type="dxa"/>
            <w:vAlign w:val="bottom"/>
          </w:tcPr>
          <w:p>
            <w:pPr>
              <w:spacing w:after="0"/>
              <w:rPr>
                <w:sz w:val="20"/>
                <w:szCs w:val="20"/>
                <w:color w:val="auto"/>
              </w:rPr>
            </w:pPr>
          </w:p>
        </w:tc>
        <w:tc>
          <w:tcPr>
            <w:tcW w:w="1300" w:type="dxa"/>
            <w:vAlign w:val="bottom"/>
            <w:gridSpan w:val="2"/>
          </w:tcPr>
          <w:p>
            <w:pPr>
              <w:jc w:val="right"/>
              <w:spacing w:after="0"/>
              <w:rPr>
                <w:sz w:val="20"/>
                <w:szCs w:val="20"/>
                <w:color w:val="auto"/>
              </w:rPr>
            </w:pPr>
            <w:r>
              <w:rPr>
                <w:rFonts w:ascii="Arial" w:cs="Arial" w:eastAsia="Arial" w:hAnsi="Arial"/>
                <w:sz w:val="17"/>
                <w:szCs w:val="17"/>
                <w:color w:val="auto"/>
              </w:rPr>
              <w:t>(1,956)</w:t>
            </w:r>
          </w:p>
        </w:tc>
      </w:tr>
      <w:tr>
        <w:trPr>
          <w:trHeight w:val="213"/>
        </w:trPr>
        <w:tc>
          <w:tcPr>
            <w:tcW w:w="12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(58,650)</w:t>
            </w:r>
          </w:p>
        </w:tc>
        <w:tc>
          <w:tcPr>
            <w:tcW w:w="220" w:type="dxa"/>
            <w:vAlign w:val="bottom"/>
          </w:tcPr>
          <w:p>
            <w:pPr>
              <w:spacing w:after="0"/>
              <w:rPr>
                <w:sz w:val="18"/>
                <w:szCs w:val="18"/>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(19,815)</w:t>
            </w:r>
          </w:p>
        </w:tc>
        <w:tc>
          <w:tcPr>
            <w:tcW w:w="220" w:type="dxa"/>
            <w:vAlign w:val="bottom"/>
          </w:tcPr>
          <w:p>
            <w:pPr>
              <w:spacing w:after="0"/>
              <w:rPr>
                <w:sz w:val="18"/>
                <w:szCs w:val="18"/>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39,113</w:t>
            </w:r>
          </w:p>
        </w:tc>
        <w:tc>
          <w:tcPr>
            <w:tcW w:w="60" w:type="dxa"/>
            <w:vAlign w:val="bottom"/>
          </w:tcPr>
          <w:p>
            <w:pPr>
              <w:spacing w:after="0"/>
              <w:rPr>
                <w:sz w:val="18"/>
                <w:szCs w:val="18"/>
                <w:color w:val="auto"/>
              </w:rPr>
            </w:pPr>
          </w:p>
        </w:tc>
      </w:tr>
      <w:tr>
        <w:trPr>
          <w:trHeight w:val="416"/>
        </w:trPr>
        <w:tc>
          <w:tcPr>
            <w:tcW w:w="1480" w:type="dxa"/>
            <w:vAlign w:val="bottom"/>
            <w:gridSpan w:val="2"/>
          </w:tcPr>
          <w:p>
            <w:pPr>
              <w:jc w:val="right"/>
              <w:ind w:right="180"/>
              <w:spacing w:after="0"/>
              <w:rPr>
                <w:sz w:val="20"/>
                <w:szCs w:val="20"/>
                <w:color w:val="auto"/>
              </w:rPr>
            </w:pPr>
            <w:r>
              <w:rPr>
                <w:rFonts w:ascii="Arial" w:cs="Arial" w:eastAsia="Arial" w:hAnsi="Arial"/>
                <w:sz w:val="17"/>
                <w:szCs w:val="17"/>
                <w:color w:val="auto"/>
              </w:rPr>
              <w:t>(54,227)</w:t>
            </w:r>
          </w:p>
        </w:tc>
        <w:tc>
          <w:tcPr>
            <w:tcW w:w="1480" w:type="dxa"/>
            <w:vAlign w:val="bottom"/>
            <w:gridSpan w:val="2"/>
          </w:tcPr>
          <w:p>
            <w:pPr>
              <w:jc w:val="right"/>
              <w:ind w:right="160"/>
              <w:spacing w:after="0"/>
              <w:rPr>
                <w:sz w:val="20"/>
                <w:szCs w:val="20"/>
                <w:color w:val="auto"/>
              </w:rPr>
            </w:pPr>
            <w:r>
              <w:rPr>
                <w:rFonts w:ascii="Arial" w:cs="Arial" w:eastAsia="Arial" w:hAnsi="Arial"/>
                <w:sz w:val="17"/>
                <w:szCs w:val="17"/>
                <w:color w:val="auto"/>
              </w:rPr>
              <w:t>(26,571)</w:t>
            </w:r>
          </w:p>
        </w:tc>
        <w:tc>
          <w:tcPr>
            <w:tcW w:w="1240" w:type="dxa"/>
            <w:vAlign w:val="bottom"/>
          </w:tcPr>
          <w:p>
            <w:pPr>
              <w:jc w:val="right"/>
              <w:spacing w:after="0"/>
              <w:rPr>
                <w:sz w:val="20"/>
                <w:szCs w:val="20"/>
                <w:color w:val="auto"/>
              </w:rPr>
            </w:pPr>
            <w:r>
              <w:rPr>
                <w:rFonts w:ascii="Arial" w:cs="Arial" w:eastAsia="Arial" w:hAnsi="Arial"/>
                <w:sz w:val="17"/>
                <w:szCs w:val="17"/>
                <w:color w:val="auto"/>
              </w:rPr>
              <w:t>270,907</w:t>
            </w:r>
          </w:p>
        </w:tc>
        <w:tc>
          <w:tcPr>
            <w:tcW w:w="60" w:type="dxa"/>
            <w:vAlign w:val="bottom"/>
          </w:tcPr>
          <w:p>
            <w:pPr>
              <w:spacing w:after="0"/>
              <w:rPr>
                <w:sz w:val="24"/>
                <w:szCs w:val="24"/>
                <w:color w:val="auto"/>
              </w:rPr>
            </w:pPr>
          </w:p>
        </w:tc>
      </w:tr>
      <w:tr>
        <w:trPr>
          <w:trHeight w:val="20"/>
        </w:trPr>
        <w:tc>
          <w:tcPr>
            <w:tcW w:w="12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22"/>
        </w:trPr>
        <w:tc>
          <w:tcPr>
            <w:tcW w:w="1480" w:type="dxa"/>
            <w:vAlign w:val="bottom"/>
            <w:gridSpan w:val="2"/>
          </w:tcPr>
          <w:p>
            <w:pPr>
              <w:jc w:val="right"/>
              <w:ind w:right="180"/>
              <w:spacing w:after="0"/>
              <w:rPr>
                <w:sz w:val="20"/>
                <w:szCs w:val="20"/>
                <w:color w:val="auto"/>
              </w:rPr>
            </w:pPr>
            <w:r>
              <w:rPr>
                <w:rFonts w:ascii="Arial" w:cs="Arial" w:eastAsia="Arial" w:hAnsi="Arial"/>
                <w:sz w:val="17"/>
                <w:szCs w:val="17"/>
                <w:color w:val="auto"/>
              </w:rPr>
              <w:t>(54,227)</w:t>
            </w:r>
          </w:p>
        </w:tc>
        <w:tc>
          <w:tcPr>
            <w:tcW w:w="1480" w:type="dxa"/>
            <w:vAlign w:val="bottom"/>
            <w:gridSpan w:val="2"/>
          </w:tcPr>
          <w:p>
            <w:pPr>
              <w:jc w:val="right"/>
              <w:ind w:right="160"/>
              <w:spacing w:after="0"/>
              <w:rPr>
                <w:sz w:val="20"/>
                <w:szCs w:val="20"/>
                <w:color w:val="auto"/>
              </w:rPr>
            </w:pPr>
            <w:r>
              <w:rPr>
                <w:rFonts w:ascii="Arial" w:cs="Arial" w:eastAsia="Arial" w:hAnsi="Arial"/>
                <w:sz w:val="17"/>
                <w:szCs w:val="17"/>
                <w:color w:val="auto"/>
              </w:rPr>
              <w:t>(26,571)</w:t>
            </w:r>
          </w:p>
        </w:tc>
        <w:tc>
          <w:tcPr>
            <w:tcW w:w="1240" w:type="dxa"/>
            <w:vAlign w:val="bottom"/>
          </w:tcPr>
          <w:p>
            <w:pPr>
              <w:jc w:val="right"/>
              <w:spacing w:after="0"/>
              <w:rPr>
                <w:sz w:val="20"/>
                <w:szCs w:val="20"/>
                <w:color w:val="auto"/>
              </w:rPr>
            </w:pPr>
            <w:r>
              <w:rPr>
                <w:rFonts w:ascii="Arial" w:cs="Arial" w:eastAsia="Arial" w:hAnsi="Arial"/>
                <w:sz w:val="17"/>
                <w:szCs w:val="17"/>
                <w:color w:val="auto"/>
              </w:rPr>
              <w:t>270,907</w:t>
            </w:r>
          </w:p>
        </w:tc>
        <w:tc>
          <w:tcPr>
            <w:tcW w:w="60" w:type="dxa"/>
            <w:vAlign w:val="bottom"/>
          </w:tcPr>
          <w:p>
            <w:pPr>
              <w:spacing w:after="0"/>
              <w:rPr>
                <w:sz w:val="24"/>
                <w:szCs w:val="24"/>
                <w:color w:val="auto"/>
              </w:rPr>
            </w:pPr>
          </w:p>
        </w:tc>
      </w:tr>
      <w:tr>
        <w:trPr>
          <w:trHeight w:val="20"/>
        </w:trPr>
        <w:tc>
          <w:tcPr>
            <w:tcW w:w="12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630"/>
        </w:trPr>
        <w:tc>
          <w:tcPr>
            <w:tcW w:w="1260" w:type="dxa"/>
            <w:vAlign w:val="bottom"/>
          </w:tcPr>
          <w:p>
            <w:pPr>
              <w:jc w:val="right"/>
              <w:spacing w:after="0"/>
              <w:rPr>
                <w:sz w:val="20"/>
                <w:szCs w:val="20"/>
                <w:color w:val="auto"/>
              </w:rPr>
            </w:pPr>
            <w:r>
              <w:rPr>
                <w:rFonts w:ascii="Arial" w:cs="Arial" w:eastAsia="Arial" w:hAnsi="Arial"/>
                <w:sz w:val="17"/>
                <w:szCs w:val="17"/>
                <w:color w:val="auto"/>
              </w:rPr>
              <w:t>248,871</w:t>
            </w:r>
          </w:p>
        </w:tc>
        <w:tc>
          <w:tcPr>
            <w:tcW w:w="22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449,297</w:t>
            </w:r>
          </w:p>
        </w:tc>
        <w:tc>
          <w:tcPr>
            <w:tcW w:w="220" w:type="dxa"/>
            <w:vAlign w:val="bottom"/>
          </w:tcPr>
          <w:p>
            <w:pPr>
              <w:spacing w:after="0"/>
              <w:rPr>
                <w:sz w:val="24"/>
                <w:szCs w:val="24"/>
                <w:color w:val="auto"/>
              </w:rPr>
            </w:pPr>
          </w:p>
        </w:tc>
        <w:tc>
          <w:tcPr>
            <w:tcW w:w="1300" w:type="dxa"/>
            <w:vAlign w:val="bottom"/>
            <w:gridSpan w:val="2"/>
          </w:tcPr>
          <w:p>
            <w:pPr>
              <w:jc w:val="right"/>
              <w:spacing w:after="0"/>
              <w:rPr>
                <w:sz w:val="20"/>
                <w:szCs w:val="20"/>
                <w:color w:val="auto"/>
              </w:rPr>
            </w:pPr>
            <w:r>
              <w:rPr>
                <w:rFonts w:ascii="Arial" w:cs="Arial" w:eastAsia="Arial" w:hAnsi="Arial"/>
                <w:sz w:val="17"/>
                <w:szCs w:val="17"/>
                <w:color w:val="auto"/>
              </w:rPr>
              <w:t>(307,220)</w:t>
            </w:r>
          </w:p>
        </w:tc>
      </w:tr>
      <w:tr>
        <w:trPr>
          <w:trHeight w:val="409"/>
        </w:trPr>
        <w:tc>
          <w:tcPr>
            <w:tcW w:w="12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4,430,519</w:t>
            </w:r>
          </w:p>
        </w:tc>
        <w:tc>
          <w:tcPr>
            <w:tcW w:w="220" w:type="dxa"/>
            <w:vAlign w:val="bottom"/>
          </w:tcPr>
          <w:p>
            <w:pPr>
              <w:spacing w:after="0"/>
              <w:rPr>
                <w:sz w:val="24"/>
                <w:szCs w:val="24"/>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4,059,277</w:t>
            </w:r>
          </w:p>
        </w:tc>
        <w:tc>
          <w:tcPr>
            <w:tcW w:w="220" w:type="dxa"/>
            <w:vAlign w:val="bottom"/>
          </w:tcPr>
          <w:p>
            <w:pPr>
              <w:spacing w:after="0"/>
              <w:rPr>
                <w:sz w:val="24"/>
                <w:szCs w:val="24"/>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2,856,165</w:t>
            </w:r>
          </w:p>
        </w:tc>
        <w:tc>
          <w:tcPr>
            <w:tcW w:w="60" w:type="dxa"/>
            <w:vAlign w:val="bottom"/>
          </w:tcPr>
          <w:p>
            <w:pPr>
              <w:spacing w:after="0"/>
              <w:rPr>
                <w:sz w:val="24"/>
                <w:szCs w:val="24"/>
                <w:color w:val="auto"/>
              </w:rPr>
            </w:pPr>
          </w:p>
        </w:tc>
      </w:tr>
      <w:tr>
        <w:trPr>
          <w:trHeight w:val="624"/>
        </w:trPr>
        <w:tc>
          <w:tcPr>
            <w:tcW w:w="1480" w:type="dxa"/>
            <w:vAlign w:val="bottom"/>
            <w:gridSpan w:val="2"/>
          </w:tcPr>
          <w:p>
            <w:pPr>
              <w:jc w:val="right"/>
              <w:ind w:right="220"/>
              <w:spacing w:after="0"/>
              <w:rPr>
                <w:sz w:val="20"/>
                <w:szCs w:val="20"/>
                <w:color w:val="auto"/>
              </w:rPr>
            </w:pPr>
            <w:r>
              <w:rPr>
                <w:rFonts w:ascii="Arial" w:cs="Arial" w:eastAsia="Arial" w:hAnsi="Arial"/>
                <w:sz w:val="17"/>
                <w:szCs w:val="17"/>
                <w:color w:val="auto"/>
              </w:rPr>
              <w:t>4,337,616</w:t>
            </w:r>
          </w:p>
        </w:tc>
        <w:tc>
          <w:tcPr>
            <w:tcW w:w="1260" w:type="dxa"/>
            <w:vAlign w:val="bottom"/>
          </w:tcPr>
          <w:p>
            <w:pPr>
              <w:jc w:val="right"/>
              <w:spacing w:after="0"/>
              <w:rPr>
                <w:sz w:val="20"/>
                <w:szCs w:val="20"/>
                <w:color w:val="auto"/>
              </w:rPr>
            </w:pPr>
            <w:r>
              <w:rPr>
                <w:rFonts w:ascii="Arial" w:cs="Arial" w:eastAsia="Arial" w:hAnsi="Arial"/>
                <w:sz w:val="17"/>
                <w:szCs w:val="17"/>
                <w:color w:val="auto"/>
              </w:rPr>
              <w:t>3,961,618</w:t>
            </w:r>
          </w:p>
        </w:tc>
        <w:tc>
          <w:tcPr>
            <w:tcW w:w="22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2,831,612</w:t>
            </w:r>
          </w:p>
        </w:tc>
        <w:tc>
          <w:tcPr>
            <w:tcW w:w="60" w:type="dxa"/>
            <w:vAlign w:val="bottom"/>
          </w:tcPr>
          <w:p>
            <w:pPr>
              <w:spacing w:after="0"/>
              <w:rPr>
                <w:sz w:val="24"/>
                <w:szCs w:val="24"/>
                <w:color w:val="auto"/>
              </w:rPr>
            </w:pPr>
          </w:p>
        </w:tc>
      </w:tr>
      <w:tr>
        <w:trPr>
          <w:trHeight w:val="221"/>
        </w:trPr>
        <w:tc>
          <w:tcPr>
            <w:tcW w:w="1480" w:type="dxa"/>
            <w:vAlign w:val="bottom"/>
            <w:gridSpan w:val="2"/>
          </w:tcPr>
          <w:p>
            <w:pPr>
              <w:jc w:val="right"/>
              <w:ind w:right="220"/>
              <w:spacing w:after="0"/>
              <w:rPr>
                <w:sz w:val="20"/>
                <w:szCs w:val="20"/>
                <w:color w:val="auto"/>
              </w:rPr>
            </w:pPr>
            <w:r>
              <w:rPr>
                <w:rFonts w:ascii="Arial" w:cs="Arial" w:eastAsia="Arial" w:hAnsi="Arial"/>
                <w:sz w:val="17"/>
                <w:szCs w:val="17"/>
                <w:color w:val="auto"/>
              </w:rPr>
              <w:t>92,903</w:t>
            </w:r>
          </w:p>
        </w:tc>
        <w:tc>
          <w:tcPr>
            <w:tcW w:w="1480" w:type="dxa"/>
            <w:vAlign w:val="bottom"/>
            <w:gridSpan w:val="2"/>
          </w:tcPr>
          <w:p>
            <w:pPr>
              <w:jc w:val="right"/>
              <w:ind w:right="220"/>
              <w:spacing w:after="0"/>
              <w:rPr>
                <w:sz w:val="20"/>
                <w:szCs w:val="20"/>
                <w:color w:val="auto"/>
              </w:rPr>
            </w:pPr>
            <w:r>
              <w:rPr>
                <w:rFonts w:ascii="Arial" w:cs="Arial" w:eastAsia="Arial" w:hAnsi="Arial"/>
                <w:sz w:val="17"/>
                <w:szCs w:val="17"/>
                <w:color w:val="auto"/>
              </w:rPr>
              <w:t>97,659</w:t>
            </w:r>
          </w:p>
        </w:tc>
        <w:tc>
          <w:tcPr>
            <w:tcW w:w="1240" w:type="dxa"/>
            <w:vAlign w:val="bottom"/>
          </w:tcPr>
          <w:p>
            <w:pPr>
              <w:jc w:val="right"/>
              <w:spacing w:after="0"/>
              <w:rPr>
                <w:sz w:val="20"/>
                <w:szCs w:val="20"/>
                <w:color w:val="auto"/>
              </w:rPr>
            </w:pPr>
            <w:r>
              <w:rPr>
                <w:rFonts w:ascii="Arial" w:cs="Arial" w:eastAsia="Arial" w:hAnsi="Arial"/>
                <w:sz w:val="17"/>
                <w:szCs w:val="17"/>
                <w:color w:val="auto"/>
              </w:rPr>
              <w:t>24,553</w:t>
            </w:r>
          </w:p>
        </w:tc>
        <w:tc>
          <w:tcPr>
            <w:tcW w:w="60" w:type="dxa"/>
            <w:vAlign w:val="bottom"/>
          </w:tcPr>
          <w:p>
            <w:pPr>
              <w:spacing w:after="0"/>
              <w:rPr>
                <w:sz w:val="19"/>
                <w:szCs w:val="19"/>
                <w:color w:val="auto"/>
              </w:rPr>
            </w:pPr>
          </w:p>
        </w:tc>
      </w:tr>
      <w:tr>
        <w:trPr>
          <w:trHeight w:val="201"/>
        </w:trPr>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4,430,519</w:t>
            </w:r>
          </w:p>
        </w:tc>
        <w:tc>
          <w:tcPr>
            <w:tcW w:w="220" w:type="dxa"/>
            <w:vAlign w:val="bottom"/>
          </w:tcPr>
          <w:p>
            <w:pPr>
              <w:spacing w:after="0"/>
              <w:rPr>
                <w:sz w:val="17"/>
                <w:szCs w:val="17"/>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4,059,277</w:t>
            </w:r>
          </w:p>
        </w:tc>
        <w:tc>
          <w:tcPr>
            <w:tcW w:w="220" w:type="dxa"/>
            <w:vAlign w:val="bottom"/>
          </w:tcPr>
          <w:p>
            <w:pPr>
              <w:spacing w:after="0"/>
              <w:rPr>
                <w:sz w:val="17"/>
                <w:szCs w:val="17"/>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2,856,165</w:t>
            </w:r>
          </w:p>
        </w:tc>
        <w:tc>
          <w:tcPr>
            <w:tcW w:w="60" w:type="dxa"/>
            <w:vAlign w:val="bottom"/>
          </w:tcPr>
          <w:p>
            <w:pPr>
              <w:spacing w:after="0"/>
              <w:rPr>
                <w:sz w:val="17"/>
                <w:szCs w:val="17"/>
                <w:color w:val="auto"/>
              </w:rPr>
            </w:pPr>
          </w:p>
        </w:tc>
      </w:tr>
      <w:tr>
        <w:trPr>
          <w:trHeight w:val="20"/>
        </w:trPr>
        <w:tc>
          <w:tcPr>
            <w:tcW w:w="12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ectPr>
          <w:pgSz w:w="11900" w:h="16838" w:orient="portrait"/>
          <w:cols w:equalWidth="0" w:num="2">
            <w:col w:w="7000" w:space="120"/>
            <w:col w:w="4260"/>
          </w:cols>
          <w:pgMar w:left="240" w:top="875" w:right="279" w:bottom="1440" w:gutter="0" w:footer="0" w:header="0"/>
        </w:sectPr>
      </w:pPr>
    </w:p>
    <w:bookmarkStart w:id="18" w:name="page19"/>
    <w:bookmarkEnd w:id="18"/>
    <w:p>
      <w:pPr>
        <w:spacing w:after="0" w:line="1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CREDICORP LTD. AND SUBSIDIARIES</w:t>
      </w:r>
    </w:p>
    <w:p>
      <w:pPr>
        <w:spacing w:after="0" w:line="226" w:lineRule="exact"/>
        <w:rPr>
          <w:sz w:val="20"/>
          <w:szCs w:val="20"/>
          <w:color w:val="auto"/>
        </w:rPr>
      </w:pPr>
    </w:p>
    <w:p>
      <w:pPr>
        <w:spacing w:after="0"/>
        <w:rPr>
          <w:sz w:val="20"/>
          <w:szCs w:val="20"/>
          <w:color w:val="auto"/>
        </w:rPr>
      </w:pPr>
      <w:r>
        <w:rPr>
          <w:rFonts w:ascii="Arial" w:cs="Arial" w:eastAsia="Arial" w:hAnsi="Arial"/>
          <w:sz w:val="17"/>
          <w:szCs w:val="17"/>
          <w:color w:val="auto"/>
        </w:rPr>
        <w:t>CONSOLIDATED STATEMENT OF CHANGES IN EQUITY</w:t>
      </w:r>
    </w:p>
    <w:p>
      <w:pPr>
        <w:spacing w:after="0" w:line="25" w:lineRule="exact"/>
        <w:rPr>
          <w:sz w:val="20"/>
          <w:szCs w:val="20"/>
          <w:color w:val="auto"/>
        </w:rPr>
      </w:pPr>
    </w:p>
    <w:p>
      <w:pPr>
        <w:spacing w:after="0"/>
        <w:rPr>
          <w:sz w:val="20"/>
          <w:szCs w:val="20"/>
          <w:color w:val="auto"/>
        </w:rPr>
      </w:pPr>
      <w:r>
        <w:rPr>
          <w:rFonts w:ascii="Arial" w:cs="Arial" w:eastAsia="Arial" w:hAnsi="Arial"/>
          <w:sz w:val="17"/>
          <w:szCs w:val="17"/>
          <w:color w:val="auto"/>
        </w:rPr>
        <w:t>FOR THE YEARS ENDED DECEMBER 31, 2017, 2016 AND 2015</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1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3260" w:type="dxa"/>
            <w:vAlign w:val="bottom"/>
            <w:tcBorders>
              <w:bottom w:val="single" w:sz="8" w:color="auto"/>
            </w:tcBorders>
            <w:gridSpan w:val="10"/>
          </w:tcPr>
          <w:p>
            <w:pPr>
              <w:jc w:val="right"/>
              <w:ind w:right="80"/>
              <w:spacing w:after="0"/>
              <w:rPr>
                <w:sz w:val="20"/>
                <w:szCs w:val="20"/>
                <w:color w:val="auto"/>
              </w:rPr>
            </w:pPr>
            <w:r>
              <w:rPr>
                <w:rFonts w:ascii="Arial" w:cs="Arial" w:eastAsia="Arial" w:hAnsi="Arial"/>
                <w:sz w:val="14"/>
                <w:szCs w:val="14"/>
                <w:b w:val="1"/>
                <w:bCs w:val="1"/>
                <w:color w:val="auto"/>
              </w:rPr>
              <w:t>Attributable to equity holders of Credicorp Ltd.</w:t>
            </w:r>
          </w:p>
        </w:tc>
        <w:tc>
          <w:tcPr>
            <w:tcW w:w="6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2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1"/>
              </w:rPr>
              <w:t>Number of</w:t>
            </w: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40" w:type="dxa"/>
            <w:vAlign w:val="bottom"/>
            <w:tcBorders>
              <w:bottom w:val="single" w:sz="8" w:color="auto"/>
            </w:tcBorders>
            <w:gridSpan w:val="5"/>
          </w:tcPr>
          <w:p>
            <w:pPr>
              <w:jc w:val="right"/>
              <w:ind w:right="60"/>
              <w:spacing w:after="0" w:line="149" w:lineRule="exact"/>
              <w:rPr>
                <w:sz w:val="20"/>
                <w:szCs w:val="20"/>
                <w:color w:val="auto"/>
              </w:rPr>
            </w:pPr>
            <w:r>
              <w:rPr>
                <w:rFonts w:ascii="Arial" w:cs="Arial" w:eastAsia="Arial" w:hAnsi="Arial"/>
                <w:sz w:val="14"/>
                <w:szCs w:val="14"/>
                <w:b w:val="1"/>
                <w:bCs w:val="1"/>
                <w:color w:val="auto"/>
              </w:rPr>
              <w:t>Other reserves</w:t>
            </w:r>
          </w:p>
        </w:tc>
        <w:tc>
          <w:tcPr>
            <w:tcW w:w="68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3"/>
        </w:trPr>
        <w:tc>
          <w:tcPr>
            <w:tcW w:w="1200" w:type="dxa"/>
            <w:vAlign w:val="bottom"/>
          </w:tcPr>
          <w:p>
            <w:pPr>
              <w:spacing w:after="0"/>
              <w:rPr>
                <w:sz w:val="9"/>
                <w:szCs w:val="9"/>
                <w:color w:val="auto"/>
              </w:rPr>
            </w:pPr>
          </w:p>
        </w:tc>
        <w:tc>
          <w:tcPr>
            <w:tcW w:w="20" w:type="dxa"/>
            <w:vAlign w:val="bottom"/>
          </w:tcPr>
          <w:p>
            <w:pPr>
              <w:spacing w:after="0"/>
              <w:rPr>
                <w:sz w:val="9"/>
                <w:szCs w:val="9"/>
                <w:color w:val="auto"/>
              </w:rPr>
            </w:pPr>
          </w:p>
        </w:tc>
        <w:tc>
          <w:tcPr>
            <w:tcW w:w="920" w:type="dxa"/>
            <w:vAlign w:val="bottom"/>
            <w:gridSpan w:val="2"/>
            <w:vMerge w:val="continue"/>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900" w:type="dxa"/>
            <w:vAlign w:val="bottom"/>
            <w:gridSpan w:val="2"/>
          </w:tcPr>
          <w:p>
            <w:pPr>
              <w:jc w:val="center"/>
              <w:ind w:right="80"/>
              <w:spacing w:after="0" w:line="114" w:lineRule="exact"/>
              <w:rPr>
                <w:sz w:val="20"/>
                <w:szCs w:val="20"/>
                <w:color w:val="auto"/>
              </w:rPr>
            </w:pPr>
            <w:r>
              <w:rPr>
                <w:rFonts w:ascii="Arial" w:cs="Arial" w:eastAsia="Arial" w:hAnsi="Arial"/>
                <w:sz w:val="13"/>
                <w:szCs w:val="13"/>
                <w:b w:val="1"/>
                <w:bCs w:val="1"/>
                <w:color w:val="auto"/>
                <w:w w:val="98"/>
              </w:rPr>
              <w:t>Available-for-</w:t>
            </w:r>
          </w:p>
        </w:tc>
        <w:tc>
          <w:tcPr>
            <w:tcW w:w="740" w:type="dxa"/>
            <w:vAlign w:val="bottom"/>
            <w:gridSpan w:val="3"/>
            <w:vMerge w:val="restart"/>
          </w:tcPr>
          <w:p>
            <w:pPr>
              <w:jc w:val="center"/>
              <w:ind w:right="80"/>
              <w:spacing w:after="0"/>
              <w:rPr>
                <w:sz w:val="20"/>
                <w:szCs w:val="20"/>
                <w:color w:val="auto"/>
              </w:rPr>
            </w:pPr>
            <w:r>
              <w:rPr>
                <w:rFonts w:ascii="Arial" w:cs="Arial" w:eastAsia="Arial" w:hAnsi="Arial"/>
                <w:sz w:val="14"/>
                <w:szCs w:val="14"/>
                <w:b w:val="1"/>
                <w:bCs w:val="1"/>
                <w:color w:val="auto"/>
                <w:w w:val="87"/>
              </w:rPr>
              <w:t>Cash flow</w:t>
            </w:r>
          </w:p>
        </w:tc>
        <w:tc>
          <w:tcPr>
            <w:tcW w:w="680" w:type="dxa"/>
            <w:vAlign w:val="bottom"/>
          </w:tcPr>
          <w:p>
            <w:pPr>
              <w:jc w:val="center"/>
              <w:spacing w:after="0" w:line="114" w:lineRule="exact"/>
              <w:rPr>
                <w:sz w:val="20"/>
                <w:szCs w:val="20"/>
                <w:color w:val="auto"/>
              </w:rPr>
            </w:pPr>
            <w:r>
              <w:rPr>
                <w:rFonts w:ascii="Arial" w:cs="Arial" w:eastAsia="Arial" w:hAnsi="Arial"/>
                <w:sz w:val="13"/>
                <w:szCs w:val="13"/>
                <w:b w:val="1"/>
                <w:bCs w:val="1"/>
                <w:color w:val="auto"/>
                <w:w w:val="92"/>
              </w:rPr>
              <w:t>Foreign</w:t>
            </w: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87"/>
              </w:rPr>
              <w:t>Non-</w:t>
            </w: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3"/>
        </w:trPr>
        <w:tc>
          <w:tcPr>
            <w:tcW w:w="1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20" w:type="dxa"/>
            <w:vAlign w:val="bottom"/>
            <w:gridSpan w:val="2"/>
          </w:tcPr>
          <w:p>
            <w:pPr>
              <w:jc w:val="center"/>
              <w:ind w:right="100"/>
              <w:spacing w:after="0" w:line="143" w:lineRule="exact"/>
              <w:rPr>
                <w:sz w:val="20"/>
                <w:szCs w:val="20"/>
                <w:color w:val="auto"/>
              </w:rPr>
            </w:pPr>
            <w:r>
              <w:rPr>
                <w:rFonts w:ascii="Arial" w:cs="Arial" w:eastAsia="Arial" w:hAnsi="Arial"/>
                <w:sz w:val="14"/>
                <w:szCs w:val="14"/>
                <w:b w:val="1"/>
                <w:bCs w:val="1"/>
                <w:color w:val="auto"/>
                <w:w w:val="84"/>
              </w:rPr>
              <w:t>shares</w:t>
            </w:r>
          </w:p>
        </w:tc>
        <w:tc>
          <w:tcPr>
            <w:tcW w:w="72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4"/>
              </w:rPr>
              <w:t>Capital</w:t>
            </w:r>
          </w:p>
        </w:tc>
        <w:tc>
          <w:tcPr>
            <w:tcW w:w="68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87"/>
              </w:rPr>
              <w:t>Treasury</w:t>
            </w:r>
          </w:p>
        </w:tc>
        <w:tc>
          <w:tcPr>
            <w:tcW w:w="6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Capital</w:t>
            </w: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00" w:type="dxa"/>
            <w:vAlign w:val="bottom"/>
            <w:gridSpan w:val="2"/>
          </w:tcPr>
          <w:p>
            <w:pPr>
              <w:jc w:val="center"/>
              <w:ind w:right="100"/>
              <w:spacing w:after="0" w:line="143" w:lineRule="exact"/>
              <w:rPr>
                <w:sz w:val="20"/>
                <w:szCs w:val="20"/>
                <w:color w:val="auto"/>
              </w:rPr>
            </w:pPr>
            <w:r>
              <w:rPr>
                <w:rFonts w:ascii="Arial" w:cs="Arial" w:eastAsia="Arial" w:hAnsi="Arial"/>
                <w:sz w:val="14"/>
                <w:szCs w:val="14"/>
                <w:b w:val="1"/>
                <w:bCs w:val="1"/>
                <w:color w:val="auto"/>
                <w:w w:val="87"/>
              </w:rPr>
              <w:t>sale</w:t>
            </w:r>
          </w:p>
        </w:tc>
        <w:tc>
          <w:tcPr>
            <w:tcW w:w="740" w:type="dxa"/>
            <w:vAlign w:val="bottom"/>
            <w:gridSpan w:val="3"/>
            <w:vMerge w:val="continue"/>
          </w:tcPr>
          <w:p>
            <w:pPr>
              <w:spacing w:after="0"/>
              <w:rPr>
                <w:sz w:val="12"/>
                <w:szCs w:val="12"/>
                <w:color w:val="auto"/>
              </w:rPr>
            </w:pPr>
          </w:p>
        </w:tc>
        <w:tc>
          <w:tcPr>
            <w:tcW w:w="800" w:type="dxa"/>
            <w:vAlign w:val="bottom"/>
            <w:gridSpan w:val="2"/>
          </w:tcPr>
          <w:p>
            <w:pPr>
              <w:jc w:val="center"/>
              <w:ind w:right="120"/>
              <w:spacing w:after="0" w:line="143" w:lineRule="exact"/>
              <w:rPr>
                <w:sz w:val="20"/>
                <w:szCs w:val="20"/>
                <w:color w:val="auto"/>
              </w:rPr>
            </w:pPr>
            <w:r>
              <w:rPr>
                <w:rFonts w:ascii="Arial" w:cs="Arial" w:eastAsia="Arial" w:hAnsi="Arial"/>
                <w:sz w:val="14"/>
                <w:szCs w:val="14"/>
                <w:b w:val="1"/>
                <w:bCs w:val="1"/>
                <w:color w:val="auto"/>
                <w:w w:val="87"/>
              </w:rPr>
              <w:t>currency</w:t>
            </w:r>
          </w:p>
        </w:tc>
        <w:tc>
          <w:tcPr>
            <w:tcW w:w="80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87"/>
              </w:rPr>
              <w:t>Retained</w:t>
            </w: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760" w:type="dxa"/>
            <w:vAlign w:val="bottom"/>
            <w:gridSpan w:val="2"/>
            <w:vMerge w:val="restart"/>
          </w:tcPr>
          <w:p>
            <w:pPr>
              <w:jc w:val="center"/>
              <w:ind w:right="6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3"/>
        </w:trPr>
        <w:tc>
          <w:tcPr>
            <w:tcW w:w="1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20" w:type="dxa"/>
            <w:vAlign w:val="bottom"/>
            <w:gridSpan w:val="2"/>
          </w:tcPr>
          <w:p>
            <w:pPr>
              <w:jc w:val="center"/>
              <w:ind w:right="100"/>
              <w:spacing w:after="0" w:line="143" w:lineRule="exact"/>
              <w:rPr>
                <w:sz w:val="20"/>
                <w:szCs w:val="20"/>
                <w:color w:val="auto"/>
              </w:rPr>
            </w:pPr>
            <w:r>
              <w:rPr>
                <w:rFonts w:ascii="Arial" w:cs="Arial" w:eastAsia="Arial" w:hAnsi="Arial"/>
                <w:sz w:val="14"/>
                <w:szCs w:val="14"/>
                <w:b w:val="1"/>
                <w:bCs w:val="1"/>
                <w:color w:val="auto"/>
                <w:w w:val="85"/>
              </w:rPr>
              <w:t>Issued, Notes</w:t>
            </w:r>
          </w:p>
        </w:tc>
        <w:tc>
          <w:tcPr>
            <w:tcW w:w="720" w:type="dxa"/>
            <w:vAlign w:val="bottom"/>
            <w:gridSpan w:val="2"/>
            <w:vMerge w:val="continue"/>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680" w:type="dxa"/>
            <w:vAlign w:val="bottom"/>
            <w:vMerge w:val="restart"/>
          </w:tcPr>
          <w:p>
            <w:pPr>
              <w:jc w:val="right"/>
              <w:ind w:right="11"/>
              <w:spacing w:after="0"/>
              <w:rPr>
                <w:sz w:val="20"/>
                <w:szCs w:val="20"/>
                <w:color w:val="auto"/>
              </w:rPr>
            </w:pPr>
            <w:r>
              <w:rPr>
                <w:rFonts w:ascii="Arial" w:cs="Arial" w:eastAsia="Arial" w:hAnsi="Arial"/>
                <w:sz w:val="14"/>
                <w:szCs w:val="14"/>
                <w:b w:val="1"/>
                <w:bCs w:val="1"/>
                <w:color w:val="auto"/>
                <w:w w:val="93"/>
              </w:rPr>
              <w:t>Reserves</w:t>
            </w:r>
          </w:p>
        </w:tc>
        <w:tc>
          <w:tcPr>
            <w:tcW w:w="140" w:type="dxa"/>
            <w:vAlign w:val="bottom"/>
            <w:vMerge w:val="restart"/>
          </w:tcPr>
          <w:p>
            <w:pPr>
              <w:spacing w:after="0"/>
              <w:rPr>
                <w:sz w:val="12"/>
                <w:szCs w:val="12"/>
                <w:color w:val="auto"/>
              </w:rPr>
            </w:pPr>
          </w:p>
        </w:tc>
        <w:tc>
          <w:tcPr>
            <w:tcW w:w="76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85"/>
              </w:rPr>
              <w:t>Put options</w:t>
            </w:r>
          </w:p>
        </w:tc>
        <w:tc>
          <w:tcPr>
            <w:tcW w:w="40" w:type="dxa"/>
            <w:vAlign w:val="bottom"/>
          </w:tcPr>
          <w:p>
            <w:pPr>
              <w:spacing w:after="0"/>
              <w:rPr>
                <w:sz w:val="12"/>
                <w:szCs w:val="12"/>
                <w:color w:val="auto"/>
              </w:rPr>
            </w:pPr>
          </w:p>
        </w:tc>
        <w:tc>
          <w:tcPr>
            <w:tcW w:w="900" w:type="dxa"/>
            <w:vAlign w:val="bottom"/>
            <w:gridSpan w:val="2"/>
          </w:tcPr>
          <w:p>
            <w:pPr>
              <w:jc w:val="center"/>
              <w:ind w:right="100"/>
              <w:spacing w:after="0" w:line="143" w:lineRule="exact"/>
              <w:rPr>
                <w:sz w:val="20"/>
                <w:szCs w:val="20"/>
                <w:color w:val="auto"/>
              </w:rPr>
            </w:pPr>
            <w:r>
              <w:rPr>
                <w:rFonts w:ascii="Arial" w:cs="Arial" w:eastAsia="Arial" w:hAnsi="Arial"/>
                <w:sz w:val="14"/>
                <w:szCs w:val="14"/>
                <w:b w:val="1"/>
                <w:bCs w:val="1"/>
                <w:color w:val="auto"/>
                <w:w w:val="86"/>
              </w:rPr>
              <w:t>investment</w:t>
            </w:r>
          </w:p>
        </w:tc>
        <w:tc>
          <w:tcPr>
            <w:tcW w:w="40" w:type="dxa"/>
            <w:vAlign w:val="bottom"/>
          </w:tcPr>
          <w:p>
            <w:pPr>
              <w:spacing w:after="0"/>
              <w:rPr>
                <w:sz w:val="12"/>
                <w:szCs w:val="12"/>
                <w:color w:val="auto"/>
              </w:rPr>
            </w:pPr>
          </w:p>
        </w:tc>
        <w:tc>
          <w:tcPr>
            <w:tcW w:w="700" w:type="dxa"/>
            <w:vAlign w:val="bottom"/>
            <w:gridSpan w:val="2"/>
          </w:tcPr>
          <w:p>
            <w:pPr>
              <w:jc w:val="center"/>
              <w:ind w:right="120"/>
              <w:spacing w:after="0" w:line="143" w:lineRule="exact"/>
              <w:rPr>
                <w:sz w:val="20"/>
                <w:szCs w:val="20"/>
                <w:color w:val="auto"/>
              </w:rPr>
            </w:pPr>
            <w:r>
              <w:rPr>
                <w:rFonts w:ascii="Arial" w:cs="Arial" w:eastAsia="Arial" w:hAnsi="Arial"/>
                <w:sz w:val="14"/>
                <w:szCs w:val="14"/>
                <w:b w:val="1"/>
                <w:bCs w:val="1"/>
                <w:color w:val="auto"/>
                <w:w w:val="82"/>
              </w:rPr>
              <w:t>hedge</w:t>
            </w:r>
          </w:p>
        </w:tc>
        <w:tc>
          <w:tcPr>
            <w:tcW w:w="800" w:type="dxa"/>
            <w:vAlign w:val="bottom"/>
            <w:gridSpan w:val="2"/>
          </w:tcPr>
          <w:p>
            <w:pPr>
              <w:jc w:val="center"/>
              <w:ind w:right="120"/>
              <w:spacing w:after="0" w:line="143" w:lineRule="exact"/>
              <w:rPr>
                <w:sz w:val="20"/>
                <w:szCs w:val="20"/>
                <w:color w:val="auto"/>
              </w:rPr>
            </w:pPr>
            <w:r>
              <w:rPr>
                <w:rFonts w:ascii="Arial" w:cs="Arial" w:eastAsia="Arial" w:hAnsi="Arial"/>
                <w:sz w:val="14"/>
                <w:szCs w:val="14"/>
                <w:b w:val="1"/>
                <w:bCs w:val="1"/>
                <w:color w:val="auto"/>
                <w:w w:val="89"/>
              </w:rPr>
              <w:t>translation</w:t>
            </w:r>
          </w:p>
        </w:tc>
        <w:tc>
          <w:tcPr>
            <w:tcW w:w="800" w:type="dxa"/>
            <w:vAlign w:val="bottom"/>
            <w:gridSpan w:val="2"/>
            <w:vMerge w:val="continue"/>
          </w:tcPr>
          <w:p>
            <w:pPr>
              <w:spacing w:after="0"/>
              <w:rPr>
                <w:sz w:val="12"/>
                <w:szCs w:val="12"/>
                <w:color w:val="auto"/>
              </w:rPr>
            </w:pPr>
          </w:p>
        </w:tc>
        <w:tc>
          <w:tcPr>
            <w:tcW w:w="82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rPr>
              <w:t>Total</w:t>
            </w:r>
          </w:p>
        </w:tc>
        <w:tc>
          <w:tcPr>
            <w:tcW w:w="800" w:type="dxa"/>
            <w:vAlign w:val="bottom"/>
            <w:gridSpan w:val="2"/>
          </w:tcPr>
          <w:p>
            <w:pPr>
              <w:jc w:val="right"/>
              <w:ind w:right="140"/>
              <w:spacing w:after="0" w:line="143" w:lineRule="exact"/>
              <w:rPr>
                <w:sz w:val="20"/>
                <w:szCs w:val="20"/>
                <w:color w:val="auto"/>
              </w:rPr>
            </w:pPr>
            <w:r>
              <w:rPr>
                <w:rFonts w:ascii="Arial" w:cs="Arial" w:eastAsia="Arial" w:hAnsi="Arial"/>
                <w:sz w:val="14"/>
                <w:szCs w:val="14"/>
                <w:b w:val="1"/>
                <w:bCs w:val="1"/>
                <w:color w:val="auto"/>
                <w:w w:val="88"/>
              </w:rPr>
              <w:t>controlling</w:t>
            </w:r>
          </w:p>
        </w:tc>
        <w:tc>
          <w:tcPr>
            <w:tcW w:w="7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1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1"/>
              </w:rPr>
              <w:t>17(a) and 28</w:t>
            </w:r>
          </w:p>
        </w:tc>
        <w:tc>
          <w:tcPr>
            <w:tcW w:w="10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87"/>
              </w:rPr>
              <w:t>stock</w:t>
            </w:r>
          </w:p>
        </w:tc>
        <w:tc>
          <w:tcPr>
            <w:tcW w:w="120" w:type="dxa"/>
            <w:vAlign w:val="bottom"/>
          </w:tcPr>
          <w:p>
            <w:pPr>
              <w:spacing w:after="0"/>
              <w:rPr>
                <w:sz w:val="14"/>
                <w:szCs w:val="14"/>
                <w:color w:val="auto"/>
              </w:rPr>
            </w:pPr>
          </w:p>
        </w:tc>
        <w:tc>
          <w:tcPr>
            <w:tcW w:w="560" w:type="dxa"/>
            <w:vAlign w:val="bottom"/>
          </w:tcPr>
          <w:p>
            <w:pPr>
              <w:jc w:val="center"/>
              <w:spacing w:after="0"/>
              <w:rPr>
                <w:sz w:val="20"/>
                <w:szCs w:val="20"/>
                <w:color w:val="auto"/>
              </w:rPr>
            </w:pPr>
            <w:r>
              <w:rPr>
                <w:rFonts w:ascii="Arial" w:cs="Arial" w:eastAsia="Arial" w:hAnsi="Arial"/>
                <w:sz w:val="14"/>
                <w:szCs w:val="14"/>
                <w:b w:val="1"/>
                <w:bCs w:val="1"/>
                <w:color w:val="auto"/>
                <w:w w:val="83"/>
              </w:rPr>
              <w:t>Stock</w:t>
            </w:r>
          </w:p>
        </w:tc>
        <w:tc>
          <w:tcPr>
            <w:tcW w:w="120" w:type="dxa"/>
            <w:vAlign w:val="bottom"/>
          </w:tcPr>
          <w:p>
            <w:pPr>
              <w:spacing w:after="0"/>
              <w:rPr>
                <w:sz w:val="14"/>
                <w:szCs w:val="14"/>
                <w:color w:val="auto"/>
              </w:rPr>
            </w:pPr>
          </w:p>
        </w:tc>
        <w:tc>
          <w:tcPr>
            <w:tcW w:w="500" w:type="dxa"/>
            <w:vAlign w:val="bottom"/>
          </w:tcPr>
          <w:p>
            <w:pPr>
              <w:ind w:left="40"/>
              <w:spacing w:after="0"/>
              <w:rPr>
                <w:sz w:val="20"/>
                <w:szCs w:val="20"/>
                <w:color w:val="auto"/>
              </w:rPr>
            </w:pPr>
            <w:r>
              <w:rPr>
                <w:rFonts w:ascii="Arial" w:cs="Arial" w:eastAsia="Arial" w:hAnsi="Arial"/>
                <w:sz w:val="14"/>
                <w:szCs w:val="14"/>
                <w:b w:val="1"/>
                <w:bCs w:val="1"/>
                <w:color w:val="auto"/>
                <w:w w:val="86"/>
              </w:rPr>
              <w:t>surplus</w:t>
            </w:r>
          </w:p>
        </w:tc>
        <w:tc>
          <w:tcPr>
            <w:tcW w:w="14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140" w:type="dxa"/>
            <w:vAlign w:val="bottom"/>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9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reserve</w:t>
            </w:r>
          </w:p>
        </w:tc>
        <w:tc>
          <w:tcPr>
            <w:tcW w:w="40" w:type="dxa"/>
            <w:vAlign w:val="bottom"/>
          </w:tcPr>
          <w:p>
            <w:pPr>
              <w:spacing w:after="0"/>
              <w:rPr>
                <w:sz w:val="14"/>
                <w:szCs w:val="14"/>
                <w:color w:val="auto"/>
              </w:rPr>
            </w:pPr>
          </w:p>
        </w:tc>
        <w:tc>
          <w:tcPr>
            <w:tcW w:w="7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4"/>
              </w:rPr>
              <w:t>reserve</w:t>
            </w:r>
          </w:p>
        </w:tc>
        <w:tc>
          <w:tcPr>
            <w:tcW w:w="8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8"/>
              </w:rPr>
              <w:t>reserve</w:t>
            </w:r>
          </w:p>
        </w:tc>
        <w:tc>
          <w:tcPr>
            <w:tcW w:w="8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earnings</w:t>
            </w:r>
          </w:p>
        </w:tc>
        <w:tc>
          <w:tcPr>
            <w:tcW w:w="820" w:type="dxa"/>
            <w:vAlign w:val="bottom"/>
            <w:gridSpan w:val="2"/>
            <w:vMerge w:val="continue"/>
          </w:tcPr>
          <w:p>
            <w:pPr>
              <w:spacing w:after="0"/>
              <w:rPr>
                <w:sz w:val="14"/>
                <w:szCs w:val="14"/>
                <w:color w:val="auto"/>
              </w:rPr>
            </w:pPr>
          </w:p>
        </w:tc>
        <w:tc>
          <w:tcPr>
            <w:tcW w:w="8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6"/>
              </w:rPr>
              <w:t>interest</w:t>
            </w:r>
          </w:p>
        </w:tc>
        <w:tc>
          <w:tcPr>
            <w:tcW w:w="7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7"/>
              </w:rPr>
              <w:t>equity</w:t>
            </w:r>
          </w:p>
        </w:tc>
        <w:tc>
          <w:tcPr>
            <w:tcW w:w="0" w:type="dxa"/>
            <w:vAlign w:val="bottom"/>
          </w:tcPr>
          <w:p>
            <w:pPr>
              <w:spacing w:after="0"/>
              <w:rPr>
                <w:sz w:val="1"/>
                <w:szCs w:val="1"/>
                <w:color w:val="auto"/>
              </w:rPr>
            </w:pPr>
          </w:p>
        </w:tc>
      </w:tr>
      <w:tr>
        <w:trPr>
          <w:trHeight w:val="113"/>
        </w:trPr>
        <w:tc>
          <w:tcPr>
            <w:tcW w:w="1200" w:type="dxa"/>
            <w:vAlign w:val="bottom"/>
          </w:tcPr>
          <w:p>
            <w:pPr>
              <w:spacing w:after="0"/>
              <w:rPr>
                <w:sz w:val="9"/>
                <w:szCs w:val="9"/>
                <w:color w:val="auto"/>
              </w:rPr>
            </w:pPr>
          </w:p>
        </w:tc>
        <w:tc>
          <w:tcPr>
            <w:tcW w:w="20" w:type="dxa"/>
            <w:vAlign w:val="bottom"/>
          </w:tcPr>
          <w:p>
            <w:pPr>
              <w:spacing w:after="0"/>
              <w:rPr>
                <w:sz w:val="9"/>
                <w:szCs w:val="9"/>
                <w:color w:val="auto"/>
              </w:rPr>
            </w:pPr>
          </w:p>
        </w:tc>
        <w:tc>
          <w:tcPr>
            <w:tcW w:w="820" w:type="dxa"/>
            <w:vAlign w:val="bottom"/>
            <w:tcBorders>
              <w:top w:val="single" w:sz="8" w:color="auto"/>
            </w:tcBorders>
          </w:tcPr>
          <w:p>
            <w:pPr>
              <w:jc w:val="center"/>
              <w:spacing w:after="0" w:line="114" w:lineRule="exact"/>
              <w:rPr>
                <w:sz w:val="20"/>
                <w:szCs w:val="20"/>
                <w:color w:val="auto"/>
              </w:rPr>
            </w:pPr>
            <w:r>
              <w:rPr>
                <w:rFonts w:ascii="Arial" w:cs="Arial" w:eastAsia="Arial" w:hAnsi="Arial"/>
                <w:sz w:val="13"/>
                <w:szCs w:val="13"/>
                <w:b w:val="1"/>
                <w:bCs w:val="1"/>
                <w:color w:val="auto"/>
                <w:w w:val="96"/>
              </w:rPr>
              <w:t>(In thousands</w:t>
            </w:r>
          </w:p>
        </w:tc>
        <w:tc>
          <w:tcPr>
            <w:tcW w:w="100" w:type="dxa"/>
            <w:vAlign w:val="bottom"/>
          </w:tcPr>
          <w:p>
            <w:pPr>
              <w:spacing w:after="0"/>
              <w:rPr>
                <w:sz w:val="9"/>
                <w:szCs w:val="9"/>
                <w:color w:val="auto"/>
              </w:rPr>
            </w:pPr>
          </w:p>
        </w:tc>
        <w:tc>
          <w:tcPr>
            <w:tcW w:w="600" w:type="dxa"/>
            <w:vAlign w:val="bottom"/>
            <w:tcBorders>
              <w:top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87"/>
              </w:rPr>
              <w:t>S/(000)</w:t>
            </w:r>
          </w:p>
        </w:tc>
        <w:tc>
          <w:tcPr>
            <w:tcW w:w="120" w:type="dxa"/>
            <w:vAlign w:val="bottom"/>
            <w:vMerge w:val="restart"/>
          </w:tcPr>
          <w:p>
            <w:pPr>
              <w:spacing w:after="0"/>
              <w:rPr>
                <w:sz w:val="9"/>
                <w:szCs w:val="9"/>
                <w:color w:val="auto"/>
              </w:rPr>
            </w:pPr>
          </w:p>
        </w:tc>
        <w:tc>
          <w:tcPr>
            <w:tcW w:w="560" w:type="dxa"/>
            <w:vAlign w:val="bottom"/>
            <w:tcBorders>
              <w:top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87"/>
              </w:rPr>
              <w:t>S/(000)</w:t>
            </w:r>
          </w:p>
        </w:tc>
        <w:tc>
          <w:tcPr>
            <w:tcW w:w="120" w:type="dxa"/>
            <w:vAlign w:val="bottom"/>
            <w:vMerge w:val="restart"/>
          </w:tcPr>
          <w:p>
            <w:pPr>
              <w:spacing w:after="0"/>
              <w:rPr>
                <w:sz w:val="9"/>
                <w:szCs w:val="9"/>
                <w:color w:val="auto"/>
              </w:rPr>
            </w:pPr>
          </w:p>
        </w:tc>
        <w:tc>
          <w:tcPr>
            <w:tcW w:w="500" w:type="dxa"/>
            <w:vAlign w:val="bottom"/>
            <w:tcBorders>
              <w:top w:val="single" w:sz="8" w:color="auto"/>
            </w:tcBorders>
            <w:vMerge w:val="restart"/>
          </w:tcPr>
          <w:p>
            <w:pPr>
              <w:ind w:left="40"/>
              <w:spacing w:after="0"/>
              <w:rPr>
                <w:sz w:val="20"/>
                <w:szCs w:val="20"/>
                <w:color w:val="auto"/>
              </w:rPr>
            </w:pPr>
            <w:r>
              <w:rPr>
                <w:rFonts w:ascii="Arial" w:cs="Arial" w:eastAsia="Arial" w:hAnsi="Arial"/>
                <w:sz w:val="14"/>
                <w:szCs w:val="14"/>
                <w:b w:val="1"/>
                <w:bCs w:val="1"/>
                <w:color w:val="auto"/>
                <w:w w:val="95"/>
              </w:rPr>
              <w:t>S/(000)</w:t>
            </w:r>
          </w:p>
        </w:tc>
        <w:tc>
          <w:tcPr>
            <w:tcW w:w="140" w:type="dxa"/>
            <w:vAlign w:val="bottom"/>
            <w:vMerge w:val="restart"/>
          </w:tcPr>
          <w:p>
            <w:pPr>
              <w:spacing w:after="0"/>
              <w:rPr>
                <w:sz w:val="9"/>
                <w:szCs w:val="9"/>
                <w:color w:val="auto"/>
              </w:rPr>
            </w:pPr>
          </w:p>
        </w:tc>
        <w:tc>
          <w:tcPr>
            <w:tcW w:w="680" w:type="dxa"/>
            <w:vAlign w:val="bottom"/>
            <w:tcBorders>
              <w:top w:val="single" w:sz="8" w:color="auto"/>
            </w:tcBorders>
            <w:vMerge w:val="restart"/>
          </w:tcPr>
          <w:p>
            <w:pPr>
              <w:jc w:val="right"/>
              <w:ind w:right="71"/>
              <w:spacing w:after="0"/>
              <w:rPr>
                <w:sz w:val="20"/>
                <w:szCs w:val="20"/>
                <w:color w:val="auto"/>
              </w:rPr>
            </w:pPr>
            <w:r>
              <w:rPr>
                <w:rFonts w:ascii="Arial" w:cs="Arial" w:eastAsia="Arial" w:hAnsi="Arial"/>
                <w:sz w:val="14"/>
                <w:szCs w:val="14"/>
                <w:b w:val="1"/>
                <w:bCs w:val="1"/>
                <w:color w:val="auto"/>
              </w:rPr>
              <w:t>S/(000)</w:t>
            </w:r>
          </w:p>
        </w:tc>
        <w:tc>
          <w:tcPr>
            <w:tcW w:w="140" w:type="dxa"/>
            <w:vAlign w:val="bottom"/>
            <w:vMerge w:val="restart"/>
          </w:tcPr>
          <w:p>
            <w:pPr>
              <w:spacing w:after="0"/>
              <w:rPr>
                <w:sz w:val="9"/>
                <w:szCs w:val="9"/>
                <w:color w:val="auto"/>
              </w:rPr>
            </w:pPr>
          </w:p>
        </w:tc>
        <w:tc>
          <w:tcPr>
            <w:tcW w:w="660" w:type="dxa"/>
            <w:vAlign w:val="bottom"/>
            <w:tcBorders>
              <w:top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1"/>
              </w:rPr>
              <w:t>S/(000)</w:t>
            </w:r>
          </w:p>
        </w:tc>
        <w:tc>
          <w:tcPr>
            <w:tcW w:w="100" w:type="dxa"/>
            <w:vAlign w:val="bottom"/>
            <w:vMerge w:val="restart"/>
          </w:tcPr>
          <w:p>
            <w:pPr>
              <w:spacing w:after="0"/>
              <w:rPr>
                <w:sz w:val="9"/>
                <w:szCs w:val="9"/>
                <w:color w:val="auto"/>
              </w:rPr>
            </w:pPr>
          </w:p>
        </w:tc>
        <w:tc>
          <w:tcPr>
            <w:tcW w:w="40" w:type="dxa"/>
            <w:vAlign w:val="bottom"/>
          </w:tcPr>
          <w:p>
            <w:pPr>
              <w:spacing w:after="0"/>
              <w:rPr>
                <w:sz w:val="9"/>
                <w:szCs w:val="9"/>
                <w:color w:val="auto"/>
              </w:rPr>
            </w:pPr>
          </w:p>
        </w:tc>
        <w:tc>
          <w:tcPr>
            <w:tcW w:w="800" w:type="dxa"/>
            <w:vAlign w:val="bottom"/>
            <w:tcBorders>
              <w:top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87"/>
              </w:rPr>
              <w:t>S/(000)</w:t>
            </w:r>
          </w:p>
        </w:tc>
        <w:tc>
          <w:tcPr>
            <w:tcW w:w="100" w:type="dxa"/>
            <w:vAlign w:val="bottom"/>
            <w:vMerge w:val="restart"/>
          </w:tcPr>
          <w:p>
            <w:pPr>
              <w:spacing w:after="0"/>
              <w:rPr>
                <w:sz w:val="9"/>
                <w:szCs w:val="9"/>
                <w:color w:val="auto"/>
              </w:rPr>
            </w:pPr>
          </w:p>
        </w:tc>
        <w:tc>
          <w:tcPr>
            <w:tcW w:w="40" w:type="dxa"/>
            <w:vAlign w:val="bottom"/>
          </w:tcPr>
          <w:p>
            <w:pPr>
              <w:spacing w:after="0"/>
              <w:rPr>
                <w:sz w:val="9"/>
                <w:szCs w:val="9"/>
                <w:color w:val="auto"/>
              </w:rPr>
            </w:pPr>
          </w:p>
        </w:tc>
        <w:tc>
          <w:tcPr>
            <w:tcW w:w="580" w:type="dxa"/>
            <w:vAlign w:val="bottom"/>
            <w:tcBorders>
              <w:top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1"/>
              </w:rPr>
              <w:t>S/(000)</w:t>
            </w:r>
          </w:p>
        </w:tc>
        <w:tc>
          <w:tcPr>
            <w:tcW w:w="120" w:type="dxa"/>
            <w:vAlign w:val="bottom"/>
            <w:vMerge w:val="restart"/>
          </w:tcPr>
          <w:p>
            <w:pPr>
              <w:spacing w:after="0"/>
              <w:rPr>
                <w:sz w:val="9"/>
                <w:szCs w:val="9"/>
                <w:color w:val="auto"/>
              </w:rPr>
            </w:pPr>
          </w:p>
        </w:tc>
        <w:tc>
          <w:tcPr>
            <w:tcW w:w="680" w:type="dxa"/>
            <w:vAlign w:val="bottom"/>
            <w:tcBorders>
              <w:top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87"/>
              </w:rPr>
              <w:t>S/(000)</w:t>
            </w:r>
          </w:p>
        </w:tc>
        <w:tc>
          <w:tcPr>
            <w:tcW w:w="120" w:type="dxa"/>
            <w:vAlign w:val="bottom"/>
            <w:vMerge w:val="restart"/>
          </w:tcPr>
          <w:p>
            <w:pPr>
              <w:spacing w:after="0"/>
              <w:rPr>
                <w:sz w:val="9"/>
                <w:szCs w:val="9"/>
                <w:color w:val="auto"/>
              </w:rPr>
            </w:pPr>
          </w:p>
        </w:tc>
        <w:tc>
          <w:tcPr>
            <w:tcW w:w="680" w:type="dxa"/>
            <w:vAlign w:val="bottom"/>
            <w:tcBorders>
              <w:top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87"/>
              </w:rPr>
              <w:t>S/(000)</w:t>
            </w:r>
          </w:p>
        </w:tc>
        <w:tc>
          <w:tcPr>
            <w:tcW w:w="120" w:type="dxa"/>
            <w:vAlign w:val="bottom"/>
            <w:vMerge w:val="restart"/>
          </w:tcPr>
          <w:p>
            <w:pPr>
              <w:spacing w:after="0"/>
              <w:rPr>
                <w:sz w:val="9"/>
                <w:szCs w:val="9"/>
                <w:color w:val="auto"/>
              </w:rPr>
            </w:pPr>
          </w:p>
        </w:tc>
        <w:tc>
          <w:tcPr>
            <w:tcW w:w="700" w:type="dxa"/>
            <w:vAlign w:val="bottom"/>
            <w:tcBorders>
              <w:top w:val="single" w:sz="8" w:color="auto"/>
            </w:tcBorders>
            <w:vMerge w:val="restart"/>
          </w:tcPr>
          <w:p>
            <w:pPr>
              <w:jc w:val="right"/>
              <w:ind w:right="71"/>
              <w:spacing w:after="0"/>
              <w:rPr>
                <w:sz w:val="20"/>
                <w:szCs w:val="20"/>
                <w:color w:val="auto"/>
              </w:rPr>
            </w:pPr>
            <w:r>
              <w:rPr>
                <w:rFonts w:ascii="Arial" w:cs="Arial" w:eastAsia="Arial" w:hAnsi="Arial"/>
                <w:sz w:val="14"/>
                <w:szCs w:val="14"/>
                <w:b w:val="1"/>
                <w:bCs w:val="1"/>
                <w:color w:val="auto"/>
              </w:rPr>
              <w:t>S/(000)</w:t>
            </w:r>
          </w:p>
        </w:tc>
        <w:tc>
          <w:tcPr>
            <w:tcW w:w="120" w:type="dxa"/>
            <w:vAlign w:val="bottom"/>
            <w:vMerge w:val="restart"/>
          </w:tcPr>
          <w:p>
            <w:pPr>
              <w:spacing w:after="0"/>
              <w:rPr>
                <w:sz w:val="9"/>
                <w:szCs w:val="9"/>
                <w:color w:val="auto"/>
              </w:rPr>
            </w:pPr>
          </w:p>
        </w:tc>
        <w:tc>
          <w:tcPr>
            <w:tcW w:w="660" w:type="dxa"/>
            <w:vAlign w:val="bottom"/>
            <w:tcBorders>
              <w:top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1"/>
              </w:rPr>
              <w:t>S/(000)</w:t>
            </w:r>
          </w:p>
        </w:tc>
        <w:tc>
          <w:tcPr>
            <w:tcW w:w="140" w:type="dxa"/>
            <w:vAlign w:val="bottom"/>
            <w:vMerge w:val="restart"/>
          </w:tcPr>
          <w:p>
            <w:pPr>
              <w:spacing w:after="0"/>
              <w:rPr>
                <w:sz w:val="9"/>
                <w:szCs w:val="9"/>
                <w:color w:val="auto"/>
              </w:rPr>
            </w:pPr>
          </w:p>
        </w:tc>
        <w:tc>
          <w:tcPr>
            <w:tcW w:w="680" w:type="dxa"/>
            <w:vAlign w:val="bottom"/>
            <w:tcBorders>
              <w:top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87"/>
              </w:rPr>
              <w:t>S/(000)</w:t>
            </w:r>
          </w:p>
        </w:tc>
        <w:tc>
          <w:tcPr>
            <w:tcW w:w="8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165"/>
        </w:trPr>
        <w:tc>
          <w:tcPr>
            <w:tcW w:w="1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of units)</w:t>
            </w:r>
          </w:p>
        </w:tc>
        <w:tc>
          <w:tcPr>
            <w:tcW w:w="600" w:type="dxa"/>
            <w:vAlign w:val="bottom"/>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500" w:type="dxa"/>
            <w:vAlign w:val="bottom"/>
            <w:vMerge w:val="continue"/>
          </w:tcPr>
          <w:p>
            <w:pPr>
              <w:spacing w:after="0"/>
              <w:rPr>
                <w:sz w:val="14"/>
                <w:szCs w:val="14"/>
                <w:color w:val="auto"/>
              </w:rPr>
            </w:pPr>
          </w:p>
        </w:tc>
        <w:tc>
          <w:tcPr>
            <w:tcW w:w="140" w:type="dxa"/>
            <w:vAlign w:val="bottom"/>
            <w:vMerge w:val="continue"/>
          </w:tcPr>
          <w:p>
            <w:pPr>
              <w:spacing w:after="0"/>
              <w:rPr>
                <w:sz w:val="14"/>
                <w:szCs w:val="14"/>
                <w:color w:val="auto"/>
              </w:rPr>
            </w:pPr>
          </w:p>
        </w:tc>
        <w:tc>
          <w:tcPr>
            <w:tcW w:w="680" w:type="dxa"/>
            <w:vAlign w:val="bottom"/>
            <w:vMerge w:val="continue"/>
          </w:tcPr>
          <w:p>
            <w:pPr>
              <w:spacing w:after="0"/>
              <w:rPr>
                <w:sz w:val="14"/>
                <w:szCs w:val="14"/>
                <w:color w:val="auto"/>
              </w:rPr>
            </w:pPr>
          </w:p>
        </w:tc>
        <w:tc>
          <w:tcPr>
            <w:tcW w:w="140" w:type="dxa"/>
            <w:vAlign w:val="bottom"/>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680" w:type="dxa"/>
            <w:vAlign w:val="bottom"/>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680" w:type="dxa"/>
            <w:vAlign w:val="bottom"/>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140" w:type="dxa"/>
            <w:vAlign w:val="bottom"/>
            <w:vMerge w:val="continue"/>
          </w:tcPr>
          <w:p>
            <w:pPr>
              <w:spacing w:after="0"/>
              <w:rPr>
                <w:sz w:val="14"/>
                <w:szCs w:val="14"/>
                <w:color w:val="auto"/>
              </w:rPr>
            </w:pPr>
          </w:p>
        </w:tc>
        <w:tc>
          <w:tcPr>
            <w:tcW w:w="680" w:type="dxa"/>
            <w:vAlign w:val="bottom"/>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1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1200" w:type="dxa"/>
            <w:vAlign w:val="bottom"/>
            <w:shd w:val="clear" w:color="auto" w:fill="CCEEFF"/>
          </w:tcPr>
          <w:p>
            <w:pPr>
              <w:spacing w:after="0" w:line="121" w:lineRule="exact"/>
              <w:rPr>
                <w:sz w:val="20"/>
                <w:szCs w:val="20"/>
                <w:color w:val="auto"/>
              </w:rPr>
            </w:pPr>
            <w:r>
              <w:rPr>
                <w:rFonts w:ascii="Arial" w:cs="Arial" w:eastAsia="Arial" w:hAnsi="Arial"/>
                <w:sz w:val="13"/>
                <w:szCs w:val="13"/>
                <w:b w:val="1"/>
                <w:bCs w:val="1"/>
                <w:color w:val="auto"/>
              </w:rPr>
              <w:t>Balances at</w:t>
            </w:r>
          </w:p>
        </w:tc>
        <w:tc>
          <w:tcPr>
            <w:tcW w:w="2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20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January 1, 2015</w:t>
            </w:r>
          </w:p>
        </w:tc>
        <w:tc>
          <w:tcPr>
            <w:tcW w:w="94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94,382</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w w:val="93"/>
              </w:rPr>
              <w:t>1,318,994</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w w:val="96"/>
              </w:rPr>
              <w:t>(208,184)</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w w:val="94"/>
              </w:rPr>
              <w:t>302,941</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9,469,900</w:t>
            </w:r>
          </w:p>
        </w:tc>
        <w:tc>
          <w:tcPr>
            <w:tcW w:w="14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(340,353)</w:t>
            </w:r>
          </w:p>
        </w:tc>
        <w:tc>
          <w:tcPr>
            <w:tcW w:w="94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1,223,615</w:t>
            </w:r>
          </w:p>
        </w:tc>
        <w:tc>
          <w:tcPr>
            <w:tcW w:w="74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5,937</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(206,166)</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2,412,771</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w w:val="96"/>
              </w:rPr>
              <w:t>13,979,455</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646,570</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4"/>
              </w:rPr>
              <w:t>14,626,025</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4"/>
        </w:trPr>
        <w:tc>
          <w:tcPr>
            <w:tcW w:w="1200" w:type="dxa"/>
            <w:vAlign w:val="bottom"/>
          </w:tcPr>
          <w:p>
            <w:pPr>
              <w:spacing w:after="0" w:line="125" w:lineRule="exact"/>
              <w:rPr>
                <w:sz w:val="20"/>
                <w:szCs w:val="20"/>
                <w:color w:val="auto"/>
              </w:rPr>
            </w:pPr>
            <w:r>
              <w:rPr>
                <w:rFonts w:ascii="Arial" w:cs="Arial" w:eastAsia="Arial" w:hAnsi="Arial"/>
                <w:sz w:val="14"/>
                <w:szCs w:val="14"/>
                <w:color w:val="auto"/>
                <w:w w:val="92"/>
              </w:rPr>
              <w:t>Changes in equity in</w:t>
            </w:r>
          </w:p>
        </w:tc>
        <w:tc>
          <w:tcPr>
            <w:tcW w:w="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1"/>
        </w:trPr>
        <w:tc>
          <w:tcPr>
            <w:tcW w:w="1200" w:type="dxa"/>
            <w:vAlign w:val="bottom"/>
          </w:tcPr>
          <w:p>
            <w:pPr>
              <w:spacing w:after="0"/>
              <w:rPr>
                <w:sz w:val="20"/>
                <w:szCs w:val="20"/>
                <w:color w:val="auto"/>
              </w:rPr>
            </w:pPr>
            <w:r>
              <w:rPr>
                <w:rFonts w:ascii="Arial" w:cs="Arial" w:eastAsia="Arial" w:hAnsi="Arial"/>
                <w:sz w:val="14"/>
                <w:szCs w:val="14"/>
                <w:color w:val="auto"/>
              </w:rPr>
              <w:t>2015 -</w:t>
            </w:r>
          </w:p>
        </w:tc>
        <w:tc>
          <w:tcPr>
            <w:tcW w:w="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4"/>
        </w:trPr>
        <w:tc>
          <w:tcPr>
            <w:tcW w:w="1200" w:type="dxa"/>
            <w:vAlign w:val="bottom"/>
            <w:shd w:val="clear" w:color="auto" w:fill="CCEEFF"/>
          </w:tcPr>
          <w:p>
            <w:pPr>
              <w:spacing w:after="0" w:line="125" w:lineRule="exact"/>
              <w:rPr>
                <w:sz w:val="20"/>
                <w:szCs w:val="20"/>
                <w:color w:val="auto"/>
              </w:rPr>
            </w:pPr>
            <w:r>
              <w:rPr>
                <w:rFonts w:ascii="Arial" w:cs="Arial" w:eastAsia="Arial" w:hAnsi="Arial"/>
                <w:sz w:val="14"/>
                <w:szCs w:val="14"/>
                <w:color w:val="auto"/>
              </w:rPr>
              <w:t>Net profit for the</w:t>
            </w:r>
          </w:p>
        </w:tc>
        <w:tc>
          <w:tcPr>
            <w:tcW w:w="2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1"/>
        </w:trPr>
        <w:tc>
          <w:tcPr>
            <w:tcW w:w="1200" w:type="dxa"/>
            <w:vAlign w:val="bottom"/>
            <w:shd w:val="clear" w:color="auto" w:fill="CCEEFF"/>
          </w:tcPr>
          <w:p>
            <w:pPr>
              <w:spacing w:after="0"/>
              <w:rPr>
                <w:sz w:val="20"/>
                <w:szCs w:val="20"/>
                <w:color w:val="auto"/>
              </w:rPr>
            </w:pPr>
            <w:r>
              <w:rPr>
                <w:rFonts w:ascii="Arial" w:cs="Arial" w:eastAsia="Arial" w:hAnsi="Arial"/>
                <w:sz w:val="14"/>
                <w:szCs w:val="14"/>
                <w:color w:val="auto"/>
              </w:rPr>
              <w:t>year</w:t>
            </w:r>
          </w:p>
        </w:tc>
        <w:tc>
          <w:tcPr>
            <w:tcW w:w="94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94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74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3,092,303</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3,092,303</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71,082</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3,163,385</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4"/>
        </w:trPr>
        <w:tc>
          <w:tcPr>
            <w:tcW w:w="1200" w:type="dxa"/>
            <w:vAlign w:val="bottom"/>
          </w:tcPr>
          <w:p>
            <w:pPr>
              <w:spacing w:after="0" w:line="125" w:lineRule="exact"/>
              <w:rPr>
                <w:sz w:val="20"/>
                <w:szCs w:val="20"/>
                <w:color w:val="auto"/>
              </w:rPr>
            </w:pPr>
            <w:r>
              <w:rPr>
                <w:rFonts w:ascii="Arial" w:cs="Arial" w:eastAsia="Arial" w:hAnsi="Arial"/>
                <w:sz w:val="14"/>
                <w:szCs w:val="14"/>
                <w:color w:val="auto"/>
              </w:rPr>
              <w:t>Other</w:t>
            </w:r>
          </w:p>
        </w:tc>
        <w:tc>
          <w:tcPr>
            <w:tcW w:w="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1200" w:type="dxa"/>
            <w:vAlign w:val="bottom"/>
          </w:tcPr>
          <w:p>
            <w:pPr>
              <w:spacing w:after="0" w:line="143" w:lineRule="exact"/>
              <w:rPr>
                <w:sz w:val="20"/>
                <w:szCs w:val="20"/>
                <w:color w:val="auto"/>
              </w:rPr>
            </w:pPr>
            <w:r>
              <w:rPr>
                <w:rFonts w:ascii="Arial" w:cs="Arial" w:eastAsia="Arial" w:hAnsi="Arial"/>
                <w:sz w:val="14"/>
                <w:szCs w:val="14"/>
                <w:color w:val="auto"/>
              </w:rPr>
              <w:t>comprehensive</w:t>
            </w:r>
          </w:p>
        </w:tc>
        <w:tc>
          <w:tcPr>
            <w:tcW w:w="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1200" w:type="dxa"/>
            <w:vAlign w:val="bottom"/>
          </w:tcPr>
          <w:p>
            <w:pPr>
              <w:spacing w:after="0"/>
              <w:rPr>
                <w:sz w:val="20"/>
                <w:szCs w:val="20"/>
                <w:color w:val="auto"/>
              </w:rPr>
            </w:pPr>
            <w:r>
              <w:rPr>
                <w:rFonts w:ascii="Arial" w:cs="Arial" w:eastAsia="Arial" w:hAnsi="Arial"/>
                <w:sz w:val="14"/>
                <w:szCs w:val="14"/>
                <w:color w:val="auto"/>
              </w:rPr>
              <w:t>income</w:t>
            </w:r>
          </w:p>
        </w:tc>
        <w:tc>
          <w:tcPr>
            <w:tcW w:w="940" w:type="dxa"/>
            <w:vAlign w:val="bottom"/>
            <w:gridSpan w:val="3"/>
          </w:tcPr>
          <w:p>
            <w:pPr>
              <w:jc w:val="right"/>
              <w:ind w:right="100"/>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940" w:type="dxa"/>
            <w:vAlign w:val="bottom"/>
            <w:gridSpan w:val="3"/>
          </w:tcPr>
          <w:p>
            <w:pPr>
              <w:jc w:val="right"/>
              <w:ind w:right="40"/>
              <w:spacing w:after="0"/>
              <w:rPr>
                <w:sz w:val="20"/>
                <w:szCs w:val="20"/>
                <w:color w:val="auto"/>
              </w:rPr>
            </w:pPr>
            <w:r>
              <w:rPr>
                <w:rFonts w:ascii="Arial" w:cs="Arial" w:eastAsia="Arial" w:hAnsi="Arial"/>
                <w:sz w:val="14"/>
                <w:szCs w:val="14"/>
                <w:color w:val="auto"/>
              </w:rPr>
              <w:t>(570,711)</w:t>
            </w:r>
          </w:p>
        </w:tc>
        <w:tc>
          <w:tcPr>
            <w:tcW w:w="740" w:type="dxa"/>
            <w:vAlign w:val="bottom"/>
            <w:gridSpan w:val="3"/>
          </w:tcPr>
          <w:p>
            <w:pPr>
              <w:jc w:val="right"/>
              <w:ind w:right="120"/>
              <w:spacing w:after="0"/>
              <w:rPr>
                <w:sz w:val="20"/>
                <w:szCs w:val="20"/>
                <w:color w:val="auto"/>
              </w:rPr>
            </w:pPr>
            <w:r>
              <w:rPr>
                <w:rFonts w:ascii="Arial" w:cs="Arial" w:eastAsia="Arial" w:hAnsi="Arial"/>
                <w:sz w:val="14"/>
                <w:szCs w:val="14"/>
                <w:color w:val="auto"/>
              </w:rPr>
              <w:t>39,113</w:t>
            </w:r>
          </w:p>
        </w:tc>
        <w:tc>
          <w:tcPr>
            <w:tcW w:w="800" w:type="dxa"/>
            <w:vAlign w:val="bottom"/>
            <w:gridSpan w:val="2"/>
          </w:tcPr>
          <w:p>
            <w:pPr>
              <w:jc w:val="right"/>
              <w:ind w:right="120"/>
              <w:spacing w:after="0"/>
              <w:rPr>
                <w:sz w:val="20"/>
                <w:szCs w:val="20"/>
                <w:color w:val="auto"/>
              </w:rPr>
            </w:pPr>
            <w:r>
              <w:rPr>
                <w:rFonts w:ascii="Arial" w:cs="Arial" w:eastAsia="Arial" w:hAnsi="Arial"/>
                <w:sz w:val="14"/>
                <w:szCs w:val="14"/>
                <w:color w:val="auto"/>
              </w:rPr>
              <w:t>270,907</w:t>
            </w:r>
          </w:p>
        </w:tc>
        <w:tc>
          <w:tcPr>
            <w:tcW w:w="8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80"/>
              <w:spacing w:after="0"/>
              <w:rPr>
                <w:sz w:val="20"/>
                <w:szCs w:val="20"/>
                <w:color w:val="auto"/>
              </w:rPr>
            </w:pPr>
            <w:r>
              <w:rPr>
                <w:rFonts w:ascii="Arial" w:cs="Arial" w:eastAsia="Arial" w:hAnsi="Arial"/>
                <w:sz w:val="14"/>
                <w:szCs w:val="14"/>
                <w:color w:val="auto"/>
              </w:rPr>
              <w:t>(260,691)</w:t>
            </w:r>
          </w:p>
        </w:tc>
        <w:tc>
          <w:tcPr>
            <w:tcW w:w="800" w:type="dxa"/>
            <w:vAlign w:val="bottom"/>
            <w:gridSpan w:val="2"/>
          </w:tcPr>
          <w:p>
            <w:pPr>
              <w:jc w:val="right"/>
              <w:ind w:right="80"/>
              <w:spacing w:after="0"/>
              <w:rPr>
                <w:sz w:val="20"/>
                <w:szCs w:val="20"/>
                <w:color w:val="auto"/>
              </w:rPr>
            </w:pPr>
            <w:r>
              <w:rPr>
                <w:rFonts w:ascii="Arial" w:cs="Arial" w:eastAsia="Arial" w:hAnsi="Arial"/>
                <w:sz w:val="14"/>
                <w:szCs w:val="14"/>
                <w:color w:val="auto"/>
              </w:rPr>
              <w:t>(46,529)</w:t>
            </w:r>
          </w:p>
        </w:tc>
        <w:tc>
          <w:tcPr>
            <w:tcW w:w="760" w:type="dxa"/>
            <w:vAlign w:val="bottom"/>
            <w:gridSpan w:val="2"/>
          </w:tcPr>
          <w:p>
            <w:pPr>
              <w:jc w:val="right"/>
              <w:ind w:right="20"/>
              <w:spacing w:after="0"/>
              <w:rPr>
                <w:sz w:val="20"/>
                <w:szCs w:val="20"/>
                <w:color w:val="auto"/>
              </w:rPr>
            </w:pPr>
            <w:r>
              <w:rPr>
                <w:rFonts w:ascii="Arial" w:cs="Arial" w:eastAsia="Arial" w:hAnsi="Arial"/>
                <w:sz w:val="14"/>
                <w:szCs w:val="14"/>
                <w:color w:val="auto"/>
              </w:rPr>
              <w:t>(307,220)</w:t>
            </w:r>
          </w:p>
        </w:tc>
        <w:tc>
          <w:tcPr>
            <w:tcW w:w="0" w:type="dxa"/>
            <w:vAlign w:val="bottom"/>
          </w:tcPr>
          <w:p>
            <w:pPr>
              <w:spacing w:after="0"/>
              <w:rPr>
                <w:sz w:val="1"/>
                <w:szCs w:val="1"/>
                <w:color w:val="auto"/>
              </w:rPr>
            </w:pPr>
          </w:p>
        </w:tc>
      </w:tr>
      <w:tr>
        <w:trPr>
          <w:trHeight w:val="104"/>
        </w:trPr>
        <w:tc>
          <w:tcPr>
            <w:tcW w:w="1200" w:type="dxa"/>
            <w:vAlign w:val="bottom"/>
            <w:tcBorders>
              <w:top w:val="single" w:sz="8" w:color="CCEEFF"/>
            </w:tcBorders>
            <w:shd w:val="clear" w:color="auto" w:fill="CCEEFF"/>
          </w:tcPr>
          <w:p>
            <w:pPr>
              <w:spacing w:after="0" w:line="105" w:lineRule="exact"/>
              <w:rPr>
                <w:sz w:val="20"/>
                <w:szCs w:val="20"/>
                <w:color w:val="auto"/>
              </w:rPr>
            </w:pPr>
            <w:r>
              <w:rPr>
                <w:rFonts w:ascii="Arial" w:cs="Arial" w:eastAsia="Arial" w:hAnsi="Arial"/>
                <w:sz w:val="12"/>
                <w:szCs w:val="12"/>
                <w:color w:val="auto"/>
              </w:rPr>
              <w:t>Total comprehensive</w:t>
            </w:r>
          </w:p>
        </w:tc>
        <w:tc>
          <w:tcPr>
            <w:tcW w:w="20" w:type="dxa"/>
            <w:vAlign w:val="bottom"/>
            <w:tcBorders>
              <w:top w:val="single" w:sz="8" w:color="CCEEFF"/>
            </w:tcBorders>
            <w:shd w:val="clear" w:color="auto" w:fill="CCEEFF"/>
          </w:tcPr>
          <w:p>
            <w:pPr>
              <w:spacing w:after="0"/>
              <w:rPr>
                <w:sz w:val="9"/>
                <w:szCs w:val="9"/>
                <w:color w:val="auto"/>
              </w:rPr>
            </w:pPr>
          </w:p>
        </w:tc>
        <w:tc>
          <w:tcPr>
            <w:tcW w:w="82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60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56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500" w:type="dxa"/>
            <w:vAlign w:val="bottom"/>
            <w:tcBorders>
              <w:top w:val="single" w:sz="8" w:color="auto"/>
            </w:tcBorders>
            <w:shd w:val="clear" w:color="auto" w:fill="CCEEFF"/>
          </w:tcPr>
          <w:p>
            <w:pPr>
              <w:spacing w:after="0"/>
              <w:rPr>
                <w:sz w:val="9"/>
                <w:szCs w:val="9"/>
                <w:color w:val="auto"/>
              </w:rPr>
            </w:pPr>
          </w:p>
        </w:tc>
        <w:tc>
          <w:tcPr>
            <w:tcW w:w="140" w:type="dxa"/>
            <w:vAlign w:val="bottom"/>
            <w:tcBorders>
              <w:top w:val="single" w:sz="8" w:color="CCEEFF"/>
            </w:tcBorders>
            <w:shd w:val="clear" w:color="auto" w:fill="CCEEFF"/>
          </w:tcPr>
          <w:p>
            <w:pPr>
              <w:spacing w:after="0"/>
              <w:rPr>
                <w:sz w:val="9"/>
                <w:szCs w:val="9"/>
                <w:color w:val="auto"/>
              </w:rPr>
            </w:pPr>
          </w:p>
        </w:tc>
        <w:tc>
          <w:tcPr>
            <w:tcW w:w="680" w:type="dxa"/>
            <w:vAlign w:val="bottom"/>
            <w:tcBorders>
              <w:top w:val="single" w:sz="8" w:color="auto"/>
            </w:tcBorders>
            <w:shd w:val="clear" w:color="auto" w:fill="CCEEFF"/>
          </w:tcPr>
          <w:p>
            <w:pPr>
              <w:spacing w:after="0"/>
              <w:rPr>
                <w:sz w:val="9"/>
                <w:szCs w:val="9"/>
                <w:color w:val="auto"/>
              </w:rPr>
            </w:pPr>
          </w:p>
        </w:tc>
        <w:tc>
          <w:tcPr>
            <w:tcW w:w="140" w:type="dxa"/>
            <w:vAlign w:val="bottom"/>
            <w:tcBorders>
              <w:top w:val="single" w:sz="8" w:color="CCEEFF"/>
            </w:tcBorders>
            <w:shd w:val="clear" w:color="auto" w:fill="CCEEFF"/>
          </w:tcPr>
          <w:p>
            <w:pPr>
              <w:spacing w:after="0"/>
              <w:rPr>
                <w:sz w:val="9"/>
                <w:szCs w:val="9"/>
                <w:color w:val="auto"/>
              </w:rPr>
            </w:pPr>
          </w:p>
        </w:tc>
        <w:tc>
          <w:tcPr>
            <w:tcW w:w="66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80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58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68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68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70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660" w:type="dxa"/>
            <w:vAlign w:val="bottom"/>
            <w:tcBorders>
              <w:top w:val="single" w:sz="8" w:color="auto"/>
            </w:tcBorders>
            <w:shd w:val="clear" w:color="auto" w:fill="CCEEFF"/>
          </w:tcPr>
          <w:p>
            <w:pPr>
              <w:spacing w:after="0"/>
              <w:rPr>
                <w:sz w:val="9"/>
                <w:szCs w:val="9"/>
                <w:color w:val="auto"/>
              </w:rPr>
            </w:pPr>
          </w:p>
        </w:tc>
        <w:tc>
          <w:tcPr>
            <w:tcW w:w="140" w:type="dxa"/>
            <w:vAlign w:val="bottom"/>
            <w:tcBorders>
              <w:top w:val="single" w:sz="8" w:color="CCEEFF"/>
            </w:tcBorders>
            <w:shd w:val="clear" w:color="auto" w:fill="CCEEFF"/>
          </w:tcPr>
          <w:p>
            <w:pPr>
              <w:spacing w:after="0"/>
              <w:rPr>
                <w:sz w:val="9"/>
                <w:szCs w:val="9"/>
                <w:color w:val="auto"/>
              </w:rPr>
            </w:pPr>
          </w:p>
        </w:tc>
        <w:tc>
          <w:tcPr>
            <w:tcW w:w="68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61"/>
        </w:trPr>
        <w:tc>
          <w:tcPr>
            <w:tcW w:w="1200" w:type="dxa"/>
            <w:vAlign w:val="bottom"/>
            <w:shd w:val="clear" w:color="auto" w:fill="CCEEFF"/>
          </w:tcPr>
          <w:p>
            <w:pPr>
              <w:spacing w:after="0"/>
              <w:rPr>
                <w:sz w:val="20"/>
                <w:szCs w:val="20"/>
                <w:color w:val="auto"/>
              </w:rPr>
            </w:pPr>
            <w:r>
              <w:rPr>
                <w:rFonts w:ascii="Arial" w:cs="Arial" w:eastAsia="Arial" w:hAnsi="Arial"/>
                <w:sz w:val="14"/>
                <w:szCs w:val="14"/>
                <w:color w:val="auto"/>
              </w:rPr>
              <w:t>income</w:t>
            </w:r>
          </w:p>
        </w:tc>
        <w:tc>
          <w:tcPr>
            <w:tcW w:w="94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940" w:type="dxa"/>
            <w:vAlign w:val="bottom"/>
            <w:gridSpan w:val="3"/>
            <w:shd w:val="clear" w:color="auto" w:fill="CCEEFF"/>
          </w:tcPr>
          <w:p>
            <w:pPr>
              <w:jc w:val="right"/>
              <w:ind w:right="40"/>
              <w:spacing w:after="0"/>
              <w:rPr>
                <w:sz w:val="20"/>
                <w:szCs w:val="20"/>
                <w:color w:val="auto"/>
              </w:rPr>
            </w:pPr>
            <w:r>
              <w:rPr>
                <w:rFonts w:ascii="Arial" w:cs="Arial" w:eastAsia="Arial" w:hAnsi="Arial"/>
                <w:sz w:val="14"/>
                <w:szCs w:val="14"/>
                <w:color w:val="auto"/>
              </w:rPr>
              <w:t>(570,711)</w:t>
            </w:r>
          </w:p>
        </w:tc>
        <w:tc>
          <w:tcPr>
            <w:tcW w:w="74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39,113</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270,907</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3,092,303</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2,831,612</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24,553</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2,856,165</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4"/>
        </w:trPr>
        <w:tc>
          <w:tcPr>
            <w:tcW w:w="1200" w:type="dxa"/>
            <w:vAlign w:val="bottom"/>
          </w:tcPr>
          <w:p>
            <w:pPr>
              <w:spacing w:after="0" w:line="125" w:lineRule="exact"/>
              <w:rPr>
                <w:sz w:val="20"/>
                <w:szCs w:val="20"/>
                <w:color w:val="auto"/>
              </w:rPr>
            </w:pPr>
            <w:r>
              <w:rPr>
                <w:rFonts w:ascii="Arial" w:cs="Arial" w:eastAsia="Arial" w:hAnsi="Arial"/>
                <w:sz w:val="14"/>
                <w:szCs w:val="14"/>
                <w:color w:val="auto"/>
                <w:w w:val="96"/>
              </w:rPr>
              <w:t>Transfer of retained</w:t>
            </w:r>
          </w:p>
        </w:tc>
        <w:tc>
          <w:tcPr>
            <w:tcW w:w="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1200" w:type="dxa"/>
            <w:vAlign w:val="bottom"/>
          </w:tcPr>
          <w:p>
            <w:pPr>
              <w:spacing w:after="0" w:line="143" w:lineRule="exact"/>
              <w:rPr>
                <w:sz w:val="20"/>
                <w:szCs w:val="20"/>
                <w:color w:val="auto"/>
              </w:rPr>
            </w:pPr>
            <w:r>
              <w:rPr>
                <w:rFonts w:ascii="Arial" w:cs="Arial" w:eastAsia="Arial" w:hAnsi="Arial"/>
                <w:sz w:val="14"/>
                <w:szCs w:val="14"/>
                <w:color w:val="auto"/>
                <w:w w:val="90"/>
              </w:rPr>
              <w:t>earnings to reserves,</w:t>
            </w:r>
          </w:p>
        </w:tc>
        <w:tc>
          <w:tcPr>
            <w:tcW w:w="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1200" w:type="dxa"/>
            <w:vAlign w:val="bottom"/>
          </w:tcPr>
          <w:p>
            <w:pPr>
              <w:spacing w:after="0"/>
              <w:rPr>
                <w:sz w:val="20"/>
                <w:szCs w:val="20"/>
                <w:color w:val="auto"/>
              </w:rPr>
            </w:pPr>
            <w:r>
              <w:rPr>
                <w:rFonts w:ascii="Arial" w:cs="Arial" w:eastAsia="Arial" w:hAnsi="Arial"/>
                <w:sz w:val="14"/>
                <w:szCs w:val="14"/>
                <w:color w:val="auto"/>
              </w:rPr>
              <w:t>Note 17(c)</w:t>
            </w:r>
          </w:p>
        </w:tc>
        <w:tc>
          <w:tcPr>
            <w:tcW w:w="940" w:type="dxa"/>
            <w:vAlign w:val="bottom"/>
            <w:gridSpan w:val="3"/>
          </w:tcPr>
          <w:p>
            <w:pPr>
              <w:jc w:val="right"/>
              <w:ind w:right="100"/>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1,820,483</w:t>
            </w:r>
          </w:p>
        </w:tc>
        <w:tc>
          <w:tcPr>
            <w:tcW w:w="140" w:type="dxa"/>
            <w:vAlign w:val="bottom"/>
          </w:tcPr>
          <w:p>
            <w:pPr>
              <w:spacing w:after="0"/>
              <w:rPr>
                <w:sz w:val="14"/>
                <w:szCs w:val="14"/>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940" w:type="dxa"/>
            <w:vAlign w:val="bottom"/>
            <w:gridSpan w:val="3"/>
          </w:tcPr>
          <w:p>
            <w:pPr>
              <w:jc w:val="right"/>
              <w:ind w:right="100"/>
              <w:spacing w:after="0"/>
              <w:rPr>
                <w:sz w:val="20"/>
                <w:szCs w:val="20"/>
                <w:color w:val="auto"/>
              </w:rPr>
            </w:pPr>
            <w:r>
              <w:rPr>
                <w:rFonts w:ascii="Arial" w:cs="Arial" w:eastAsia="Arial" w:hAnsi="Arial"/>
                <w:sz w:val="14"/>
                <w:szCs w:val="14"/>
                <w:color w:val="auto"/>
              </w:rPr>
              <w:t>-</w:t>
            </w:r>
          </w:p>
        </w:tc>
        <w:tc>
          <w:tcPr>
            <w:tcW w:w="740" w:type="dxa"/>
            <w:vAlign w:val="bottom"/>
            <w:gridSpan w:val="3"/>
          </w:tcPr>
          <w:p>
            <w:pPr>
              <w:jc w:val="right"/>
              <w:ind w:right="120"/>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4"/>
                <w:szCs w:val="14"/>
                <w:color w:val="auto"/>
                <w:w w:val="97"/>
              </w:rPr>
              <w:t>(1,820,483)</w:t>
            </w:r>
          </w:p>
        </w:tc>
        <w:tc>
          <w:tcPr>
            <w:tcW w:w="8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4"/>
        </w:trPr>
        <w:tc>
          <w:tcPr>
            <w:tcW w:w="1200" w:type="dxa"/>
            <w:vAlign w:val="bottom"/>
            <w:shd w:val="clear" w:color="auto" w:fill="CCEEFF"/>
          </w:tcPr>
          <w:p>
            <w:pPr>
              <w:spacing w:after="0" w:line="125" w:lineRule="exact"/>
              <w:rPr>
                <w:sz w:val="20"/>
                <w:szCs w:val="20"/>
                <w:color w:val="auto"/>
              </w:rPr>
            </w:pPr>
            <w:r>
              <w:rPr>
                <w:rFonts w:ascii="Arial" w:cs="Arial" w:eastAsia="Arial" w:hAnsi="Arial"/>
                <w:sz w:val="14"/>
                <w:szCs w:val="14"/>
                <w:color w:val="auto"/>
              </w:rPr>
              <w:t>Dividend</w:t>
            </w:r>
          </w:p>
        </w:tc>
        <w:tc>
          <w:tcPr>
            <w:tcW w:w="2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120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rPr>
              <w:t>distribution, Note</w:t>
            </w:r>
          </w:p>
        </w:tc>
        <w:tc>
          <w:tcPr>
            <w:tcW w:w="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1200" w:type="dxa"/>
            <w:vAlign w:val="bottom"/>
            <w:shd w:val="clear" w:color="auto" w:fill="CCEEFF"/>
          </w:tcPr>
          <w:p>
            <w:pPr>
              <w:spacing w:after="0"/>
              <w:rPr>
                <w:sz w:val="20"/>
                <w:szCs w:val="20"/>
                <w:color w:val="auto"/>
              </w:rPr>
            </w:pPr>
            <w:r>
              <w:rPr>
                <w:rFonts w:ascii="Arial" w:cs="Arial" w:eastAsia="Arial" w:hAnsi="Arial"/>
                <w:sz w:val="14"/>
                <w:szCs w:val="14"/>
                <w:color w:val="auto"/>
              </w:rPr>
              <w:t>17(e)</w:t>
            </w:r>
          </w:p>
        </w:tc>
        <w:tc>
          <w:tcPr>
            <w:tcW w:w="94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94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74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(539,985)</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(539,985)</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(539,985)</w:t>
            </w:r>
          </w:p>
        </w:tc>
        <w:tc>
          <w:tcPr>
            <w:tcW w:w="0" w:type="dxa"/>
            <w:vAlign w:val="bottom"/>
          </w:tcPr>
          <w:p>
            <w:pPr>
              <w:spacing w:after="0"/>
              <w:rPr>
                <w:sz w:val="1"/>
                <w:szCs w:val="1"/>
                <w:color w:val="auto"/>
              </w:rPr>
            </w:pPr>
          </w:p>
        </w:tc>
      </w:tr>
      <w:tr>
        <w:trPr>
          <w:trHeight w:val="124"/>
        </w:trPr>
        <w:tc>
          <w:tcPr>
            <w:tcW w:w="1200" w:type="dxa"/>
            <w:vAlign w:val="bottom"/>
          </w:tcPr>
          <w:p>
            <w:pPr>
              <w:spacing w:after="0" w:line="125" w:lineRule="exact"/>
              <w:rPr>
                <w:sz w:val="20"/>
                <w:szCs w:val="20"/>
                <w:color w:val="auto"/>
              </w:rPr>
            </w:pPr>
            <w:r>
              <w:rPr>
                <w:rFonts w:ascii="Arial" w:cs="Arial" w:eastAsia="Arial" w:hAnsi="Arial"/>
                <w:sz w:val="14"/>
                <w:szCs w:val="14"/>
                <w:color w:val="auto"/>
              </w:rPr>
              <w:t>Dividends of</w:t>
            </w:r>
          </w:p>
        </w:tc>
        <w:tc>
          <w:tcPr>
            <w:tcW w:w="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1"/>
        </w:trPr>
        <w:tc>
          <w:tcPr>
            <w:tcW w:w="1200" w:type="dxa"/>
            <w:vAlign w:val="bottom"/>
          </w:tcPr>
          <w:p>
            <w:pPr>
              <w:spacing w:after="0"/>
              <w:rPr>
                <w:sz w:val="20"/>
                <w:szCs w:val="20"/>
                <w:color w:val="auto"/>
              </w:rPr>
            </w:pPr>
            <w:r>
              <w:rPr>
                <w:rFonts w:ascii="Arial" w:cs="Arial" w:eastAsia="Arial" w:hAnsi="Arial"/>
                <w:sz w:val="14"/>
                <w:szCs w:val="14"/>
                <w:color w:val="auto"/>
              </w:rPr>
              <w:t>subsidiaries</w:t>
            </w:r>
          </w:p>
        </w:tc>
        <w:tc>
          <w:tcPr>
            <w:tcW w:w="940" w:type="dxa"/>
            <w:vAlign w:val="bottom"/>
            <w:gridSpan w:val="3"/>
          </w:tcPr>
          <w:p>
            <w:pPr>
              <w:jc w:val="right"/>
              <w:ind w:right="100"/>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940" w:type="dxa"/>
            <w:vAlign w:val="bottom"/>
            <w:gridSpan w:val="3"/>
          </w:tcPr>
          <w:p>
            <w:pPr>
              <w:jc w:val="right"/>
              <w:ind w:right="100"/>
              <w:spacing w:after="0"/>
              <w:rPr>
                <w:sz w:val="20"/>
                <w:szCs w:val="20"/>
                <w:color w:val="auto"/>
              </w:rPr>
            </w:pPr>
            <w:r>
              <w:rPr>
                <w:rFonts w:ascii="Arial" w:cs="Arial" w:eastAsia="Arial" w:hAnsi="Arial"/>
                <w:sz w:val="14"/>
                <w:szCs w:val="14"/>
                <w:color w:val="auto"/>
              </w:rPr>
              <w:t>-</w:t>
            </w:r>
          </w:p>
        </w:tc>
        <w:tc>
          <w:tcPr>
            <w:tcW w:w="740" w:type="dxa"/>
            <w:vAlign w:val="bottom"/>
            <w:gridSpan w:val="3"/>
          </w:tcPr>
          <w:p>
            <w:pPr>
              <w:jc w:val="right"/>
              <w:ind w:right="120"/>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80"/>
              <w:spacing w:after="0"/>
              <w:rPr>
                <w:sz w:val="20"/>
                <w:szCs w:val="20"/>
                <w:color w:val="auto"/>
              </w:rPr>
            </w:pPr>
            <w:r>
              <w:rPr>
                <w:rFonts w:ascii="Arial" w:cs="Arial" w:eastAsia="Arial" w:hAnsi="Arial"/>
                <w:sz w:val="14"/>
                <w:szCs w:val="14"/>
                <w:color w:val="auto"/>
              </w:rPr>
              <w:t>(11,173)</w:t>
            </w:r>
          </w:p>
        </w:tc>
        <w:tc>
          <w:tcPr>
            <w:tcW w:w="760" w:type="dxa"/>
            <w:vAlign w:val="bottom"/>
            <w:gridSpan w:val="2"/>
          </w:tcPr>
          <w:p>
            <w:pPr>
              <w:jc w:val="right"/>
              <w:ind w:right="20"/>
              <w:spacing w:after="0"/>
              <w:rPr>
                <w:sz w:val="20"/>
                <w:szCs w:val="20"/>
                <w:color w:val="auto"/>
              </w:rPr>
            </w:pPr>
            <w:r>
              <w:rPr>
                <w:rFonts w:ascii="Arial" w:cs="Arial" w:eastAsia="Arial" w:hAnsi="Arial"/>
                <w:sz w:val="14"/>
                <w:szCs w:val="14"/>
                <w:color w:val="auto"/>
              </w:rPr>
              <w:t>(11,173)</w:t>
            </w:r>
          </w:p>
        </w:tc>
        <w:tc>
          <w:tcPr>
            <w:tcW w:w="0" w:type="dxa"/>
            <w:vAlign w:val="bottom"/>
          </w:tcPr>
          <w:p>
            <w:pPr>
              <w:spacing w:after="0"/>
              <w:rPr>
                <w:sz w:val="1"/>
                <w:szCs w:val="1"/>
                <w:color w:val="auto"/>
              </w:rPr>
            </w:pPr>
          </w:p>
        </w:tc>
      </w:tr>
      <w:tr>
        <w:trPr>
          <w:trHeight w:val="124"/>
        </w:trPr>
        <w:tc>
          <w:tcPr>
            <w:tcW w:w="1200" w:type="dxa"/>
            <w:vAlign w:val="bottom"/>
            <w:shd w:val="clear" w:color="auto" w:fill="CCEEFF"/>
          </w:tcPr>
          <w:p>
            <w:pPr>
              <w:spacing w:after="0" w:line="125" w:lineRule="exact"/>
              <w:rPr>
                <w:sz w:val="20"/>
                <w:szCs w:val="20"/>
                <w:color w:val="auto"/>
              </w:rPr>
            </w:pPr>
            <w:r>
              <w:rPr>
                <w:rFonts w:ascii="Arial" w:cs="Arial" w:eastAsia="Arial" w:hAnsi="Arial"/>
                <w:sz w:val="14"/>
                <w:szCs w:val="14"/>
                <w:color w:val="auto"/>
                <w:w w:val="91"/>
              </w:rPr>
              <w:t>Purchase of treasury</w:t>
            </w:r>
          </w:p>
        </w:tc>
        <w:tc>
          <w:tcPr>
            <w:tcW w:w="2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1"/>
        </w:trPr>
        <w:tc>
          <w:tcPr>
            <w:tcW w:w="1200" w:type="dxa"/>
            <w:vAlign w:val="bottom"/>
            <w:shd w:val="clear" w:color="auto" w:fill="CCEEFF"/>
          </w:tcPr>
          <w:p>
            <w:pPr>
              <w:spacing w:after="0"/>
              <w:rPr>
                <w:sz w:val="20"/>
                <w:szCs w:val="20"/>
                <w:color w:val="auto"/>
              </w:rPr>
            </w:pPr>
            <w:r>
              <w:rPr>
                <w:rFonts w:ascii="Arial" w:cs="Arial" w:eastAsia="Arial" w:hAnsi="Arial"/>
                <w:sz w:val="14"/>
                <w:szCs w:val="14"/>
                <w:color w:val="auto"/>
              </w:rPr>
              <w:t>stock, Note 17(b)</w:t>
            </w:r>
          </w:p>
        </w:tc>
        <w:tc>
          <w:tcPr>
            <w:tcW w:w="94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(2,452)</w:t>
            </w: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(70,516)</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94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74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(72,968)</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(72,968)</w:t>
            </w:r>
          </w:p>
        </w:tc>
        <w:tc>
          <w:tcPr>
            <w:tcW w:w="0" w:type="dxa"/>
            <w:vAlign w:val="bottom"/>
          </w:tcPr>
          <w:p>
            <w:pPr>
              <w:spacing w:after="0"/>
              <w:rPr>
                <w:sz w:val="1"/>
                <w:szCs w:val="1"/>
                <w:color w:val="auto"/>
              </w:rPr>
            </w:pPr>
          </w:p>
        </w:tc>
      </w:tr>
      <w:tr>
        <w:trPr>
          <w:trHeight w:val="124"/>
        </w:trPr>
        <w:tc>
          <w:tcPr>
            <w:tcW w:w="1200" w:type="dxa"/>
            <w:vAlign w:val="bottom"/>
          </w:tcPr>
          <w:p>
            <w:pPr>
              <w:spacing w:after="0" w:line="125" w:lineRule="exact"/>
              <w:rPr>
                <w:sz w:val="20"/>
                <w:szCs w:val="20"/>
                <w:color w:val="auto"/>
              </w:rPr>
            </w:pPr>
            <w:r>
              <w:rPr>
                <w:rFonts w:ascii="Arial" w:cs="Arial" w:eastAsia="Arial" w:hAnsi="Arial"/>
                <w:sz w:val="14"/>
                <w:szCs w:val="14"/>
                <w:color w:val="auto"/>
              </w:rPr>
              <w:t>Share-based</w:t>
            </w:r>
          </w:p>
        </w:tc>
        <w:tc>
          <w:tcPr>
            <w:tcW w:w="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1200" w:type="dxa"/>
            <w:vAlign w:val="bottom"/>
          </w:tcPr>
          <w:p>
            <w:pPr>
              <w:spacing w:after="0" w:line="143" w:lineRule="exact"/>
              <w:rPr>
                <w:sz w:val="20"/>
                <w:szCs w:val="20"/>
                <w:color w:val="auto"/>
              </w:rPr>
            </w:pPr>
            <w:r>
              <w:rPr>
                <w:rFonts w:ascii="Arial" w:cs="Arial" w:eastAsia="Arial" w:hAnsi="Arial"/>
                <w:sz w:val="14"/>
                <w:szCs w:val="14"/>
                <w:color w:val="auto"/>
              </w:rPr>
              <w:t>payment</w:t>
            </w:r>
          </w:p>
        </w:tc>
        <w:tc>
          <w:tcPr>
            <w:tcW w:w="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1200" w:type="dxa"/>
            <w:vAlign w:val="bottom"/>
          </w:tcPr>
          <w:p>
            <w:pPr>
              <w:spacing w:after="0"/>
              <w:rPr>
                <w:sz w:val="20"/>
                <w:szCs w:val="20"/>
                <w:color w:val="auto"/>
              </w:rPr>
            </w:pPr>
            <w:r>
              <w:rPr>
                <w:rFonts w:ascii="Arial" w:cs="Arial" w:eastAsia="Arial" w:hAnsi="Arial"/>
                <w:sz w:val="14"/>
                <w:szCs w:val="14"/>
                <w:color w:val="auto"/>
              </w:rPr>
              <w:t>transactions</w:t>
            </w:r>
          </w:p>
        </w:tc>
        <w:tc>
          <w:tcPr>
            <w:tcW w:w="940" w:type="dxa"/>
            <w:vAlign w:val="bottom"/>
            <w:gridSpan w:val="3"/>
          </w:tcPr>
          <w:p>
            <w:pPr>
              <w:jc w:val="right"/>
              <w:ind w:right="100"/>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120"/>
              <w:spacing w:after="0"/>
              <w:rPr>
                <w:sz w:val="20"/>
                <w:szCs w:val="20"/>
                <w:color w:val="auto"/>
              </w:rPr>
            </w:pPr>
            <w:r>
              <w:rPr>
                <w:rFonts w:ascii="Arial" w:cs="Arial" w:eastAsia="Arial" w:hAnsi="Arial"/>
                <w:sz w:val="14"/>
                <w:szCs w:val="14"/>
                <w:color w:val="auto"/>
              </w:rPr>
              <w:t>1,658</w:t>
            </w:r>
          </w:p>
        </w:tc>
        <w:tc>
          <w:tcPr>
            <w:tcW w:w="640" w:type="dxa"/>
            <w:vAlign w:val="bottom"/>
            <w:gridSpan w:val="2"/>
          </w:tcPr>
          <w:p>
            <w:pPr>
              <w:jc w:val="right"/>
              <w:ind w:right="140"/>
              <w:spacing w:after="0"/>
              <w:rPr>
                <w:sz w:val="20"/>
                <w:szCs w:val="20"/>
                <w:color w:val="auto"/>
              </w:rPr>
            </w:pPr>
            <w:r>
              <w:rPr>
                <w:rFonts w:ascii="Arial" w:cs="Arial" w:eastAsia="Arial" w:hAnsi="Arial"/>
                <w:sz w:val="14"/>
                <w:szCs w:val="14"/>
                <w:color w:val="auto"/>
              </w:rPr>
              <w:t>51,746</w:t>
            </w:r>
          </w:p>
        </w:tc>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rPr>
              <w:t>9,481</w:t>
            </w:r>
          </w:p>
        </w:tc>
        <w:tc>
          <w:tcPr>
            <w:tcW w:w="7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940" w:type="dxa"/>
            <w:vAlign w:val="bottom"/>
            <w:gridSpan w:val="3"/>
          </w:tcPr>
          <w:p>
            <w:pPr>
              <w:jc w:val="right"/>
              <w:ind w:right="100"/>
              <w:spacing w:after="0"/>
              <w:rPr>
                <w:sz w:val="20"/>
                <w:szCs w:val="20"/>
                <w:color w:val="auto"/>
              </w:rPr>
            </w:pPr>
            <w:r>
              <w:rPr>
                <w:rFonts w:ascii="Arial" w:cs="Arial" w:eastAsia="Arial" w:hAnsi="Arial"/>
                <w:sz w:val="14"/>
                <w:szCs w:val="14"/>
                <w:color w:val="auto"/>
              </w:rPr>
              <w:t>-</w:t>
            </w:r>
          </w:p>
        </w:tc>
        <w:tc>
          <w:tcPr>
            <w:tcW w:w="740" w:type="dxa"/>
            <w:vAlign w:val="bottom"/>
            <w:gridSpan w:val="3"/>
          </w:tcPr>
          <w:p>
            <w:pPr>
              <w:jc w:val="right"/>
              <w:ind w:right="120"/>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20"/>
              <w:spacing w:after="0"/>
              <w:rPr>
                <w:sz w:val="20"/>
                <w:szCs w:val="20"/>
                <w:color w:val="auto"/>
              </w:rPr>
            </w:pPr>
            <w:r>
              <w:rPr>
                <w:rFonts w:ascii="Arial" w:cs="Arial" w:eastAsia="Arial" w:hAnsi="Arial"/>
                <w:sz w:val="14"/>
                <w:szCs w:val="14"/>
                <w:color w:val="auto"/>
              </w:rPr>
              <w:t>62,885</w:t>
            </w: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62,885</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200" w:type="dxa"/>
            <w:vAlign w:val="bottom"/>
            <w:shd w:val="clear" w:color="auto" w:fill="CCEEFF"/>
          </w:tcPr>
          <w:p>
            <w:pPr>
              <w:spacing w:after="0" w:line="156" w:lineRule="exact"/>
              <w:rPr>
                <w:sz w:val="20"/>
                <w:szCs w:val="20"/>
                <w:color w:val="auto"/>
              </w:rPr>
            </w:pPr>
            <w:r>
              <w:rPr>
                <w:rFonts w:ascii="Arial" w:cs="Arial" w:eastAsia="Arial" w:hAnsi="Arial"/>
                <w:sz w:val="14"/>
                <w:szCs w:val="14"/>
                <w:color w:val="auto"/>
              </w:rPr>
              <w:t>Others</w:t>
            </w:r>
          </w:p>
        </w:tc>
        <w:tc>
          <w:tcPr>
            <w:tcW w:w="940" w:type="dxa"/>
            <w:vAlign w:val="bottom"/>
            <w:gridSpan w:val="3"/>
            <w:shd w:val="clear" w:color="auto" w:fill="CCEEFF"/>
          </w:tcPr>
          <w:p>
            <w:pPr>
              <w:jc w:val="right"/>
              <w:ind w:right="100"/>
              <w:spacing w:after="0" w:line="156"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60"/>
              <w:spacing w:after="0" w:line="156" w:lineRule="exact"/>
              <w:rPr>
                <w:sz w:val="20"/>
                <w:szCs w:val="20"/>
                <w:color w:val="auto"/>
              </w:rPr>
            </w:pPr>
            <w:r>
              <w:rPr>
                <w:rFonts w:ascii="Arial" w:cs="Arial" w:eastAsia="Arial" w:hAnsi="Arial"/>
                <w:sz w:val="14"/>
                <w:szCs w:val="14"/>
                <w:color w:val="auto"/>
              </w:rPr>
              <w:t>(1)</w:t>
            </w:r>
          </w:p>
        </w:tc>
        <w:tc>
          <w:tcPr>
            <w:tcW w:w="680" w:type="dxa"/>
            <w:vAlign w:val="bottom"/>
            <w:gridSpan w:val="2"/>
            <w:shd w:val="clear" w:color="auto" w:fill="CCEEFF"/>
          </w:tcPr>
          <w:p>
            <w:pPr>
              <w:jc w:val="right"/>
              <w:ind w:right="120"/>
              <w:spacing w:after="0" w:line="156"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140"/>
              <w:spacing w:after="0" w:line="156"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100"/>
              <w:spacing w:after="0" w:line="156" w:lineRule="exact"/>
              <w:rPr>
                <w:sz w:val="20"/>
                <w:szCs w:val="20"/>
                <w:color w:val="auto"/>
              </w:rPr>
            </w:pPr>
            <w:r>
              <w:rPr>
                <w:rFonts w:ascii="Arial" w:cs="Arial" w:eastAsia="Arial" w:hAnsi="Arial"/>
                <w:sz w:val="14"/>
                <w:szCs w:val="14"/>
                <w:color w:val="auto"/>
              </w:rPr>
              <w:t>(77,833)</w:t>
            </w:r>
          </w:p>
        </w:tc>
        <w:tc>
          <w:tcPr>
            <w:tcW w:w="760" w:type="dxa"/>
            <w:vAlign w:val="bottom"/>
            <w:gridSpan w:val="2"/>
            <w:shd w:val="clear" w:color="auto" w:fill="CCEEFF"/>
          </w:tcPr>
          <w:p>
            <w:pPr>
              <w:jc w:val="right"/>
              <w:ind w:right="100"/>
              <w:spacing w:after="0" w:line="156" w:lineRule="exact"/>
              <w:rPr>
                <w:sz w:val="20"/>
                <w:szCs w:val="20"/>
                <w:color w:val="auto"/>
              </w:rPr>
            </w:pPr>
            <w:r>
              <w:rPr>
                <w:rFonts w:ascii="Arial" w:cs="Arial" w:eastAsia="Arial" w:hAnsi="Arial"/>
                <w:sz w:val="14"/>
                <w:szCs w:val="14"/>
                <w:color w:val="auto"/>
              </w:rPr>
              <w:t>-</w:t>
            </w:r>
          </w:p>
        </w:tc>
        <w:tc>
          <w:tcPr>
            <w:tcW w:w="940" w:type="dxa"/>
            <w:vAlign w:val="bottom"/>
            <w:gridSpan w:val="3"/>
            <w:shd w:val="clear" w:color="auto" w:fill="CCEEFF"/>
          </w:tcPr>
          <w:p>
            <w:pPr>
              <w:jc w:val="right"/>
              <w:ind w:right="100"/>
              <w:spacing w:after="0" w:line="156" w:lineRule="exact"/>
              <w:rPr>
                <w:sz w:val="20"/>
                <w:szCs w:val="20"/>
                <w:color w:val="auto"/>
              </w:rPr>
            </w:pPr>
            <w:r>
              <w:rPr>
                <w:rFonts w:ascii="Arial" w:cs="Arial" w:eastAsia="Arial" w:hAnsi="Arial"/>
                <w:sz w:val="14"/>
                <w:szCs w:val="14"/>
                <w:color w:val="auto"/>
              </w:rPr>
              <w:t>-</w:t>
            </w:r>
          </w:p>
        </w:tc>
        <w:tc>
          <w:tcPr>
            <w:tcW w:w="740" w:type="dxa"/>
            <w:vAlign w:val="bottom"/>
            <w:gridSpan w:val="3"/>
            <w:shd w:val="clear" w:color="auto" w:fill="CCEEFF"/>
          </w:tcPr>
          <w:p>
            <w:pPr>
              <w:jc w:val="right"/>
              <w:ind w:right="120"/>
              <w:spacing w:after="0" w:line="156"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56"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80"/>
              <w:spacing w:after="0" w:line="156" w:lineRule="exact"/>
              <w:rPr>
                <w:sz w:val="20"/>
                <w:szCs w:val="20"/>
                <w:color w:val="auto"/>
              </w:rPr>
            </w:pPr>
            <w:r>
              <w:rPr>
                <w:rFonts w:ascii="Arial" w:cs="Arial" w:eastAsia="Arial" w:hAnsi="Arial"/>
                <w:sz w:val="14"/>
                <w:szCs w:val="14"/>
                <w:color w:val="auto"/>
              </w:rPr>
              <w:t>(55,149)</w:t>
            </w:r>
          </w:p>
        </w:tc>
        <w:tc>
          <w:tcPr>
            <w:tcW w:w="820" w:type="dxa"/>
            <w:vAlign w:val="bottom"/>
            <w:gridSpan w:val="2"/>
            <w:shd w:val="clear" w:color="auto" w:fill="CCEEFF"/>
          </w:tcPr>
          <w:p>
            <w:pPr>
              <w:jc w:val="right"/>
              <w:ind w:right="80"/>
              <w:spacing w:after="0" w:line="156" w:lineRule="exact"/>
              <w:rPr>
                <w:sz w:val="20"/>
                <w:szCs w:val="20"/>
                <w:color w:val="auto"/>
              </w:rPr>
            </w:pPr>
            <w:r>
              <w:rPr>
                <w:rFonts w:ascii="Arial" w:cs="Arial" w:eastAsia="Arial" w:hAnsi="Arial"/>
                <w:sz w:val="14"/>
                <w:szCs w:val="14"/>
                <w:color w:val="auto"/>
              </w:rPr>
              <w:t>(132,983)</w:t>
            </w:r>
          </w:p>
        </w:tc>
        <w:tc>
          <w:tcPr>
            <w:tcW w:w="800" w:type="dxa"/>
            <w:vAlign w:val="bottom"/>
            <w:gridSpan w:val="2"/>
            <w:shd w:val="clear" w:color="auto" w:fill="CCEEFF"/>
          </w:tcPr>
          <w:p>
            <w:pPr>
              <w:jc w:val="right"/>
              <w:ind w:right="80"/>
              <w:spacing w:after="0" w:line="156" w:lineRule="exact"/>
              <w:rPr>
                <w:sz w:val="20"/>
                <w:szCs w:val="20"/>
                <w:color w:val="auto"/>
              </w:rPr>
            </w:pPr>
            <w:r>
              <w:rPr>
                <w:rFonts w:ascii="Arial" w:cs="Arial" w:eastAsia="Arial" w:hAnsi="Arial"/>
                <w:sz w:val="14"/>
                <w:szCs w:val="14"/>
                <w:color w:val="auto"/>
              </w:rPr>
              <w:t>(60,396)</w:t>
            </w:r>
          </w:p>
        </w:tc>
        <w:tc>
          <w:tcPr>
            <w:tcW w:w="760" w:type="dxa"/>
            <w:vAlign w:val="bottom"/>
            <w:gridSpan w:val="2"/>
            <w:shd w:val="clear" w:color="auto" w:fill="CCEEFF"/>
          </w:tcPr>
          <w:p>
            <w:pPr>
              <w:jc w:val="right"/>
              <w:ind w:right="20"/>
              <w:spacing w:after="0" w:line="156" w:lineRule="exact"/>
              <w:rPr>
                <w:sz w:val="20"/>
                <w:szCs w:val="20"/>
                <w:color w:val="auto"/>
              </w:rPr>
            </w:pPr>
            <w:r>
              <w:rPr>
                <w:rFonts w:ascii="Arial" w:cs="Arial" w:eastAsia="Arial" w:hAnsi="Arial"/>
                <w:sz w:val="14"/>
                <w:szCs w:val="14"/>
                <w:color w:val="auto"/>
              </w:rPr>
              <w:t>(193,379)</w:t>
            </w:r>
          </w:p>
        </w:tc>
        <w:tc>
          <w:tcPr>
            <w:tcW w:w="0" w:type="dxa"/>
            <w:vAlign w:val="bottom"/>
          </w:tcPr>
          <w:p>
            <w:pPr>
              <w:spacing w:after="0"/>
              <w:rPr>
                <w:sz w:val="1"/>
                <w:szCs w:val="1"/>
                <w:color w:val="auto"/>
              </w:rPr>
            </w:pPr>
          </w:p>
        </w:tc>
      </w:tr>
      <w:tr>
        <w:trPr>
          <w:trHeight w:val="100"/>
        </w:trPr>
        <w:tc>
          <w:tcPr>
            <w:tcW w:w="1200" w:type="dxa"/>
            <w:vAlign w:val="bottom"/>
          </w:tcPr>
          <w:p>
            <w:pPr>
              <w:spacing w:after="0" w:line="101" w:lineRule="exact"/>
              <w:rPr>
                <w:sz w:val="20"/>
                <w:szCs w:val="20"/>
                <w:color w:val="auto"/>
              </w:rPr>
            </w:pPr>
            <w:r>
              <w:rPr>
                <w:rFonts w:ascii="Arial" w:cs="Arial" w:eastAsia="Arial" w:hAnsi="Arial"/>
                <w:sz w:val="10"/>
                <w:szCs w:val="10"/>
                <w:b w:val="1"/>
                <w:bCs w:val="1"/>
                <w:color w:val="auto"/>
              </w:rPr>
              <w:t>Balances at</w:t>
            </w:r>
          </w:p>
        </w:tc>
        <w:tc>
          <w:tcPr>
            <w:tcW w:w="20" w:type="dxa"/>
            <w:vAlign w:val="bottom"/>
          </w:tcPr>
          <w:p>
            <w:pPr>
              <w:spacing w:after="0"/>
              <w:rPr>
                <w:sz w:val="8"/>
                <w:szCs w:val="8"/>
                <w:color w:val="auto"/>
              </w:rPr>
            </w:pPr>
          </w:p>
        </w:tc>
        <w:tc>
          <w:tcPr>
            <w:tcW w:w="82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Borders>
              <w:top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Borders>
              <w:top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80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58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Borders>
              <w:top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8"/>
        </w:trPr>
        <w:tc>
          <w:tcPr>
            <w:tcW w:w="1200" w:type="dxa"/>
            <w:vAlign w:val="bottom"/>
          </w:tcPr>
          <w:p>
            <w:pPr>
              <w:spacing w:after="0"/>
              <w:rPr>
                <w:sz w:val="20"/>
                <w:szCs w:val="20"/>
                <w:color w:val="auto"/>
              </w:rPr>
            </w:pPr>
            <w:r>
              <w:rPr>
                <w:rFonts w:ascii="Arial" w:cs="Arial" w:eastAsia="Arial" w:hAnsi="Arial"/>
                <w:sz w:val="14"/>
                <w:szCs w:val="14"/>
                <w:b w:val="1"/>
                <w:bCs w:val="1"/>
                <w:color w:val="auto"/>
                <w:w w:val="93"/>
              </w:rPr>
              <w:t>December 31, 2015</w:t>
            </w:r>
          </w:p>
        </w:tc>
        <w:tc>
          <w:tcPr>
            <w:tcW w:w="940" w:type="dxa"/>
            <w:vAlign w:val="bottom"/>
            <w:gridSpan w:val="3"/>
          </w:tcPr>
          <w:p>
            <w:pPr>
              <w:jc w:val="right"/>
              <w:ind w:right="100"/>
              <w:spacing w:after="0"/>
              <w:rPr>
                <w:sz w:val="20"/>
                <w:szCs w:val="20"/>
                <w:color w:val="auto"/>
              </w:rPr>
            </w:pPr>
            <w:r>
              <w:rPr>
                <w:rFonts w:ascii="Arial" w:cs="Arial" w:eastAsia="Arial" w:hAnsi="Arial"/>
                <w:sz w:val="14"/>
                <w:szCs w:val="14"/>
                <w:color w:val="auto"/>
              </w:rPr>
              <w:t>94,382</w:t>
            </w:r>
          </w:p>
        </w:tc>
        <w:tc>
          <w:tcPr>
            <w:tcW w:w="720" w:type="dxa"/>
            <w:vAlign w:val="bottom"/>
            <w:gridSpan w:val="2"/>
          </w:tcPr>
          <w:p>
            <w:pPr>
              <w:jc w:val="right"/>
              <w:ind w:right="120"/>
              <w:spacing w:after="0"/>
              <w:rPr>
                <w:sz w:val="20"/>
                <w:szCs w:val="20"/>
                <w:color w:val="auto"/>
              </w:rPr>
            </w:pPr>
            <w:r>
              <w:rPr>
                <w:rFonts w:ascii="Arial" w:cs="Arial" w:eastAsia="Arial" w:hAnsi="Arial"/>
                <w:sz w:val="14"/>
                <w:szCs w:val="14"/>
                <w:color w:val="auto"/>
                <w:w w:val="93"/>
              </w:rPr>
              <w:t>1,318,993</w:t>
            </w:r>
          </w:p>
        </w:tc>
        <w:tc>
          <w:tcPr>
            <w:tcW w:w="680" w:type="dxa"/>
            <w:vAlign w:val="bottom"/>
            <w:gridSpan w:val="2"/>
          </w:tcPr>
          <w:p>
            <w:pPr>
              <w:jc w:val="right"/>
              <w:ind w:right="80"/>
              <w:spacing w:after="0"/>
              <w:rPr>
                <w:sz w:val="20"/>
                <w:szCs w:val="20"/>
                <w:color w:val="auto"/>
              </w:rPr>
            </w:pPr>
            <w:r>
              <w:rPr>
                <w:rFonts w:ascii="Arial" w:cs="Arial" w:eastAsia="Arial" w:hAnsi="Arial"/>
                <w:sz w:val="14"/>
                <w:szCs w:val="14"/>
                <w:color w:val="auto"/>
                <w:w w:val="96"/>
              </w:rPr>
              <w:t>(208,978)</w:t>
            </w:r>
          </w:p>
        </w:tc>
        <w:tc>
          <w:tcPr>
            <w:tcW w:w="640" w:type="dxa"/>
            <w:vAlign w:val="bottom"/>
            <w:gridSpan w:val="2"/>
          </w:tcPr>
          <w:p>
            <w:pPr>
              <w:jc w:val="right"/>
              <w:ind w:right="140"/>
              <w:spacing w:after="0"/>
              <w:rPr>
                <w:sz w:val="20"/>
                <w:szCs w:val="20"/>
                <w:color w:val="auto"/>
              </w:rPr>
            </w:pPr>
            <w:r>
              <w:rPr>
                <w:rFonts w:ascii="Arial" w:cs="Arial" w:eastAsia="Arial" w:hAnsi="Arial"/>
                <w:sz w:val="14"/>
                <w:szCs w:val="14"/>
                <w:color w:val="auto"/>
                <w:w w:val="94"/>
              </w:rPr>
              <w:t>284,171</w:t>
            </w:r>
          </w:p>
        </w:tc>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w w:val="94"/>
              </w:rPr>
              <w:t>11,222,031</w:t>
            </w:r>
          </w:p>
        </w:tc>
        <w:tc>
          <w:tcPr>
            <w:tcW w:w="760" w:type="dxa"/>
            <w:vAlign w:val="bottom"/>
            <w:gridSpan w:val="2"/>
          </w:tcPr>
          <w:p>
            <w:pPr>
              <w:jc w:val="right"/>
              <w:ind w:right="40"/>
              <w:spacing w:after="0"/>
              <w:rPr>
                <w:sz w:val="20"/>
                <w:szCs w:val="20"/>
                <w:color w:val="auto"/>
              </w:rPr>
            </w:pPr>
            <w:r>
              <w:rPr>
                <w:rFonts w:ascii="Arial" w:cs="Arial" w:eastAsia="Arial" w:hAnsi="Arial"/>
                <w:sz w:val="14"/>
                <w:szCs w:val="14"/>
                <w:color w:val="auto"/>
              </w:rPr>
              <w:t>(340,353)</w:t>
            </w:r>
          </w:p>
        </w:tc>
        <w:tc>
          <w:tcPr>
            <w:tcW w:w="940" w:type="dxa"/>
            <w:vAlign w:val="bottom"/>
            <w:gridSpan w:val="3"/>
          </w:tcPr>
          <w:p>
            <w:pPr>
              <w:jc w:val="right"/>
              <w:ind w:right="100"/>
              <w:spacing w:after="0"/>
              <w:rPr>
                <w:sz w:val="20"/>
                <w:szCs w:val="20"/>
                <w:color w:val="auto"/>
              </w:rPr>
            </w:pPr>
            <w:r>
              <w:rPr>
                <w:rFonts w:ascii="Arial" w:cs="Arial" w:eastAsia="Arial" w:hAnsi="Arial"/>
                <w:sz w:val="14"/>
                <w:szCs w:val="14"/>
                <w:color w:val="auto"/>
              </w:rPr>
              <w:t>652,904</w:t>
            </w:r>
          </w:p>
        </w:tc>
        <w:tc>
          <w:tcPr>
            <w:tcW w:w="740" w:type="dxa"/>
            <w:vAlign w:val="bottom"/>
            <w:gridSpan w:val="3"/>
          </w:tcPr>
          <w:p>
            <w:pPr>
              <w:jc w:val="right"/>
              <w:ind w:right="120"/>
              <w:spacing w:after="0"/>
              <w:rPr>
                <w:sz w:val="20"/>
                <w:szCs w:val="20"/>
                <w:color w:val="auto"/>
              </w:rPr>
            </w:pPr>
            <w:r>
              <w:rPr>
                <w:rFonts w:ascii="Arial" w:cs="Arial" w:eastAsia="Arial" w:hAnsi="Arial"/>
                <w:sz w:val="14"/>
                <w:szCs w:val="14"/>
                <w:color w:val="auto"/>
              </w:rPr>
              <w:t>45,050</w:t>
            </w:r>
          </w:p>
        </w:tc>
        <w:tc>
          <w:tcPr>
            <w:tcW w:w="800" w:type="dxa"/>
            <w:vAlign w:val="bottom"/>
            <w:gridSpan w:val="2"/>
          </w:tcPr>
          <w:p>
            <w:pPr>
              <w:jc w:val="right"/>
              <w:ind w:right="120"/>
              <w:spacing w:after="0"/>
              <w:rPr>
                <w:sz w:val="20"/>
                <w:szCs w:val="20"/>
                <w:color w:val="auto"/>
              </w:rPr>
            </w:pPr>
            <w:r>
              <w:rPr>
                <w:rFonts w:ascii="Arial" w:cs="Arial" w:eastAsia="Arial" w:hAnsi="Arial"/>
                <w:sz w:val="14"/>
                <w:szCs w:val="14"/>
                <w:color w:val="auto"/>
              </w:rPr>
              <w:t>64,741</w:t>
            </w:r>
          </w:p>
        </w:tc>
        <w:tc>
          <w:tcPr>
            <w:tcW w:w="800" w:type="dxa"/>
            <w:vAlign w:val="bottom"/>
            <w:gridSpan w:val="2"/>
          </w:tcPr>
          <w:p>
            <w:pPr>
              <w:jc w:val="right"/>
              <w:ind w:right="120"/>
              <w:spacing w:after="0"/>
              <w:rPr>
                <w:sz w:val="20"/>
                <w:szCs w:val="20"/>
                <w:color w:val="auto"/>
              </w:rPr>
            </w:pPr>
            <w:r>
              <w:rPr>
                <w:rFonts w:ascii="Arial" w:cs="Arial" w:eastAsia="Arial" w:hAnsi="Arial"/>
                <w:sz w:val="14"/>
                <w:szCs w:val="14"/>
                <w:color w:val="auto"/>
              </w:rPr>
              <w:t>3,089,457</w:t>
            </w:r>
          </w:p>
        </w:tc>
        <w:tc>
          <w:tcPr>
            <w:tcW w:w="820" w:type="dxa"/>
            <w:vAlign w:val="bottom"/>
            <w:gridSpan w:val="2"/>
          </w:tcPr>
          <w:p>
            <w:pPr>
              <w:jc w:val="right"/>
              <w:ind w:right="120"/>
              <w:spacing w:after="0"/>
              <w:rPr>
                <w:sz w:val="20"/>
                <w:szCs w:val="20"/>
                <w:color w:val="auto"/>
              </w:rPr>
            </w:pPr>
            <w:r>
              <w:rPr>
                <w:rFonts w:ascii="Arial" w:cs="Arial" w:eastAsia="Arial" w:hAnsi="Arial"/>
                <w:sz w:val="14"/>
                <w:szCs w:val="14"/>
                <w:color w:val="auto"/>
                <w:w w:val="96"/>
              </w:rPr>
              <w:t>16,128,016</w:t>
            </w: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rPr>
              <w:t>599,554</w:t>
            </w:r>
          </w:p>
        </w:tc>
        <w:tc>
          <w:tcPr>
            <w:tcW w:w="680" w:type="dxa"/>
            <w:vAlign w:val="bottom"/>
          </w:tcPr>
          <w:p>
            <w:pPr>
              <w:jc w:val="right"/>
              <w:spacing w:after="0"/>
              <w:rPr>
                <w:sz w:val="20"/>
                <w:szCs w:val="20"/>
                <w:color w:val="auto"/>
              </w:rPr>
            </w:pPr>
            <w:r>
              <w:rPr>
                <w:rFonts w:ascii="Arial" w:cs="Arial" w:eastAsia="Arial" w:hAnsi="Arial"/>
                <w:sz w:val="14"/>
                <w:szCs w:val="14"/>
                <w:color w:val="auto"/>
                <w:w w:val="94"/>
              </w:rPr>
              <w:t>16,727,570</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6"/>
        </w:trPr>
        <w:tc>
          <w:tcPr>
            <w:tcW w:w="120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82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80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4"/>
        </w:trPr>
        <w:tc>
          <w:tcPr>
            <w:tcW w:w="1200" w:type="dxa"/>
            <w:vAlign w:val="bottom"/>
          </w:tcPr>
          <w:p>
            <w:pPr>
              <w:spacing w:after="0" w:line="125" w:lineRule="exact"/>
              <w:rPr>
                <w:sz w:val="20"/>
                <w:szCs w:val="20"/>
                <w:color w:val="auto"/>
              </w:rPr>
            </w:pPr>
            <w:r>
              <w:rPr>
                <w:rFonts w:ascii="Arial" w:cs="Arial" w:eastAsia="Arial" w:hAnsi="Arial"/>
                <w:sz w:val="14"/>
                <w:szCs w:val="14"/>
                <w:color w:val="auto"/>
                <w:w w:val="92"/>
              </w:rPr>
              <w:t>Changes in equity in</w:t>
            </w:r>
          </w:p>
        </w:tc>
        <w:tc>
          <w:tcPr>
            <w:tcW w:w="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1"/>
        </w:trPr>
        <w:tc>
          <w:tcPr>
            <w:tcW w:w="1200" w:type="dxa"/>
            <w:vAlign w:val="bottom"/>
          </w:tcPr>
          <w:p>
            <w:pPr>
              <w:spacing w:after="0"/>
              <w:rPr>
                <w:sz w:val="20"/>
                <w:szCs w:val="20"/>
                <w:color w:val="auto"/>
              </w:rPr>
            </w:pPr>
            <w:r>
              <w:rPr>
                <w:rFonts w:ascii="Arial" w:cs="Arial" w:eastAsia="Arial" w:hAnsi="Arial"/>
                <w:sz w:val="14"/>
                <w:szCs w:val="14"/>
                <w:color w:val="auto"/>
              </w:rPr>
              <w:t>2016 -</w:t>
            </w:r>
          </w:p>
        </w:tc>
        <w:tc>
          <w:tcPr>
            <w:tcW w:w="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4"/>
        </w:trPr>
        <w:tc>
          <w:tcPr>
            <w:tcW w:w="1200" w:type="dxa"/>
            <w:vAlign w:val="bottom"/>
            <w:shd w:val="clear" w:color="auto" w:fill="CCEEFF"/>
          </w:tcPr>
          <w:p>
            <w:pPr>
              <w:spacing w:after="0" w:line="125" w:lineRule="exact"/>
              <w:rPr>
                <w:sz w:val="20"/>
                <w:szCs w:val="20"/>
                <w:color w:val="auto"/>
              </w:rPr>
            </w:pPr>
            <w:r>
              <w:rPr>
                <w:rFonts w:ascii="Arial" w:cs="Arial" w:eastAsia="Arial" w:hAnsi="Arial"/>
                <w:sz w:val="14"/>
                <w:szCs w:val="14"/>
                <w:color w:val="auto"/>
              </w:rPr>
              <w:t>Net profit for the</w:t>
            </w:r>
          </w:p>
        </w:tc>
        <w:tc>
          <w:tcPr>
            <w:tcW w:w="2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1"/>
        </w:trPr>
        <w:tc>
          <w:tcPr>
            <w:tcW w:w="1200" w:type="dxa"/>
            <w:vAlign w:val="bottom"/>
            <w:shd w:val="clear" w:color="auto" w:fill="CCEEFF"/>
          </w:tcPr>
          <w:p>
            <w:pPr>
              <w:spacing w:after="0"/>
              <w:rPr>
                <w:sz w:val="20"/>
                <w:szCs w:val="20"/>
                <w:color w:val="auto"/>
              </w:rPr>
            </w:pPr>
            <w:r>
              <w:rPr>
                <w:rFonts w:ascii="Arial" w:cs="Arial" w:eastAsia="Arial" w:hAnsi="Arial"/>
                <w:sz w:val="14"/>
                <w:szCs w:val="14"/>
                <w:color w:val="auto"/>
              </w:rPr>
              <w:t>year</w:t>
            </w:r>
          </w:p>
        </w:tc>
        <w:tc>
          <w:tcPr>
            <w:tcW w:w="94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94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74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3,514,582</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3,514,582</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95,398</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3,609,980</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4"/>
        </w:trPr>
        <w:tc>
          <w:tcPr>
            <w:tcW w:w="1200" w:type="dxa"/>
            <w:vAlign w:val="bottom"/>
          </w:tcPr>
          <w:p>
            <w:pPr>
              <w:spacing w:after="0" w:line="125" w:lineRule="exact"/>
              <w:rPr>
                <w:sz w:val="20"/>
                <w:szCs w:val="20"/>
                <w:color w:val="auto"/>
              </w:rPr>
            </w:pPr>
            <w:r>
              <w:rPr>
                <w:rFonts w:ascii="Arial" w:cs="Arial" w:eastAsia="Arial" w:hAnsi="Arial"/>
                <w:sz w:val="14"/>
                <w:szCs w:val="14"/>
                <w:color w:val="auto"/>
              </w:rPr>
              <w:t>Other</w:t>
            </w:r>
          </w:p>
        </w:tc>
        <w:tc>
          <w:tcPr>
            <w:tcW w:w="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1200" w:type="dxa"/>
            <w:vAlign w:val="bottom"/>
          </w:tcPr>
          <w:p>
            <w:pPr>
              <w:spacing w:after="0" w:line="143" w:lineRule="exact"/>
              <w:rPr>
                <w:sz w:val="20"/>
                <w:szCs w:val="20"/>
                <w:color w:val="auto"/>
              </w:rPr>
            </w:pPr>
            <w:r>
              <w:rPr>
                <w:rFonts w:ascii="Arial" w:cs="Arial" w:eastAsia="Arial" w:hAnsi="Arial"/>
                <w:sz w:val="14"/>
                <w:szCs w:val="14"/>
                <w:color w:val="auto"/>
              </w:rPr>
              <w:t>comprehensive</w:t>
            </w:r>
          </w:p>
        </w:tc>
        <w:tc>
          <w:tcPr>
            <w:tcW w:w="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1200" w:type="dxa"/>
            <w:vAlign w:val="bottom"/>
          </w:tcPr>
          <w:p>
            <w:pPr>
              <w:spacing w:after="0"/>
              <w:rPr>
                <w:sz w:val="20"/>
                <w:szCs w:val="20"/>
                <w:color w:val="auto"/>
              </w:rPr>
            </w:pPr>
            <w:r>
              <w:rPr>
                <w:rFonts w:ascii="Arial" w:cs="Arial" w:eastAsia="Arial" w:hAnsi="Arial"/>
                <w:sz w:val="14"/>
                <w:szCs w:val="14"/>
                <w:color w:val="auto"/>
              </w:rPr>
              <w:t>income</w:t>
            </w:r>
          </w:p>
        </w:tc>
        <w:tc>
          <w:tcPr>
            <w:tcW w:w="940" w:type="dxa"/>
            <w:vAlign w:val="bottom"/>
            <w:gridSpan w:val="3"/>
          </w:tcPr>
          <w:p>
            <w:pPr>
              <w:jc w:val="right"/>
              <w:ind w:right="100"/>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940" w:type="dxa"/>
            <w:vAlign w:val="bottom"/>
            <w:gridSpan w:val="3"/>
          </w:tcPr>
          <w:p>
            <w:pPr>
              <w:jc w:val="right"/>
              <w:ind w:right="100"/>
              <w:spacing w:after="0"/>
              <w:rPr>
                <w:sz w:val="20"/>
                <w:szCs w:val="20"/>
                <w:color w:val="auto"/>
              </w:rPr>
            </w:pPr>
            <w:r>
              <w:rPr>
                <w:rFonts w:ascii="Arial" w:cs="Arial" w:eastAsia="Arial" w:hAnsi="Arial"/>
                <w:sz w:val="14"/>
                <w:szCs w:val="14"/>
                <w:color w:val="auto"/>
              </w:rPr>
              <w:t>493,884</w:t>
            </w:r>
          </w:p>
        </w:tc>
        <w:tc>
          <w:tcPr>
            <w:tcW w:w="740" w:type="dxa"/>
            <w:vAlign w:val="bottom"/>
            <w:gridSpan w:val="3"/>
          </w:tcPr>
          <w:p>
            <w:pPr>
              <w:jc w:val="right"/>
              <w:ind w:right="80"/>
              <w:spacing w:after="0"/>
              <w:rPr>
                <w:sz w:val="20"/>
                <w:szCs w:val="20"/>
                <w:color w:val="auto"/>
              </w:rPr>
            </w:pPr>
            <w:r>
              <w:rPr>
                <w:rFonts w:ascii="Arial" w:cs="Arial" w:eastAsia="Arial" w:hAnsi="Arial"/>
                <w:sz w:val="14"/>
                <w:szCs w:val="14"/>
                <w:color w:val="auto"/>
              </w:rPr>
              <w:t>(20,400)</w:t>
            </w:r>
          </w:p>
        </w:tc>
        <w:tc>
          <w:tcPr>
            <w:tcW w:w="800" w:type="dxa"/>
            <w:vAlign w:val="bottom"/>
            <w:gridSpan w:val="2"/>
          </w:tcPr>
          <w:p>
            <w:pPr>
              <w:jc w:val="right"/>
              <w:ind w:right="80"/>
              <w:spacing w:after="0"/>
              <w:rPr>
                <w:sz w:val="20"/>
                <w:szCs w:val="20"/>
                <w:color w:val="auto"/>
              </w:rPr>
            </w:pPr>
            <w:r>
              <w:rPr>
                <w:rFonts w:ascii="Arial" w:cs="Arial" w:eastAsia="Arial" w:hAnsi="Arial"/>
                <w:sz w:val="14"/>
                <w:szCs w:val="14"/>
                <w:color w:val="auto"/>
              </w:rPr>
              <w:t>(26,448)</w:t>
            </w:r>
          </w:p>
        </w:tc>
        <w:tc>
          <w:tcPr>
            <w:tcW w:w="8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20"/>
              <w:spacing w:after="0"/>
              <w:rPr>
                <w:sz w:val="20"/>
                <w:szCs w:val="20"/>
                <w:color w:val="auto"/>
              </w:rPr>
            </w:pPr>
            <w:r>
              <w:rPr>
                <w:rFonts w:ascii="Arial" w:cs="Arial" w:eastAsia="Arial" w:hAnsi="Arial"/>
                <w:sz w:val="14"/>
                <w:szCs w:val="14"/>
                <w:color w:val="auto"/>
              </w:rPr>
              <w:t>447,036</w:t>
            </w: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rPr>
              <w:t>2,261</w:t>
            </w:r>
          </w:p>
        </w:tc>
        <w:tc>
          <w:tcPr>
            <w:tcW w:w="680" w:type="dxa"/>
            <w:vAlign w:val="bottom"/>
          </w:tcPr>
          <w:p>
            <w:pPr>
              <w:jc w:val="right"/>
              <w:spacing w:after="0"/>
              <w:rPr>
                <w:sz w:val="20"/>
                <w:szCs w:val="20"/>
                <w:color w:val="auto"/>
              </w:rPr>
            </w:pPr>
            <w:r>
              <w:rPr>
                <w:rFonts w:ascii="Arial" w:cs="Arial" w:eastAsia="Arial" w:hAnsi="Arial"/>
                <w:sz w:val="14"/>
                <w:szCs w:val="14"/>
                <w:color w:val="auto"/>
              </w:rPr>
              <w:t>449,297</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4"/>
        </w:trPr>
        <w:tc>
          <w:tcPr>
            <w:tcW w:w="1200" w:type="dxa"/>
            <w:vAlign w:val="bottom"/>
            <w:tcBorders>
              <w:top w:val="single" w:sz="8" w:color="CCEEFF"/>
            </w:tcBorders>
            <w:shd w:val="clear" w:color="auto" w:fill="CCEEFF"/>
          </w:tcPr>
          <w:p>
            <w:pPr>
              <w:spacing w:after="0" w:line="105" w:lineRule="exact"/>
              <w:rPr>
                <w:sz w:val="20"/>
                <w:szCs w:val="20"/>
                <w:color w:val="auto"/>
              </w:rPr>
            </w:pPr>
            <w:r>
              <w:rPr>
                <w:rFonts w:ascii="Arial" w:cs="Arial" w:eastAsia="Arial" w:hAnsi="Arial"/>
                <w:sz w:val="12"/>
                <w:szCs w:val="12"/>
                <w:color w:val="auto"/>
              </w:rPr>
              <w:t>Total comprehensive</w:t>
            </w:r>
          </w:p>
        </w:tc>
        <w:tc>
          <w:tcPr>
            <w:tcW w:w="20" w:type="dxa"/>
            <w:vAlign w:val="bottom"/>
            <w:tcBorders>
              <w:top w:val="single" w:sz="8" w:color="CCEEFF"/>
            </w:tcBorders>
            <w:shd w:val="clear" w:color="auto" w:fill="CCEEFF"/>
          </w:tcPr>
          <w:p>
            <w:pPr>
              <w:spacing w:after="0"/>
              <w:rPr>
                <w:sz w:val="9"/>
                <w:szCs w:val="9"/>
                <w:color w:val="auto"/>
              </w:rPr>
            </w:pPr>
          </w:p>
        </w:tc>
        <w:tc>
          <w:tcPr>
            <w:tcW w:w="82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60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56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500" w:type="dxa"/>
            <w:vAlign w:val="bottom"/>
            <w:tcBorders>
              <w:top w:val="single" w:sz="8" w:color="auto"/>
            </w:tcBorders>
            <w:shd w:val="clear" w:color="auto" w:fill="CCEEFF"/>
          </w:tcPr>
          <w:p>
            <w:pPr>
              <w:spacing w:after="0"/>
              <w:rPr>
                <w:sz w:val="9"/>
                <w:szCs w:val="9"/>
                <w:color w:val="auto"/>
              </w:rPr>
            </w:pPr>
          </w:p>
        </w:tc>
        <w:tc>
          <w:tcPr>
            <w:tcW w:w="140" w:type="dxa"/>
            <w:vAlign w:val="bottom"/>
            <w:tcBorders>
              <w:top w:val="single" w:sz="8" w:color="CCEEFF"/>
            </w:tcBorders>
            <w:shd w:val="clear" w:color="auto" w:fill="CCEEFF"/>
          </w:tcPr>
          <w:p>
            <w:pPr>
              <w:spacing w:after="0"/>
              <w:rPr>
                <w:sz w:val="9"/>
                <w:szCs w:val="9"/>
                <w:color w:val="auto"/>
              </w:rPr>
            </w:pPr>
          </w:p>
        </w:tc>
        <w:tc>
          <w:tcPr>
            <w:tcW w:w="680" w:type="dxa"/>
            <w:vAlign w:val="bottom"/>
            <w:tcBorders>
              <w:top w:val="single" w:sz="8" w:color="auto"/>
            </w:tcBorders>
            <w:shd w:val="clear" w:color="auto" w:fill="CCEEFF"/>
          </w:tcPr>
          <w:p>
            <w:pPr>
              <w:spacing w:after="0"/>
              <w:rPr>
                <w:sz w:val="9"/>
                <w:szCs w:val="9"/>
                <w:color w:val="auto"/>
              </w:rPr>
            </w:pPr>
          </w:p>
        </w:tc>
        <w:tc>
          <w:tcPr>
            <w:tcW w:w="140" w:type="dxa"/>
            <w:vAlign w:val="bottom"/>
            <w:tcBorders>
              <w:top w:val="single" w:sz="8" w:color="CCEEFF"/>
            </w:tcBorders>
            <w:shd w:val="clear" w:color="auto" w:fill="CCEEFF"/>
          </w:tcPr>
          <w:p>
            <w:pPr>
              <w:spacing w:after="0"/>
              <w:rPr>
                <w:sz w:val="9"/>
                <w:szCs w:val="9"/>
                <w:color w:val="auto"/>
              </w:rPr>
            </w:pPr>
          </w:p>
        </w:tc>
        <w:tc>
          <w:tcPr>
            <w:tcW w:w="66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80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58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68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68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70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660" w:type="dxa"/>
            <w:vAlign w:val="bottom"/>
            <w:tcBorders>
              <w:top w:val="single" w:sz="8" w:color="auto"/>
            </w:tcBorders>
            <w:shd w:val="clear" w:color="auto" w:fill="CCEEFF"/>
          </w:tcPr>
          <w:p>
            <w:pPr>
              <w:spacing w:after="0"/>
              <w:rPr>
                <w:sz w:val="9"/>
                <w:szCs w:val="9"/>
                <w:color w:val="auto"/>
              </w:rPr>
            </w:pPr>
          </w:p>
        </w:tc>
        <w:tc>
          <w:tcPr>
            <w:tcW w:w="140" w:type="dxa"/>
            <w:vAlign w:val="bottom"/>
            <w:tcBorders>
              <w:top w:val="single" w:sz="8" w:color="CCEEFF"/>
            </w:tcBorders>
            <w:shd w:val="clear" w:color="auto" w:fill="CCEEFF"/>
          </w:tcPr>
          <w:p>
            <w:pPr>
              <w:spacing w:after="0"/>
              <w:rPr>
                <w:sz w:val="9"/>
                <w:szCs w:val="9"/>
                <w:color w:val="auto"/>
              </w:rPr>
            </w:pPr>
          </w:p>
        </w:tc>
        <w:tc>
          <w:tcPr>
            <w:tcW w:w="68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61"/>
        </w:trPr>
        <w:tc>
          <w:tcPr>
            <w:tcW w:w="1200" w:type="dxa"/>
            <w:vAlign w:val="bottom"/>
            <w:shd w:val="clear" w:color="auto" w:fill="CCEEFF"/>
          </w:tcPr>
          <w:p>
            <w:pPr>
              <w:spacing w:after="0"/>
              <w:rPr>
                <w:sz w:val="20"/>
                <w:szCs w:val="20"/>
                <w:color w:val="auto"/>
              </w:rPr>
            </w:pPr>
            <w:r>
              <w:rPr>
                <w:rFonts w:ascii="Arial" w:cs="Arial" w:eastAsia="Arial" w:hAnsi="Arial"/>
                <w:sz w:val="14"/>
                <w:szCs w:val="14"/>
                <w:color w:val="auto"/>
              </w:rPr>
              <w:t>income</w:t>
            </w:r>
          </w:p>
        </w:tc>
        <w:tc>
          <w:tcPr>
            <w:tcW w:w="94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94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493,884</w:t>
            </w:r>
          </w:p>
        </w:tc>
        <w:tc>
          <w:tcPr>
            <w:tcW w:w="74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(20,400)</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(26,448)</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3,514,582</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3,961,618</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97,659</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4,059,277</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4"/>
        </w:trPr>
        <w:tc>
          <w:tcPr>
            <w:tcW w:w="1200" w:type="dxa"/>
            <w:vAlign w:val="bottom"/>
          </w:tcPr>
          <w:p>
            <w:pPr>
              <w:spacing w:after="0" w:line="125" w:lineRule="exact"/>
              <w:rPr>
                <w:sz w:val="20"/>
                <w:szCs w:val="20"/>
                <w:color w:val="auto"/>
              </w:rPr>
            </w:pPr>
            <w:r>
              <w:rPr>
                <w:rFonts w:ascii="Arial" w:cs="Arial" w:eastAsia="Arial" w:hAnsi="Arial"/>
                <w:sz w:val="14"/>
                <w:szCs w:val="14"/>
                <w:color w:val="auto"/>
                <w:w w:val="96"/>
              </w:rPr>
              <w:t>Transfer of retained</w:t>
            </w:r>
          </w:p>
        </w:tc>
        <w:tc>
          <w:tcPr>
            <w:tcW w:w="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1200" w:type="dxa"/>
            <w:vAlign w:val="bottom"/>
          </w:tcPr>
          <w:p>
            <w:pPr>
              <w:spacing w:after="0" w:line="143" w:lineRule="exact"/>
              <w:rPr>
                <w:sz w:val="20"/>
                <w:szCs w:val="20"/>
                <w:color w:val="auto"/>
              </w:rPr>
            </w:pPr>
            <w:r>
              <w:rPr>
                <w:rFonts w:ascii="Arial" w:cs="Arial" w:eastAsia="Arial" w:hAnsi="Arial"/>
                <w:sz w:val="14"/>
                <w:szCs w:val="14"/>
                <w:color w:val="auto"/>
                <w:w w:val="90"/>
              </w:rPr>
              <w:t>earnings to reserves,</w:t>
            </w:r>
          </w:p>
        </w:tc>
        <w:tc>
          <w:tcPr>
            <w:tcW w:w="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1200" w:type="dxa"/>
            <w:vAlign w:val="bottom"/>
          </w:tcPr>
          <w:p>
            <w:pPr>
              <w:spacing w:after="0"/>
              <w:rPr>
                <w:sz w:val="20"/>
                <w:szCs w:val="20"/>
                <w:color w:val="auto"/>
              </w:rPr>
            </w:pPr>
            <w:r>
              <w:rPr>
                <w:rFonts w:ascii="Arial" w:cs="Arial" w:eastAsia="Arial" w:hAnsi="Arial"/>
                <w:sz w:val="14"/>
                <w:szCs w:val="14"/>
                <w:color w:val="auto"/>
              </w:rPr>
              <w:t>Note 17(c)</w:t>
            </w:r>
          </w:p>
        </w:tc>
        <w:tc>
          <w:tcPr>
            <w:tcW w:w="940" w:type="dxa"/>
            <w:vAlign w:val="bottom"/>
            <w:gridSpan w:val="3"/>
          </w:tcPr>
          <w:p>
            <w:pPr>
              <w:jc w:val="right"/>
              <w:ind w:right="100"/>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2,316,370</w:t>
            </w:r>
          </w:p>
        </w:tc>
        <w:tc>
          <w:tcPr>
            <w:tcW w:w="140" w:type="dxa"/>
            <w:vAlign w:val="bottom"/>
          </w:tcPr>
          <w:p>
            <w:pPr>
              <w:spacing w:after="0"/>
              <w:rPr>
                <w:sz w:val="14"/>
                <w:szCs w:val="14"/>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940" w:type="dxa"/>
            <w:vAlign w:val="bottom"/>
            <w:gridSpan w:val="3"/>
          </w:tcPr>
          <w:p>
            <w:pPr>
              <w:jc w:val="right"/>
              <w:ind w:right="100"/>
              <w:spacing w:after="0"/>
              <w:rPr>
                <w:sz w:val="20"/>
                <w:szCs w:val="20"/>
                <w:color w:val="auto"/>
              </w:rPr>
            </w:pPr>
            <w:r>
              <w:rPr>
                <w:rFonts w:ascii="Arial" w:cs="Arial" w:eastAsia="Arial" w:hAnsi="Arial"/>
                <w:sz w:val="14"/>
                <w:szCs w:val="14"/>
                <w:color w:val="auto"/>
              </w:rPr>
              <w:t>-</w:t>
            </w:r>
          </w:p>
        </w:tc>
        <w:tc>
          <w:tcPr>
            <w:tcW w:w="740" w:type="dxa"/>
            <w:vAlign w:val="bottom"/>
            <w:gridSpan w:val="3"/>
          </w:tcPr>
          <w:p>
            <w:pPr>
              <w:jc w:val="right"/>
              <w:ind w:right="120"/>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4"/>
                <w:szCs w:val="14"/>
                <w:color w:val="auto"/>
                <w:w w:val="97"/>
              </w:rPr>
              <w:t>(2,316,370)</w:t>
            </w:r>
          </w:p>
        </w:tc>
        <w:tc>
          <w:tcPr>
            <w:tcW w:w="8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4"/>
        </w:trPr>
        <w:tc>
          <w:tcPr>
            <w:tcW w:w="1200" w:type="dxa"/>
            <w:vAlign w:val="bottom"/>
            <w:shd w:val="clear" w:color="auto" w:fill="CCEEFF"/>
          </w:tcPr>
          <w:p>
            <w:pPr>
              <w:spacing w:after="0" w:line="125" w:lineRule="exact"/>
              <w:rPr>
                <w:sz w:val="20"/>
                <w:szCs w:val="20"/>
                <w:color w:val="auto"/>
              </w:rPr>
            </w:pPr>
            <w:r>
              <w:rPr>
                <w:rFonts w:ascii="Arial" w:cs="Arial" w:eastAsia="Arial" w:hAnsi="Arial"/>
                <w:sz w:val="14"/>
                <w:szCs w:val="14"/>
                <w:color w:val="auto"/>
              </w:rPr>
              <w:t>Dividend</w:t>
            </w:r>
          </w:p>
        </w:tc>
        <w:tc>
          <w:tcPr>
            <w:tcW w:w="2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120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rPr>
              <w:t>distribution, Note</w:t>
            </w:r>
          </w:p>
        </w:tc>
        <w:tc>
          <w:tcPr>
            <w:tcW w:w="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1200" w:type="dxa"/>
            <w:vAlign w:val="bottom"/>
            <w:shd w:val="clear" w:color="auto" w:fill="CCEEFF"/>
          </w:tcPr>
          <w:p>
            <w:pPr>
              <w:spacing w:after="0"/>
              <w:rPr>
                <w:sz w:val="20"/>
                <w:szCs w:val="20"/>
                <w:color w:val="auto"/>
              </w:rPr>
            </w:pPr>
            <w:r>
              <w:rPr>
                <w:rFonts w:ascii="Arial" w:cs="Arial" w:eastAsia="Arial" w:hAnsi="Arial"/>
                <w:sz w:val="14"/>
                <w:szCs w:val="14"/>
                <w:color w:val="auto"/>
              </w:rPr>
              <w:t>17(e)</w:t>
            </w:r>
          </w:p>
        </w:tc>
        <w:tc>
          <w:tcPr>
            <w:tcW w:w="94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94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74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(653,326)</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(653,326)</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(653,326)</w:t>
            </w:r>
          </w:p>
        </w:tc>
        <w:tc>
          <w:tcPr>
            <w:tcW w:w="0" w:type="dxa"/>
            <w:vAlign w:val="bottom"/>
          </w:tcPr>
          <w:p>
            <w:pPr>
              <w:spacing w:after="0"/>
              <w:rPr>
                <w:sz w:val="1"/>
                <w:szCs w:val="1"/>
                <w:color w:val="auto"/>
              </w:rPr>
            </w:pPr>
          </w:p>
        </w:tc>
      </w:tr>
      <w:tr>
        <w:trPr>
          <w:trHeight w:val="124"/>
        </w:trPr>
        <w:tc>
          <w:tcPr>
            <w:tcW w:w="1200" w:type="dxa"/>
            <w:vAlign w:val="bottom"/>
          </w:tcPr>
          <w:p>
            <w:pPr>
              <w:spacing w:after="0" w:line="125" w:lineRule="exact"/>
              <w:rPr>
                <w:sz w:val="20"/>
                <w:szCs w:val="20"/>
                <w:color w:val="auto"/>
              </w:rPr>
            </w:pPr>
            <w:r>
              <w:rPr>
                <w:rFonts w:ascii="Arial" w:cs="Arial" w:eastAsia="Arial" w:hAnsi="Arial"/>
                <w:sz w:val="14"/>
                <w:szCs w:val="14"/>
                <w:color w:val="auto"/>
              </w:rPr>
              <w:t>Dividends of</w:t>
            </w:r>
          </w:p>
        </w:tc>
        <w:tc>
          <w:tcPr>
            <w:tcW w:w="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1"/>
        </w:trPr>
        <w:tc>
          <w:tcPr>
            <w:tcW w:w="1200" w:type="dxa"/>
            <w:vAlign w:val="bottom"/>
          </w:tcPr>
          <w:p>
            <w:pPr>
              <w:spacing w:after="0"/>
              <w:rPr>
                <w:sz w:val="20"/>
                <w:szCs w:val="20"/>
                <w:color w:val="auto"/>
              </w:rPr>
            </w:pPr>
            <w:r>
              <w:rPr>
                <w:rFonts w:ascii="Arial" w:cs="Arial" w:eastAsia="Arial" w:hAnsi="Arial"/>
                <w:sz w:val="14"/>
                <w:szCs w:val="14"/>
                <w:color w:val="auto"/>
              </w:rPr>
              <w:t>subsidiaries</w:t>
            </w:r>
          </w:p>
        </w:tc>
        <w:tc>
          <w:tcPr>
            <w:tcW w:w="940" w:type="dxa"/>
            <w:vAlign w:val="bottom"/>
            <w:gridSpan w:val="3"/>
          </w:tcPr>
          <w:p>
            <w:pPr>
              <w:jc w:val="right"/>
              <w:ind w:right="100"/>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940" w:type="dxa"/>
            <w:vAlign w:val="bottom"/>
            <w:gridSpan w:val="3"/>
          </w:tcPr>
          <w:p>
            <w:pPr>
              <w:jc w:val="right"/>
              <w:ind w:right="100"/>
              <w:spacing w:after="0"/>
              <w:rPr>
                <w:sz w:val="20"/>
                <w:szCs w:val="20"/>
                <w:color w:val="auto"/>
              </w:rPr>
            </w:pPr>
            <w:r>
              <w:rPr>
                <w:rFonts w:ascii="Arial" w:cs="Arial" w:eastAsia="Arial" w:hAnsi="Arial"/>
                <w:sz w:val="14"/>
                <w:szCs w:val="14"/>
                <w:color w:val="auto"/>
              </w:rPr>
              <w:t>-</w:t>
            </w:r>
          </w:p>
        </w:tc>
        <w:tc>
          <w:tcPr>
            <w:tcW w:w="740" w:type="dxa"/>
            <w:vAlign w:val="bottom"/>
            <w:gridSpan w:val="3"/>
          </w:tcPr>
          <w:p>
            <w:pPr>
              <w:jc w:val="right"/>
              <w:ind w:right="120"/>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80"/>
              <w:spacing w:after="0"/>
              <w:rPr>
                <w:sz w:val="20"/>
                <w:szCs w:val="20"/>
                <w:color w:val="auto"/>
              </w:rPr>
            </w:pPr>
            <w:r>
              <w:rPr>
                <w:rFonts w:ascii="Arial" w:cs="Arial" w:eastAsia="Arial" w:hAnsi="Arial"/>
                <w:sz w:val="14"/>
                <w:szCs w:val="14"/>
                <w:color w:val="auto"/>
              </w:rPr>
              <w:t>(34,514)</w:t>
            </w:r>
          </w:p>
        </w:tc>
        <w:tc>
          <w:tcPr>
            <w:tcW w:w="760" w:type="dxa"/>
            <w:vAlign w:val="bottom"/>
            <w:gridSpan w:val="2"/>
          </w:tcPr>
          <w:p>
            <w:pPr>
              <w:jc w:val="right"/>
              <w:ind w:right="20"/>
              <w:spacing w:after="0"/>
              <w:rPr>
                <w:sz w:val="20"/>
                <w:szCs w:val="20"/>
                <w:color w:val="auto"/>
              </w:rPr>
            </w:pPr>
            <w:r>
              <w:rPr>
                <w:rFonts w:ascii="Arial" w:cs="Arial" w:eastAsia="Arial" w:hAnsi="Arial"/>
                <w:sz w:val="14"/>
                <w:szCs w:val="14"/>
                <w:color w:val="auto"/>
              </w:rPr>
              <w:t>(34,514)</w:t>
            </w:r>
          </w:p>
        </w:tc>
        <w:tc>
          <w:tcPr>
            <w:tcW w:w="0" w:type="dxa"/>
            <w:vAlign w:val="bottom"/>
          </w:tcPr>
          <w:p>
            <w:pPr>
              <w:spacing w:after="0"/>
              <w:rPr>
                <w:sz w:val="1"/>
                <w:szCs w:val="1"/>
                <w:color w:val="auto"/>
              </w:rPr>
            </w:pPr>
          </w:p>
        </w:tc>
      </w:tr>
      <w:tr>
        <w:trPr>
          <w:trHeight w:val="124"/>
        </w:trPr>
        <w:tc>
          <w:tcPr>
            <w:tcW w:w="1200" w:type="dxa"/>
            <w:vAlign w:val="bottom"/>
            <w:shd w:val="clear" w:color="auto" w:fill="CCEEFF"/>
          </w:tcPr>
          <w:p>
            <w:pPr>
              <w:spacing w:after="0" w:line="125" w:lineRule="exact"/>
              <w:rPr>
                <w:sz w:val="20"/>
                <w:szCs w:val="20"/>
                <w:color w:val="auto"/>
              </w:rPr>
            </w:pPr>
            <w:r>
              <w:rPr>
                <w:rFonts w:ascii="Arial" w:cs="Arial" w:eastAsia="Arial" w:hAnsi="Arial"/>
                <w:sz w:val="14"/>
                <w:szCs w:val="14"/>
                <w:color w:val="auto"/>
                <w:w w:val="91"/>
              </w:rPr>
              <w:t>Purchase of treasury</w:t>
            </w:r>
          </w:p>
        </w:tc>
        <w:tc>
          <w:tcPr>
            <w:tcW w:w="2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1"/>
        </w:trPr>
        <w:tc>
          <w:tcPr>
            <w:tcW w:w="1200" w:type="dxa"/>
            <w:vAlign w:val="bottom"/>
            <w:shd w:val="clear" w:color="auto" w:fill="CCEEFF"/>
          </w:tcPr>
          <w:p>
            <w:pPr>
              <w:spacing w:after="0"/>
              <w:rPr>
                <w:sz w:val="20"/>
                <w:szCs w:val="20"/>
                <w:color w:val="auto"/>
              </w:rPr>
            </w:pPr>
            <w:r>
              <w:rPr>
                <w:rFonts w:ascii="Arial" w:cs="Arial" w:eastAsia="Arial" w:hAnsi="Arial"/>
                <w:sz w:val="14"/>
                <w:szCs w:val="14"/>
                <w:color w:val="auto"/>
              </w:rPr>
              <w:t>stock, Note 17(b)</w:t>
            </w:r>
          </w:p>
        </w:tc>
        <w:tc>
          <w:tcPr>
            <w:tcW w:w="94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(2,604)</w:t>
            </w: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(63,924)</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94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74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(66,528)</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(66,528)</w:t>
            </w:r>
          </w:p>
        </w:tc>
        <w:tc>
          <w:tcPr>
            <w:tcW w:w="0" w:type="dxa"/>
            <w:vAlign w:val="bottom"/>
          </w:tcPr>
          <w:p>
            <w:pPr>
              <w:spacing w:after="0"/>
              <w:rPr>
                <w:sz w:val="1"/>
                <w:szCs w:val="1"/>
                <w:color w:val="auto"/>
              </w:rPr>
            </w:pPr>
          </w:p>
        </w:tc>
      </w:tr>
      <w:tr>
        <w:trPr>
          <w:trHeight w:val="124"/>
        </w:trPr>
        <w:tc>
          <w:tcPr>
            <w:tcW w:w="1200" w:type="dxa"/>
            <w:vAlign w:val="bottom"/>
          </w:tcPr>
          <w:p>
            <w:pPr>
              <w:spacing w:after="0" w:line="125" w:lineRule="exact"/>
              <w:rPr>
                <w:sz w:val="20"/>
                <w:szCs w:val="20"/>
                <w:color w:val="auto"/>
              </w:rPr>
            </w:pPr>
            <w:r>
              <w:rPr>
                <w:rFonts w:ascii="Arial" w:cs="Arial" w:eastAsia="Arial" w:hAnsi="Arial"/>
                <w:sz w:val="14"/>
                <w:szCs w:val="14"/>
                <w:color w:val="auto"/>
              </w:rPr>
              <w:t>Share-based</w:t>
            </w:r>
          </w:p>
        </w:tc>
        <w:tc>
          <w:tcPr>
            <w:tcW w:w="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1200" w:type="dxa"/>
            <w:vAlign w:val="bottom"/>
          </w:tcPr>
          <w:p>
            <w:pPr>
              <w:spacing w:after="0" w:line="143" w:lineRule="exact"/>
              <w:rPr>
                <w:sz w:val="20"/>
                <w:szCs w:val="20"/>
                <w:color w:val="auto"/>
              </w:rPr>
            </w:pPr>
            <w:r>
              <w:rPr>
                <w:rFonts w:ascii="Arial" w:cs="Arial" w:eastAsia="Arial" w:hAnsi="Arial"/>
                <w:sz w:val="14"/>
                <w:szCs w:val="14"/>
                <w:color w:val="auto"/>
              </w:rPr>
              <w:t>payment</w:t>
            </w:r>
          </w:p>
        </w:tc>
        <w:tc>
          <w:tcPr>
            <w:tcW w:w="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1200" w:type="dxa"/>
            <w:vAlign w:val="bottom"/>
          </w:tcPr>
          <w:p>
            <w:pPr>
              <w:spacing w:after="0"/>
              <w:rPr>
                <w:sz w:val="20"/>
                <w:szCs w:val="20"/>
                <w:color w:val="auto"/>
              </w:rPr>
            </w:pPr>
            <w:r>
              <w:rPr>
                <w:rFonts w:ascii="Arial" w:cs="Arial" w:eastAsia="Arial" w:hAnsi="Arial"/>
                <w:sz w:val="14"/>
                <w:szCs w:val="14"/>
                <w:color w:val="auto"/>
              </w:rPr>
              <w:t>transactions</w:t>
            </w:r>
          </w:p>
        </w:tc>
        <w:tc>
          <w:tcPr>
            <w:tcW w:w="940" w:type="dxa"/>
            <w:vAlign w:val="bottom"/>
            <w:gridSpan w:val="3"/>
          </w:tcPr>
          <w:p>
            <w:pPr>
              <w:jc w:val="right"/>
              <w:ind w:right="100"/>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120"/>
              <w:spacing w:after="0"/>
              <w:rPr>
                <w:sz w:val="20"/>
                <w:szCs w:val="20"/>
                <w:color w:val="auto"/>
              </w:rPr>
            </w:pPr>
            <w:r>
              <w:rPr>
                <w:rFonts w:ascii="Arial" w:cs="Arial" w:eastAsia="Arial" w:hAnsi="Arial"/>
                <w:sz w:val="14"/>
                <w:szCs w:val="14"/>
                <w:color w:val="auto"/>
              </w:rPr>
              <w:t>2,260</w:t>
            </w:r>
          </w:p>
        </w:tc>
        <w:tc>
          <w:tcPr>
            <w:tcW w:w="640" w:type="dxa"/>
            <w:vAlign w:val="bottom"/>
            <w:gridSpan w:val="2"/>
          </w:tcPr>
          <w:p>
            <w:pPr>
              <w:jc w:val="right"/>
              <w:ind w:right="140"/>
              <w:spacing w:after="0"/>
              <w:rPr>
                <w:sz w:val="20"/>
                <w:szCs w:val="20"/>
                <w:color w:val="auto"/>
              </w:rPr>
            </w:pPr>
            <w:r>
              <w:rPr>
                <w:rFonts w:ascii="Arial" w:cs="Arial" w:eastAsia="Arial" w:hAnsi="Arial"/>
                <w:sz w:val="14"/>
                <w:szCs w:val="14"/>
                <w:color w:val="auto"/>
              </w:rPr>
              <w:t>60,629</w:t>
            </w:r>
          </w:p>
        </w:tc>
        <w:tc>
          <w:tcPr>
            <w:tcW w:w="680" w:type="dxa"/>
            <w:vAlign w:val="bottom"/>
          </w:tcPr>
          <w:p>
            <w:pPr>
              <w:jc w:val="right"/>
              <w:spacing w:after="0"/>
              <w:rPr>
                <w:sz w:val="20"/>
                <w:szCs w:val="20"/>
                <w:color w:val="auto"/>
              </w:rPr>
            </w:pPr>
            <w:r>
              <w:rPr>
                <w:rFonts w:ascii="Arial" w:cs="Arial" w:eastAsia="Arial" w:hAnsi="Arial"/>
                <w:sz w:val="14"/>
                <w:szCs w:val="14"/>
                <w:color w:val="auto"/>
              </w:rPr>
              <w:t>690</w:t>
            </w:r>
          </w:p>
        </w:tc>
        <w:tc>
          <w:tcPr>
            <w:tcW w:w="140" w:type="dxa"/>
            <w:vAlign w:val="bottom"/>
          </w:tcPr>
          <w:p>
            <w:pPr>
              <w:spacing w:after="0"/>
              <w:rPr>
                <w:sz w:val="14"/>
                <w:szCs w:val="14"/>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940" w:type="dxa"/>
            <w:vAlign w:val="bottom"/>
            <w:gridSpan w:val="3"/>
          </w:tcPr>
          <w:p>
            <w:pPr>
              <w:jc w:val="right"/>
              <w:ind w:right="100"/>
              <w:spacing w:after="0"/>
              <w:rPr>
                <w:sz w:val="20"/>
                <w:szCs w:val="20"/>
                <w:color w:val="auto"/>
              </w:rPr>
            </w:pPr>
            <w:r>
              <w:rPr>
                <w:rFonts w:ascii="Arial" w:cs="Arial" w:eastAsia="Arial" w:hAnsi="Arial"/>
                <w:sz w:val="14"/>
                <w:szCs w:val="14"/>
                <w:color w:val="auto"/>
              </w:rPr>
              <w:t>-</w:t>
            </w:r>
          </w:p>
        </w:tc>
        <w:tc>
          <w:tcPr>
            <w:tcW w:w="740" w:type="dxa"/>
            <w:vAlign w:val="bottom"/>
            <w:gridSpan w:val="3"/>
          </w:tcPr>
          <w:p>
            <w:pPr>
              <w:jc w:val="right"/>
              <w:ind w:right="120"/>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20"/>
              <w:spacing w:after="0"/>
              <w:rPr>
                <w:sz w:val="20"/>
                <w:szCs w:val="20"/>
                <w:color w:val="auto"/>
              </w:rPr>
            </w:pPr>
            <w:r>
              <w:rPr>
                <w:rFonts w:ascii="Arial" w:cs="Arial" w:eastAsia="Arial" w:hAnsi="Arial"/>
                <w:sz w:val="14"/>
                <w:szCs w:val="14"/>
                <w:color w:val="auto"/>
              </w:rPr>
              <w:t>63,579</w:t>
            </w: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63,579</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4"/>
        </w:trPr>
        <w:tc>
          <w:tcPr>
            <w:tcW w:w="1200" w:type="dxa"/>
            <w:vAlign w:val="bottom"/>
            <w:shd w:val="clear" w:color="auto" w:fill="CCEEFF"/>
          </w:tcPr>
          <w:p>
            <w:pPr>
              <w:spacing w:after="0" w:line="125" w:lineRule="exact"/>
              <w:rPr>
                <w:sz w:val="20"/>
                <w:szCs w:val="20"/>
                <w:color w:val="auto"/>
              </w:rPr>
            </w:pPr>
            <w:r>
              <w:rPr>
                <w:rFonts w:ascii="Arial" w:cs="Arial" w:eastAsia="Arial" w:hAnsi="Arial"/>
                <w:sz w:val="14"/>
                <w:szCs w:val="14"/>
                <w:color w:val="auto"/>
              </w:rPr>
              <w:t>Acquisition of non-</w:t>
            </w:r>
          </w:p>
        </w:tc>
        <w:tc>
          <w:tcPr>
            <w:tcW w:w="2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120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rPr>
              <w:t>controlling interest,</w:t>
            </w:r>
          </w:p>
        </w:tc>
        <w:tc>
          <w:tcPr>
            <w:tcW w:w="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1200" w:type="dxa"/>
            <w:vAlign w:val="bottom"/>
            <w:shd w:val="clear" w:color="auto" w:fill="CCEEFF"/>
          </w:tcPr>
          <w:p>
            <w:pPr>
              <w:spacing w:after="0"/>
              <w:rPr>
                <w:sz w:val="20"/>
                <w:szCs w:val="20"/>
                <w:color w:val="auto"/>
              </w:rPr>
            </w:pPr>
            <w:r>
              <w:rPr>
                <w:rFonts w:ascii="Arial" w:cs="Arial" w:eastAsia="Arial" w:hAnsi="Arial"/>
                <w:sz w:val="14"/>
                <w:szCs w:val="14"/>
                <w:color w:val="auto"/>
              </w:rPr>
              <w:t>Note 2(b)</w:t>
            </w:r>
          </w:p>
        </w:tc>
        <w:tc>
          <w:tcPr>
            <w:tcW w:w="94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340,353</w:t>
            </w:r>
          </w:p>
        </w:tc>
        <w:tc>
          <w:tcPr>
            <w:tcW w:w="94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74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(123,980)</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216,373</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(216,373)</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200" w:type="dxa"/>
            <w:vAlign w:val="bottom"/>
          </w:tcPr>
          <w:p>
            <w:pPr>
              <w:spacing w:after="0" w:line="156" w:lineRule="exact"/>
              <w:rPr>
                <w:sz w:val="20"/>
                <w:szCs w:val="20"/>
                <w:color w:val="auto"/>
              </w:rPr>
            </w:pPr>
            <w:r>
              <w:rPr>
                <w:rFonts w:ascii="Arial" w:cs="Arial" w:eastAsia="Arial" w:hAnsi="Arial"/>
                <w:sz w:val="14"/>
                <w:szCs w:val="14"/>
                <w:color w:val="auto"/>
              </w:rPr>
              <w:t>Others</w:t>
            </w:r>
          </w:p>
        </w:tc>
        <w:tc>
          <w:tcPr>
            <w:tcW w:w="940" w:type="dxa"/>
            <w:vAlign w:val="bottom"/>
            <w:gridSpan w:val="3"/>
          </w:tcPr>
          <w:p>
            <w:pPr>
              <w:jc w:val="right"/>
              <w:ind w:right="100"/>
              <w:spacing w:after="0" w:line="156"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120"/>
              <w:spacing w:after="0" w:line="156" w:lineRule="exact"/>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120"/>
              <w:spacing w:after="0" w:line="156" w:lineRule="exact"/>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140"/>
              <w:spacing w:after="0" w:line="156"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56"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760" w:type="dxa"/>
            <w:vAlign w:val="bottom"/>
            <w:gridSpan w:val="2"/>
          </w:tcPr>
          <w:p>
            <w:pPr>
              <w:jc w:val="right"/>
              <w:ind w:right="100"/>
              <w:spacing w:after="0" w:line="156" w:lineRule="exact"/>
              <w:rPr>
                <w:sz w:val="20"/>
                <w:szCs w:val="20"/>
                <w:color w:val="auto"/>
              </w:rPr>
            </w:pPr>
            <w:r>
              <w:rPr>
                <w:rFonts w:ascii="Arial" w:cs="Arial" w:eastAsia="Arial" w:hAnsi="Arial"/>
                <w:sz w:val="14"/>
                <w:szCs w:val="14"/>
                <w:color w:val="auto"/>
              </w:rPr>
              <w:t>-</w:t>
            </w:r>
          </w:p>
        </w:tc>
        <w:tc>
          <w:tcPr>
            <w:tcW w:w="940" w:type="dxa"/>
            <w:vAlign w:val="bottom"/>
            <w:gridSpan w:val="3"/>
          </w:tcPr>
          <w:p>
            <w:pPr>
              <w:jc w:val="right"/>
              <w:ind w:right="100"/>
              <w:spacing w:after="0" w:line="156" w:lineRule="exact"/>
              <w:rPr>
                <w:sz w:val="20"/>
                <w:szCs w:val="20"/>
                <w:color w:val="auto"/>
              </w:rPr>
            </w:pPr>
            <w:r>
              <w:rPr>
                <w:rFonts w:ascii="Arial" w:cs="Arial" w:eastAsia="Arial" w:hAnsi="Arial"/>
                <w:sz w:val="14"/>
                <w:szCs w:val="14"/>
                <w:color w:val="auto"/>
              </w:rPr>
              <w:t>-</w:t>
            </w:r>
          </w:p>
        </w:tc>
        <w:tc>
          <w:tcPr>
            <w:tcW w:w="740" w:type="dxa"/>
            <w:vAlign w:val="bottom"/>
            <w:gridSpan w:val="3"/>
          </w:tcPr>
          <w:p>
            <w:pPr>
              <w:jc w:val="right"/>
              <w:ind w:right="120"/>
              <w:spacing w:after="0" w:line="156"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56"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800" w:type="dxa"/>
            <w:vAlign w:val="bottom"/>
            <w:gridSpan w:val="2"/>
          </w:tcPr>
          <w:p>
            <w:pPr>
              <w:jc w:val="right"/>
              <w:ind w:right="120"/>
              <w:spacing w:after="0" w:line="156" w:lineRule="exact"/>
              <w:rPr>
                <w:sz w:val="20"/>
                <w:szCs w:val="20"/>
                <w:color w:val="auto"/>
              </w:rPr>
            </w:pPr>
            <w:r>
              <w:rPr>
                <w:rFonts w:ascii="Arial" w:cs="Arial" w:eastAsia="Arial" w:hAnsi="Arial"/>
                <w:sz w:val="14"/>
                <w:szCs w:val="14"/>
                <w:color w:val="auto"/>
              </w:rPr>
              <w:t>6,403</w:t>
            </w:r>
          </w:p>
        </w:tc>
        <w:tc>
          <w:tcPr>
            <w:tcW w:w="820" w:type="dxa"/>
            <w:vAlign w:val="bottom"/>
            <w:gridSpan w:val="2"/>
          </w:tcPr>
          <w:p>
            <w:pPr>
              <w:jc w:val="right"/>
              <w:ind w:right="120"/>
              <w:spacing w:after="0" w:line="156" w:lineRule="exact"/>
              <w:rPr>
                <w:sz w:val="20"/>
                <w:szCs w:val="20"/>
                <w:color w:val="auto"/>
              </w:rPr>
            </w:pPr>
            <w:r>
              <w:rPr>
                <w:rFonts w:ascii="Arial" w:cs="Arial" w:eastAsia="Arial" w:hAnsi="Arial"/>
                <w:sz w:val="14"/>
                <w:szCs w:val="14"/>
                <w:color w:val="auto"/>
              </w:rPr>
              <w:t>6,403</w:t>
            </w:r>
          </w:p>
        </w:tc>
        <w:tc>
          <w:tcPr>
            <w:tcW w:w="800" w:type="dxa"/>
            <w:vAlign w:val="bottom"/>
            <w:gridSpan w:val="2"/>
          </w:tcPr>
          <w:p>
            <w:pPr>
              <w:jc w:val="right"/>
              <w:ind w:right="140"/>
              <w:spacing w:after="0" w:line="156" w:lineRule="exact"/>
              <w:rPr>
                <w:sz w:val="20"/>
                <w:szCs w:val="20"/>
                <w:color w:val="auto"/>
              </w:rPr>
            </w:pPr>
            <w:r>
              <w:rPr>
                <w:rFonts w:ascii="Arial" w:cs="Arial" w:eastAsia="Arial" w:hAnsi="Arial"/>
                <w:sz w:val="14"/>
                <w:szCs w:val="14"/>
                <w:color w:val="auto"/>
              </w:rPr>
              <w:t>14,050</w:t>
            </w:r>
          </w:p>
        </w:tc>
        <w:tc>
          <w:tcPr>
            <w:tcW w:w="680" w:type="dxa"/>
            <w:vAlign w:val="bottom"/>
          </w:tcPr>
          <w:p>
            <w:pPr>
              <w:jc w:val="right"/>
              <w:spacing w:after="0" w:line="156" w:lineRule="exact"/>
              <w:rPr>
                <w:sz w:val="20"/>
                <w:szCs w:val="20"/>
                <w:color w:val="auto"/>
              </w:rPr>
            </w:pPr>
            <w:r>
              <w:rPr>
                <w:rFonts w:ascii="Arial" w:cs="Arial" w:eastAsia="Arial" w:hAnsi="Arial"/>
                <w:sz w:val="14"/>
                <w:szCs w:val="14"/>
                <w:color w:val="auto"/>
              </w:rPr>
              <w:t>20,453</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0"/>
        </w:trPr>
        <w:tc>
          <w:tcPr>
            <w:tcW w:w="1200" w:type="dxa"/>
            <w:vAlign w:val="bottom"/>
            <w:tcBorders>
              <w:top w:val="single" w:sz="8" w:color="CCEEFF"/>
            </w:tcBorders>
            <w:shd w:val="clear" w:color="auto" w:fill="CCEEFF"/>
          </w:tcPr>
          <w:p>
            <w:pPr>
              <w:spacing w:after="0" w:line="101" w:lineRule="exact"/>
              <w:rPr>
                <w:sz w:val="20"/>
                <w:szCs w:val="20"/>
                <w:color w:val="auto"/>
              </w:rPr>
            </w:pPr>
            <w:r>
              <w:rPr>
                <w:rFonts w:ascii="Arial" w:cs="Arial" w:eastAsia="Arial" w:hAnsi="Arial"/>
                <w:sz w:val="10"/>
                <w:szCs w:val="10"/>
                <w:b w:val="1"/>
                <w:bCs w:val="1"/>
                <w:color w:val="auto"/>
              </w:rPr>
              <w:t>Balances at</w:t>
            </w:r>
          </w:p>
        </w:tc>
        <w:tc>
          <w:tcPr>
            <w:tcW w:w="20" w:type="dxa"/>
            <w:vAlign w:val="bottom"/>
            <w:tcBorders>
              <w:top w:val="single" w:sz="8" w:color="CCEEFF"/>
            </w:tcBorders>
            <w:shd w:val="clear" w:color="auto" w:fill="CCEEFF"/>
          </w:tcPr>
          <w:p>
            <w:pPr>
              <w:spacing w:after="0"/>
              <w:rPr>
                <w:sz w:val="8"/>
                <w:szCs w:val="8"/>
                <w:color w:val="auto"/>
              </w:rPr>
            </w:pPr>
          </w:p>
        </w:tc>
        <w:tc>
          <w:tcPr>
            <w:tcW w:w="820" w:type="dxa"/>
            <w:vAlign w:val="bottom"/>
            <w:tcBorders>
              <w:top w:val="single" w:sz="8" w:color="auto"/>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600" w:type="dxa"/>
            <w:vAlign w:val="bottom"/>
            <w:tcBorders>
              <w:top w:val="single" w:sz="8" w:color="auto"/>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560" w:type="dxa"/>
            <w:vAlign w:val="bottom"/>
            <w:tcBorders>
              <w:top w:val="single" w:sz="8" w:color="auto"/>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500" w:type="dxa"/>
            <w:vAlign w:val="bottom"/>
            <w:tcBorders>
              <w:top w:val="single" w:sz="8" w:color="auto"/>
            </w:tcBorders>
            <w:shd w:val="clear" w:color="auto" w:fill="CCEEFF"/>
          </w:tcPr>
          <w:p>
            <w:pPr>
              <w:spacing w:after="0"/>
              <w:rPr>
                <w:sz w:val="8"/>
                <w:szCs w:val="8"/>
                <w:color w:val="auto"/>
              </w:rPr>
            </w:pPr>
          </w:p>
        </w:tc>
        <w:tc>
          <w:tcPr>
            <w:tcW w:w="140" w:type="dxa"/>
            <w:vAlign w:val="bottom"/>
            <w:tcBorders>
              <w:top w:val="single" w:sz="8" w:color="CCEEFF"/>
            </w:tcBorders>
            <w:shd w:val="clear" w:color="auto" w:fill="CCEEFF"/>
          </w:tcPr>
          <w:p>
            <w:pPr>
              <w:spacing w:after="0"/>
              <w:rPr>
                <w:sz w:val="8"/>
                <w:szCs w:val="8"/>
                <w:color w:val="auto"/>
              </w:rPr>
            </w:pPr>
          </w:p>
        </w:tc>
        <w:tc>
          <w:tcPr>
            <w:tcW w:w="680" w:type="dxa"/>
            <w:vAlign w:val="bottom"/>
            <w:tcBorders>
              <w:top w:val="single" w:sz="8" w:color="auto"/>
            </w:tcBorders>
            <w:shd w:val="clear" w:color="auto" w:fill="CCEEFF"/>
          </w:tcPr>
          <w:p>
            <w:pPr>
              <w:spacing w:after="0"/>
              <w:rPr>
                <w:sz w:val="8"/>
                <w:szCs w:val="8"/>
                <w:color w:val="auto"/>
              </w:rPr>
            </w:pPr>
          </w:p>
        </w:tc>
        <w:tc>
          <w:tcPr>
            <w:tcW w:w="140" w:type="dxa"/>
            <w:vAlign w:val="bottom"/>
            <w:tcBorders>
              <w:top w:val="single" w:sz="8" w:color="CCEEFF"/>
            </w:tcBorders>
            <w:shd w:val="clear" w:color="auto" w:fill="CCEEFF"/>
          </w:tcPr>
          <w:p>
            <w:pPr>
              <w:spacing w:after="0"/>
              <w:rPr>
                <w:sz w:val="8"/>
                <w:szCs w:val="8"/>
                <w:color w:val="auto"/>
              </w:rPr>
            </w:pPr>
          </w:p>
        </w:tc>
        <w:tc>
          <w:tcPr>
            <w:tcW w:w="660" w:type="dxa"/>
            <w:vAlign w:val="bottom"/>
            <w:tcBorders>
              <w:top w:val="single" w:sz="8" w:color="auto"/>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40" w:type="dxa"/>
            <w:vAlign w:val="bottom"/>
            <w:tcBorders>
              <w:top w:val="single" w:sz="8" w:color="CCEEFF"/>
            </w:tcBorders>
            <w:shd w:val="clear" w:color="auto" w:fill="CCEEFF"/>
          </w:tcPr>
          <w:p>
            <w:pPr>
              <w:spacing w:after="0"/>
              <w:rPr>
                <w:sz w:val="8"/>
                <w:szCs w:val="8"/>
                <w:color w:val="auto"/>
              </w:rPr>
            </w:pPr>
          </w:p>
        </w:tc>
        <w:tc>
          <w:tcPr>
            <w:tcW w:w="800" w:type="dxa"/>
            <w:vAlign w:val="bottom"/>
            <w:tcBorders>
              <w:top w:val="single" w:sz="8" w:color="auto"/>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40" w:type="dxa"/>
            <w:vAlign w:val="bottom"/>
            <w:tcBorders>
              <w:top w:val="single" w:sz="8" w:color="CCEEFF"/>
            </w:tcBorders>
            <w:shd w:val="clear" w:color="auto" w:fill="CCEEFF"/>
          </w:tcPr>
          <w:p>
            <w:pPr>
              <w:spacing w:after="0"/>
              <w:rPr>
                <w:sz w:val="8"/>
                <w:szCs w:val="8"/>
                <w:color w:val="auto"/>
              </w:rPr>
            </w:pPr>
          </w:p>
        </w:tc>
        <w:tc>
          <w:tcPr>
            <w:tcW w:w="580" w:type="dxa"/>
            <w:vAlign w:val="bottom"/>
            <w:tcBorders>
              <w:top w:val="single" w:sz="8" w:color="auto"/>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680" w:type="dxa"/>
            <w:vAlign w:val="bottom"/>
            <w:tcBorders>
              <w:top w:val="single" w:sz="8" w:color="auto"/>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680" w:type="dxa"/>
            <w:vAlign w:val="bottom"/>
            <w:tcBorders>
              <w:top w:val="single" w:sz="8" w:color="auto"/>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700" w:type="dxa"/>
            <w:vAlign w:val="bottom"/>
            <w:tcBorders>
              <w:top w:val="single" w:sz="8" w:color="auto"/>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660" w:type="dxa"/>
            <w:vAlign w:val="bottom"/>
            <w:tcBorders>
              <w:top w:val="single" w:sz="8" w:color="auto"/>
            </w:tcBorders>
            <w:shd w:val="clear" w:color="auto" w:fill="CCEEFF"/>
          </w:tcPr>
          <w:p>
            <w:pPr>
              <w:spacing w:after="0"/>
              <w:rPr>
                <w:sz w:val="8"/>
                <w:szCs w:val="8"/>
                <w:color w:val="auto"/>
              </w:rPr>
            </w:pPr>
          </w:p>
        </w:tc>
        <w:tc>
          <w:tcPr>
            <w:tcW w:w="140" w:type="dxa"/>
            <w:vAlign w:val="bottom"/>
            <w:tcBorders>
              <w:top w:val="single" w:sz="8" w:color="CCEEFF"/>
            </w:tcBorders>
            <w:shd w:val="clear" w:color="auto" w:fill="CCEEFF"/>
          </w:tcPr>
          <w:p>
            <w:pPr>
              <w:spacing w:after="0"/>
              <w:rPr>
                <w:sz w:val="8"/>
                <w:szCs w:val="8"/>
                <w:color w:val="auto"/>
              </w:rPr>
            </w:pPr>
          </w:p>
        </w:tc>
        <w:tc>
          <w:tcPr>
            <w:tcW w:w="68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78"/>
        </w:trPr>
        <w:tc>
          <w:tcPr>
            <w:tcW w:w="1200" w:type="dxa"/>
            <w:vAlign w:val="bottom"/>
            <w:shd w:val="clear" w:color="auto" w:fill="CCEEFF"/>
          </w:tcPr>
          <w:p>
            <w:pPr>
              <w:spacing w:after="0"/>
              <w:rPr>
                <w:sz w:val="20"/>
                <w:szCs w:val="20"/>
                <w:color w:val="auto"/>
              </w:rPr>
            </w:pPr>
            <w:r>
              <w:rPr>
                <w:rFonts w:ascii="Arial" w:cs="Arial" w:eastAsia="Arial" w:hAnsi="Arial"/>
                <w:sz w:val="14"/>
                <w:szCs w:val="14"/>
                <w:b w:val="1"/>
                <w:bCs w:val="1"/>
                <w:color w:val="auto"/>
                <w:w w:val="93"/>
              </w:rPr>
              <w:t>December 31, 2016</w:t>
            </w:r>
          </w:p>
        </w:tc>
        <w:tc>
          <w:tcPr>
            <w:tcW w:w="94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94,382</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w w:val="93"/>
              </w:rPr>
              <w:t>1,318,993</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w w:val="96"/>
              </w:rPr>
              <w:t>(209,322)</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w w:val="94"/>
              </w:rPr>
              <w:t>280,876</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4"/>
              </w:rPr>
              <w:t>13,539,091</w:t>
            </w:r>
          </w:p>
        </w:tc>
        <w:tc>
          <w:tcPr>
            <w:tcW w:w="14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94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1,146,788</w:t>
            </w:r>
          </w:p>
        </w:tc>
        <w:tc>
          <w:tcPr>
            <w:tcW w:w="74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24,650</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38,293</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3,516,766</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w w:val="96"/>
              </w:rPr>
              <w:t>19,656,135</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460,376</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4"/>
              </w:rPr>
              <w:t>20,116,511</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6"/>
        </w:trPr>
        <w:tc>
          <w:tcPr>
            <w:tcW w:w="1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4"/>
        </w:trPr>
        <w:tc>
          <w:tcPr>
            <w:tcW w:w="1200" w:type="dxa"/>
            <w:vAlign w:val="bottom"/>
            <w:shd w:val="clear" w:color="auto" w:fill="CCEEFF"/>
          </w:tcPr>
          <w:p>
            <w:pPr>
              <w:spacing w:after="0" w:line="125" w:lineRule="exact"/>
              <w:rPr>
                <w:sz w:val="20"/>
                <w:szCs w:val="20"/>
                <w:color w:val="auto"/>
              </w:rPr>
            </w:pPr>
            <w:r>
              <w:rPr>
                <w:rFonts w:ascii="Arial" w:cs="Arial" w:eastAsia="Arial" w:hAnsi="Arial"/>
                <w:sz w:val="14"/>
                <w:szCs w:val="14"/>
                <w:color w:val="auto"/>
                <w:w w:val="92"/>
              </w:rPr>
              <w:t>Changes in equity in</w:t>
            </w:r>
          </w:p>
        </w:tc>
        <w:tc>
          <w:tcPr>
            <w:tcW w:w="2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1"/>
        </w:trPr>
        <w:tc>
          <w:tcPr>
            <w:tcW w:w="1200" w:type="dxa"/>
            <w:vAlign w:val="bottom"/>
            <w:shd w:val="clear" w:color="auto" w:fill="CCEEFF"/>
          </w:tcPr>
          <w:p>
            <w:pPr>
              <w:spacing w:after="0"/>
              <w:rPr>
                <w:sz w:val="20"/>
                <w:szCs w:val="20"/>
                <w:color w:val="auto"/>
              </w:rPr>
            </w:pPr>
            <w:r>
              <w:rPr>
                <w:rFonts w:ascii="Arial" w:cs="Arial" w:eastAsia="Arial" w:hAnsi="Arial"/>
                <w:sz w:val="14"/>
                <w:szCs w:val="14"/>
                <w:color w:val="auto"/>
              </w:rPr>
              <w:t>2017 -</w:t>
            </w:r>
          </w:p>
        </w:tc>
        <w:tc>
          <w:tcPr>
            <w:tcW w:w="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4"/>
        </w:trPr>
        <w:tc>
          <w:tcPr>
            <w:tcW w:w="1200" w:type="dxa"/>
            <w:vAlign w:val="bottom"/>
          </w:tcPr>
          <w:p>
            <w:pPr>
              <w:spacing w:after="0" w:line="125" w:lineRule="exact"/>
              <w:rPr>
                <w:sz w:val="20"/>
                <w:szCs w:val="20"/>
                <w:color w:val="auto"/>
              </w:rPr>
            </w:pPr>
            <w:r>
              <w:rPr>
                <w:rFonts w:ascii="Arial" w:cs="Arial" w:eastAsia="Arial" w:hAnsi="Arial"/>
                <w:sz w:val="14"/>
                <w:szCs w:val="14"/>
                <w:color w:val="auto"/>
              </w:rPr>
              <w:t>Net profit for the</w:t>
            </w:r>
          </w:p>
        </w:tc>
        <w:tc>
          <w:tcPr>
            <w:tcW w:w="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1"/>
        </w:trPr>
        <w:tc>
          <w:tcPr>
            <w:tcW w:w="1200" w:type="dxa"/>
            <w:vAlign w:val="bottom"/>
          </w:tcPr>
          <w:p>
            <w:pPr>
              <w:spacing w:after="0"/>
              <w:rPr>
                <w:sz w:val="20"/>
                <w:szCs w:val="20"/>
                <w:color w:val="auto"/>
              </w:rPr>
            </w:pPr>
            <w:r>
              <w:rPr>
                <w:rFonts w:ascii="Arial" w:cs="Arial" w:eastAsia="Arial" w:hAnsi="Arial"/>
                <w:sz w:val="14"/>
                <w:szCs w:val="14"/>
                <w:color w:val="auto"/>
              </w:rPr>
              <w:t>year</w:t>
            </w:r>
          </w:p>
        </w:tc>
        <w:tc>
          <w:tcPr>
            <w:tcW w:w="940" w:type="dxa"/>
            <w:vAlign w:val="bottom"/>
            <w:gridSpan w:val="3"/>
          </w:tcPr>
          <w:p>
            <w:pPr>
              <w:jc w:val="right"/>
              <w:ind w:right="100"/>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940" w:type="dxa"/>
            <w:vAlign w:val="bottom"/>
            <w:gridSpan w:val="3"/>
          </w:tcPr>
          <w:p>
            <w:pPr>
              <w:jc w:val="right"/>
              <w:ind w:right="100"/>
              <w:spacing w:after="0"/>
              <w:rPr>
                <w:sz w:val="20"/>
                <w:szCs w:val="20"/>
                <w:color w:val="auto"/>
              </w:rPr>
            </w:pPr>
            <w:r>
              <w:rPr>
                <w:rFonts w:ascii="Arial" w:cs="Arial" w:eastAsia="Arial" w:hAnsi="Arial"/>
                <w:sz w:val="14"/>
                <w:szCs w:val="14"/>
                <w:color w:val="auto"/>
              </w:rPr>
              <w:t>-</w:t>
            </w:r>
          </w:p>
        </w:tc>
        <w:tc>
          <w:tcPr>
            <w:tcW w:w="740" w:type="dxa"/>
            <w:vAlign w:val="bottom"/>
            <w:gridSpan w:val="3"/>
          </w:tcPr>
          <w:p>
            <w:pPr>
              <w:jc w:val="right"/>
              <w:ind w:right="120"/>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4"/>
                <w:szCs w:val="14"/>
                <w:color w:val="auto"/>
              </w:rPr>
              <w:t>4,091,753</w:t>
            </w:r>
          </w:p>
        </w:tc>
        <w:tc>
          <w:tcPr>
            <w:tcW w:w="820" w:type="dxa"/>
            <w:vAlign w:val="bottom"/>
            <w:gridSpan w:val="2"/>
          </w:tcPr>
          <w:p>
            <w:pPr>
              <w:jc w:val="right"/>
              <w:ind w:right="120"/>
              <w:spacing w:after="0"/>
              <w:rPr>
                <w:sz w:val="20"/>
                <w:szCs w:val="20"/>
                <w:color w:val="auto"/>
              </w:rPr>
            </w:pPr>
            <w:r>
              <w:rPr>
                <w:rFonts w:ascii="Arial" w:cs="Arial" w:eastAsia="Arial" w:hAnsi="Arial"/>
                <w:sz w:val="14"/>
                <w:szCs w:val="14"/>
                <w:color w:val="auto"/>
              </w:rPr>
              <w:t>4,091,753</w:t>
            </w: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rPr>
              <w:t>89,895</w:t>
            </w:r>
          </w:p>
        </w:tc>
        <w:tc>
          <w:tcPr>
            <w:tcW w:w="680" w:type="dxa"/>
            <w:vAlign w:val="bottom"/>
          </w:tcPr>
          <w:p>
            <w:pPr>
              <w:jc w:val="right"/>
              <w:spacing w:after="0"/>
              <w:rPr>
                <w:sz w:val="20"/>
                <w:szCs w:val="20"/>
                <w:color w:val="auto"/>
              </w:rPr>
            </w:pPr>
            <w:r>
              <w:rPr>
                <w:rFonts w:ascii="Arial" w:cs="Arial" w:eastAsia="Arial" w:hAnsi="Arial"/>
                <w:sz w:val="14"/>
                <w:szCs w:val="14"/>
                <w:color w:val="auto"/>
              </w:rPr>
              <w:t>4,181,648</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4"/>
        </w:trPr>
        <w:tc>
          <w:tcPr>
            <w:tcW w:w="1200" w:type="dxa"/>
            <w:vAlign w:val="bottom"/>
            <w:shd w:val="clear" w:color="auto" w:fill="CCEEFF"/>
          </w:tcPr>
          <w:p>
            <w:pPr>
              <w:spacing w:after="0" w:line="125" w:lineRule="exact"/>
              <w:rPr>
                <w:sz w:val="20"/>
                <w:szCs w:val="20"/>
                <w:color w:val="auto"/>
              </w:rPr>
            </w:pPr>
            <w:r>
              <w:rPr>
                <w:rFonts w:ascii="Arial" w:cs="Arial" w:eastAsia="Arial" w:hAnsi="Arial"/>
                <w:sz w:val="14"/>
                <w:szCs w:val="14"/>
                <w:color w:val="auto"/>
              </w:rPr>
              <w:t>Other</w:t>
            </w:r>
          </w:p>
        </w:tc>
        <w:tc>
          <w:tcPr>
            <w:tcW w:w="2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120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rPr>
              <w:t>comprehensive</w:t>
            </w:r>
          </w:p>
        </w:tc>
        <w:tc>
          <w:tcPr>
            <w:tcW w:w="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1200" w:type="dxa"/>
            <w:vAlign w:val="bottom"/>
            <w:shd w:val="clear" w:color="auto" w:fill="CCEEFF"/>
          </w:tcPr>
          <w:p>
            <w:pPr>
              <w:spacing w:after="0"/>
              <w:rPr>
                <w:sz w:val="20"/>
                <w:szCs w:val="20"/>
                <w:color w:val="auto"/>
              </w:rPr>
            </w:pPr>
            <w:r>
              <w:rPr>
                <w:rFonts w:ascii="Arial" w:cs="Arial" w:eastAsia="Arial" w:hAnsi="Arial"/>
                <w:sz w:val="14"/>
                <w:szCs w:val="14"/>
                <w:color w:val="auto"/>
              </w:rPr>
              <w:t>income</w:t>
            </w:r>
          </w:p>
        </w:tc>
        <w:tc>
          <w:tcPr>
            <w:tcW w:w="94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94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357,628</w:t>
            </w:r>
          </w:p>
        </w:tc>
        <w:tc>
          <w:tcPr>
            <w:tcW w:w="74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(57,431)</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(54,334)</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245,863</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3,008</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248,871</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04"/>
        </w:trPr>
        <w:tc>
          <w:tcPr>
            <w:tcW w:w="1200" w:type="dxa"/>
            <w:vAlign w:val="bottom"/>
          </w:tcPr>
          <w:p>
            <w:pPr>
              <w:spacing w:after="0" w:line="105" w:lineRule="exact"/>
              <w:rPr>
                <w:sz w:val="20"/>
                <w:szCs w:val="20"/>
                <w:color w:val="auto"/>
              </w:rPr>
            </w:pPr>
            <w:r>
              <w:rPr>
                <w:rFonts w:ascii="Arial" w:cs="Arial" w:eastAsia="Arial" w:hAnsi="Arial"/>
                <w:sz w:val="12"/>
                <w:szCs w:val="12"/>
                <w:color w:val="auto"/>
              </w:rPr>
              <w:t>Total comprehensive</w:t>
            </w:r>
          </w:p>
        </w:tc>
        <w:tc>
          <w:tcPr>
            <w:tcW w:w="20" w:type="dxa"/>
            <w:vAlign w:val="bottom"/>
          </w:tcPr>
          <w:p>
            <w:pPr>
              <w:spacing w:after="0"/>
              <w:rPr>
                <w:sz w:val="9"/>
                <w:szCs w:val="9"/>
                <w:color w:val="auto"/>
              </w:rPr>
            </w:pPr>
          </w:p>
        </w:tc>
        <w:tc>
          <w:tcPr>
            <w:tcW w:w="82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tcBorders>
              <w:top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Borders>
              <w:top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80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58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Borders>
              <w:top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1"/>
        </w:trPr>
        <w:tc>
          <w:tcPr>
            <w:tcW w:w="1200" w:type="dxa"/>
            <w:vAlign w:val="bottom"/>
          </w:tcPr>
          <w:p>
            <w:pPr>
              <w:spacing w:after="0"/>
              <w:rPr>
                <w:sz w:val="20"/>
                <w:szCs w:val="20"/>
                <w:color w:val="auto"/>
              </w:rPr>
            </w:pPr>
            <w:r>
              <w:rPr>
                <w:rFonts w:ascii="Arial" w:cs="Arial" w:eastAsia="Arial" w:hAnsi="Arial"/>
                <w:sz w:val="14"/>
                <w:szCs w:val="14"/>
                <w:color w:val="auto"/>
              </w:rPr>
              <w:t>income</w:t>
            </w:r>
          </w:p>
        </w:tc>
        <w:tc>
          <w:tcPr>
            <w:tcW w:w="940" w:type="dxa"/>
            <w:vAlign w:val="bottom"/>
            <w:gridSpan w:val="3"/>
          </w:tcPr>
          <w:p>
            <w:pPr>
              <w:jc w:val="right"/>
              <w:ind w:right="100"/>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940" w:type="dxa"/>
            <w:vAlign w:val="bottom"/>
            <w:gridSpan w:val="3"/>
          </w:tcPr>
          <w:p>
            <w:pPr>
              <w:jc w:val="right"/>
              <w:ind w:right="100"/>
              <w:spacing w:after="0"/>
              <w:rPr>
                <w:sz w:val="20"/>
                <w:szCs w:val="20"/>
                <w:color w:val="auto"/>
              </w:rPr>
            </w:pPr>
            <w:r>
              <w:rPr>
                <w:rFonts w:ascii="Arial" w:cs="Arial" w:eastAsia="Arial" w:hAnsi="Arial"/>
                <w:sz w:val="14"/>
                <w:szCs w:val="14"/>
                <w:color w:val="auto"/>
              </w:rPr>
              <w:t>357,628</w:t>
            </w:r>
          </w:p>
        </w:tc>
        <w:tc>
          <w:tcPr>
            <w:tcW w:w="740" w:type="dxa"/>
            <w:vAlign w:val="bottom"/>
            <w:gridSpan w:val="3"/>
          </w:tcPr>
          <w:p>
            <w:pPr>
              <w:jc w:val="right"/>
              <w:ind w:right="80"/>
              <w:spacing w:after="0"/>
              <w:rPr>
                <w:sz w:val="20"/>
                <w:szCs w:val="20"/>
                <w:color w:val="auto"/>
              </w:rPr>
            </w:pPr>
            <w:r>
              <w:rPr>
                <w:rFonts w:ascii="Arial" w:cs="Arial" w:eastAsia="Arial" w:hAnsi="Arial"/>
                <w:sz w:val="14"/>
                <w:szCs w:val="14"/>
                <w:color w:val="auto"/>
              </w:rPr>
              <w:t>(57,431)</w:t>
            </w:r>
          </w:p>
        </w:tc>
        <w:tc>
          <w:tcPr>
            <w:tcW w:w="800" w:type="dxa"/>
            <w:vAlign w:val="bottom"/>
            <w:gridSpan w:val="2"/>
          </w:tcPr>
          <w:p>
            <w:pPr>
              <w:jc w:val="right"/>
              <w:ind w:right="80"/>
              <w:spacing w:after="0"/>
              <w:rPr>
                <w:sz w:val="20"/>
                <w:szCs w:val="20"/>
                <w:color w:val="auto"/>
              </w:rPr>
            </w:pPr>
            <w:r>
              <w:rPr>
                <w:rFonts w:ascii="Arial" w:cs="Arial" w:eastAsia="Arial" w:hAnsi="Arial"/>
                <w:sz w:val="14"/>
                <w:szCs w:val="14"/>
                <w:color w:val="auto"/>
              </w:rPr>
              <w:t>(54,334)</w:t>
            </w:r>
          </w:p>
        </w:tc>
        <w:tc>
          <w:tcPr>
            <w:tcW w:w="800" w:type="dxa"/>
            <w:vAlign w:val="bottom"/>
            <w:gridSpan w:val="2"/>
          </w:tcPr>
          <w:p>
            <w:pPr>
              <w:jc w:val="right"/>
              <w:ind w:right="120"/>
              <w:spacing w:after="0"/>
              <w:rPr>
                <w:sz w:val="20"/>
                <w:szCs w:val="20"/>
                <w:color w:val="auto"/>
              </w:rPr>
            </w:pPr>
            <w:r>
              <w:rPr>
                <w:rFonts w:ascii="Arial" w:cs="Arial" w:eastAsia="Arial" w:hAnsi="Arial"/>
                <w:sz w:val="14"/>
                <w:szCs w:val="14"/>
                <w:color w:val="auto"/>
              </w:rPr>
              <w:t>4,091,753</w:t>
            </w:r>
          </w:p>
        </w:tc>
        <w:tc>
          <w:tcPr>
            <w:tcW w:w="820" w:type="dxa"/>
            <w:vAlign w:val="bottom"/>
            <w:gridSpan w:val="2"/>
          </w:tcPr>
          <w:p>
            <w:pPr>
              <w:jc w:val="right"/>
              <w:ind w:right="120"/>
              <w:spacing w:after="0"/>
              <w:rPr>
                <w:sz w:val="20"/>
                <w:szCs w:val="20"/>
                <w:color w:val="auto"/>
              </w:rPr>
            </w:pPr>
            <w:r>
              <w:rPr>
                <w:rFonts w:ascii="Arial" w:cs="Arial" w:eastAsia="Arial" w:hAnsi="Arial"/>
                <w:sz w:val="14"/>
                <w:szCs w:val="14"/>
                <w:color w:val="auto"/>
              </w:rPr>
              <w:t>4,337,616</w:t>
            </w: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rPr>
              <w:t>92,903</w:t>
            </w:r>
          </w:p>
        </w:tc>
        <w:tc>
          <w:tcPr>
            <w:tcW w:w="680" w:type="dxa"/>
            <w:vAlign w:val="bottom"/>
          </w:tcPr>
          <w:p>
            <w:pPr>
              <w:jc w:val="right"/>
              <w:spacing w:after="0"/>
              <w:rPr>
                <w:sz w:val="20"/>
                <w:szCs w:val="20"/>
                <w:color w:val="auto"/>
              </w:rPr>
            </w:pPr>
            <w:r>
              <w:rPr>
                <w:rFonts w:ascii="Arial" w:cs="Arial" w:eastAsia="Arial" w:hAnsi="Arial"/>
                <w:sz w:val="14"/>
                <w:szCs w:val="14"/>
                <w:color w:val="auto"/>
              </w:rPr>
              <w:t>4,430,519</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4"/>
        </w:trPr>
        <w:tc>
          <w:tcPr>
            <w:tcW w:w="1200" w:type="dxa"/>
            <w:vAlign w:val="bottom"/>
            <w:shd w:val="clear" w:color="auto" w:fill="CCEEFF"/>
          </w:tcPr>
          <w:p>
            <w:pPr>
              <w:spacing w:after="0" w:line="125" w:lineRule="exact"/>
              <w:rPr>
                <w:sz w:val="20"/>
                <w:szCs w:val="20"/>
                <w:color w:val="auto"/>
              </w:rPr>
            </w:pPr>
            <w:r>
              <w:rPr>
                <w:rFonts w:ascii="Arial" w:cs="Arial" w:eastAsia="Arial" w:hAnsi="Arial"/>
                <w:sz w:val="14"/>
                <w:szCs w:val="14"/>
                <w:color w:val="auto"/>
                <w:w w:val="96"/>
              </w:rPr>
              <w:t>Transfer of retained</w:t>
            </w:r>
          </w:p>
        </w:tc>
        <w:tc>
          <w:tcPr>
            <w:tcW w:w="2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120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w w:val="90"/>
              </w:rPr>
              <w:t>earnings to reserves,</w:t>
            </w:r>
          </w:p>
        </w:tc>
        <w:tc>
          <w:tcPr>
            <w:tcW w:w="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1200" w:type="dxa"/>
            <w:vAlign w:val="bottom"/>
            <w:shd w:val="clear" w:color="auto" w:fill="CCEEFF"/>
          </w:tcPr>
          <w:p>
            <w:pPr>
              <w:spacing w:after="0"/>
              <w:rPr>
                <w:sz w:val="20"/>
                <w:szCs w:val="20"/>
                <w:color w:val="auto"/>
              </w:rPr>
            </w:pPr>
            <w:r>
              <w:rPr>
                <w:rFonts w:ascii="Arial" w:cs="Arial" w:eastAsia="Arial" w:hAnsi="Arial"/>
                <w:sz w:val="14"/>
                <w:szCs w:val="14"/>
                <w:color w:val="auto"/>
              </w:rPr>
              <w:t>Note 17(c)</w:t>
            </w:r>
          </w:p>
        </w:tc>
        <w:tc>
          <w:tcPr>
            <w:tcW w:w="94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2,354,954</w:t>
            </w:r>
          </w:p>
        </w:tc>
        <w:tc>
          <w:tcPr>
            <w:tcW w:w="14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94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74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w w:val="97"/>
              </w:rPr>
              <w:t>(2,354,954)</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4"/>
        </w:trPr>
        <w:tc>
          <w:tcPr>
            <w:tcW w:w="1200" w:type="dxa"/>
            <w:vAlign w:val="bottom"/>
          </w:tcPr>
          <w:p>
            <w:pPr>
              <w:spacing w:after="0" w:line="125" w:lineRule="exact"/>
              <w:rPr>
                <w:sz w:val="20"/>
                <w:szCs w:val="20"/>
                <w:color w:val="auto"/>
              </w:rPr>
            </w:pPr>
            <w:r>
              <w:rPr>
                <w:rFonts w:ascii="Arial" w:cs="Arial" w:eastAsia="Arial" w:hAnsi="Arial"/>
                <w:sz w:val="14"/>
                <w:szCs w:val="14"/>
                <w:color w:val="auto"/>
              </w:rPr>
              <w:t>Dividend</w:t>
            </w:r>
          </w:p>
        </w:tc>
        <w:tc>
          <w:tcPr>
            <w:tcW w:w="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1200" w:type="dxa"/>
            <w:vAlign w:val="bottom"/>
          </w:tcPr>
          <w:p>
            <w:pPr>
              <w:spacing w:after="0" w:line="143" w:lineRule="exact"/>
              <w:rPr>
                <w:sz w:val="20"/>
                <w:szCs w:val="20"/>
                <w:color w:val="auto"/>
              </w:rPr>
            </w:pPr>
            <w:r>
              <w:rPr>
                <w:rFonts w:ascii="Arial" w:cs="Arial" w:eastAsia="Arial" w:hAnsi="Arial"/>
                <w:sz w:val="14"/>
                <w:szCs w:val="14"/>
                <w:color w:val="auto"/>
              </w:rPr>
              <w:t>distribution, Note</w:t>
            </w:r>
          </w:p>
        </w:tc>
        <w:tc>
          <w:tcPr>
            <w:tcW w:w="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1200" w:type="dxa"/>
            <w:vAlign w:val="bottom"/>
          </w:tcPr>
          <w:p>
            <w:pPr>
              <w:spacing w:after="0"/>
              <w:rPr>
                <w:sz w:val="20"/>
                <w:szCs w:val="20"/>
                <w:color w:val="auto"/>
              </w:rPr>
            </w:pPr>
            <w:r>
              <w:rPr>
                <w:rFonts w:ascii="Arial" w:cs="Arial" w:eastAsia="Arial" w:hAnsi="Arial"/>
                <w:sz w:val="14"/>
                <w:szCs w:val="14"/>
                <w:color w:val="auto"/>
              </w:rPr>
              <w:t>17(e)</w:t>
            </w:r>
          </w:p>
        </w:tc>
        <w:tc>
          <w:tcPr>
            <w:tcW w:w="940" w:type="dxa"/>
            <w:vAlign w:val="bottom"/>
            <w:gridSpan w:val="3"/>
          </w:tcPr>
          <w:p>
            <w:pPr>
              <w:jc w:val="right"/>
              <w:ind w:right="100"/>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940" w:type="dxa"/>
            <w:vAlign w:val="bottom"/>
            <w:gridSpan w:val="3"/>
          </w:tcPr>
          <w:p>
            <w:pPr>
              <w:jc w:val="right"/>
              <w:ind w:right="100"/>
              <w:spacing w:after="0"/>
              <w:rPr>
                <w:sz w:val="20"/>
                <w:szCs w:val="20"/>
                <w:color w:val="auto"/>
              </w:rPr>
            </w:pPr>
            <w:r>
              <w:rPr>
                <w:rFonts w:ascii="Arial" w:cs="Arial" w:eastAsia="Arial" w:hAnsi="Arial"/>
                <w:sz w:val="14"/>
                <w:szCs w:val="14"/>
                <w:color w:val="auto"/>
              </w:rPr>
              <w:t>-</w:t>
            </w:r>
          </w:p>
        </w:tc>
        <w:tc>
          <w:tcPr>
            <w:tcW w:w="740" w:type="dxa"/>
            <w:vAlign w:val="bottom"/>
            <w:gridSpan w:val="3"/>
          </w:tcPr>
          <w:p>
            <w:pPr>
              <w:jc w:val="right"/>
              <w:ind w:right="120"/>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4"/>
                <w:szCs w:val="14"/>
                <w:color w:val="auto"/>
              </w:rPr>
              <w:t>(979,989)</w:t>
            </w:r>
          </w:p>
        </w:tc>
        <w:tc>
          <w:tcPr>
            <w:tcW w:w="820" w:type="dxa"/>
            <w:vAlign w:val="bottom"/>
            <w:gridSpan w:val="2"/>
          </w:tcPr>
          <w:p>
            <w:pPr>
              <w:jc w:val="right"/>
              <w:ind w:right="80"/>
              <w:spacing w:after="0"/>
              <w:rPr>
                <w:sz w:val="20"/>
                <w:szCs w:val="20"/>
                <w:color w:val="auto"/>
              </w:rPr>
            </w:pPr>
            <w:r>
              <w:rPr>
                <w:rFonts w:ascii="Arial" w:cs="Arial" w:eastAsia="Arial" w:hAnsi="Arial"/>
                <w:sz w:val="14"/>
                <w:szCs w:val="14"/>
                <w:color w:val="auto"/>
              </w:rPr>
              <w:t>(979,989)</w:t>
            </w: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4"/>
                <w:szCs w:val="14"/>
                <w:color w:val="auto"/>
              </w:rPr>
              <w:t>(979,989)</w:t>
            </w:r>
          </w:p>
        </w:tc>
        <w:tc>
          <w:tcPr>
            <w:tcW w:w="0" w:type="dxa"/>
            <w:vAlign w:val="bottom"/>
          </w:tcPr>
          <w:p>
            <w:pPr>
              <w:spacing w:after="0"/>
              <w:rPr>
                <w:sz w:val="1"/>
                <w:szCs w:val="1"/>
                <w:color w:val="auto"/>
              </w:rPr>
            </w:pPr>
          </w:p>
        </w:tc>
      </w:tr>
      <w:tr>
        <w:trPr>
          <w:trHeight w:val="124"/>
        </w:trPr>
        <w:tc>
          <w:tcPr>
            <w:tcW w:w="1200" w:type="dxa"/>
            <w:vAlign w:val="bottom"/>
            <w:shd w:val="clear" w:color="auto" w:fill="CCEEFF"/>
          </w:tcPr>
          <w:p>
            <w:pPr>
              <w:spacing w:after="0" w:line="125" w:lineRule="exact"/>
              <w:rPr>
                <w:sz w:val="20"/>
                <w:szCs w:val="20"/>
                <w:color w:val="auto"/>
              </w:rPr>
            </w:pPr>
            <w:r>
              <w:rPr>
                <w:rFonts w:ascii="Arial" w:cs="Arial" w:eastAsia="Arial" w:hAnsi="Arial"/>
                <w:sz w:val="14"/>
                <w:szCs w:val="14"/>
                <w:color w:val="auto"/>
              </w:rPr>
              <w:t>Dividends of</w:t>
            </w:r>
          </w:p>
        </w:tc>
        <w:tc>
          <w:tcPr>
            <w:tcW w:w="2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1"/>
        </w:trPr>
        <w:tc>
          <w:tcPr>
            <w:tcW w:w="1200" w:type="dxa"/>
            <w:vAlign w:val="bottom"/>
            <w:shd w:val="clear" w:color="auto" w:fill="CCEEFF"/>
          </w:tcPr>
          <w:p>
            <w:pPr>
              <w:spacing w:after="0"/>
              <w:rPr>
                <w:sz w:val="20"/>
                <w:szCs w:val="20"/>
                <w:color w:val="auto"/>
              </w:rPr>
            </w:pPr>
            <w:r>
              <w:rPr>
                <w:rFonts w:ascii="Arial" w:cs="Arial" w:eastAsia="Arial" w:hAnsi="Arial"/>
                <w:sz w:val="14"/>
                <w:szCs w:val="14"/>
                <w:color w:val="auto"/>
              </w:rPr>
              <w:t>subsidiaries</w:t>
            </w:r>
          </w:p>
        </w:tc>
        <w:tc>
          <w:tcPr>
            <w:tcW w:w="94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94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74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(50,234)</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(50,234)</w:t>
            </w:r>
          </w:p>
        </w:tc>
        <w:tc>
          <w:tcPr>
            <w:tcW w:w="0" w:type="dxa"/>
            <w:vAlign w:val="bottom"/>
          </w:tcPr>
          <w:p>
            <w:pPr>
              <w:spacing w:after="0"/>
              <w:rPr>
                <w:sz w:val="1"/>
                <w:szCs w:val="1"/>
                <w:color w:val="auto"/>
              </w:rPr>
            </w:pPr>
          </w:p>
        </w:tc>
      </w:tr>
      <w:tr>
        <w:trPr>
          <w:trHeight w:val="124"/>
        </w:trPr>
        <w:tc>
          <w:tcPr>
            <w:tcW w:w="1200" w:type="dxa"/>
            <w:vAlign w:val="bottom"/>
          </w:tcPr>
          <w:p>
            <w:pPr>
              <w:spacing w:after="0" w:line="125" w:lineRule="exact"/>
              <w:rPr>
                <w:sz w:val="20"/>
                <w:szCs w:val="20"/>
                <w:color w:val="auto"/>
              </w:rPr>
            </w:pPr>
            <w:r>
              <w:rPr>
                <w:rFonts w:ascii="Arial" w:cs="Arial" w:eastAsia="Arial" w:hAnsi="Arial"/>
                <w:sz w:val="14"/>
                <w:szCs w:val="14"/>
                <w:color w:val="auto"/>
              </w:rPr>
              <w:t>Advance of</w:t>
            </w:r>
          </w:p>
        </w:tc>
        <w:tc>
          <w:tcPr>
            <w:tcW w:w="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1200" w:type="dxa"/>
            <w:vAlign w:val="bottom"/>
          </w:tcPr>
          <w:p>
            <w:pPr>
              <w:spacing w:after="0" w:line="143" w:lineRule="exact"/>
              <w:rPr>
                <w:sz w:val="20"/>
                <w:szCs w:val="20"/>
                <w:color w:val="auto"/>
              </w:rPr>
            </w:pPr>
            <w:r>
              <w:rPr>
                <w:rFonts w:ascii="Arial" w:cs="Arial" w:eastAsia="Arial" w:hAnsi="Arial"/>
                <w:sz w:val="14"/>
                <w:szCs w:val="14"/>
                <w:color w:val="auto"/>
              </w:rPr>
              <w:t>dividends, Note</w:t>
            </w:r>
          </w:p>
        </w:tc>
        <w:tc>
          <w:tcPr>
            <w:tcW w:w="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1200" w:type="dxa"/>
            <w:vAlign w:val="bottom"/>
          </w:tcPr>
          <w:p>
            <w:pPr>
              <w:spacing w:after="0"/>
              <w:rPr>
                <w:sz w:val="20"/>
                <w:szCs w:val="20"/>
                <w:color w:val="auto"/>
              </w:rPr>
            </w:pPr>
            <w:r>
              <w:rPr>
                <w:rFonts w:ascii="Arial" w:cs="Arial" w:eastAsia="Arial" w:hAnsi="Arial"/>
                <w:sz w:val="14"/>
                <w:szCs w:val="14"/>
                <w:color w:val="auto"/>
              </w:rPr>
              <w:t>17(e)</w:t>
            </w:r>
          </w:p>
        </w:tc>
        <w:tc>
          <w:tcPr>
            <w:tcW w:w="940" w:type="dxa"/>
            <w:vAlign w:val="bottom"/>
            <w:gridSpan w:val="3"/>
          </w:tcPr>
          <w:p>
            <w:pPr>
              <w:jc w:val="right"/>
              <w:ind w:right="100"/>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w w:val="97"/>
              </w:rPr>
              <w:t>(1,252,255)</w:t>
            </w:r>
          </w:p>
        </w:tc>
        <w:tc>
          <w:tcPr>
            <w:tcW w:w="7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940" w:type="dxa"/>
            <w:vAlign w:val="bottom"/>
            <w:gridSpan w:val="3"/>
          </w:tcPr>
          <w:p>
            <w:pPr>
              <w:jc w:val="right"/>
              <w:ind w:right="100"/>
              <w:spacing w:after="0"/>
              <w:rPr>
                <w:sz w:val="20"/>
                <w:szCs w:val="20"/>
                <w:color w:val="auto"/>
              </w:rPr>
            </w:pPr>
            <w:r>
              <w:rPr>
                <w:rFonts w:ascii="Arial" w:cs="Arial" w:eastAsia="Arial" w:hAnsi="Arial"/>
                <w:sz w:val="14"/>
                <w:szCs w:val="14"/>
                <w:color w:val="auto"/>
              </w:rPr>
              <w:t>-</w:t>
            </w:r>
          </w:p>
        </w:tc>
        <w:tc>
          <w:tcPr>
            <w:tcW w:w="740" w:type="dxa"/>
            <w:vAlign w:val="bottom"/>
            <w:gridSpan w:val="3"/>
          </w:tcPr>
          <w:p>
            <w:pPr>
              <w:jc w:val="right"/>
              <w:ind w:right="120"/>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80"/>
              <w:spacing w:after="0"/>
              <w:rPr>
                <w:sz w:val="20"/>
                <w:szCs w:val="20"/>
                <w:color w:val="auto"/>
              </w:rPr>
            </w:pPr>
            <w:r>
              <w:rPr>
                <w:rFonts w:ascii="Arial" w:cs="Arial" w:eastAsia="Arial" w:hAnsi="Arial"/>
                <w:sz w:val="14"/>
                <w:szCs w:val="14"/>
                <w:color w:val="auto"/>
              </w:rPr>
              <w:t>(1,252,255)</w:t>
            </w: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4"/>
                <w:szCs w:val="14"/>
                <w:color w:val="auto"/>
              </w:rPr>
              <w:t>(1,252,255)</w:t>
            </w:r>
          </w:p>
        </w:tc>
        <w:tc>
          <w:tcPr>
            <w:tcW w:w="0" w:type="dxa"/>
            <w:vAlign w:val="bottom"/>
          </w:tcPr>
          <w:p>
            <w:pPr>
              <w:spacing w:after="0"/>
              <w:rPr>
                <w:sz w:val="1"/>
                <w:szCs w:val="1"/>
                <w:color w:val="auto"/>
              </w:rPr>
            </w:pPr>
          </w:p>
        </w:tc>
      </w:tr>
      <w:tr>
        <w:trPr>
          <w:trHeight w:val="124"/>
        </w:trPr>
        <w:tc>
          <w:tcPr>
            <w:tcW w:w="1200" w:type="dxa"/>
            <w:vAlign w:val="bottom"/>
            <w:shd w:val="clear" w:color="auto" w:fill="CCEEFF"/>
          </w:tcPr>
          <w:p>
            <w:pPr>
              <w:spacing w:after="0" w:line="125" w:lineRule="exact"/>
              <w:rPr>
                <w:sz w:val="20"/>
                <w:szCs w:val="20"/>
                <w:color w:val="auto"/>
              </w:rPr>
            </w:pPr>
            <w:r>
              <w:rPr>
                <w:rFonts w:ascii="Arial" w:cs="Arial" w:eastAsia="Arial" w:hAnsi="Arial"/>
                <w:sz w:val="14"/>
                <w:szCs w:val="14"/>
                <w:color w:val="auto"/>
                <w:w w:val="91"/>
              </w:rPr>
              <w:t>Purchase of treasury</w:t>
            </w:r>
          </w:p>
        </w:tc>
        <w:tc>
          <w:tcPr>
            <w:tcW w:w="2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1"/>
        </w:trPr>
        <w:tc>
          <w:tcPr>
            <w:tcW w:w="1200" w:type="dxa"/>
            <w:vAlign w:val="bottom"/>
            <w:shd w:val="clear" w:color="auto" w:fill="CCEEFF"/>
          </w:tcPr>
          <w:p>
            <w:pPr>
              <w:spacing w:after="0"/>
              <w:rPr>
                <w:sz w:val="20"/>
                <w:szCs w:val="20"/>
                <w:color w:val="auto"/>
              </w:rPr>
            </w:pPr>
            <w:r>
              <w:rPr>
                <w:rFonts w:ascii="Arial" w:cs="Arial" w:eastAsia="Arial" w:hAnsi="Arial"/>
                <w:sz w:val="14"/>
                <w:szCs w:val="14"/>
                <w:color w:val="auto"/>
              </w:rPr>
              <w:t>stock, Note 17(b)</w:t>
            </w:r>
          </w:p>
        </w:tc>
        <w:tc>
          <w:tcPr>
            <w:tcW w:w="94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(2,141)</w:t>
            </w: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(68,867)</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94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74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(71,008)</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(71,008)</w:t>
            </w:r>
          </w:p>
        </w:tc>
        <w:tc>
          <w:tcPr>
            <w:tcW w:w="0" w:type="dxa"/>
            <w:vAlign w:val="bottom"/>
          </w:tcPr>
          <w:p>
            <w:pPr>
              <w:spacing w:after="0"/>
              <w:rPr>
                <w:sz w:val="1"/>
                <w:szCs w:val="1"/>
                <w:color w:val="auto"/>
              </w:rPr>
            </w:pPr>
          </w:p>
        </w:tc>
      </w:tr>
      <w:tr>
        <w:trPr>
          <w:trHeight w:val="124"/>
        </w:trPr>
        <w:tc>
          <w:tcPr>
            <w:tcW w:w="1200" w:type="dxa"/>
            <w:vAlign w:val="bottom"/>
          </w:tcPr>
          <w:p>
            <w:pPr>
              <w:spacing w:after="0" w:line="125" w:lineRule="exact"/>
              <w:rPr>
                <w:sz w:val="20"/>
                <w:szCs w:val="20"/>
                <w:color w:val="auto"/>
              </w:rPr>
            </w:pPr>
            <w:r>
              <w:rPr>
                <w:rFonts w:ascii="Arial" w:cs="Arial" w:eastAsia="Arial" w:hAnsi="Arial"/>
                <w:sz w:val="14"/>
                <w:szCs w:val="14"/>
                <w:color w:val="auto"/>
              </w:rPr>
              <w:t>Share-based</w:t>
            </w:r>
          </w:p>
        </w:tc>
        <w:tc>
          <w:tcPr>
            <w:tcW w:w="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1200" w:type="dxa"/>
            <w:vAlign w:val="bottom"/>
          </w:tcPr>
          <w:p>
            <w:pPr>
              <w:spacing w:after="0" w:line="143" w:lineRule="exact"/>
              <w:rPr>
                <w:sz w:val="20"/>
                <w:szCs w:val="20"/>
                <w:color w:val="auto"/>
              </w:rPr>
            </w:pPr>
            <w:r>
              <w:rPr>
                <w:rFonts w:ascii="Arial" w:cs="Arial" w:eastAsia="Arial" w:hAnsi="Arial"/>
                <w:sz w:val="14"/>
                <w:szCs w:val="14"/>
                <w:color w:val="auto"/>
              </w:rPr>
              <w:t>payment</w:t>
            </w:r>
          </w:p>
        </w:tc>
        <w:tc>
          <w:tcPr>
            <w:tcW w:w="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1200" w:type="dxa"/>
            <w:vAlign w:val="bottom"/>
          </w:tcPr>
          <w:p>
            <w:pPr>
              <w:spacing w:after="0"/>
              <w:rPr>
                <w:sz w:val="20"/>
                <w:szCs w:val="20"/>
                <w:color w:val="auto"/>
              </w:rPr>
            </w:pPr>
            <w:r>
              <w:rPr>
                <w:rFonts w:ascii="Arial" w:cs="Arial" w:eastAsia="Arial" w:hAnsi="Arial"/>
                <w:sz w:val="14"/>
                <w:szCs w:val="14"/>
                <w:color w:val="auto"/>
              </w:rPr>
              <w:t>transactions</w:t>
            </w:r>
          </w:p>
        </w:tc>
        <w:tc>
          <w:tcPr>
            <w:tcW w:w="940" w:type="dxa"/>
            <w:vAlign w:val="bottom"/>
            <w:gridSpan w:val="3"/>
          </w:tcPr>
          <w:p>
            <w:pPr>
              <w:jc w:val="right"/>
              <w:ind w:right="100"/>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120"/>
              <w:spacing w:after="0"/>
              <w:rPr>
                <w:sz w:val="20"/>
                <w:szCs w:val="20"/>
                <w:color w:val="auto"/>
              </w:rPr>
            </w:pPr>
            <w:r>
              <w:rPr>
                <w:rFonts w:ascii="Arial" w:cs="Arial" w:eastAsia="Arial" w:hAnsi="Arial"/>
                <w:sz w:val="14"/>
                <w:szCs w:val="14"/>
                <w:color w:val="auto"/>
              </w:rPr>
              <w:t>2,526</w:t>
            </w:r>
          </w:p>
        </w:tc>
        <w:tc>
          <w:tcPr>
            <w:tcW w:w="640" w:type="dxa"/>
            <w:vAlign w:val="bottom"/>
            <w:gridSpan w:val="2"/>
          </w:tcPr>
          <w:p>
            <w:pPr>
              <w:jc w:val="right"/>
              <w:ind w:right="140"/>
              <w:spacing w:after="0"/>
              <w:rPr>
                <w:sz w:val="20"/>
                <w:szCs w:val="20"/>
                <w:color w:val="auto"/>
              </w:rPr>
            </w:pPr>
            <w:r>
              <w:rPr>
                <w:rFonts w:ascii="Arial" w:cs="Arial" w:eastAsia="Arial" w:hAnsi="Arial"/>
                <w:sz w:val="14"/>
                <w:szCs w:val="14"/>
                <w:color w:val="auto"/>
              </w:rPr>
              <w:t>59,939</w:t>
            </w:r>
          </w:p>
        </w:tc>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rPr>
              <w:t>5,919</w:t>
            </w:r>
          </w:p>
        </w:tc>
        <w:tc>
          <w:tcPr>
            <w:tcW w:w="7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940" w:type="dxa"/>
            <w:vAlign w:val="bottom"/>
            <w:gridSpan w:val="3"/>
          </w:tcPr>
          <w:p>
            <w:pPr>
              <w:jc w:val="right"/>
              <w:ind w:right="100"/>
              <w:spacing w:after="0"/>
              <w:rPr>
                <w:sz w:val="20"/>
                <w:szCs w:val="20"/>
                <w:color w:val="auto"/>
              </w:rPr>
            </w:pPr>
            <w:r>
              <w:rPr>
                <w:rFonts w:ascii="Arial" w:cs="Arial" w:eastAsia="Arial" w:hAnsi="Arial"/>
                <w:sz w:val="14"/>
                <w:szCs w:val="14"/>
                <w:color w:val="auto"/>
              </w:rPr>
              <w:t>-</w:t>
            </w:r>
          </w:p>
        </w:tc>
        <w:tc>
          <w:tcPr>
            <w:tcW w:w="740" w:type="dxa"/>
            <w:vAlign w:val="bottom"/>
            <w:gridSpan w:val="3"/>
          </w:tcPr>
          <w:p>
            <w:pPr>
              <w:jc w:val="right"/>
              <w:ind w:right="120"/>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20"/>
              <w:spacing w:after="0"/>
              <w:rPr>
                <w:sz w:val="20"/>
                <w:szCs w:val="20"/>
                <w:color w:val="auto"/>
              </w:rPr>
            </w:pPr>
            <w:r>
              <w:rPr>
                <w:rFonts w:ascii="Arial" w:cs="Arial" w:eastAsia="Arial" w:hAnsi="Arial"/>
                <w:sz w:val="14"/>
                <w:szCs w:val="14"/>
                <w:color w:val="auto"/>
              </w:rPr>
              <w:t>68,384</w:t>
            </w: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68,384</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200" w:type="dxa"/>
            <w:vAlign w:val="bottom"/>
            <w:shd w:val="clear" w:color="auto" w:fill="CCEEFF"/>
          </w:tcPr>
          <w:p>
            <w:pPr>
              <w:spacing w:after="0" w:line="156" w:lineRule="exact"/>
              <w:rPr>
                <w:sz w:val="20"/>
                <w:szCs w:val="20"/>
                <w:color w:val="auto"/>
              </w:rPr>
            </w:pPr>
            <w:r>
              <w:rPr>
                <w:rFonts w:ascii="Arial" w:cs="Arial" w:eastAsia="Arial" w:hAnsi="Arial"/>
                <w:sz w:val="14"/>
                <w:szCs w:val="14"/>
                <w:color w:val="auto"/>
              </w:rPr>
              <w:t>Others</w:t>
            </w:r>
          </w:p>
        </w:tc>
        <w:tc>
          <w:tcPr>
            <w:tcW w:w="940" w:type="dxa"/>
            <w:vAlign w:val="bottom"/>
            <w:gridSpan w:val="3"/>
            <w:shd w:val="clear" w:color="auto" w:fill="CCEEFF"/>
          </w:tcPr>
          <w:p>
            <w:pPr>
              <w:jc w:val="right"/>
              <w:ind w:right="100"/>
              <w:spacing w:after="0" w:line="156"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120"/>
              <w:spacing w:after="0" w:line="156"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120"/>
              <w:spacing w:after="0" w:line="156"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140"/>
              <w:spacing w:after="0" w:line="156"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56"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100"/>
              <w:spacing w:after="0" w:line="156" w:lineRule="exact"/>
              <w:rPr>
                <w:sz w:val="20"/>
                <w:szCs w:val="20"/>
                <w:color w:val="auto"/>
              </w:rPr>
            </w:pPr>
            <w:r>
              <w:rPr>
                <w:rFonts w:ascii="Arial" w:cs="Arial" w:eastAsia="Arial" w:hAnsi="Arial"/>
                <w:sz w:val="14"/>
                <w:szCs w:val="14"/>
                <w:color w:val="auto"/>
              </w:rPr>
              <w:t>-</w:t>
            </w:r>
          </w:p>
        </w:tc>
        <w:tc>
          <w:tcPr>
            <w:tcW w:w="940" w:type="dxa"/>
            <w:vAlign w:val="bottom"/>
            <w:gridSpan w:val="3"/>
            <w:shd w:val="clear" w:color="auto" w:fill="CCEEFF"/>
          </w:tcPr>
          <w:p>
            <w:pPr>
              <w:jc w:val="right"/>
              <w:ind w:right="100"/>
              <w:spacing w:after="0" w:line="156" w:lineRule="exact"/>
              <w:rPr>
                <w:sz w:val="20"/>
                <w:szCs w:val="20"/>
                <w:color w:val="auto"/>
              </w:rPr>
            </w:pPr>
            <w:r>
              <w:rPr>
                <w:rFonts w:ascii="Arial" w:cs="Arial" w:eastAsia="Arial" w:hAnsi="Arial"/>
                <w:sz w:val="14"/>
                <w:szCs w:val="14"/>
                <w:color w:val="auto"/>
              </w:rPr>
              <w:t>-</w:t>
            </w:r>
          </w:p>
        </w:tc>
        <w:tc>
          <w:tcPr>
            <w:tcW w:w="740" w:type="dxa"/>
            <w:vAlign w:val="bottom"/>
            <w:gridSpan w:val="3"/>
            <w:shd w:val="clear" w:color="auto" w:fill="CCEEFF"/>
          </w:tcPr>
          <w:p>
            <w:pPr>
              <w:jc w:val="right"/>
              <w:ind w:right="120"/>
              <w:spacing w:after="0" w:line="156"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56"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80"/>
              <w:spacing w:after="0" w:line="156" w:lineRule="exact"/>
              <w:rPr>
                <w:sz w:val="20"/>
                <w:szCs w:val="20"/>
                <w:color w:val="auto"/>
              </w:rPr>
            </w:pPr>
            <w:r>
              <w:rPr>
                <w:rFonts w:ascii="Arial" w:cs="Arial" w:eastAsia="Arial" w:hAnsi="Arial"/>
                <w:sz w:val="14"/>
                <w:szCs w:val="14"/>
                <w:color w:val="auto"/>
              </w:rPr>
              <w:t>(2,316)</w:t>
            </w:r>
          </w:p>
        </w:tc>
        <w:tc>
          <w:tcPr>
            <w:tcW w:w="820" w:type="dxa"/>
            <w:vAlign w:val="bottom"/>
            <w:gridSpan w:val="2"/>
            <w:shd w:val="clear" w:color="auto" w:fill="CCEEFF"/>
          </w:tcPr>
          <w:p>
            <w:pPr>
              <w:jc w:val="right"/>
              <w:ind w:right="80"/>
              <w:spacing w:after="0" w:line="156" w:lineRule="exact"/>
              <w:rPr>
                <w:sz w:val="20"/>
                <w:szCs w:val="20"/>
                <w:color w:val="auto"/>
              </w:rPr>
            </w:pPr>
            <w:r>
              <w:rPr>
                <w:rFonts w:ascii="Arial" w:cs="Arial" w:eastAsia="Arial" w:hAnsi="Arial"/>
                <w:sz w:val="14"/>
                <w:szCs w:val="14"/>
                <w:color w:val="auto"/>
              </w:rPr>
              <w:t>(2,316)</w:t>
            </w:r>
          </w:p>
        </w:tc>
        <w:tc>
          <w:tcPr>
            <w:tcW w:w="800" w:type="dxa"/>
            <w:vAlign w:val="bottom"/>
            <w:gridSpan w:val="2"/>
            <w:shd w:val="clear" w:color="auto" w:fill="CCEEFF"/>
          </w:tcPr>
          <w:p>
            <w:pPr>
              <w:jc w:val="right"/>
              <w:ind w:right="80"/>
              <w:spacing w:after="0" w:line="156" w:lineRule="exact"/>
              <w:rPr>
                <w:sz w:val="20"/>
                <w:szCs w:val="20"/>
                <w:color w:val="auto"/>
              </w:rPr>
            </w:pPr>
            <w:r>
              <w:rPr>
                <w:rFonts w:ascii="Arial" w:cs="Arial" w:eastAsia="Arial" w:hAnsi="Arial"/>
                <w:sz w:val="14"/>
                <w:szCs w:val="14"/>
                <w:color w:val="auto"/>
              </w:rPr>
              <w:t>(5,909)</w:t>
            </w:r>
          </w:p>
        </w:tc>
        <w:tc>
          <w:tcPr>
            <w:tcW w:w="760" w:type="dxa"/>
            <w:vAlign w:val="bottom"/>
            <w:gridSpan w:val="2"/>
            <w:shd w:val="clear" w:color="auto" w:fill="CCEEFF"/>
          </w:tcPr>
          <w:p>
            <w:pPr>
              <w:jc w:val="right"/>
              <w:ind w:right="20"/>
              <w:spacing w:after="0" w:line="156" w:lineRule="exact"/>
              <w:rPr>
                <w:sz w:val="20"/>
                <w:szCs w:val="20"/>
                <w:color w:val="auto"/>
              </w:rPr>
            </w:pPr>
            <w:r>
              <w:rPr>
                <w:rFonts w:ascii="Arial" w:cs="Arial" w:eastAsia="Arial" w:hAnsi="Arial"/>
                <w:sz w:val="14"/>
                <w:szCs w:val="14"/>
                <w:color w:val="auto"/>
              </w:rPr>
              <w:t>(8,225)</w:t>
            </w:r>
          </w:p>
        </w:tc>
        <w:tc>
          <w:tcPr>
            <w:tcW w:w="0" w:type="dxa"/>
            <w:vAlign w:val="bottom"/>
          </w:tcPr>
          <w:p>
            <w:pPr>
              <w:spacing w:after="0"/>
              <w:rPr>
                <w:sz w:val="1"/>
                <w:szCs w:val="1"/>
                <w:color w:val="auto"/>
              </w:rPr>
            </w:pPr>
          </w:p>
        </w:tc>
      </w:tr>
      <w:tr>
        <w:trPr>
          <w:trHeight w:val="100"/>
        </w:trPr>
        <w:tc>
          <w:tcPr>
            <w:tcW w:w="1200" w:type="dxa"/>
            <w:vAlign w:val="bottom"/>
          </w:tcPr>
          <w:p>
            <w:pPr>
              <w:spacing w:after="0" w:line="101" w:lineRule="exact"/>
              <w:rPr>
                <w:sz w:val="20"/>
                <w:szCs w:val="20"/>
                <w:color w:val="auto"/>
              </w:rPr>
            </w:pPr>
            <w:r>
              <w:rPr>
                <w:rFonts w:ascii="Arial" w:cs="Arial" w:eastAsia="Arial" w:hAnsi="Arial"/>
                <w:sz w:val="10"/>
                <w:szCs w:val="10"/>
                <w:b w:val="1"/>
                <w:bCs w:val="1"/>
                <w:color w:val="auto"/>
              </w:rPr>
              <w:t>Balances at</w:t>
            </w:r>
          </w:p>
        </w:tc>
        <w:tc>
          <w:tcPr>
            <w:tcW w:w="20" w:type="dxa"/>
            <w:vAlign w:val="bottom"/>
          </w:tcPr>
          <w:p>
            <w:pPr>
              <w:spacing w:after="0"/>
              <w:rPr>
                <w:sz w:val="8"/>
                <w:szCs w:val="8"/>
                <w:color w:val="auto"/>
              </w:rPr>
            </w:pPr>
          </w:p>
        </w:tc>
        <w:tc>
          <w:tcPr>
            <w:tcW w:w="82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Borders>
              <w:top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Borders>
              <w:top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80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58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Borders>
              <w:top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1"/>
        </w:trPr>
        <w:tc>
          <w:tcPr>
            <w:tcW w:w="1200" w:type="dxa"/>
            <w:vAlign w:val="bottom"/>
          </w:tcPr>
          <w:p>
            <w:pPr>
              <w:spacing w:after="0"/>
              <w:rPr>
                <w:sz w:val="20"/>
                <w:szCs w:val="20"/>
                <w:color w:val="auto"/>
              </w:rPr>
            </w:pPr>
            <w:r>
              <w:rPr>
                <w:rFonts w:ascii="Arial" w:cs="Arial" w:eastAsia="Arial" w:hAnsi="Arial"/>
                <w:sz w:val="14"/>
                <w:szCs w:val="14"/>
                <w:b w:val="1"/>
                <w:bCs w:val="1"/>
                <w:color w:val="auto"/>
                <w:w w:val="93"/>
              </w:rPr>
              <w:t>December 31, 2017</w:t>
            </w:r>
          </w:p>
        </w:tc>
        <w:tc>
          <w:tcPr>
            <w:tcW w:w="940" w:type="dxa"/>
            <w:vAlign w:val="bottom"/>
            <w:gridSpan w:val="3"/>
          </w:tcPr>
          <w:p>
            <w:pPr>
              <w:jc w:val="right"/>
              <w:ind w:right="100"/>
              <w:spacing w:after="0"/>
              <w:rPr>
                <w:sz w:val="20"/>
                <w:szCs w:val="20"/>
                <w:color w:val="auto"/>
              </w:rPr>
            </w:pPr>
            <w:r>
              <w:rPr>
                <w:rFonts w:ascii="Arial" w:cs="Arial" w:eastAsia="Arial" w:hAnsi="Arial"/>
                <w:sz w:val="14"/>
                <w:szCs w:val="14"/>
                <w:color w:val="auto"/>
              </w:rPr>
              <w:t>94,382</w:t>
            </w:r>
          </w:p>
        </w:tc>
        <w:tc>
          <w:tcPr>
            <w:tcW w:w="720" w:type="dxa"/>
            <w:vAlign w:val="bottom"/>
            <w:gridSpan w:val="2"/>
          </w:tcPr>
          <w:p>
            <w:pPr>
              <w:jc w:val="right"/>
              <w:ind w:right="120"/>
              <w:spacing w:after="0"/>
              <w:rPr>
                <w:sz w:val="20"/>
                <w:szCs w:val="20"/>
                <w:color w:val="auto"/>
              </w:rPr>
            </w:pPr>
            <w:r>
              <w:rPr>
                <w:rFonts w:ascii="Arial" w:cs="Arial" w:eastAsia="Arial" w:hAnsi="Arial"/>
                <w:sz w:val="14"/>
                <w:szCs w:val="14"/>
                <w:color w:val="auto"/>
                <w:w w:val="93"/>
              </w:rPr>
              <w:t>1,318,993</w:t>
            </w:r>
          </w:p>
        </w:tc>
        <w:tc>
          <w:tcPr>
            <w:tcW w:w="680" w:type="dxa"/>
            <w:vAlign w:val="bottom"/>
            <w:gridSpan w:val="2"/>
          </w:tcPr>
          <w:p>
            <w:pPr>
              <w:jc w:val="right"/>
              <w:ind w:right="80"/>
              <w:spacing w:after="0" w:line="191" w:lineRule="exact"/>
              <w:rPr>
                <w:sz w:val="20"/>
                <w:szCs w:val="20"/>
                <w:color w:val="auto"/>
              </w:rPr>
            </w:pPr>
            <w:r>
              <w:rPr>
                <w:rFonts w:ascii="Arial" w:cs="Arial" w:eastAsia="Arial" w:hAnsi="Arial"/>
                <w:sz w:val="12"/>
                <w:szCs w:val="12"/>
                <w:color w:val="auto"/>
              </w:rPr>
              <w:t>(208,937</w:t>
            </w:r>
            <w:r>
              <w:rPr>
                <w:rFonts w:ascii="Arial" w:cs="Arial" w:eastAsia="Arial" w:hAnsi="Arial"/>
                <w:sz w:val="22"/>
                <w:szCs w:val="22"/>
                <w:color w:val="auto"/>
                <w:vertAlign w:val="superscript"/>
              </w:rPr>
              <w:t>)</w:t>
            </w:r>
          </w:p>
        </w:tc>
        <w:tc>
          <w:tcPr>
            <w:tcW w:w="640" w:type="dxa"/>
            <w:vAlign w:val="bottom"/>
            <w:gridSpan w:val="2"/>
          </w:tcPr>
          <w:p>
            <w:pPr>
              <w:jc w:val="right"/>
              <w:ind w:right="140"/>
              <w:spacing w:after="0"/>
              <w:rPr>
                <w:sz w:val="20"/>
                <w:szCs w:val="20"/>
                <w:color w:val="auto"/>
              </w:rPr>
            </w:pPr>
            <w:r>
              <w:rPr>
                <w:rFonts w:ascii="Arial" w:cs="Arial" w:eastAsia="Arial" w:hAnsi="Arial"/>
                <w:sz w:val="14"/>
                <w:szCs w:val="14"/>
                <w:color w:val="auto"/>
                <w:w w:val="94"/>
              </w:rPr>
              <w:t>271,948</w:t>
            </w:r>
          </w:p>
        </w:tc>
        <w:tc>
          <w:tcPr>
            <w:tcW w:w="680" w:type="dxa"/>
            <w:vAlign w:val="bottom"/>
          </w:tcPr>
          <w:p>
            <w:pPr>
              <w:jc w:val="right"/>
              <w:spacing w:after="0"/>
              <w:rPr>
                <w:sz w:val="20"/>
                <w:szCs w:val="20"/>
                <w:color w:val="auto"/>
              </w:rPr>
            </w:pPr>
            <w:r>
              <w:rPr>
                <w:rFonts w:ascii="Arial" w:cs="Arial" w:eastAsia="Arial" w:hAnsi="Arial"/>
                <w:sz w:val="14"/>
                <w:szCs w:val="14"/>
                <w:color w:val="auto"/>
                <w:w w:val="94"/>
              </w:rPr>
              <w:t>14,647,709</w:t>
            </w:r>
          </w:p>
        </w:tc>
        <w:tc>
          <w:tcPr>
            <w:tcW w:w="140" w:type="dxa"/>
            <w:vAlign w:val="bottom"/>
          </w:tcPr>
          <w:p>
            <w:pPr>
              <w:spacing w:after="0"/>
              <w:rPr>
                <w:sz w:val="16"/>
                <w:szCs w:val="16"/>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940" w:type="dxa"/>
            <w:vAlign w:val="bottom"/>
            <w:gridSpan w:val="3"/>
          </w:tcPr>
          <w:p>
            <w:pPr>
              <w:jc w:val="right"/>
              <w:ind w:right="100"/>
              <w:spacing w:after="0"/>
              <w:rPr>
                <w:sz w:val="20"/>
                <w:szCs w:val="20"/>
                <w:color w:val="auto"/>
              </w:rPr>
            </w:pPr>
            <w:r>
              <w:rPr>
                <w:rFonts w:ascii="Arial" w:cs="Arial" w:eastAsia="Arial" w:hAnsi="Arial"/>
                <w:sz w:val="14"/>
                <w:szCs w:val="14"/>
                <w:color w:val="auto"/>
              </w:rPr>
              <w:t>1,504,416</w:t>
            </w:r>
          </w:p>
        </w:tc>
        <w:tc>
          <w:tcPr>
            <w:tcW w:w="740" w:type="dxa"/>
            <w:vAlign w:val="bottom"/>
            <w:gridSpan w:val="3"/>
          </w:tcPr>
          <w:p>
            <w:pPr>
              <w:jc w:val="right"/>
              <w:ind w:right="80"/>
              <w:spacing w:after="0" w:line="191" w:lineRule="exact"/>
              <w:rPr>
                <w:sz w:val="20"/>
                <w:szCs w:val="20"/>
                <w:color w:val="auto"/>
              </w:rPr>
            </w:pPr>
            <w:r>
              <w:rPr>
                <w:rFonts w:ascii="Arial" w:cs="Arial" w:eastAsia="Arial" w:hAnsi="Arial"/>
                <w:sz w:val="12"/>
                <w:szCs w:val="12"/>
                <w:color w:val="auto"/>
              </w:rPr>
              <w:t>(32,781</w:t>
            </w:r>
            <w:r>
              <w:rPr>
                <w:rFonts w:ascii="Arial" w:cs="Arial" w:eastAsia="Arial" w:hAnsi="Arial"/>
                <w:sz w:val="22"/>
                <w:szCs w:val="22"/>
                <w:color w:val="auto"/>
                <w:vertAlign w:val="superscript"/>
              </w:rPr>
              <w:t>)</w:t>
            </w:r>
          </w:p>
        </w:tc>
        <w:tc>
          <w:tcPr>
            <w:tcW w:w="800" w:type="dxa"/>
            <w:vAlign w:val="bottom"/>
            <w:gridSpan w:val="2"/>
          </w:tcPr>
          <w:p>
            <w:pPr>
              <w:jc w:val="right"/>
              <w:ind w:right="80"/>
              <w:spacing w:after="0" w:line="191" w:lineRule="exact"/>
              <w:rPr>
                <w:sz w:val="20"/>
                <w:szCs w:val="20"/>
                <w:color w:val="auto"/>
              </w:rPr>
            </w:pPr>
            <w:r>
              <w:rPr>
                <w:rFonts w:ascii="Arial" w:cs="Arial" w:eastAsia="Arial" w:hAnsi="Arial"/>
                <w:sz w:val="12"/>
                <w:szCs w:val="12"/>
                <w:color w:val="auto"/>
              </w:rPr>
              <w:t>(16,041</w:t>
            </w:r>
            <w:r>
              <w:rPr>
                <w:rFonts w:ascii="Arial" w:cs="Arial" w:eastAsia="Arial" w:hAnsi="Arial"/>
                <w:sz w:val="22"/>
                <w:szCs w:val="22"/>
                <w:color w:val="auto"/>
                <w:vertAlign w:val="superscript"/>
              </w:rPr>
              <w:t>)</w:t>
            </w:r>
          </w:p>
        </w:tc>
        <w:tc>
          <w:tcPr>
            <w:tcW w:w="800" w:type="dxa"/>
            <w:vAlign w:val="bottom"/>
            <w:gridSpan w:val="2"/>
          </w:tcPr>
          <w:p>
            <w:pPr>
              <w:jc w:val="right"/>
              <w:ind w:right="120"/>
              <w:spacing w:after="0"/>
              <w:rPr>
                <w:sz w:val="20"/>
                <w:szCs w:val="20"/>
                <w:color w:val="auto"/>
              </w:rPr>
            </w:pPr>
            <w:r>
              <w:rPr>
                <w:rFonts w:ascii="Arial" w:cs="Arial" w:eastAsia="Arial" w:hAnsi="Arial"/>
                <w:sz w:val="14"/>
                <w:szCs w:val="14"/>
                <w:color w:val="auto"/>
              </w:rPr>
              <w:t>4,271,260</w:t>
            </w:r>
          </w:p>
        </w:tc>
        <w:tc>
          <w:tcPr>
            <w:tcW w:w="820" w:type="dxa"/>
            <w:vAlign w:val="bottom"/>
            <w:gridSpan w:val="2"/>
          </w:tcPr>
          <w:p>
            <w:pPr>
              <w:jc w:val="right"/>
              <w:ind w:right="120"/>
              <w:spacing w:after="0"/>
              <w:rPr>
                <w:sz w:val="20"/>
                <w:szCs w:val="20"/>
                <w:color w:val="auto"/>
              </w:rPr>
            </w:pPr>
            <w:r>
              <w:rPr>
                <w:rFonts w:ascii="Arial" w:cs="Arial" w:eastAsia="Arial" w:hAnsi="Arial"/>
                <w:sz w:val="14"/>
                <w:szCs w:val="14"/>
                <w:color w:val="auto"/>
                <w:w w:val="96"/>
              </w:rPr>
              <w:t>21,756,567</w:t>
            </w: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rPr>
              <w:t>497,136</w:t>
            </w:r>
          </w:p>
        </w:tc>
        <w:tc>
          <w:tcPr>
            <w:tcW w:w="680" w:type="dxa"/>
            <w:vAlign w:val="bottom"/>
          </w:tcPr>
          <w:p>
            <w:pPr>
              <w:jc w:val="right"/>
              <w:spacing w:after="0"/>
              <w:rPr>
                <w:sz w:val="20"/>
                <w:szCs w:val="20"/>
                <w:color w:val="auto"/>
              </w:rPr>
            </w:pPr>
            <w:r>
              <w:rPr>
                <w:rFonts w:ascii="Arial" w:cs="Arial" w:eastAsia="Arial" w:hAnsi="Arial"/>
                <w:sz w:val="14"/>
                <w:szCs w:val="14"/>
                <w:color w:val="auto"/>
                <w:w w:val="94"/>
              </w:rPr>
              <w:t>22,253,703</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5" w:lineRule="exact"/>
        <w:rPr>
          <w:sz w:val="20"/>
          <w:szCs w:val="20"/>
          <w:color w:val="auto"/>
        </w:rPr>
      </w:pPr>
    </w:p>
    <w:p>
      <w:pPr>
        <w:spacing w:after="0"/>
        <w:rPr>
          <w:sz w:val="20"/>
          <w:szCs w:val="20"/>
          <w:color w:val="auto"/>
        </w:rPr>
      </w:pPr>
      <w:r>
        <w:rPr>
          <w:rFonts w:ascii="Arial" w:cs="Arial" w:eastAsia="Arial" w:hAnsi="Arial"/>
          <w:sz w:val="17"/>
          <w:szCs w:val="17"/>
          <w:color w:val="auto"/>
        </w:rPr>
        <w:t>The accompanying Notes are an integral part of these consolidated financial statements.</w:t>
      </w: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- 13 -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15875</wp:posOffset>
            </wp:positionV>
            <wp:extent cx="725170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1700" cy="8255"/>
                    </a:xfrm>
                    <a:prstGeom prst="rect">
                      <a:avLst/>
                    </a:prstGeom>
                    <a:noFill/>
                  </pic:spPr>
                </pic:pic>
              </a:graphicData>
            </a:graphic>
          </wp:anchor>
        </w:drawing>
      </w:r>
    </w:p>
    <w:p>
      <w:pPr>
        <w:sectPr>
          <w:pgSz w:w="11900" w:h="16854" w:orient="portrait"/>
          <w:cols w:equalWidth="0" w:num="1">
            <w:col w:w="11420"/>
          </w:cols>
          <w:pgMar w:left="240" w:top="875" w:right="239" w:bottom="0" w:gutter="0" w:footer="0" w:header="0"/>
        </w:sectPr>
      </w:pPr>
    </w:p>
    <w:bookmarkStart w:id="19" w:name="page20"/>
    <w:bookmarkEnd w:id="19"/>
    <w:p>
      <w:pPr>
        <w:spacing w:after="0"/>
        <w:rPr>
          <w:sz w:val="20"/>
          <w:szCs w:val="20"/>
          <w:color w:val="auto"/>
        </w:rPr>
      </w:pPr>
      <w:r>
        <w:rPr>
          <w:rFonts w:ascii="Arial" w:cs="Arial" w:eastAsia="Arial" w:hAnsi="Arial"/>
          <w:sz w:val="17"/>
          <w:szCs w:val="17"/>
          <w:b w:val="1"/>
          <w:bCs w:val="1"/>
          <w:color w:val="auto"/>
        </w:rPr>
        <w:t>CREDICORP LTD. AND SUBSIDIARIES</w:t>
      </w:r>
    </w:p>
    <w:p>
      <w:pPr>
        <w:spacing w:after="0" w:line="226" w:lineRule="exact"/>
        <w:rPr>
          <w:sz w:val="20"/>
          <w:szCs w:val="20"/>
          <w:color w:val="auto"/>
        </w:rPr>
      </w:pPr>
    </w:p>
    <w:p>
      <w:pPr>
        <w:spacing w:after="0"/>
        <w:rPr>
          <w:sz w:val="20"/>
          <w:szCs w:val="20"/>
          <w:color w:val="auto"/>
        </w:rPr>
      </w:pPr>
      <w:r>
        <w:rPr>
          <w:rFonts w:ascii="Arial" w:cs="Arial" w:eastAsia="Arial" w:hAnsi="Arial"/>
          <w:sz w:val="17"/>
          <w:szCs w:val="17"/>
          <w:color w:val="auto"/>
        </w:rPr>
        <w:t>CONSOLIDATED STATEMENT OF CASH FLOWS</w:t>
      </w:r>
    </w:p>
    <w:p>
      <w:pPr>
        <w:spacing w:after="0" w:line="25" w:lineRule="exact"/>
        <w:rPr>
          <w:sz w:val="20"/>
          <w:szCs w:val="20"/>
          <w:color w:val="auto"/>
        </w:rPr>
      </w:pPr>
    </w:p>
    <w:p>
      <w:pPr>
        <w:spacing w:after="0"/>
        <w:rPr>
          <w:sz w:val="20"/>
          <w:szCs w:val="20"/>
          <w:color w:val="auto"/>
        </w:rPr>
      </w:pPr>
      <w:r>
        <w:rPr>
          <w:rFonts w:ascii="Arial" w:cs="Arial" w:eastAsia="Arial" w:hAnsi="Arial"/>
          <w:sz w:val="17"/>
          <w:szCs w:val="17"/>
          <w:color w:val="auto"/>
        </w:rPr>
        <w:t>FOR THE YEARS ENDED DECEMBER 31, 2017, 2016 AND 2015</w:t>
      </w:r>
    </w:p>
    <w:p>
      <w:pPr>
        <w:spacing w:after="0" w:line="202"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Note</w:t>
      </w:r>
    </w:p>
    <w:p>
      <w:pPr>
        <w:spacing w:after="0" w:line="200" w:lineRule="exact"/>
        <w:rPr>
          <w:sz w:val="20"/>
          <w:szCs w:val="20"/>
          <w:color w:val="auto"/>
        </w:rPr>
      </w:pPr>
    </w:p>
    <w:p>
      <w:pPr>
        <w:spacing w:after="0" w:line="254" w:lineRule="exact"/>
        <w:rPr>
          <w:sz w:val="20"/>
          <w:szCs w:val="20"/>
          <w:color w:val="auto"/>
        </w:rPr>
      </w:pPr>
    </w:p>
    <w:p>
      <w:pPr>
        <w:ind w:right="1700"/>
        <w:spacing w:after="0" w:line="293" w:lineRule="auto"/>
        <w:rPr>
          <w:sz w:val="20"/>
          <w:szCs w:val="20"/>
          <w:color w:val="auto"/>
        </w:rPr>
      </w:pPr>
      <w:r>
        <w:rPr>
          <w:rFonts w:ascii="Arial" w:cs="Arial" w:eastAsia="Arial" w:hAnsi="Arial"/>
          <w:sz w:val="17"/>
          <w:szCs w:val="17"/>
          <w:b w:val="1"/>
          <w:bCs w:val="1"/>
          <w:color w:val="auto"/>
        </w:rPr>
        <w:t>CASH FLOWS AND CASH EQUIVALENTS FROM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-290830</wp:posOffset>
            </wp:positionV>
            <wp:extent cx="7251700" cy="26416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1700" cy="264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6"/>
        </w:trPr>
        <w:tc>
          <w:tcPr>
            <w:tcW w:w="1240" w:type="dxa"/>
            <w:vAlign w:val="bottom"/>
            <w:tcBorders>
              <w:bottom w:val="single" w:sz="8" w:color="auto"/>
            </w:tcBorders>
          </w:tcPr>
          <w:p>
            <w:pPr>
              <w:jc w:val="right"/>
              <w:ind w:right="353"/>
              <w:spacing w:after="0"/>
              <w:rPr>
                <w:sz w:val="20"/>
                <w:szCs w:val="20"/>
                <w:color w:val="auto"/>
              </w:rPr>
            </w:pPr>
            <w:r>
              <w:rPr>
                <w:rFonts w:ascii="Arial" w:cs="Arial" w:eastAsia="Arial" w:hAnsi="Arial"/>
                <w:sz w:val="17"/>
                <w:szCs w:val="17"/>
                <w:b w:val="1"/>
                <w:bCs w:val="1"/>
                <w:color w:val="auto"/>
              </w:rPr>
              <w:t>2017</w:t>
            </w:r>
          </w:p>
        </w:tc>
        <w:tc>
          <w:tcPr>
            <w:tcW w:w="200" w:type="dxa"/>
            <w:vAlign w:val="bottom"/>
          </w:tcPr>
          <w:p>
            <w:pPr>
              <w:spacing w:after="0"/>
              <w:rPr>
                <w:sz w:val="19"/>
                <w:szCs w:val="19"/>
                <w:color w:val="auto"/>
              </w:rPr>
            </w:pPr>
          </w:p>
        </w:tc>
        <w:tc>
          <w:tcPr>
            <w:tcW w:w="1240" w:type="dxa"/>
            <w:vAlign w:val="bottom"/>
            <w:tcBorders>
              <w:bottom w:val="single" w:sz="8" w:color="auto"/>
            </w:tcBorders>
          </w:tcPr>
          <w:p>
            <w:pPr>
              <w:jc w:val="right"/>
              <w:ind w:right="353"/>
              <w:spacing w:after="0"/>
              <w:rPr>
                <w:sz w:val="20"/>
                <w:szCs w:val="20"/>
                <w:color w:val="auto"/>
              </w:rPr>
            </w:pPr>
            <w:r>
              <w:rPr>
                <w:rFonts w:ascii="Arial" w:cs="Arial" w:eastAsia="Arial" w:hAnsi="Arial"/>
                <w:sz w:val="17"/>
                <w:szCs w:val="17"/>
                <w:b w:val="1"/>
                <w:bCs w:val="1"/>
                <w:color w:val="auto"/>
              </w:rPr>
              <w:t>2016</w:t>
            </w:r>
          </w:p>
        </w:tc>
        <w:tc>
          <w:tcPr>
            <w:tcW w:w="200" w:type="dxa"/>
            <w:vAlign w:val="bottom"/>
          </w:tcPr>
          <w:p>
            <w:pPr>
              <w:spacing w:after="0"/>
              <w:rPr>
                <w:sz w:val="19"/>
                <w:szCs w:val="19"/>
                <w:color w:val="auto"/>
              </w:rPr>
            </w:pPr>
          </w:p>
        </w:tc>
        <w:tc>
          <w:tcPr>
            <w:tcW w:w="1240" w:type="dxa"/>
            <w:vAlign w:val="bottom"/>
            <w:tcBorders>
              <w:bottom w:val="single" w:sz="8" w:color="auto"/>
            </w:tcBorders>
          </w:tcPr>
          <w:p>
            <w:pPr>
              <w:jc w:val="right"/>
              <w:ind w:right="353"/>
              <w:spacing w:after="0"/>
              <w:rPr>
                <w:sz w:val="20"/>
                <w:szCs w:val="20"/>
                <w:color w:val="auto"/>
              </w:rPr>
            </w:pPr>
            <w:r>
              <w:rPr>
                <w:rFonts w:ascii="Arial" w:cs="Arial" w:eastAsia="Arial" w:hAnsi="Arial"/>
                <w:sz w:val="17"/>
                <w:szCs w:val="17"/>
                <w:b w:val="1"/>
                <w:bCs w:val="1"/>
                <w:color w:val="auto"/>
              </w:rPr>
              <w:t>2015</w:t>
            </w:r>
          </w:p>
        </w:tc>
      </w:tr>
      <w:tr>
        <w:trPr>
          <w:trHeight w:val="219"/>
        </w:trPr>
        <w:tc>
          <w:tcPr>
            <w:tcW w:w="1240" w:type="dxa"/>
            <w:vAlign w:val="bottom"/>
          </w:tcPr>
          <w:p>
            <w:pPr>
              <w:jc w:val="center"/>
              <w:spacing w:after="0"/>
              <w:rPr>
                <w:sz w:val="20"/>
                <w:szCs w:val="20"/>
                <w:color w:val="auto"/>
              </w:rPr>
            </w:pPr>
            <w:r>
              <w:rPr>
                <w:rFonts w:ascii="Arial" w:cs="Arial" w:eastAsia="Arial" w:hAnsi="Arial"/>
                <w:sz w:val="17"/>
                <w:szCs w:val="17"/>
                <w:b w:val="1"/>
                <w:bCs w:val="1"/>
                <w:color w:val="auto"/>
                <w:w w:val="93"/>
              </w:rPr>
              <w:t>S/(000)</w:t>
            </w:r>
          </w:p>
        </w:tc>
        <w:tc>
          <w:tcPr>
            <w:tcW w:w="200" w:type="dxa"/>
            <w:vAlign w:val="bottom"/>
          </w:tcPr>
          <w:p>
            <w:pPr>
              <w:spacing w:after="0"/>
              <w:rPr>
                <w:sz w:val="19"/>
                <w:szCs w:val="19"/>
                <w:color w:val="auto"/>
              </w:rPr>
            </w:pPr>
          </w:p>
        </w:tc>
        <w:tc>
          <w:tcPr>
            <w:tcW w:w="1240" w:type="dxa"/>
            <w:vAlign w:val="bottom"/>
          </w:tcPr>
          <w:p>
            <w:pPr>
              <w:jc w:val="center"/>
              <w:spacing w:after="0"/>
              <w:rPr>
                <w:sz w:val="20"/>
                <w:szCs w:val="20"/>
                <w:color w:val="auto"/>
              </w:rPr>
            </w:pPr>
            <w:r>
              <w:rPr>
                <w:rFonts w:ascii="Arial" w:cs="Arial" w:eastAsia="Arial" w:hAnsi="Arial"/>
                <w:sz w:val="17"/>
                <w:szCs w:val="17"/>
                <w:b w:val="1"/>
                <w:bCs w:val="1"/>
                <w:color w:val="auto"/>
                <w:w w:val="93"/>
              </w:rPr>
              <w:t>S/(000)</w:t>
            </w:r>
          </w:p>
        </w:tc>
        <w:tc>
          <w:tcPr>
            <w:tcW w:w="200" w:type="dxa"/>
            <w:vAlign w:val="bottom"/>
          </w:tcPr>
          <w:p>
            <w:pPr>
              <w:spacing w:after="0"/>
              <w:rPr>
                <w:sz w:val="19"/>
                <w:szCs w:val="19"/>
                <w:color w:val="auto"/>
              </w:rPr>
            </w:pPr>
          </w:p>
        </w:tc>
        <w:tc>
          <w:tcPr>
            <w:tcW w:w="1240" w:type="dxa"/>
            <w:vAlign w:val="bottom"/>
          </w:tcPr>
          <w:p>
            <w:pPr>
              <w:jc w:val="center"/>
              <w:spacing w:after="0"/>
              <w:rPr>
                <w:sz w:val="20"/>
                <w:szCs w:val="20"/>
                <w:color w:val="auto"/>
              </w:rPr>
            </w:pPr>
            <w:r>
              <w:rPr>
                <w:rFonts w:ascii="Arial" w:cs="Arial" w:eastAsia="Arial" w:hAnsi="Arial"/>
                <w:sz w:val="17"/>
                <w:szCs w:val="17"/>
                <w:b w:val="1"/>
                <w:bCs w:val="1"/>
                <w:color w:val="auto"/>
                <w:w w:val="93"/>
              </w:rPr>
              <w:t>S/(000)</w:t>
            </w:r>
          </w:p>
        </w:tc>
      </w:tr>
    </w:tbl>
    <w:p>
      <w:pPr>
        <w:spacing w:after="0" w:line="813" w:lineRule="exact"/>
        <w:rPr>
          <w:sz w:val="20"/>
          <w:szCs w:val="20"/>
          <w:color w:val="auto"/>
        </w:rPr>
      </w:pPr>
    </w:p>
    <w:p>
      <w:pPr>
        <w:sectPr>
          <w:pgSz w:w="11900" w:h="16838" w:orient="portrait"/>
          <w:cols w:equalWidth="0" w:num="2">
            <w:col w:w="6720" w:space="480"/>
            <w:col w:w="4220"/>
          </w:cols>
          <w:pgMar w:left="240" w:top="875" w:right="239" w:bottom="1440" w:gutter="0" w:footer="0" w:header="0"/>
        </w:sectPr>
      </w:pPr>
    </w:p>
    <w:tbl>
      <w:tblPr>
        <w:tblLayout w:type="fixed"/>
        <w:tblInd w:w="0" w:type="dxa"/>
        <w:tblCellMar>
          <w:top w:w="0" w:type="dxa"/>
          <w:left w:w="0" w:type="dxa"/>
          <w:bottom w:w="0" w:type="dxa"/>
          <w:right w:w="0" w:type="dxa"/>
        </w:tblCellMar>
      </w:tblPr>
      <w:tr>
        <w:trPr>
          <w:trHeight w:val="208"/>
        </w:trPr>
        <w:tc>
          <w:tcPr>
            <w:tcW w:w="5820" w:type="dxa"/>
            <w:vAlign w:val="bottom"/>
            <w:shd w:val="clear" w:color="auto" w:fill="CCEEFF"/>
          </w:tcPr>
          <w:p>
            <w:pPr>
              <w:spacing w:after="0"/>
              <w:rPr>
                <w:sz w:val="20"/>
                <w:szCs w:val="20"/>
                <w:color w:val="auto"/>
              </w:rPr>
            </w:pPr>
            <w:r>
              <w:rPr>
                <w:rFonts w:ascii="Arial" w:cs="Arial" w:eastAsia="Arial" w:hAnsi="Arial"/>
                <w:sz w:val="17"/>
                <w:szCs w:val="17"/>
                <w:color w:val="auto"/>
              </w:rPr>
              <w:t>Profit before income tax</w:t>
            </w:r>
          </w:p>
        </w:tc>
        <w:tc>
          <w:tcPr>
            <w:tcW w:w="13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5,574,934</w:t>
            </w:r>
          </w:p>
        </w:tc>
        <w:tc>
          <w:tcPr>
            <w:tcW w:w="2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19"/>
              <w:spacing w:after="0"/>
              <w:rPr>
                <w:sz w:val="20"/>
                <w:szCs w:val="20"/>
                <w:color w:val="auto"/>
              </w:rPr>
            </w:pPr>
            <w:r>
              <w:rPr>
                <w:rFonts w:ascii="Arial" w:cs="Arial" w:eastAsia="Arial" w:hAnsi="Arial"/>
                <w:sz w:val="17"/>
                <w:szCs w:val="17"/>
                <w:color w:val="auto"/>
              </w:rPr>
              <w:t>4,891,428</w:t>
            </w:r>
          </w:p>
        </w:tc>
        <w:tc>
          <w:tcPr>
            <w:tcW w:w="1340" w:type="dxa"/>
            <w:vAlign w:val="bottom"/>
            <w:gridSpan w:val="2"/>
            <w:shd w:val="clear" w:color="auto" w:fill="CCEEFF"/>
          </w:tcPr>
          <w:p>
            <w:pPr>
              <w:jc w:val="right"/>
              <w:ind w:right="19"/>
              <w:spacing w:after="0"/>
              <w:rPr>
                <w:sz w:val="20"/>
                <w:szCs w:val="20"/>
                <w:color w:val="auto"/>
              </w:rPr>
            </w:pPr>
            <w:r>
              <w:rPr>
                <w:rFonts w:ascii="Arial" w:cs="Arial" w:eastAsia="Arial" w:hAnsi="Arial"/>
                <w:sz w:val="17"/>
                <w:szCs w:val="17"/>
                <w:color w:val="auto"/>
              </w:rPr>
              <w:t>4,360,592</w:t>
            </w:r>
          </w:p>
        </w:tc>
      </w:tr>
      <w:tr>
        <w:trPr>
          <w:trHeight w:val="208"/>
        </w:trPr>
        <w:tc>
          <w:tcPr>
            <w:tcW w:w="5820" w:type="dxa"/>
            <w:vAlign w:val="bottom"/>
          </w:tcPr>
          <w:p>
            <w:pPr>
              <w:spacing w:after="0"/>
              <w:rPr>
                <w:sz w:val="20"/>
                <w:szCs w:val="20"/>
                <w:color w:val="auto"/>
              </w:rPr>
            </w:pPr>
            <w:r>
              <w:rPr>
                <w:rFonts w:ascii="Arial" w:cs="Arial" w:eastAsia="Arial" w:hAnsi="Arial"/>
                <w:sz w:val="17"/>
                <w:szCs w:val="17"/>
                <w:color w:val="auto"/>
              </w:rPr>
              <w:t>Income tax</w:t>
            </w:r>
          </w:p>
        </w:tc>
        <w:tc>
          <w:tcPr>
            <w:tcW w:w="1380" w:type="dxa"/>
            <w:vAlign w:val="bottom"/>
          </w:tcPr>
          <w:p>
            <w:pPr>
              <w:spacing w:after="0"/>
              <w:rPr>
                <w:sz w:val="18"/>
                <w:szCs w:val="18"/>
                <w:color w:val="auto"/>
              </w:rPr>
            </w:pPr>
          </w:p>
        </w:tc>
        <w:tc>
          <w:tcPr>
            <w:tcW w:w="1440" w:type="dxa"/>
            <w:vAlign w:val="bottom"/>
            <w:gridSpan w:val="2"/>
          </w:tcPr>
          <w:p>
            <w:pPr>
              <w:jc w:val="right"/>
              <w:ind w:right="140"/>
              <w:spacing w:after="0"/>
              <w:rPr>
                <w:sz w:val="20"/>
                <w:szCs w:val="20"/>
                <w:color w:val="auto"/>
              </w:rPr>
            </w:pPr>
            <w:r>
              <w:rPr>
                <w:rFonts w:ascii="Arial" w:cs="Arial" w:eastAsia="Arial" w:hAnsi="Arial"/>
                <w:sz w:val="17"/>
                <w:szCs w:val="17"/>
                <w:color w:val="auto"/>
              </w:rPr>
              <w:t>(1,393,286)</w:t>
            </w:r>
          </w:p>
        </w:tc>
        <w:tc>
          <w:tcPr>
            <w:tcW w:w="1440" w:type="dxa"/>
            <w:vAlign w:val="bottom"/>
            <w:gridSpan w:val="2"/>
          </w:tcPr>
          <w:p>
            <w:pPr>
              <w:jc w:val="right"/>
              <w:ind w:right="59"/>
              <w:spacing w:after="0"/>
              <w:rPr>
                <w:sz w:val="20"/>
                <w:szCs w:val="20"/>
                <w:color w:val="auto"/>
              </w:rPr>
            </w:pPr>
            <w:r>
              <w:rPr>
                <w:rFonts w:ascii="Arial" w:cs="Arial" w:eastAsia="Arial" w:hAnsi="Arial"/>
                <w:sz w:val="17"/>
                <w:szCs w:val="17"/>
                <w:color w:val="auto"/>
              </w:rPr>
              <w:t>(1,281,448)</w:t>
            </w:r>
          </w:p>
        </w:tc>
        <w:tc>
          <w:tcPr>
            <w:tcW w:w="1340" w:type="dxa"/>
            <w:vAlign w:val="bottom"/>
            <w:gridSpan w:val="2"/>
          </w:tcPr>
          <w:p>
            <w:pPr>
              <w:jc w:val="right"/>
              <w:spacing w:after="0"/>
              <w:rPr>
                <w:sz w:val="20"/>
                <w:szCs w:val="20"/>
                <w:color w:val="auto"/>
              </w:rPr>
            </w:pPr>
            <w:r>
              <w:rPr>
                <w:rFonts w:ascii="Arial" w:cs="Arial" w:eastAsia="Arial" w:hAnsi="Arial"/>
                <w:sz w:val="17"/>
                <w:szCs w:val="17"/>
                <w:color w:val="auto"/>
              </w:rPr>
              <w:t>(1,197,207)</w:t>
            </w:r>
          </w:p>
        </w:tc>
      </w:tr>
      <w:tr>
        <w:trPr>
          <w:trHeight w:val="208"/>
        </w:trPr>
        <w:tc>
          <w:tcPr>
            <w:tcW w:w="5820" w:type="dxa"/>
            <w:vAlign w:val="bottom"/>
            <w:shd w:val="clear" w:color="auto" w:fill="CCEEFF"/>
          </w:tcPr>
          <w:p>
            <w:pPr>
              <w:spacing w:after="0"/>
              <w:rPr>
                <w:sz w:val="20"/>
                <w:szCs w:val="20"/>
                <w:color w:val="auto"/>
              </w:rPr>
            </w:pPr>
            <w:r>
              <w:rPr>
                <w:rFonts w:ascii="Arial" w:cs="Arial" w:eastAsia="Arial" w:hAnsi="Arial"/>
                <w:sz w:val="17"/>
                <w:szCs w:val="17"/>
                <w:color w:val="auto"/>
              </w:rPr>
              <w:t>Net profit for the year</w:t>
            </w:r>
          </w:p>
        </w:tc>
        <w:tc>
          <w:tcPr>
            <w:tcW w:w="13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4,181,648</w:t>
            </w:r>
          </w:p>
        </w:tc>
        <w:tc>
          <w:tcPr>
            <w:tcW w:w="2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19"/>
              <w:spacing w:after="0"/>
              <w:rPr>
                <w:sz w:val="20"/>
                <w:szCs w:val="20"/>
                <w:color w:val="auto"/>
              </w:rPr>
            </w:pPr>
            <w:r>
              <w:rPr>
                <w:rFonts w:ascii="Arial" w:cs="Arial" w:eastAsia="Arial" w:hAnsi="Arial"/>
                <w:sz w:val="17"/>
                <w:szCs w:val="17"/>
                <w:color w:val="auto"/>
              </w:rPr>
              <w:t>3,609,980</w:t>
            </w:r>
          </w:p>
        </w:tc>
        <w:tc>
          <w:tcPr>
            <w:tcW w:w="1340" w:type="dxa"/>
            <w:vAlign w:val="bottom"/>
            <w:gridSpan w:val="2"/>
            <w:shd w:val="clear" w:color="auto" w:fill="CCEEFF"/>
          </w:tcPr>
          <w:p>
            <w:pPr>
              <w:jc w:val="right"/>
              <w:ind w:right="19"/>
              <w:spacing w:after="0"/>
              <w:rPr>
                <w:sz w:val="20"/>
                <w:szCs w:val="20"/>
                <w:color w:val="auto"/>
              </w:rPr>
            </w:pPr>
            <w:r>
              <w:rPr>
                <w:rFonts w:ascii="Arial" w:cs="Arial" w:eastAsia="Arial" w:hAnsi="Arial"/>
                <w:sz w:val="17"/>
                <w:szCs w:val="17"/>
                <w:color w:val="auto"/>
              </w:rPr>
              <w:t>3,163,385</w:t>
            </w:r>
          </w:p>
        </w:tc>
      </w:tr>
      <w:tr>
        <w:trPr>
          <w:trHeight w:val="208"/>
        </w:trPr>
        <w:tc>
          <w:tcPr>
            <w:tcW w:w="58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89"/>
        </w:trPr>
        <w:tc>
          <w:tcPr>
            <w:tcW w:w="5820" w:type="dxa"/>
            <w:vAlign w:val="bottom"/>
            <w:shd w:val="clear" w:color="auto" w:fill="CCEEFF"/>
          </w:tcPr>
          <w:p>
            <w:pPr>
              <w:spacing w:after="0" w:line="189" w:lineRule="exact"/>
              <w:rPr>
                <w:sz w:val="20"/>
                <w:szCs w:val="20"/>
                <w:color w:val="auto"/>
              </w:rPr>
            </w:pPr>
            <w:r>
              <w:rPr>
                <w:rFonts w:ascii="Arial" w:cs="Arial" w:eastAsia="Arial" w:hAnsi="Arial"/>
                <w:sz w:val="17"/>
                <w:szCs w:val="17"/>
                <w:b w:val="1"/>
                <w:bCs w:val="1"/>
                <w:color w:val="auto"/>
              </w:rPr>
              <w:t>Adjustment to reconcile net profit with net cash arising from operating</w:t>
            </w:r>
          </w:p>
        </w:tc>
        <w:tc>
          <w:tcPr>
            <w:tcW w:w="138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26"/>
        </w:trPr>
        <w:tc>
          <w:tcPr>
            <w:tcW w:w="582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activities:</w:t>
            </w:r>
          </w:p>
        </w:tc>
        <w:tc>
          <w:tcPr>
            <w:tcW w:w="13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08"/>
        </w:trPr>
        <w:tc>
          <w:tcPr>
            <w:tcW w:w="5820" w:type="dxa"/>
            <w:vAlign w:val="bottom"/>
          </w:tcPr>
          <w:p>
            <w:pPr>
              <w:spacing w:after="0"/>
              <w:rPr>
                <w:sz w:val="20"/>
                <w:szCs w:val="20"/>
                <w:color w:val="auto"/>
              </w:rPr>
            </w:pPr>
            <w:r>
              <w:rPr>
                <w:rFonts w:ascii="Arial" w:cs="Arial" w:eastAsia="Arial" w:hAnsi="Arial"/>
                <w:sz w:val="17"/>
                <w:szCs w:val="17"/>
                <w:color w:val="auto"/>
              </w:rPr>
              <w:t>Provision for loan losses</w:t>
            </w:r>
          </w:p>
        </w:tc>
        <w:tc>
          <w:tcPr>
            <w:tcW w:w="1380" w:type="dxa"/>
            <w:vAlign w:val="bottom"/>
          </w:tcPr>
          <w:p>
            <w:pPr>
              <w:jc w:val="center"/>
              <w:ind w:left="13"/>
              <w:spacing w:after="0"/>
              <w:rPr>
                <w:sz w:val="20"/>
                <w:szCs w:val="20"/>
                <w:color w:val="auto"/>
              </w:rPr>
            </w:pPr>
            <w:r>
              <w:rPr>
                <w:rFonts w:ascii="Arial" w:cs="Arial" w:eastAsia="Arial" w:hAnsi="Arial"/>
                <w:sz w:val="17"/>
                <w:szCs w:val="17"/>
                <w:color w:val="auto"/>
                <w:w w:val="92"/>
              </w:rPr>
              <w:t>7(d)</w:t>
            </w:r>
          </w:p>
        </w:tc>
        <w:tc>
          <w:tcPr>
            <w:tcW w:w="1240" w:type="dxa"/>
            <w:vAlign w:val="bottom"/>
          </w:tcPr>
          <w:p>
            <w:pPr>
              <w:jc w:val="right"/>
              <w:spacing w:after="0"/>
              <w:rPr>
                <w:sz w:val="20"/>
                <w:szCs w:val="20"/>
                <w:color w:val="auto"/>
              </w:rPr>
            </w:pPr>
            <w:r>
              <w:rPr>
                <w:rFonts w:ascii="Arial" w:cs="Arial" w:eastAsia="Arial" w:hAnsi="Arial"/>
                <w:sz w:val="17"/>
                <w:szCs w:val="17"/>
                <w:color w:val="auto"/>
              </w:rPr>
              <w:t>2,057,478</w:t>
            </w:r>
          </w:p>
        </w:tc>
        <w:tc>
          <w:tcPr>
            <w:tcW w:w="200" w:type="dxa"/>
            <w:vAlign w:val="bottom"/>
          </w:tcPr>
          <w:p>
            <w:pPr>
              <w:spacing w:after="0"/>
              <w:rPr>
                <w:sz w:val="18"/>
                <w:szCs w:val="18"/>
                <w:color w:val="auto"/>
              </w:rPr>
            </w:pPr>
          </w:p>
        </w:tc>
        <w:tc>
          <w:tcPr>
            <w:tcW w:w="1440" w:type="dxa"/>
            <w:vAlign w:val="bottom"/>
            <w:gridSpan w:val="2"/>
          </w:tcPr>
          <w:p>
            <w:pPr>
              <w:jc w:val="right"/>
              <w:ind w:right="119"/>
              <w:spacing w:after="0"/>
              <w:rPr>
                <w:sz w:val="20"/>
                <w:szCs w:val="20"/>
                <w:color w:val="auto"/>
              </w:rPr>
            </w:pPr>
            <w:r>
              <w:rPr>
                <w:rFonts w:ascii="Arial" w:cs="Arial" w:eastAsia="Arial" w:hAnsi="Arial"/>
                <w:sz w:val="17"/>
                <w:szCs w:val="17"/>
                <w:color w:val="auto"/>
              </w:rPr>
              <w:t>2,063,209</w:t>
            </w:r>
          </w:p>
        </w:tc>
        <w:tc>
          <w:tcPr>
            <w:tcW w:w="1340" w:type="dxa"/>
            <w:vAlign w:val="bottom"/>
            <w:gridSpan w:val="2"/>
          </w:tcPr>
          <w:p>
            <w:pPr>
              <w:jc w:val="right"/>
              <w:ind w:right="19"/>
              <w:spacing w:after="0"/>
              <w:rPr>
                <w:sz w:val="20"/>
                <w:szCs w:val="20"/>
                <w:color w:val="auto"/>
              </w:rPr>
            </w:pPr>
            <w:r>
              <w:rPr>
                <w:rFonts w:ascii="Arial" w:cs="Arial" w:eastAsia="Arial" w:hAnsi="Arial"/>
                <w:sz w:val="17"/>
                <w:szCs w:val="17"/>
                <w:color w:val="auto"/>
              </w:rPr>
              <w:t>2,052,177</w:t>
            </w:r>
          </w:p>
        </w:tc>
      </w:tr>
      <w:tr>
        <w:trPr>
          <w:trHeight w:val="208"/>
        </w:trPr>
        <w:tc>
          <w:tcPr>
            <w:tcW w:w="5820" w:type="dxa"/>
            <w:vAlign w:val="bottom"/>
            <w:shd w:val="clear" w:color="auto" w:fill="CCEEFF"/>
          </w:tcPr>
          <w:p>
            <w:pPr>
              <w:spacing w:after="0"/>
              <w:rPr>
                <w:sz w:val="20"/>
                <w:szCs w:val="20"/>
                <w:color w:val="auto"/>
              </w:rPr>
            </w:pPr>
            <w:r>
              <w:rPr>
                <w:rFonts w:ascii="Arial" w:cs="Arial" w:eastAsia="Arial" w:hAnsi="Arial"/>
                <w:sz w:val="17"/>
                <w:szCs w:val="17"/>
                <w:color w:val="auto"/>
              </w:rPr>
              <w:t>Depreciation and amortization</w:t>
            </w:r>
          </w:p>
        </w:tc>
        <w:tc>
          <w:tcPr>
            <w:tcW w:w="1380" w:type="dxa"/>
            <w:vAlign w:val="bottom"/>
            <w:shd w:val="clear" w:color="auto" w:fill="CCEEFF"/>
          </w:tcPr>
          <w:p>
            <w:pPr>
              <w:ind w:left="220"/>
              <w:spacing w:after="0"/>
              <w:rPr>
                <w:sz w:val="20"/>
                <w:szCs w:val="20"/>
                <w:color w:val="auto"/>
              </w:rPr>
            </w:pPr>
            <w:r>
              <w:rPr>
                <w:rFonts w:ascii="Arial" w:cs="Arial" w:eastAsia="Arial" w:hAnsi="Arial"/>
                <w:sz w:val="17"/>
                <w:szCs w:val="17"/>
                <w:color w:val="auto"/>
                <w:w w:val="97"/>
              </w:rPr>
              <w:t>10(a) and 11(a)</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419,975</w:t>
            </w:r>
          </w:p>
        </w:tc>
        <w:tc>
          <w:tcPr>
            <w:tcW w:w="1440" w:type="dxa"/>
            <w:vAlign w:val="bottom"/>
            <w:gridSpan w:val="2"/>
            <w:shd w:val="clear" w:color="auto" w:fill="CCEEFF"/>
          </w:tcPr>
          <w:p>
            <w:pPr>
              <w:jc w:val="right"/>
              <w:ind w:right="119"/>
              <w:spacing w:after="0"/>
              <w:rPr>
                <w:sz w:val="20"/>
                <w:szCs w:val="20"/>
                <w:color w:val="auto"/>
              </w:rPr>
            </w:pPr>
            <w:r>
              <w:rPr>
                <w:rFonts w:ascii="Arial" w:cs="Arial" w:eastAsia="Arial" w:hAnsi="Arial"/>
                <w:sz w:val="17"/>
                <w:szCs w:val="17"/>
                <w:color w:val="auto"/>
              </w:rPr>
              <w:t>407,061</w:t>
            </w:r>
          </w:p>
        </w:tc>
        <w:tc>
          <w:tcPr>
            <w:tcW w:w="1340" w:type="dxa"/>
            <w:vAlign w:val="bottom"/>
            <w:gridSpan w:val="2"/>
            <w:shd w:val="clear" w:color="auto" w:fill="CCEEFF"/>
          </w:tcPr>
          <w:p>
            <w:pPr>
              <w:jc w:val="right"/>
              <w:ind w:right="19"/>
              <w:spacing w:after="0"/>
              <w:rPr>
                <w:sz w:val="20"/>
                <w:szCs w:val="20"/>
                <w:color w:val="auto"/>
              </w:rPr>
            </w:pPr>
            <w:r>
              <w:rPr>
                <w:rFonts w:ascii="Arial" w:cs="Arial" w:eastAsia="Arial" w:hAnsi="Arial"/>
                <w:sz w:val="17"/>
                <w:szCs w:val="17"/>
                <w:color w:val="auto"/>
              </w:rPr>
              <w:t>396,497</w:t>
            </w:r>
          </w:p>
        </w:tc>
      </w:tr>
      <w:tr>
        <w:trPr>
          <w:trHeight w:val="208"/>
        </w:trPr>
        <w:tc>
          <w:tcPr>
            <w:tcW w:w="5820" w:type="dxa"/>
            <w:vAlign w:val="bottom"/>
          </w:tcPr>
          <w:p>
            <w:pPr>
              <w:spacing w:after="0"/>
              <w:rPr>
                <w:sz w:val="20"/>
                <w:szCs w:val="20"/>
                <w:color w:val="auto"/>
              </w:rPr>
            </w:pPr>
            <w:r>
              <w:rPr>
                <w:rFonts w:ascii="Arial" w:cs="Arial" w:eastAsia="Arial" w:hAnsi="Arial"/>
                <w:sz w:val="17"/>
                <w:szCs w:val="17"/>
                <w:color w:val="auto"/>
              </w:rPr>
              <w:t>Depreciation of investment properties</w:t>
            </w:r>
          </w:p>
        </w:tc>
        <w:tc>
          <w:tcPr>
            <w:tcW w:w="1380" w:type="dxa"/>
            <w:vAlign w:val="bottom"/>
          </w:tcPr>
          <w:p>
            <w:pPr>
              <w:jc w:val="center"/>
              <w:ind w:left="33"/>
              <w:spacing w:after="0"/>
              <w:rPr>
                <w:sz w:val="20"/>
                <w:szCs w:val="20"/>
                <w:color w:val="auto"/>
              </w:rPr>
            </w:pPr>
            <w:r>
              <w:rPr>
                <w:rFonts w:ascii="Arial" w:cs="Arial" w:eastAsia="Arial" w:hAnsi="Arial"/>
                <w:sz w:val="17"/>
                <w:szCs w:val="17"/>
                <w:color w:val="auto"/>
                <w:w w:val="97"/>
              </w:rPr>
              <w:t>12(f)</w:t>
            </w:r>
          </w:p>
        </w:tc>
        <w:tc>
          <w:tcPr>
            <w:tcW w:w="1440" w:type="dxa"/>
            <w:vAlign w:val="bottom"/>
            <w:gridSpan w:val="2"/>
          </w:tcPr>
          <w:p>
            <w:pPr>
              <w:jc w:val="right"/>
              <w:ind w:right="200"/>
              <w:spacing w:after="0"/>
              <w:rPr>
                <w:sz w:val="20"/>
                <w:szCs w:val="20"/>
                <w:color w:val="auto"/>
              </w:rPr>
            </w:pPr>
            <w:r>
              <w:rPr>
                <w:rFonts w:ascii="Arial" w:cs="Arial" w:eastAsia="Arial" w:hAnsi="Arial"/>
                <w:sz w:val="17"/>
                <w:szCs w:val="17"/>
                <w:color w:val="auto"/>
              </w:rPr>
              <w:t>6,440</w:t>
            </w:r>
          </w:p>
        </w:tc>
        <w:tc>
          <w:tcPr>
            <w:tcW w:w="1440" w:type="dxa"/>
            <w:vAlign w:val="bottom"/>
            <w:gridSpan w:val="2"/>
          </w:tcPr>
          <w:p>
            <w:pPr>
              <w:jc w:val="right"/>
              <w:ind w:right="119"/>
              <w:spacing w:after="0"/>
              <w:rPr>
                <w:sz w:val="20"/>
                <w:szCs w:val="20"/>
                <w:color w:val="auto"/>
              </w:rPr>
            </w:pPr>
            <w:r>
              <w:rPr>
                <w:rFonts w:ascii="Arial" w:cs="Arial" w:eastAsia="Arial" w:hAnsi="Arial"/>
                <w:sz w:val="17"/>
                <w:szCs w:val="17"/>
                <w:color w:val="auto"/>
              </w:rPr>
              <w:t>4,369</w:t>
            </w:r>
          </w:p>
        </w:tc>
        <w:tc>
          <w:tcPr>
            <w:tcW w:w="1340" w:type="dxa"/>
            <w:vAlign w:val="bottom"/>
            <w:gridSpan w:val="2"/>
          </w:tcPr>
          <w:p>
            <w:pPr>
              <w:jc w:val="right"/>
              <w:ind w:right="19"/>
              <w:spacing w:after="0"/>
              <w:rPr>
                <w:sz w:val="20"/>
                <w:szCs w:val="20"/>
                <w:color w:val="auto"/>
              </w:rPr>
            </w:pPr>
            <w:r>
              <w:rPr>
                <w:rFonts w:ascii="Arial" w:cs="Arial" w:eastAsia="Arial" w:hAnsi="Arial"/>
                <w:sz w:val="17"/>
                <w:szCs w:val="17"/>
                <w:color w:val="auto"/>
              </w:rPr>
              <w:t>4,409</w:t>
            </w:r>
          </w:p>
        </w:tc>
      </w:tr>
      <w:tr>
        <w:trPr>
          <w:trHeight w:val="208"/>
        </w:trPr>
        <w:tc>
          <w:tcPr>
            <w:tcW w:w="5820" w:type="dxa"/>
            <w:vAlign w:val="bottom"/>
            <w:shd w:val="clear" w:color="auto" w:fill="CCEEFF"/>
          </w:tcPr>
          <w:p>
            <w:pPr>
              <w:spacing w:after="0"/>
              <w:rPr>
                <w:sz w:val="20"/>
                <w:szCs w:val="20"/>
                <w:color w:val="auto"/>
              </w:rPr>
            </w:pPr>
            <w:r>
              <w:rPr>
                <w:rFonts w:ascii="Arial" w:cs="Arial" w:eastAsia="Arial" w:hAnsi="Arial"/>
                <w:sz w:val="17"/>
                <w:szCs w:val="17"/>
                <w:color w:val="auto"/>
              </w:rPr>
              <w:t>Deferred income tax</w:t>
            </w:r>
          </w:p>
        </w:tc>
        <w:tc>
          <w:tcPr>
            <w:tcW w:w="1380" w:type="dxa"/>
            <w:vAlign w:val="bottom"/>
            <w:shd w:val="clear" w:color="auto" w:fill="CCEEFF"/>
          </w:tcPr>
          <w:p>
            <w:pPr>
              <w:jc w:val="center"/>
              <w:ind w:left="33"/>
              <w:spacing w:after="0"/>
              <w:rPr>
                <w:sz w:val="20"/>
                <w:szCs w:val="20"/>
                <w:color w:val="auto"/>
              </w:rPr>
            </w:pPr>
            <w:r>
              <w:rPr>
                <w:rFonts w:ascii="Arial" w:cs="Arial" w:eastAsia="Arial" w:hAnsi="Arial"/>
                <w:sz w:val="17"/>
                <w:szCs w:val="17"/>
                <w:color w:val="auto"/>
                <w:w w:val="95"/>
              </w:rPr>
              <w:t>18(b)</w:t>
            </w:r>
          </w:p>
        </w:tc>
        <w:tc>
          <w:tcPr>
            <w:tcW w:w="14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(3,556)</w:t>
            </w:r>
          </w:p>
        </w:tc>
        <w:tc>
          <w:tcPr>
            <w:tcW w:w="1440" w:type="dxa"/>
            <w:vAlign w:val="bottom"/>
            <w:gridSpan w:val="2"/>
            <w:shd w:val="clear" w:color="auto" w:fill="CCEEFF"/>
          </w:tcPr>
          <w:p>
            <w:pPr>
              <w:jc w:val="right"/>
              <w:ind w:right="119"/>
              <w:spacing w:after="0"/>
              <w:rPr>
                <w:sz w:val="20"/>
                <w:szCs w:val="20"/>
                <w:color w:val="auto"/>
              </w:rPr>
            </w:pPr>
            <w:r>
              <w:rPr>
                <w:rFonts w:ascii="Arial" w:cs="Arial" w:eastAsia="Arial" w:hAnsi="Arial"/>
                <w:sz w:val="17"/>
                <w:szCs w:val="17"/>
                <w:color w:val="auto"/>
              </w:rPr>
              <w:t>28,228</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(117,195)</w:t>
            </w:r>
          </w:p>
        </w:tc>
      </w:tr>
      <w:tr>
        <w:trPr>
          <w:trHeight w:val="208"/>
        </w:trPr>
        <w:tc>
          <w:tcPr>
            <w:tcW w:w="5820" w:type="dxa"/>
            <w:vAlign w:val="bottom"/>
          </w:tcPr>
          <w:p>
            <w:pPr>
              <w:spacing w:after="0"/>
              <w:rPr>
                <w:sz w:val="20"/>
                <w:szCs w:val="20"/>
                <w:color w:val="auto"/>
              </w:rPr>
            </w:pPr>
            <w:r>
              <w:rPr>
                <w:rFonts w:ascii="Arial" w:cs="Arial" w:eastAsia="Arial" w:hAnsi="Arial"/>
                <w:sz w:val="17"/>
                <w:szCs w:val="17"/>
                <w:color w:val="auto"/>
              </w:rPr>
              <w:t>Adjustment of technical reserves</w:t>
            </w:r>
          </w:p>
        </w:tc>
        <w:tc>
          <w:tcPr>
            <w:tcW w:w="1380" w:type="dxa"/>
            <w:vAlign w:val="bottom"/>
          </w:tcPr>
          <w:p>
            <w:pPr>
              <w:spacing w:after="0"/>
              <w:rPr>
                <w:sz w:val="18"/>
                <w:szCs w:val="18"/>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7"/>
                <w:szCs w:val="17"/>
                <w:color w:val="auto"/>
              </w:rPr>
              <w:t>509,051</w:t>
            </w:r>
          </w:p>
        </w:tc>
        <w:tc>
          <w:tcPr>
            <w:tcW w:w="1440" w:type="dxa"/>
            <w:vAlign w:val="bottom"/>
            <w:gridSpan w:val="2"/>
          </w:tcPr>
          <w:p>
            <w:pPr>
              <w:jc w:val="right"/>
              <w:ind w:right="119"/>
              <w:spacing w:after="0"/>
              <w:rPr>
                <w:sz w:val="20"/>
                <w:szCs w:val="20"/>
                <w:color w:val="auto"/>
              </w:rPr>
            </w:pPr>
            <w:r>
              <w:rPr>
                <w:rFonts w:ascii="Arial" w:cs="Arial" w:eastAsia="Arial" w:hAnsi="Arial"/>
                <w:sz w:val="17"/>
                <w:szCs w:val="17"/>
                <w:color w:val="auto"/>
              </w:rPr>
              <w:t>370,964</w:t>
            </w:r>
          </w:p>
        </w:tc>
        <w:tc>
          <w:tcPr>
            <w:tcW w:w="1340" w:type="dxa"/>
            <w:vAlign w:val="bottom"/>
            <w:gridSpan w:val="2"/>
          </w:tcPr>
          <w:p>
            <w:pPr>
              <w:jc w:val="right"/>
              <w:ind w:right="19"/>
              <w:spacing w:after="0"/>
              <w:rPr>
                <w:sz w:val="20"/>
                <w:szCs w:val="20"/>
                <w:color w:val="auto"/>
              </w:rPr>
            </w:pPr>
            <w:r>
              <w:rPr>
                <w:rFonts w:ascii="Arial" w:cs="Arial" w:eastAsia="Arial" w:hAnsi="Arial"/>
                <w:sz w:val="17"/>
                <w:szCs w:val="17"/>
                <w:color w:val="auto"/>
              </w:rPr>
              <w:t>408,808</w:t>
            </w:r>
          </w:p>
        </w:tc>
      </w:tr>
      <w:tr>
        <w:trPr>
          <w:trHeight w:val="208"/>
        </w:trPr>
        <w:tc>
          <w:tcPr>
            <w:tcW w:w="5820" w:type="dxa"/>
            <w:vAlign w:val="bottom"/>
            <w:shd w:val="clear" w:color="auto" w:fill="CCEEFF"/>
          </w:tcPr>
          <w:p>
            <w:pPr>
              <w:spacing w:after="0"/>
              <w:rPr>
                <w:sz w:val="20"/>
                <w:szCs w:val="20"/>
                <w:color w:val="auto"/>
              </w:rPr>
            </w:pPr>
            <w:r>
              <w:rPr>
                <w:rFonts w:ascii="Arial" w:cs="Arial" w:eastAsia="Arial" w:hAnsi="Arial"/>
                <w:sz w:val="17"/>
                <w:szCs w:val="17"/>
                <w:color w:val="auto"/>
              </w:rPr>
              <w:t>Impairment loss on available for-sale investments</w:t>
            </w:r>
          </w:p>
        </w:tc>
        <w:tc>
          <w:tcPr>
            <w:tcW w:w="1380" w:type="dxa"/>
            <w:vAlign w:val="bottom"/>
            <w:shd w:val="clear" w:color="auto" w:fill="CCEEFF"/>
          </w:tcPr>
          <w:p>
            <w:pPr>
              <w:jc w:val="center"/>
              <w:ind w:left="13"/>
              <w:spacing w:after="0"/>
              <w:rPr>
                <w:sz w:val="20"/>
                <w:szCs w:val="20"/>
                <w:color w:val="auto"/>
              </w:rPr>
            </w:pPr>
            <w:r>
              <w:rPr>
                <w:rFonts w:ascii="Arial" w:cs="Arial" w:eastAsia="Arial" w:hAnsi="Arial"/>
                <w:sz w:val="17"/>
                <w:szCs w:val="17"/>
                <w:color w:val="auto"/>
                <w:w w:val="92"/>
              </w:rPr>
              <w:t>6(a)</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766</w:t>
            </w:r>
          </w:p>
        </w:tc>
        <w:tc>
          <w:tcPr>
            <w:tcW w:w="1440" w:type="dxa"/>
            <w:vAlign w:val="bottom"/>
            <w:gridSpan w:val="2"/>
            <w:shd w:val="clear" w:color="auto" w:fill="CCEEFF"/>
          </w:tcPr>
          <w:p>
            <w:pPr>
              <w:jc w:val="right"/>
              <w:ind w:right="119"/>
              <w:spacing w:after="0"/>
              <w:rPr>
                <w:sz w:val="20"/>
                <w:szCs w:val="20"/>
                <w:color w:val="auto"/>
              </w:rPr>
            </w:pPr>
            <w:r>
              <w:rPr>
                <w:rFonts w:ascii="Arial" w:cs="Arial" w:eastAsia="Arial" w:hAnsi="Arial"/>
                <w:sz w:val="17"/>
                <w:szCs w:val="17"/>
                <w:color w:val="auto"/>
              </w:rPr>
              <w:t>14,459</w:t>
            </w:r>
          </w:p>
        </w:tc>
        <w:tc>
          <w:tcPr>
            <w:tcW w:w="1340" w:type="dxa"/>
            <w:vAlign w:val="bottom"/>
            <w:gridSpan w:val="2"/>
            <w:shd w:val="clear" w:color="auto" w:fill="CCEEFF"/>
          </w:tcPr>
          <w:p>
            <w:pPr>
              <w:jc w:val="right"/>
              <w:ind w:right="19"/>
              <w:spacing w:after="0"/>
              <w:rPr>
                <w:sz w:val="20"/>
                <w:szCs w:val="20"/>
                <w:color w:val="auto"/>
              </w:rPr>
            </w:pPr>
            <w:r>
              <w:rPr>
                <w:rFonts w:ascii="Arial" w:cs="Arial" w:eastAsia="Arial" w:hAnsi="Arial"/>
                <w:sz w:val="17"/>
                <w:szCs w:val="17"/>
                <w:color w:val="auto"/>
              </w:rPr>
              <w:t>43,801</w:t>
            </w:r>
          </w:p>
        </w:tc>
      </w:tr>
      <w:tr>
        <w:trPr>
          <w:trHeight w:val="208"/>
        </w:trPr>
        <w:tc>
          <w:tcPr>
            <w:tcW w:w="5820" w:type="dxa"/>
            <w:vAlign w:val="bottom"/>
          </w:tcPr>
          <w:p>
            <w:pPr>
              <w:spacing w:after="0"/>
              <w:rPr>
                <w:sz w:val="20"/>
                <w:szCs w:val="20"/>
                <w:color w:val="auto"/>
              </w:rPr>
            </w:pPr>
            <w:r>
              <w:rPr>
                <w:rFonts w:ascii="Arial" w:cs="Arial" w:eastAsia="Arial" w:hAnsi="Arial"/>
                <w:sz w:val="17"/>
                <w:szCs w:val="17"/>
                <w:color w:val="auto"/>
              </w:rPr>
              <w:t>Net gain on sales of securities</w:t>
            </w:r>
          </w:p>
        </w:tc>
        <w:tc>
          <w:tcPr>
            <w:tcW w:w="1380" w:type="dxa"/>
            <w:vAlign w:val="bottom"/>
          </w:tcPr>
          <w:p>
            <w:pPr>
              <w:spacing w:after="0"/>
              <w:rPr>
                <w:sz w:val="18"/>
                <w:szCs w:val="18"/>
                <w:color w:val="auto"/>
              </w:rPr>
            </w:pPr>
          </w:p>
        </w:tc>
        <w:tc>
          <w:tcPr>
            <w:tcW w:w="1440" w:type="dxa"/>
            <w:vAlign w:val="bottom"/>
            <w:gridSpan w:val="2"/>
          </w:tcPr>
          <w:p>
            <w:pPr>
              <w:jc w:val="right"/>
              <w:ind w:right="140"/>
              <w:spacing w:after="0"/>
              <w:rPr>
                <w:sz w:val="20"/>
                <w:szCs w:val="20"/>
                <w:color w:val="auto"/>
              </w:rPr>
            </w:pPr>
            <w:r>
              <w:rPr>
                <w:rFonts w:ascii="Arial" w:cs="Arial" w:eastAsia="Arial" w:hAnsi="Arial"/>
                <w:sz w:val="17"/>
                <w:szCs w:val="17"/>
                <w:color w:val="auto"/>
              </w:rPr>
              <w:t>(741,781)</w:t>
            </w:r>
          </w:p>
        </w:tc>
        <w:tc>
          <w:tcPr>
            <w:tcW w:w="1440" w:type="dxa"/>
            <w:vAlign w:val="bottom"/>
            <w:gridSpan w:val="2"/>
          </w:tcPr>
          <w:p>
            <w:pPr>
              <w:jc w:val="right"/>
              <w:ind w:right="59"/>
              <w:spacing w:after="0"/>
              <w:rPr>
                <w:sz w:val="20"/>
                <w:szCs w:val="20"/>
                <w:color w:val="auto"/>
              </w:rPr>
            </w:pPr>
            <w:r>
              <w:rPr>
                <w:rFonts w:ascii="Arial" w:cs="Arial" w:eastAsia="Arial" w:hAnsi="Arial"/>
                <w:sz w:val="17"/>
                <w:szCs w:val="17"/>
                <w:color w:val="auto"/>
              </w:rPr>
              <w:t>(336,759)</w:t>
            </w:r>
          </w:p>
        </w:tc>
        <w:tc>
          <w:tcPr>
            <w:tcW w:w="1340" w:type="dxa"/>
            <w:vAlign w:val="bottom"/>
            <w:gridSpan w:val="2"/>
          </w:tcPr>
          <w:p>
            <w:pPr>
              <w:jc w:val="right"/>
              <w:spacing w:after="0"/>
              <w:rPr>
                <w:sz w:val="20"/>
                <w:szCs w:val="20"/>
                <w:color w:val="auto"/>
              </w:rPr>
            </w:pPr>
            <w:r>
              <w:rPr>
                <w:rFonts w:ascii="Arial" w:cs="Arial" w:eastAsia="Arial" w:hAnsi="Arial"/>
                <w:sz w:val="17"/>
                <w:szCs w:val="17"/>
                <w:color w:val="auto"/>
              </w:rPr>
              <w:t>(248,723)</w:t>
            </w:r>
          </w:p>
        </w:tc>
      </w:tr>
      <w:tr>
        <w:trPr>
          <w:trHeight w:val="208"/>
        </w:trPr>
        <w:tc>
          <w:tcPr>
            <w:tcW w:w="5820" w:type="dxa"/>
            <w:vAlign w:val="bottom"/>
            <w:shd w:val="clear" w:color="auto" w:fill="CCEEFF"/>
          </w:tcPr>
          <w:p>
            <w:pPr>
              <w:spacing w:after="0"/>
              <w:rPr>
                <w:sz w:val="20"/>
                <w:szCs w:val="20"/>
                <w:color w:val="auto"/>
              </w:rPr>
            </w:pPr>
            <w:r>
              <w:rPr>
                <w:rFonts w:ascii="Arial" w:cs="Arial" w:eastAsia="Arial" w:hAnsi="Arial"/>
                <w:sz w:val="17"/>
                <w:szCs w:val="17"/>
                <w:color w:val="auto"/>
              </w:rPr>
              <w:t>Impairment loss on goodwill</w:t>
            </w:r>
          </w:p>
        </w:tc>
        <w:tc>
          <w:tcPr>
            <w:tcW w:w="1380" w:type="dxa"/>
            <w:vAlign w:val="bottom"/>
            <w:shd w:val="clear" w:color="auto" w:fill="CCEEFF"/>
          </w:tcPr>
          <w:p>
            <w:pPr>
              <w:jc w:val="center"/>
              <w:ind w:left="13"/>
              <w:spacing w:after="0"/>
              <w:rPr>
                <w:sz w:val="20"/>
                <w:szCs w:val="20"/>
                <w:color w:val="auto"/>
              </w:rPr>
            </w:pPr>
            <w:r>
              <w:rPr>
                <w:rFonts w:ascii="Arial" w:cs="Arial" w:eastAsia="Arial" w:hAnsi="Arial"/>
                <w:sz w:val="17"/>
                <w:szCs w:val="17"/>
                <w:color w:val="auto"/>
                <w:w w:val="90"/>
              </w:rPr>
              <w:t>11(b)</w:t>
            </w: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19"/>
              <w:spacing w:after="0"/>
              <w:rPr>
                <w:sz w:val="20"/>
                <w:szCs w:val="20"/>
                <w:color w:val="auto"/>
              </w:rPr>
            </w:pPr>
            <w:r>
              <w:rPr>
                <w:rFonts w:ascii="Arial" w:cs="Arial" w:eastAsia="Arial" w:hAnsi="Arial"/>
                <w:sz w:val="17"/>
                <w:szCs w:val="17"/>
                <w:color w:val="auto"/>
              </w:rPr>
              <w:t>94</w:t>
            </w:r>
          </w:p>
        </w:tc>
        <w:tc>
          <w:tcPr>
            <w:tcW w:w="1340" w:type="dxa"/>
            <w:vAlign w:val="bottom"/>
            <w:gridSpan w:val="2"/>
            <w:shd w:val="clear" w:color="auto" w:fill="CCEEFF"/>
          </w:tcPr>
          <w:p>
            <w:pPr>
              <w:jc w:val="right"/>
              <w:ind w:right="19"/>
              <w:spacing w:after="0"/>
              <w:rPr>
                <w:sz w:val="20"/>
                <w:szCs w:val="20"/>
                <w:color w:val="auto"/>
              </w:rPr>
            </w:pPr>
            <w:r>
              <w:rPr>
                <w:rFonts w:ascii="Arial" w:cs="Arial" w:eastAsia="Arial" w:hAnsi="Arial"/>
                <w:sz w:val="17"/>
                <w:szCs w:val="17"/>
                <w:color w:val="auto"/>
              </w:rPr>
              <w:t>82,374</w:t>
            </w:r>
          </w:p>
        </w:tc>
      </w:tr>
      <w:tr>
        <w:trPr>
          <w:trHeight w:val="208"/>
        </w:trPr>
        <w:tc>
          <w:tcPr>
            <w:tcW w:w="5820" w:type="dxa"/>
            <w:vAlign w:val="bottom"/>
          </w:tcPr>
          <w:p>
            <w:pPr>
              <w:spacing w:after="0"/>
              <w:rPr>
                <w:sz w:val="20"/>
                <w:szCs w:val="20"/>
                <w:color w:val="auto"/>
              </w:rPr>
            </w:pPr>
            <w:r>
              <w:rPr>
                <w:rFonts w:ascii="Arial" w:cs="Arial" w:eastAsia="Arial" w:hAnsi="Arial"/>
                <w:sz w:val="17"/>
                <w:szCs w:val="17"/>
                <w:color w:val="auto"/>
              </w:rPr>
              <w:t>Provision for sundry risks</w:t>
            </w:r>
          </w:p>
        </w:tc>
        <w:tc>
          <w:tcPr>
            <w:tcW w:w="1380" w:type="dxa"/>
            <w:vAlign w:val="bottom"/>
          </w:tcPr>
          <w:p>
            <w:pPr>
              <w:jc w:val="center"/>
              <w:ind w:left="33"/>
              <w:spacing w:after="0"/>
              <w:rPr>
                <w:sz w:val="20"/>
                <w:szCs w:val="20"/>
                <w:color w:val="auto"/>
              </w:rPr>
            </w:pPr>
            <w:r>
              <w:rPr>
                <w:rFonts w:ascii="Arial" w:cs="Arial" w:eastAsia="Arial" w:hAnsi="Arial"/>
                <w:sz w:val="17"/>
                <w:szCs w:val="17"/>
                <w:color w:val="auto"/>
                <w:w w:val="95"/>
              </w:rPr>
              <w:t>12(d)</w:t>
            </w:r>
          </w:p>
        </w:tc>
        <w:tc>
          <w:tcPr>
            <w:tcW w:w="1440" w:type="dxa"/>
            <w:vAlign w:val="bottom"/>
            <w:gridSpan w:val="2"/>
          </w:tcPr>
          <w:p>
            <w:pPr>
              <w:jc w:val="right"/>
              <w:ind w:right="200"/>
              <w:spacing w:after="0"/>
              <w:rPr>
                <w:sz w:val="20"/>
                <w:szCs w:val="20"/>
                <w:color w:val="auto"/>
              </w:rPr>
            </w:pPr>
            <w:r>
              <w:rPr>
                <w:rFonts w:ascii="Arial" w:cs="Arial" w:eastAsia="Arial" w:hAnsi="Arial"/>
                <w:sz w:val="17"/>
                <w:szCs w:val="17"/>
                <w:color w:val="auto"/>
              </w:rPr>
              <w:t>29,023</w:t>
            </w:r>
          </w:p>
        </w:tc>
        <w:tc>
          <w:tcPr>
            <w:tcW w:w="1440" w:type="dxa"/>
            <w:vAlign w:val="bottom"/>
            <w:gridSpan w:val="2"/>
          </w:tcPr>
          <w:p>
            <w:pPr>
              <w:jc w:val="right"/>
              <w:ind w:right="119"/>
              <w:spacing w:after="0"/>
              <w:rPr>
                <w:sz w:val="20"/>
                <w:szCs w:val="20"/>
                <w:color w:val="auto"/>
              </w:rPr>
            </w:pPr>
            <w:r>
              <w:rPr>
                <w:rFonts w:ascii="Arial" w:cs="Arial" w:eastAsia="Arial" w:hAnsi="Arial"/>
                <w:sz w:val="17"/>
                <w:szCs w:val="17"/>
                <w:color w:val="auto"/>
              </w:rPr>
              <w:t>28,093</w:t>
            </w:r>
          </w:p>
        </w:tc>
        <w:tc>
          <w:tcPr>
            <w:tcW w:w="1340" w:type="dxa"/>
            <w:vAlign w:val="bottom"/>
            <w:gridSpan w:val="2"/>
          </w:tcPr>
          <w:p>
            <w:pPr>
              <w:jc w:val="right"/>
              <w:ind w:right="19"/>
              <w:spacing w:after="0"/>
              <w:rPr>
                <w:sz w:val="20"/>
                <w:szCs w:val="20"/>
                <w:color w:val="auto"/>
              </w:rPr>
            </w:pPr>
            <w:r>
              <w:rPr>
                <w:rFonts w:ascii="Arial" w:cs="Arial" w:eastAsia="Arial" w:hAnsi="Arial"/>
                <w:sz w:val="17"/>
                <w:szCs w:val="17"/>
                <w:color w:val="auto"/>
              </w:rPr>
              <w:t>38,248</w:t>
            </w:r>
          </w:p>
        </w:tc>
      </w:tr>
      <w:tr>
        <w:trPr>
          <w:trHeight w:val="208"/>
        </w:trPr>
        <w:tc>
          <w:tcPr>
            <w:tcW w:w="5820" w:type="dxa"/>
            <w:vAlign w:val="bottom"/>
            <w:shd w:val="clear" w:color="auto" w:fill="CCEEFF"/>
          </w:tcPr>
          <w:p>
            <w:pPr>
              <w:spacing w:after="0"/>
              <w:rPr>
                <w:sz w:val="20"/>
                <w:szCs w:val="20"/>
                <w:color w:val="auto"/>
              </w:rPr>
            </w:pPr>
            <w:r>
              <w:rPr>
                <w:rFonts w:ascii="Arial" w:cs="Arial" w:eastAsia="Arial" w:hAnsi="Arial"/>
                <w:sz w:val="17"/>
                <w:szCs w:val="17"/>
                <w:color w:val="auto"/>
                <w:w w:val="95"/>
              </w:rPr>
              <w:t>Net loss (gain) on financial assets designated at fair value through profit and loss</w:t>
            </w:r>
          </w:p>
        </w:tc>
        <w:tc>
          <w:tcPr>
            <w:tcW w:w="1380" w:type="dxa"/>
            <w:vAlign w:val="bottom"/>
            <w:shd w:val="clear" w:color="auto" w:fill="CCEEFF"/>
          </w:tcPr>
          <w:p>
            <w:pPr>
              <w:jc w:val="center"/>
              <w:ind w:left="13"/>
              <w:spacing w:after="0"/>
              <w:rPr>
                <w:sz w:val="20"/>
                <w:szCs w:val="20"/>
                <w:color w:val="auto"/>
              </w:rPr>
            </w:pPr>
            <w:r>
              <w:rPr>
                <w:rFonts w:ascii="Arial" w:cs="Arial" w:eastAsia="Arial" w:hAnsi="Arial"/>
                <w:sz w:val="17"/>
                <w:szCs w:val="17"/>
                <w:color w:val="auto"/>
                <w:w w:val="84"/>
              </w:rPr>
              <w:t>8</w:t>
            </w:r>
          </w:p>
        </w:tc>
        <w:tc>
          <w:tcPr>
            <w:tcW w:w="14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(67,633)</w:t>
            </w:r>
          </w:p>
        </w:tc>
        <w:tc>
          <w:tcPr>
            <w:tcW w:w="1440" w:type="dxa"/>
            <w:vAlign w:val="bottom"/>
            <w:gridSpan w:val="2"/>
            <w:shd w:val="clear" w:color="auto" w:fill="CCEEFF"/>
          </w:tcPr>
          <w:p>
            <w:pPr>
              <w:jc w:val="right"/>
              <w:ind w:right="59"/>
              <w:spacing w:after="0"/>
              <w:rPr>
                <w:sz w:val="20"/>
                <w:szCs w:val="20"/>
                <w:color w:val="auto"/>
              </w:rPr>
            </w:pPr>
            <w:r>
              <w:rPr>
                <w:rFonts w:ascii="Arial" w:cs="Arial" w:eastAsia="Arial" w:hAnsi="Arial"/>
                <w:sz w:val="17"/>
                <w:szCs w:val="17"/>
                <w:color w:val="auto"/>
              </w:rPr>
              <w:t>(51,667)</w:t>
            </w:r>
          </w:p>
        </w:tc>
        <w:tc>
          <w:tcPr>
            <w:tcW w:w="1340" w:type="dxa"/>
            <w:vAlign w:val="bottom"/>
            <w:gridSpan w:val="2"/>
            <w:shd w:val="clear" w:color="auto" w:fill="CCEEFF"/>
          </w:tcPr>
          <w:p>
            <w:pPr>
              <w:jc w:val="right"/>
              <w:ind w:right="19"/>
              <w:spacing w:after="0"/>
              <w:rPr>
                <w:sz w:val="20"/>
                <w:szCs w:val="20"/>
                <w:color w:val="auto"/>
              </w:rPr>
            </w:pPr>
            <w:r>
              <w:rPr>
                <w:rFonts w:ascii="Arial" w:cs="Arial" w:eastAsia="Arial" w:hAnsi="Arial"/>
                <w:sz w:val="17"/>
                <w:szCs w:val="17"/>
                <w:color w:val="auto"/>
              </w:rPr>
              <w:t>33,500</w:t>
            </w:r>
          </w:p>
        </w:tc>
      </w:tr>
      <w:tr>
        <w:trPr>
          <w:trHeight w:val="208"/>
        </w:trPr>
        <w:tc>
          <w:tcPr>
            <w:tcW w:w="5820" w:type="dxa"/>
            <w:vAlign w:val="bottom"/>
          </w:tcPr>
          <w:p>
            <w:pPr>
              <w:spacing w:after="0"/>
              <w:rPr>
                <w:sz w:val="20"/>
                <w:szCs w:val="20"/>
                <w:color w:val="auto"/>
              </w:rPr>
            </w:pPr>
            <w:r>
              <w:rPr>
                <w:rFonts w:ascii="Arial" w:cs="Arial" w:eastAsia="Arial" w:hAnsi="Arial"/>
                <w:sz w:val="17"/>
                <w:szCs w:val="17"/>
                <w:color w:val="auto"/>
              </w:rPr>
              <w:t>Net gain of trading derivatives</w:t>
            </w:r>
          </w:p>
        </w:tc>
        <w:tc>
          <w:tcPr>
            <w:tcW w:w="1380" w:type="dxa"/>
            <w:vAlign w:val="bottom"/>
          </w:tcPr>
          <w:p>
            <w:pPr>
              <w:spacing w:after="0"/>
              <w:rPr>
                <w:sz w:val="18"/>
                <w:szCs w:val="18"/>
                <w:color w:val="auto"/>
              </w:rPr>
            </w:pPr>
          </w:p>
        </w:tc>
        <w:tc>
          <w:tcPr>
            <w:tcW w:w="1440" w:type="dxa"/>
            <w:vAlign w:val="bottom"/>
            <w:gridSpan w:val="2"/>
          </w:tcPr>
          <w:p>
            <w:pPr>
              <w:jc w:val="right"/>
              <w:ind w:right="140"/>
              <w:spacing w:after="0"/>
              <w:rPr>
                <w:sz w:val="20"/>
                <w:szCs w:val="20"/>
                <w:color w:val="auto"/>
              </w:rPr>
            </w:pPr>
            <w:r>
              <w:rPr>
                <w:rFonts w:ascii="Arial" w:cs="Arial" w:eastAsia="Arial" w:hAnsi="Arial"/>
                <w:sz w:val="17"/>
                <w:szCs w:val="17"/>
                <w:color w:val="auto"/>
              </w:rPr>
              <w:t>(103,580)</w:t>
            </w:r>
          </w:p>
        </w:tc>
        <w:tc>
          <w:tcPr>
            <w:tcW w:w="1440" w:type="dxa"/>
            <w:vAlign w:val="bottom"/>
            <w:gridSpan w:val="2"/>
          </w:tcPr>
          <w:p>
            <w:pPr>
              <w:jc w:val="right"/>
              <w:ind w:right="59"/>
              <w:spacing w:after="0"/>
              <w:rPr>
                <w:sz w:val="20"/>
                <w:szCs w:val="20"/>
                <w:color w:val="auto"/>
              </w:rPr>
            </w:pPr>
            <w:r>
              <w:rPr>
                <w:rFonts w:ascii="Arial" w:cs="Arial" w:eastAsia="Arial" w:hAnsi="Arial"/>
                <w:sz w:val="17"/>
                <w:szCs w:val="17"/>
                <w:color w:val="auto"/>
              </w:rPr>
              <w:t>(44,500)</w:t>
            </w:r>
          </w:p>
        </w:tc>
        <w:tc>
          <w:tcPr>
            <w:tcW w:w="1340" w:type="dxa"/>
            <w:vAlign w:val="bottom"/>
            <w:gridSpan w:val="2"/>
          </w:tcPr>
          <w:p>
            <w:pPr>
              <w:jc w:val="right"/>
              <w:spacing w:after="0"/>
              <w:rPr>
                <w:sz w:val="20"/>
                <w:szCs w:val="20"/>
                <w:color w:val="auto"/>
              </w:rPr>
            </w:pPr>
            <w:r>
              <w:rPr>
                <w:rFonts w:ascii="Arial" w:cs="Arial" w:eastAsia="Arial" w:hAnsi="Arial"/>
                <w:sz w:val="17"/>
                <w:szCs w:val="17"/>
                <w:color w:val="auto"/>
              </w:rPr>
              <w:t>(207,938)</w:t>
            </w:r>
          </w:p>
        </w:tc>
      </w:tr>
      <w:tr>
        <w:trPr>
          <w:trHeight w:val="208"/>
        </w:trPr>
        <w:tc>
          <w:tcPr>
            <w:tcW w:w="5820" w:type="dxa"/>
            <w:vAlign w:val="bottom"/>
            <w:shd w:val="clear" w:color="auto" w:fill="CCEEFF"/>
          </w:tcPr>
          <w:p>
            <w:pPr>
              <w:spacing w:after="0"/>
              <w:rPr>
                <w:sz w:val="20"/>
                <w:szCs w:val="20"/>
                <w:color w:val="auto"/>
              </w:rPr>
            </w:pPr>
            <w:r>
              <w:rPr>
                <w:rFonts w:ascii="Arial" w:cs="Arial" w:eastAsia="Arial" w:hAnsi="Arial"/>
                <w:sz w:val="17"/>
                <w:szCs w:val="17"/>
                <w:color w:val="auto"/>
              </w:rPr>
              <w:t>(Gain) loss on sales of property, furniture and equipment</w:t>
            </w:r>
          </w:p>
        </w:tc>
        <w:tc>
          <w:tcPr>
            <w:tcW w:w="13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(36,970)</w:t>
            </w:r>
          </w:p>
        </w:tc>
        <w:tc>
          <w:tcPr>
            <w:tcW w:w="1440" w:type="dxa"/>
            <w:vAlign w:val="bottom"/>
            <w:gridSpan w:val="2"/>
            <w:shd w:val="clear" w:color="auto" w:fill="CCEEFF"/>
          </w:tcPr>
          <w:p>
            <w:pPr>
              <w:jc w:val="right"/>
              <w:ind w:right="119"/>
              <w:spacing w:after="0"/>
              <w:rPr>
                <w:sz w:val="20"/>
                <w:szCs w:val="20"/>
                <w:color w:val="auto"/>
              </w:rPr>
            </w:pPr>
            <w:r>
              <w:rPr>
                <w:rFonts w:ascii="Arial" w:cs="Arial" w:eastAsia="Arial" w:hAnsi="Arial"/>
                <w:sz w:val="17"/>
                <w:szCs w:val="17"/>
                <w:color w:val="auto"/>
              </w:rPr>
              <w:t>45,076</w:t>
            </w:r>
          </w:p>
        </w:tc>
        <w:tc>
          <w:tcPr>
            <w:tcW w:w="1340" w:type="dxa"/>
            <w:vAlign w:val="bottom"/>
            <w:gridSpan w:val="2"/>
            <w:shd w:val="clear" w:color="auto" w:fill="CCEEFF"/>
          </w:tcPr>
          <w:p>
            <w:pPr>
              <w:jc w:val="right"/>
              <w:ind w:right="19"/>
              <w:spacing w:after="0"/>
              <w:rPr>
                <w:sz w:val="20"/>
                <w:szCs w:val="20"/>
                <w:color w:val="auto"/>
              </w:rPr>
            </w:pPr>
            <w:r>
              <w:rPr>
                <w:rFonts w:ascii="Arial" w:cs="Arial" w:eastAsia="Arial" w:hAnsi="Arial"/>
                <w:sz w:val="17"/>
                <w:szCs w:val="17"/>
                <w:color w:val="auto"/>
              </w:rPr>
              <w:t>17,159</w:t>
            </w:r>
          </w:p>
        </w:tc>
      </w:tr>
      <w:tr>
        <w:trPr>
          <w:trHeight w:val="208"/>
        </w:trPr>
        <w:tc>
          <w:tcPr>
            <w:tcW w:w="5820" w:type="dxa"/>
            <w:vAlign w:val="bottom"/>
          </w:tcPr>
          <w:p>
            <w:pPr>
              <w:spacing w:after="0"/>
              <w:rPr>
                <w:sz w:val="20"/>
                <w:szCs w:val="20"/>
                <w:color w:val="auto"/>
              </w:rPr>
            </w:pPr>
            <w:r>
              <w:rPr>
                <w:rFonts w:ascii="Arial" w:cs="Arial" w:eastAsia="Arial" w:hAnsi="Arial"/>
                <w:sz w:val="17"/>
                <w:szCs w:val="17"/>
                <w:color w:val="auto"/>
              </w:rPr>
              <w:t>Net profit from sale of seized and recovered assets</w:t>
            </w:r>
          </w:p>
        </w:tc>
        <w:tc>
          <w:tcPr>
            <w:tcW w:w="1380" w:type="dxa"/>
            <w:vAlign w:val="bottom"/>
          </w:tcPr>
          <w:p>
            <w:pPr>
              <w:jc w:val="center"/>
              <w:ind w:left="33"/>
              <w:spacing w:after="0"/>
              <w:rPr>
                <w:sz w:val="20"/>
                <w:szCs w:val="20"/>
                <w:color w:val="auto"/>
              </w:rPr>
            </w:pPr>
            <w:r>
              <w:rPr>
                <w:rFonts w:ascii="Arial" w:cs="Arial" w:eastAsia="Arial" w:hAnsi="Arial"/>
                <w:sz w:val="17"/>
                <w:szCs w:val="17"/>
                <w:color w:val="auto"/>
                <w:w w:val="94"/>
              </w:rPr>
              <w:t>27</w:t>
            </w:r>
          </w:p>
        </w:tc>
        <w:tc>
          <w:tcPr>
            <w:tcW w:w="1440" w:type="dxa"/>
            <w:vAlign w:val="bottom"/>
            <w:gridSpan w:val="2"/>
          </w:tcPr>
          <w:p>
            <w:pPr>
              <w:jc w:val="right"/>
              <w:ind w:right="140"/>
              <w:spacing w:after="0"/>
              <w:rPr>
                <w:sz w:val="20"/>
                <w:szCs w:val="20"/>
                <w:color w:val="auto"/>
              </w:rPr>
            </w:pPr>
            <w:r>
              <w:rPr>
                <w:rFonts w:ascii="Arial" w:cs="Arial" w:eastAsia="Arial" w:hAnsi="Arial"/>
                <w:sz w:val="17"/>
                <w:szCs w:val="17"/>
                <w:color w:val="auto"/>
              </w:rPr>
              <w:t>(2,494)</w:t>
            </w:r>
          </w:p>
        </w:tc>
        <w:tc>
          <w:tcPr>
            <w:tcW w:w="1440" w:type="dxa"/>
            <w:vAlign w:val="bottom"/>
            <w:gridSpan w:val="2"/>
          </w:tcPr>
          <w:p>
            <w:pPr>
              <w:jc w:val="right"/>
              <w:ind w:right="59"/>
              <w:spacing w:after="0"/>
              <w:rPr>
                <w:sz w:val="20"/>
                <w:szCs w:val="20"/>
                <w:color w:val="auto"/>
              </w:rPr>
            </w:pPr>
            <w:r>
              <w:rPr>
                <w:rFonts w:ascii="Arial" w:cs="Arial" w:eastAsia="Arial" w:hAnsi="Arial"/>
                <w:sz w:val="17"/>
                <w:szCs w:val="17"/>
                <w:color w:val="auto"/>
              </w:rPr>
              <w:t>(1,377)</w:t>
            </w:r>
          </w:p>
        </w:tc>
        <w:tc>
          <w:tcPr>
            <w:tcW w:w="1340" w:type="dxa"/>
            <w:vAlign w:val="bottom"/>
            <w:gridSpan w:val="2"/>
          </w:tcPr>
          <w:p>
            <w:pPr>
              <w:jc w:val="right"/>
              <w:spacing w:after="0"/>
              <w:rPr>
                <w:sz w:val="20"/>
                <w:szCs w:val="20"/>
                <w:color w:val="auto"/>
              </w:rPr>
            </w:pPr>
            <w:r>
              <w:rPr>
                <w:rFonts w:ascii="Arial" w:cs="Arial" w:eastAsia="Arial" w:hAnsi="Arial"/>
                <w:sz w:val="17"/>
                <w:szCs w:val="17"/>
                <w:color w:val="auto"/>
              </w:rPr>
              <w:t>(4,195)</w:t>
            </w:r>
          </w:p>
        </w:tc>
      </w:tr>
      <w:tr>
        <w:trPr>
          <w:trHeight w:val="208"/>
        </w:trPr>
        <w:tc>
          <w:tcPr>
            <w:tcW w:w="5820" w:type="dxa"/>
            <w:vAlign w:val="bottom"/>
            <w:shd w:val="clear" w:color="auto" w:fill="CCEEFF"/>
          </w:tcPr>
          <w:p>
            <w:pPr>
              <w:spacing w:after="0"/>
              <w:rPr>
                <w:sz w:val="20"/>
                <w:szCs w:val="20"/>
                <w:color w:val="auto"/>
              </w:rPr>
            </w:pPr>
            <w:r>
              <w:rPr>
                <w:rFonts w:ascii="Arial" w:cs="Arial" w:eastAsia="Arial" w:hAnsi="Arial"/>
                <w:sz w:val="17"/>
                <w:szCs w:val="17"/>
                <w:color w:val="auto"/>
              </w:rPr>
              <w:t>Expense on share-based compensation plan</w:t>
            </w:r>
          </w:p>
        </w:tc>
        <w:tc>
          <w:tcPr>
            <w:tcW w:w="1380" w:type="dxa"/>
            <w:vAlign w:val="bottom"/>
            <w:shd w:val="clear" w:color="auto" w:fill="CCEEFF"/>
          </w:tcPr>
          <w:p>
            <w:pPr>
              <w:jc w:val="center"/>
              <w:ind w:left="33"/>
              <w:spacing w:after="0"/>
              <w:rPr>
                <w:sz w:val="20"/>
                <w:szCs w:val="20"/>
                <w:color w:val="auto"/>
              </w:rPr>
            </w:pPr>
            <w:r>
              <w:rPr>
                <w:rFonts w:ascii="Arial" w:cs="Arial" w:eastAsia="Arial" w:hAnsi="Arial"/>
                <w:sz w:val="17"/>
                <w:szCs w:val="17"/>
                <w:color w:val="auto"/>
                <w:w w:val="94"/>
              </w:rPr>
              <w:t>25</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62,043</w:t>
            </w:r>
          </w:p>
        </w:tc>
        <w:tc>
          <w:tcPr>
            <w:tcW w:w="1440" w:type="dxa"/>
            <w:vAlign w:val="bottom"/>
            <w:gridSpan w:val="2"/>
            <w:shd w:val="clear" w:color="auto" w:fill="CCEEFF"/>
          </w:tcPr>
          <w:p>
            <w:pPr>
              <w:jc w:val="right"/>
              <w:ind w:right="119"/>
              <w:spacing w:after="0"/>
              <w:rPr>
                <w:sz w:val="20"/>
                <w:szCs w:val="20"/>
                <w:color w:val="auto"/>
              </w:rPr>
            </w:pPr>
            <w:r>
              <w:rPr>
                <w:rFonts w:ascii="Arial" w:cs="Arial" w:eastAsia="Arial" w:hAnsi="Arial"/>
                <w:sz w:val="17"/>
                <w:szCs w:val="17"/>
                <w:color w:val="auto"/>
              </w:rPr>
              <w:t>73,930</w:t>
            </w:r>
          </w:p>
        </w:tc>
        <w:tc>
          <w:tcPr>
            <w:tcW w:w="1340" w:type="dxa"/>
            <w:vAlign w:val="bottom"/>
            <w:gridSpan w:val="2"/>
            <w:shd w:val="clear" w:color="auto" w:fill="CCEEFF"/>
          </w:tcPr>
          <w:p>
            <w:pPr>
              <w:jc w:val="right"/>
              <w:ind w:right="19"/>
              <w:spacing w:after="0"/>
              <w:rPr>
                <w:sz w:val="20"/>
                <w:szCs w:val="20"/>
                <w:color w:val="auto"/>
              </w:rPr>
            </w:pPr>
            <w:r>
              <w:rPr>
                <w:rFonts w:ascii="Arial" w:cs="Arial" w:eastAsia="Arial" w:hAnsi="Arial"/>
                <w:sz w:val="17"/>
                <w:szCs w:val="17"/>
                <w:color w:val="auto"/>
              </w:rPr>
              <w:t>65,532</w:t>
            </w:r>
          </w:p>
        </w:tc>
      </w:tr>
      <w:tr>
        <w:trPr>
          <w:trHeight w:val="208"/>
        </w:trPr>
        <w:tc>
          <w:tcPr>
            <w:tcW w:w="5820" w:type="dxa"/>
            <w:vAlign w:val="bottom"/>
          </w:tcPr>
          <w:p>
            <w:pPr>
              <w:spacing w:after="0"/>
              <w:rPr>
                <w:sz w:val="20"/>
                <w:szCs w:val="20"/>
                <w:color w:val="auto"/>
              </w:rPr>
            </w:pPr>
            <w:r>
              <w:rPr>
                <w:rFonts w:ascii="Arial" w:cs="Arial" w:eastAsia="Arial" w:hAnsi="Arial"/>
                <w:sz w:val="17"/>
                <w:szCs w:val="17"/>
                <w:color w:val="auto"/>
              </w:rPr>
              <w:t>Others</w:t>
            </w:r>
          </w:p>
        </w:tc>
        <w:tc>
          <w:tcPr>
            <w:tcW w:w="1380" w:type="dxa"/>
            <w:vAlign w:val="bottom"/>
          </w:tcPr>
          <w:p>
            <w:pPr>
              <w:spacing w:after="0"/>
              <w:rPr>
                <w:sz w:val="18"/>
                <w:szCs w:val="18"/>
                <w:color w:val="auto"/>
              </w:rPr>
            </w:pPr>
          </w:p>
        </w:tc>
        <w:tc>
          <w:tcPr>
            <w:tcW w:w="1440" w:type="dxa"/>
            <w:vAlign w:val="bottom"/>
            <w:gridSpan w:val="2"/>
          </w:tcPr>
          <w:p>
            <w:pPr>
              <w:jc w:val="right"/>
              <w:ind w:right="140"/>
              <w:spacing w:after="0"/>
              <w:rPr>
                <w:sz w:val="20"/>
                <w:szCs w:val="20"/>
                <w:color w:val="auto"/>
              </w:rPr>
            </w:pPr>
            <w:r>
              <w:rPr>
                <w:rFonts w:ascii="Arial" w:cs="Arial" w:eastAsia="Arial" w:hAnsi="Arial"/>
                <w:sz w:val="17"/>
                <w:szCs w:val="17"/>
                <w:color w:val="auto"/>
              </w:rPr>
              <w:t>(17,394)</w:t>
            </w:r>
          </w:p>
        </w:tc>
        <w:tc>
          <w:tcPr>
            <w:tcW w:w="1440" w:type="dxa"/>
            <w:vAlign w:val="bottom"/>
            <w:gridSpan w:val="2"/>
          </w:tcPr>
          <w:p>
            <w:pPr>
              <w:jc w:val="right"/>
              <w:ind w:right="119"/>
              <w:spacing w:after="0"/>
              <w:rPr>
                <w:sz w:val="20"/>
                <w:szCs w:val="20"/>
                <w:color w:val="auto"/>
              </w:rPr>
            </w:pPr>
            <w:r>
              <w:rPr>
                <w:rFonts w:ascii="Arial" w:cs="Arial" w:eastAsia="Arial" w:hAnsi="Arial"/>
                <w:sz w:val="17"/>
                <w:szCs w:val="17"/>
                <w:color w:val="auto"/>
              </w:rPr>
              <w:t>60,624</w:t>
            </w:r>
          </w:p>
        </w:tc>
        <w:tc>
          <w:tcPr>
            <w:tcW w:w="1340" w:type="dxa"/>
            <w:vAlign w:val="bottom"/>
            <w:gridSpan w:val="2"/>
          </w:tcPr>
          <w:p>
            <w:pPr>
              <w:jc w:val="right"/>
              <w:spacing w:after="0"/>
              <w:rPr>
                <w:sz w:val="20"/>
                <w:szCs w:val="20"/>
                <w:color w:val="auto"/>
              </w:rPr>
            </w:pPr>
            <w:r>
              <w:rPr>
                <w:rFonts w:ascii="Arial" w:cs="Arial" w:eastAsia="Arial" w:hAnsi="Arial"/>
                <w:sz w:val="17"/>
                <w:szCs w:val="17"/>
                <w:color w:val="auto"/>
              </w:rPr>
              <w:t>(46,563)</w:t>
            </w:r>
          </w:p>
        </w:tc>
      </w:tr>
      <w:tr>
        <w:trPr>
          <w:trHeight w:val="208"/>
        </w:trPr>
        <w:tc>
          <w:tcPr>
            <w:tcW w:w="582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Net changes in assets and liabilities:</w:t>
            </w:r>
          </w:p>
        </w:tc>
        <w:tc>
          <w:tcPr>
            <w:tcW w:w="13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8"/>
        </w:trPr>
        <w:tc>
          <w:tcPr>
            <w:tcW w:w="5820" w:type="dxa"/>
            <w:vAlign w:val="bottom"/>
          </w:tcPr>
          <w:p>
            <w:pPr>
              <w:spacing w:after="0"/>
              <w:rPr>
                <w:sz w:val="20"/>
                <w:szCs w:val="20"/>
                <w:color w:val="auto"/>
              </w:rPr>
            </w:pPr>
            <w:r>
              <w:rPr>
                <w:rFonts w:ascii="Arial" w:cs="Arial" w:eastAsia="Arial" w:hAnsi="Arial"/>
                <w:sz w:val="17"/>
                <w:szCs w:val="17"/>
                <w:b w:val="1"/>
                <w:bCs w:val="1"/>
                <w:color w:val="auto"/>
              </w:rPr>
              <w:t>Net (increase) decrease in assets</w:t>
            </w:r>
          </w:p>
        </w:tc>
        <w:tc>
          <w:tcPr>
            <w:tcW w:w="13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8"/>
        </w:trPr>
        <w:tc>
          <w:tcPr>
            <w:tcW w:w="5820" w:type="dxa"/>
            <w:vAlign w:val="bottom"/>
            <w:shd w:val="clear" w:color="auto" w:fill="CCEEFF"/>
          </w:tcPr>
          <w:p>
            <w:pPr>
              <w:spacing w:after="0"/>
              <w:rPr>
                <w:sz w:val="20"/>
                <w:szCs w:val="20"/>
                <w:color w:val="auto"/>
              </w:rPr>
            </w:pPr>
            <w:r>
              <w:rPr>
                <w:rFonts w:ascii="Arial" w:cs="Arial" w:eastAsia="Arial" w:hAnsi="Arial"/>
                <w:sz w:val="17"/>
                <w:szCs w:val="17"/>
                <w:color w:val="auto"/>
              </w:rPr>
              <w:t>Loans</w:t>
            </w:r>
          </w:p>
        </w:tc>
        <w:tc>
          <w:tcPr>
            <w:tcW w:w="13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(8,387,767)</w:t>
            </w:r>
          </w:p>
        </w:tc>
        <w:tc>
          <w:tcPr>
            <w:tcW w:w="1440" w:type="dxa"/>
            <w:vAlign w:val="bottom"/>
            <w:gridSpan w:val="2"/>
            <w:shd w:val="clear" w:color="auto" w:fill="CCEEFF"/>
          </w:tcPr>
          <w:p>
            <w:pPr>
              <w:jc w:val="right"/>
              <w:ind w:right="59"/>
              <w:spacing w:after="0"/>
              <w:rPr>
                <w:sz w:val="20"/>
                <w:szCs w:val="20"/>
                <w:color w:val="auto"/>
              </w:rPr>
            </w:pPr>
            <w:r>
              <w:rPr>
                <w:rFonts w:ascii="Arial" w:cs="Arial" w:eastAsia="Arial" w:hAnsi="Arial"/>
                <w:sz w:val="17"/>
                <w:szCs w:val="17"/>
                <w:color w:val="auto"/>
              </w:rPr>
              <w:t>(6,636,536)</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(7,754,794)</w:t>
            </w:r>
          </w:p>
        </w:tc>
      </w:tr>
      <w:tr>
        <w:trPr>
          <w:trHeight w:val="208"/>
        </w:trPr>
        <w:tc>
          <w:tcPr>
            <w:tcW w:w="5820" w:type="dxa"/>
            <w:vAlign w:val="bottom"/>
          </w:tcPr>
          <w:p>
            <w:pPr>
              <w:spacing w:after="0"/>
              <w:rPr>
                <w:sz w:val="20"/>
                <w:szCs w:val="20"/>
                <w:color w:val="auto"/>
              </w:rPr>
            </w:pPr>
            <w:r>
              <w:rPr>
                <w:rFonts w:ascii="Arial" w:cs="Arial" w:eastAsia="Arial" w:hAnsi="Arial"/>
                <w:sz w:val="17"/>
                <w:szCs w:val="17"/>
                <w:color w:val="auto"/>
              </w:rPr>
              <w:t>Trading securities</w:t>
            </w:r>
          </w:p>
        </w:tc>
        <w:tc>
          <w:tcPr>
            <w:tcW w:w="1380" w:type="dxa"/>
            <w:vAlign w:val="bottom"/>
          </w:tcPr>
          <w:p>
            <w:pPr>
              <w:spacing w:after="0"/>
              <w:rPr>
                <w:sz w:val="18"/>
                <w:szCs w:val="18"/>
                <w:color w:val="auto"/>
              </w:rPr>
            </w:pPr>
          </w:p>
        </w:tc>
        <w:tc>
          <w:tcPr>
            <w:tcW w:w="1440" w:type="dxa"/>
            <w:vAlign w:val="bottom"/>
            <w:gridSpan w:val="2"/>
          </w:tcPr>
          <w:p>
            <w:pPr>
              <w:jc w:val="right"/>
              <w:ind w:right="140"/>
              <w:spacing w:after="0"/>
              <w:rPr>
                <w:sz w:val="20"/>
                <w:szCs w:val="20"/>
                <w:color w:val="auto"/>
              </w:rPr>
            </w:pPr>
            <w:r>
              <w:rPr>
                <w:rFonts w:ascii="Arial" w:cs="Arial" w:eastAsia="Arial" w:hAnsi="Arial"/>
                <w:sz w:val="17"/>
                <w:szCs w:val="17"/>
                <w:color w:val="auto"/>
              </w:rPr>
              <w:t>(16,400)</w:t>
            </w:r>
          </w:p>
        </w:tc>
        <w:tc>
          <w:tcPr>
            <w:tcW w:w="1440" w:type="dxa"/>
            <w:vAlign w:val="bottom"/>
            <w:gridSpan w:val="2"/>
          </w:tcPr>
          <w:p>
            <w:pPr>
              <w:jc w:val="right"/>
              <w:ind w:right="59"/>
              <w:spacing w:after="0"/>
              <w:rPr>
                <w:sz w:val="20"/>
                <w:szCs w:val="20"/>
                <w:color w:val="auto"/>
              </w:rPr>
            </w:pPr>
            <w:r>
              <w:rPr>
                <w:rFonts w:ascii="Arial" w:cs="Arial" w:eastAsia="Arial" w:hAnsi="Arial"/>
                <w:sz w:val="17"/>
                <w:szCs w:val="17"/>
                <w:color w:val="auto"/>
              </w:rPr>
              <w:t>(1,694,949)</w:t>
            </w:r>
          </w:p>
        </w:tc>
        <w:tc>
          <w:tcPr>
            <w:tcW w:w="1340" w:type="dxa"/>
            <w:vAlign w:val="bottom"/>
            <w:gridSpan w:val="2"/>
          </w:tcPr>
          <w:p>
            <w:pPr>
              <w:jc w:val="right"/>
              <w:ind w:right="19"/>
              <w:spacing w:after="0"/>
              <w:rPr>
                <w:sz w:val="20"/>
                <w:szCs w:val="20"/>
                <w:color w:val="auto"/>
              </w:rPr>
            </w:pPr>
            <w:r>
              <w:rPr>
                <w:rFonts w:ascii="Arial" w:cs="Arial" w:eastAsia="Arial" w:hAnsi="Arial"/>
                <w:sz w:val="17"/>
                <w:szCs w:val="17"/>
                <w:color w:val="auto"/>
              </w:rPr>
              <w:t>232,293</w:t>
            </w:r>
          </w:p>
        </w:tc>
      </w:tr>
      <w:tr>
        <w:trPr>
          <w:trHeight w:val="208"/>
        </w:trPr>
        <w:tc>
          <w:tcPr>
            <w:tcW w:w="5820" w:type="dxa"/>
            <w:vAlign w:val="bottom"/>
            <w:shd w:val="clear" w:color="auto" w:fill="CCEEFF"/>
          </w:tcPr>
          <w:p>
            <w:pPr>
              <w:spacing w:after="0"/>
              <w:rPr>
                <w:sz w:val="20"/>
                <w:szCs w:val="20"/>
                <w:color w:val="auto"/>
              </w:rPr>
            </w:pPr>
            <w:r>
              <w:rPr>
                <w:rFonts w:ascii="Arial" w:cs="Arial" w:eastAsia="Arial" w:hAnsi="Arial"/>
                <w:sz w:val="17"/>
                <w:szCs w:val="17"/>
                <w:color w:val="auto"/>
              </w:rPr>
              <w:t>Available for sale investments</w:t>
            </w:r>
          </w:p>
        </w:tc>
        <w:tc>
          <w:tcPr>
            <w:tcW w:w="13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(5,380,789)</w:t>
            </w:r>
          </w:p>
        </w:tc>
        <w:tc>
          <w:tcPr>
            <w:tcW w:w="1440" w:type="dxa"/>
            <w:vAlign w:val="bottom"/>
            <w:gridSpan w:val="2"/>
            <w:shd w:val="clear" w:color="auto" w:fill="CCEEFF"/>
          </w:tcPr>
          <w:p>
            <w:pPr>
              <w:jc w:val="right"/>
              <w:ind w:right="119"/>
              <w:spacing w:after="0"/>
              <w:rPr>
                <w:sz w:val="20"/>
                <w:szCs w:val="20"/>
                <w:color w:val="auto"/>
              </w:rPr>
            </w:pPr>
            <w:r>
              <w:rPr>
                <w:rFonts w:ascii="Arial" w:cs="Arial" w:eastAsia="Arial" w:hAnsi="Arial"/>
                <w:sz w:val="17"/>
                <w:szCs w:val="17"/>
                <w:color w:val="auto"/>
              </w:rPr>
              <w:t>562,679</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(3,163,304)</w:t>
            </w:r>
          </w:p>
        </w:tc>
      </w:tr>
      <w:tr>
        <w:trPr>
          <w:trHeight w:val="195"/>
        </w:trPr>
        <w:tc>
          <w:tcPr>
            <w:tcW w:w="5820" w:type="dxa"/>
            <w:vAlign w:val="bottom"/>
          </w:tcPr>
          <w:p>
            <w:pPr>
              <w:spacing w:after="0"/>
              <w:rPr>
                <w:sz w:val="20"/>
                <w:szCs w:val="20"/>
                <w:color w:val="auto"/>
              </w:rPr>
            </w:pPr>
            <w:r>
              <w:rPr>
                <w:rFonts w:ascii="Arial" w:cs="Arial" w:eastAsia="Arial" w:hAnsi="Arial"/>
                <w:sz w:val="17"/>
                <w:szCs w:val="17"/>
                <w:color w:val="auto"/>
                <w:w w:val="95"/>
              </w:rPr>
              <w:t>Cash collaterals, receivables from reverse repurchase agreements and securities</w:t>
            </w:r>
          </w:p>
        </w:tc>
        <w:tc>
          <w:tcPr>
            <w:tcW w:w="13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20"/>
        </w:trPr>
        <w:tc>
          <w:tcPr>
            <w:tcW w:w="5820" w:type="dxa"/>
            <w:vAlign w:val="bottom"/>
          </w:tcPr>
          <w:p>
            <w:pPr>
              <w:spacing w:after="0"/>
              <w:rPr>
                <w:sz w:val="20"/>
                <w:szCs w:val="20"/>
                <w:color w:val="auto"/>
              </w:rPr>
            </w:pPr>
            <w:r>
              <w:rPr>
                <w:rFonts w:ascii="Arial" w:cs="Arial" w:eastAsia="Arial" w:hAnsi="Arial"/>
                <w:sz w:val="17"/>
                <w:szCs w:val="17"/>
                <w:color w:val="auto"/>
              </w:rPr>
              <w:t>borrowings</w:t>
            </w:r>
          </w:p>
        </w:tc>
        <w:tc>
          <w:tcPr>
            <w:tcW w:w="1380" w:type="dxa"/>
            <w:vAlign w:val="bottom"/>
          </w:tcPr>
          <w:p>
            <w:pPr>
              <w:spacing w:after="0"/>
              <w:rPr>
                <w:sz w:val="19"/>
                <w:szCs w:val="19"/>
                <w:color w:val="auto"/>
              </w:rPr>
            </w:pPr>
          </w:p>
        </w:tc>
        <w:tc>
          <w:tcPr>
            <w:tcW w:w="1440" w:type="dxa"/>
            <w:vAlign w:val="bottom"/>
            <w:gridSpan w:val="2"/>
          </w:tcPr>
          <w:p>
            <w:pPr>
              <w:jc w:val="right"/>
              <w:ind w:right="140"/>
              <w:spacing w:after="0"/>
              <w:rPr>
                <w:sz w:val="20"/>
                <w:szCs w:val="20"/>
                <w:color w:val="auto"/>
              </w:rPr>
            </w:pPr>
            <w:r>
              <w:rPr>
                <w:rFonts w:ascii="Arial" w:cs="Arial" w:eastAsia="Arial" w:hAnsi="Arial"/>
                <w:sz w:val="17"/>
                <w:szCs w:val="17"/>
                <w:color w:val="auto"/>
              </w:rPr>
              <w:t>(78,950)</w:t>
            </w:r>
          </w:p>
        </w:tc>
        <w:tc>
          <w:tcPr>
            <w:tcW w:w="1440" w:type="dxa"/>
            <w:vAlign w:val="bottom"/>
            <w:gridSpan w:val="2"/>
          </w:tcPr>
          <w:p>
            <w:pPr>
              <w:jc w:val="right"/>
              <w:ind w:right="59"/>
              <w:spacing w:after="0"/>
              <w:rPr>
                <w:sz w:val="20"/>
                <w:szCs w:val="20"/>
                <w:color w:val="auto"/>
              </w:rPr>
            </w:pPr>
            <w:r>
              <w:rPr>
                <w:rFonts w:ascii="Arial" w:cs="Arial" w:eastAsia="Arial" w:hAnsi="Arial"/>
                <w:sz w:val="17"/>
                <w:szCs w:val="17"/>
                <w:color w:val="auto"/>
              </w:rPr>
              <w:t>(28,856)</w:t>
            </w:r>
          </w:p>
        </w:tc>
        <w:tc>
          <w:tcPr>
            <w:tcW w:w="1340" w:type="dxa"/>
            <w:vAlign w:val="bottom"/>
            <w:gridSpan w:val="2"/>
          </w:tcPr>
          <w:p>
            <w:pPr>
              <w:jc w:val="right"/>
              <w:ind w:right="19"/>
              <w:spacing w:after="0"/>
              <w:rPr>
                <w:sz w:val="20"/>
                <w:szCs w:val="20"/>
                <w:color w:val="auto"/>
              </w:rPr>
            </w:pPr>
            <w:r>
              <w:rPr>
                <w:rFonts w:ascii="Arial" w:cs="Arial" w:eastAsia="Arial" w:hAnsi="Arial"/>
                <w:sz w:val="17"/>
                <w:szCs w:val="17"/>
                <w:color w:val="auto"/>
              </w:rPr>
              <w:t>364,837</w:t>
            </w:r>
          </w:p>
        </w:tc>
      </w:tr>
      <w:tr>
        <w:trPr>
          <w:trHeight w:val="208"/>
        </w:trPr>
        <w:tc>
          <w:tcPr>
            <w:tcW w:w="5820" w:type="dxa"/>
            <w:vAlign w:val="bottom"/>
            <w:shd w:val="clear" w:color="auto" w:fill="CCEEFF"/>
          </w:tcPr>
          <w:p>
            <w:pPr>
              <w:spacing w:after="0"/>
              <w:rPr>
                <w:sz w:val="20"/>
                <w:szCs w:val="20"/>
                <w:color w:val="auto"/>
              </w:rPr>
            </w:pPr>
            <w:r>
              <w:rPr>
                <w:rFonts w:ascii="Arial" w:cs="Arial" w:eastAsia="Arial" w:hAnsi="Arial"/>
                <w:sz w:val="17"/>
                <w:szCs w:val="17"/>
                <w:color w:val="auto"/>
              </w:rPr>
              <w:t>Other assets</w:t>
            </w:r>
          </w:p>
        </w:tc>
        <w:tc>
          <w:tcPr>
            <w:tcW w:w="13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425,245</w:t>
            </w:r>
          </w:p>
        </w:tc>
        <w:tc>
          <w:tcPr>
            <w:tcW w:w="1440" w:type="dxa"/>
            <w:vAlign w:val="bottom"/>
            <w:gridSpan w:val="2"/>
            <w:shd w:val="clear" w:color="auto" w:fill="CCEEFF"/>
          </w:tcPr>
          <w:p>
            <w:pPr>
              <w:jc w:val="right"/>
              <w:ind w:right="119"/>
              <w:spacing w:after="0"/>
              <w:rPr>
                <w:sz w:val="20"/>
                <w:szCs w:val="20"/>
                <w:color w:val="auto"/>
              </w:rPr>
            </w:pPr>
            <w:r>
              <w:rPr>
                <w:rFonts w:ascii="Arial" w:cs="Arial" w:eastAsia="Arial" w:hAnsi="Arial"/>
                <w:sz w:val="17"/>
                <w:szCs w:val="17"/>
                <w:color w:val="auto"/>
              </w:rPr>
              <w:t>1,502,444</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(676,176)</w:t>
            </w:r>
          </w:p>
        </w:tc>
      </w:tr>
      <w:tr>
        <w:trPr>
          <w:trHeight w:val="208"/>
        </w:trPr>
        <w:tc>
          <w:tcPr>
            <w:tcW w:w="5820" w:type="dxa"/>
            <w:vAlign w:val="bottom"/>
          </w:tcPr>
          <w:p>
            <w:pPr>
              <w:spacing w:after="0"/>
              <w:rPr>
                <w:sz w:val="20"/>
                <w:szCs w:val="20"/>
                <w:color w:val="auto"/>
              </w:rPr>
            </w:pPr>
            <w:r>
              <w:rPr>
                <w:rFonts w:ascii="Arial" w:cs="Arial" w:eastAsia="Arial" w:hAnsi="Arial"/>
                <w:sz w:val="17"/>
                <w:szCs w:val="17"/>
                <w:b w:val="1"/>
                <w:bCs w:val="1"/>
                <w:color w:val="auto"/>
              </w:rPr>
              <w:t>Net increase (decrease) in liabilities</w:t>
            </w:r>
          </w:p>
        </w:tc>
        <w:tc>
          <w:tcPr>
            <w:tcW w:w="13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8"/>
        </w:trPr>
        <w:tc>
          <w:tcPr>
            <w:tcW w:w="5820" w:type="dxa"/>
            <w:vAlign w:val="bottom"/>
            <w:shd w:val="clear" w:color="auto" w:fill="CCEEFF"/>
          </w:tcPr>
          <w:p>
            <w:pPr>
              <w:spacing w:after="0"/>
              <w:rPr>
                <w:sz w:val="20"/>
                <w:szCs w:val="20"/>
                <w:color w:val="auto"/>
              </w:rPr>
            </w:pPr>
            <w:r>
              <w:rPr>
                <w:rFonts w:ascii="Arial" w:cs="Arial" w:eastAsia="Arial" w:hAnsi="Arial"/>
                <w:sz w:val="17"/>
                <w:szCs w:val="17"/>
                <w:color w:val="auto"/>
              </w:rPr>
              <w:t>Deposits and obligations</w:t>
            </w:r>
          </w:p>
        </w:tc>
        <w:tc>
          <w:tcPr>
            <w:tcW w:w="13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12,779,204</w:t>
            </w:r>
          </w:p>
        </w:tc>
        <w:tc>
          <w:tcPr>
            <w:tcW w:w="1440" w:type="dxa"/>
            <w:vAlign w:val="bottom"/>
            <w:gridSpan w:val="2"/>
            <w:shd w:val="clear" w:color="auto" w:fill="CCEEFF"/>
          </w:tcPr>
          <w:p>
            <w:pPr>
              <w:jc w:val="right"/>
              <w:ind w:right="59"/>
              <w:spacing w:after="0"/>
              <w:rPr>
                <w:sz w:val="20"/>
                <w:szCs w:val="20"/>
                <w:color w:val="auto"/>
              </w:rPr>
            </w:pPr>
            <w:r>
              <w:rPr>
                <w:rFonts w:ascii="Arial" w:cs="Arial" w:eastAsia="Arial" w:hAnsi="Arial"/>
                <w:sz w:val="17"/>
                <w:szCs w:val="17"/>
                <w:color w:val="auto"/>
              </w:rPr>
              <w:t>(1,981,653)</w:t>
            </w:r>
          </w:p>
        </w:tc>
        <w:tc>
          <w:tcPr>
            <w:tcW w:w="1340" w:type="dxa"/>
            <w:vAlign w:val="bottom"/>
            <w:gridSpan w:val="2"/>
            <w:shd w:val="clear" w:color="auto" w:fill="CCEEFF"/>
          </w:tcPr>
          <w:p>
            <w:pPr>
              <w:jc w:val="right"/>
              <w:ind w:right="19"/>
              <w:spacing w:after="0"/>
              <w:rPr>
                <w:sz w:val="20"/>
                <w:szCs w:val="20"/>
                <w:color w:val="auto"/>
              </w:rPr>
            </w:pPr>
            <w:r>
              <w:rPr>
                <w:rFonts w:ascii="Arial" w:cs="Arial" w:eastAsia="Arial" w:hAnsi="Arial"/>
                <w:sz w:val="17"/>
                <w:szCs w:val="17"/>
                <w:color w:val="auto"/>
              </w:rPr>
              <w:t>6,105,203</w:t>
            </w:r>
          </w:p>
        </w:tc>
      </w:tr>
      <w:tr>
        <w:trPr>
          <w:trHeight w:val="208"/>
        </w:trPr>
        <w:tc>
          <w:tcPr>
            <w:tcW w:w="5820" w:type="dxa"/>
            <w:vAlign w:val="bottom"/>
          </w:tcPr>
          <w:p>
            <w:pPr>
              <w:spacing w:after="0"/>
              <w:rPr>
                <w:sz w:val="20"/>
                <w:szCs w:val="20"/>
                <w:color w:val="auto"/>
              </w:rPr>
            </w:pPr>
            <w:r>
              <w:rPr>
                <w:rFonts w:ascii="Arial" w:cs="Arial" w:eastAsia="Arial" w:hAnsi="Arial"/>
                <w:sz w:val="17"/>
                <w:szCs w:val="17"/>
                <w:color w:val="auto"/>
              </w:rPr>
              <w:t>Due to Banks and correspondents</w:t>
            </w:r>
          </w:p>
        </w:tc>
        <w:tc>
          <w:tcPr>
            <w:tcW w:w="1380" w:type="dxa"/>
            <w:vAlign w:val="bottom"/>
          </w:tcPr>
          <w:p>
            <w:pPr>
              <w:spacing w:after="0"/>
              <w:rPr>
                <w:sz w:val="18"/>
                <w:szCs w:val="18"/>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7"/>
                <w:szCs w:val="17"/>
                <w:color w:val="auto"/>
              </w:rPr>
              <w:t>661,747</w:t>
            </w:r>
          </w:p>
        </w:tc>
        <w:tc>
          <w:tcPr>
            <w:tcW w:w="1440" w:type="dxa"/>
            <w:vAlign w:val="bottom"/>
            <w:gridSpan w:val="2"/>
          </w:tcPr>
          <w:p>
            <w:pPr>
              <w:jc w:val="right"/>
              <w:ind w:right="59"/>
              <w:spacing w:after="0"/>
              <w:rPr>
                <w:sz w:val="20"/>
                <w:szCs w:val="20"/>
                <w:color w:val="auto"/>
              </w:rPr>
            </w:pPr>
            <w:r>
              <w:rPr>
                <w:rFonts w:ascii="Arial" w:cs="Arial" w:eastAsia="Arial" w:hAnsi="Arial"/>
                <w:sz w:val="17"/>
                <w:szCs w:val="17"/>
                <w:color w:val="auto"/>
              </w:rPr>
              <w:t>(188,720)</w:t>
            </w:r>
          </w:p>
        </w:tc>
        <w:tc>
          <w:tcPr>
            <w:tcW w:w="1340" w:type="dxa"/>
            <w:vAlign w:val="bottom"/>
            <w:gridSpan w:val="2"/>
          </w:tcPr>
          <w:p>
            <w:pPr>
              <w:jc w:val="right"/>
              <w:spacing w:after="0"/>
              <w:rPr>
                <w:sz w:val="20"/>
                <w:szCs w:val="20"/>
                <w:color w:val="auto"/>
              </w:rPr>
            </w:pPr>
            <w:r>
              <w:rPr>
                <w:rFonts w:ascii="Arial" w:cs="Arial" w:eastAsia="Arial" w:hAnsi="Arial"/>
                <w:sz w:val="17"/>
                <w:szCs w:val="17"/>
                <w:color w:val="auto"/>
              </w:rPr>
              <w:t>(2,164,131)</w:t>
            </w:r>
          </w:p>
        </w:tc>
      </w:tr>
      <w:tr>
        <w:trPr>
          <w:trHeight w:val="208"/>
        </w:trPr>
        <w:tc>
          <w:tcPr>
            <w:tcW w:w="5820" w:type="dxa"/>
            <w:vAlign w:val="bottom"/>
            <w:shd w:val="clear" w:color="auto" w:fill="CCEEFF"/>
          </w:tcPr>
          <w:p>
            <w:pPr>
              <w:spacing w:after="0"/>
              <w:rPr>
                <w:sz w:val="20"/>
                <w:szCs w:val="20"/>
                <w:color w:val="auto"/>
              </w:rPr>
            </w:pPr>
            <w:r>
              <w:rPr>
                <w:rFonts w:ascii="Arial" w:cs="Arial" w:eastAsia="Arial" w:hAnsi="Arial"/>
                <w:sz w:val="17"/>
                <w:szCs w:val="17"/>
                <w:color w:val="auto"/>
              </w:rPr>
              <w:t>Payables from repurchase agreements and security lending</w:t>
            </w:r>
          </w:p>
        </w:tc>
        <w:tc>
          <w:tcPr>
            <w:tcW w:w="13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1,551,904</w:t>
            </w:r>
          </w:p>
        </w:tc>
        <w:tc>
          <w:tcPr>
            <w:tcW w:w="2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19"/>
              <w:spacing w:after="0"/>
              <w:rPr>
                <w:sz w:val="20"/>
                <w:szCs w:val="20"/>
                <w:color w:val="auto"/>
              </w:rPr>
            </w:pPr>
            <w:r>
              <w:rPr>
                <w:rFonts w:ascii="Arial" w:cs="Arial" w:eastAsia="Arial" w:hAnsi="Arial"/>
                <w:sz w:val="17"/>
                <w:szCs w:val="17"/>
                <w:color w:val="auto"/>
              </w:rPr>
              <w:t>518,755</w:t>
            </w:r>
          </w:p>
        </w:tc>
        <w:tc>
          <w:tcPr>
            <w:tcW w:w="1340" w:type="dxa"/>
            <w:vAlign w:val="bottom"/>
            <w:gridSpan w:val="2"/>
            <w:shd w:val="clear" w:color="auto" w:fill="CCEEFF"/>
          </w:tcPr>
          <w:p>
            <w:pPr>
              <w:jc w:val="right"/>
              <w:ind w:right="19"/>
              <w:spacing w:after="0"/>
              <w:rPr>
                <w:sz w:val="20"/>
                <w:szCs w:val="20"/>
                <w:color w:val="auto"/>
              </w:rPr>
            </w:pPr>
            <w:r>
              <w:rPr>
                <w:rFonts w:ascii="Arial" w:cs="Arial" w:eastAsia="Arial" w:hAnsi="Arial"/>
                <w:sz w:val="17"/>
                <w:szCs w:val="17"/>
                <w:color w:val="auto"/>
              </w:rPr>
              <w:t>1,063,748</w:t>
            </w:r>
          </w:p>
        </w:tc>
      </w:tr>
      <w:tr>
        <w:trPr>
          <w:trHeight w:val="208"/>
        </w:trPr>
        <w:tc>
          <w:tcPr>
            <w:tcW w:w="5820" w:type="dxa"/>
            <w:vAlign w:val="bottom"/>
          </w:tcPr>
          <w:p>
            <w:pPr>
              <w:spacing w:after="0"/>
              <w:rPr>
                <w:sz w:val="20"/>
                <w:szCs w:val="20"/>
                <w:color w:val="auto"/>
              </w:rPr>
            </w:pPr>
            <w:r>
              <w:rPr>
                <w:rFonts w:ascii="Arial" w:cs="Arial" w:eastAsia="Arial" w:hAnsi="Arial"/>
                <w:sz w:val="17"/>
                <w:szCs w:val="17"/>
                <w:color w:val="auto"/>
              </w:rPr>
              <w:t>Bonds and notes issued</w:t>
            </w:r>
          </w:p>
        </w:tc>
        <w:tc>
          <w:tcPr>
            <w:tcW w:w="1380" w:type="dxa"/>
            <w:vAlign w:val="bottom"/>
          </w:tcPr>
          <w:p>
            <w:pPr>
              <w:spacing w:after="0"/>
              <w:rPr>
                <w:sz w:val="18"/>
                <w:szCs w:val="18"/>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7"/>
                <w:szCs w:val="17"/>
                <w:color w:val="auto"/>
              </w:rPr>
              <w:t>788,144</w:t>
            </w:r>
          </w:p>
        </w:tc>
        <w:tc>
          <w:tcPr>
            <w:tcW w:w="1440" w:type="dxa"/>
            <w:vAlign w:val="bottom"/>
            <w:gridSpan w:val="2"/>
          </w:tcPr>
          <w:p>
            <w:pPr>
              <w:jc w:val="right"/>
              <w:ind w:right="119"/>
              <w:spacing w:after="0"/>
              <w:rPr>
                <w:sz w:val="20"/>
                <w:szCs w:val="20"/>
                <w:color w:val="auto"/>
              </w:rPr>
            </w:pPr>
            <w:r>
              <w:rPr>
                <w:rFonts w:ascii="Arial" w:cs="Arial" w:eastAsia="Arial" w:hAnsi="Arial"/>
                <w:sz w:val="17"/>
                <w:szCs w:val="17"/>
                <w:color w:val="auto"/>
              </w:rPr>
              <w:t>274,766</w:t>
            </w:r>
          </w:p>
        </w:tc>
        <w:tc>
          <w:tcPr>
            <w:tcW w:w="1340" w:type="dxa"/>
            <w:vAlign w:val="bottom"/>
            <w:gridSpan w:val="2"/>
          </w:tcPr>
          <w:p>
            <w:pPr>
              <w:jc w:val="right"/>
              <w:spacing w:after="0"/>
              <w:rPr>
                <w:sz w:val="20"/>
                <w:szCs w:val="20"/>
                <w:color w:val="auto"/>
              </w:rPr>
            </w:pPr>
            <w:r>
              <w:rPr>
                <w:rFonts w:ascii="Arial" w:cs="Arial" w:eastAsia="Arial" w:hAnsi="Arial"/>
                <w:sz w:val="17"/>
                <w:szCs w:val="17"/>
                <w:color w:val="auto"/>
              </w:rPr>
              <w:t>(1,270,797)</w:t>
            </w:r>
          </w:p>
        </w:tc>
      </w:tr>
      <w:tr>
        <w:trPr>
          <w:trHeight w:val="208"/>
        </w:trPr>
        <w:tc>
          <w:tcPr>
            <w:tcW w:w="5820" w:type="dxa"/>
            <w:vAlign w:val="bottom"/>
            <w:shd w:val="clear" w:color="auto" w:fill="CCEEFF"/>
          </w:tcPr>
          <w:p>
            <w:pPr>
              <w:spacing w:after="0"/>
              <w:rPr>
                <w:sz w:val="20"/>
                <w:szCs w:val="20"/>
                <w:color w:val="auto"/>
              </w:rPr>
            </w:pPr>
            <w:r>
              <w:rPr>
                <w:rFonts w:ascii="Arial" w:cs="Arial" w:eastAsia="Arial" w:hAnsi="Arial"/>
                <w:sz w:val="17"/>
                <w:szCs w:val="17"/>
                <w:color w:val="auto"/>
              </w:rPr>
              <w:t>Other liabilities</w:t>
            </w:r>
          </w:p>
        </w:tc>
        <w:tc>
          <w:tcPr>
            <w:tcW w:w="13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1,680,868</w:t>
            </w:r>
          </w:p>
        </w:tc>
        <w:tc>
          <w:tcPr>
            <w:tcW w:w="2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19"/>
              <w:spacing w:after="0"/>
              <w:rPr>
                <w:sz w:val="20"/>
                <w:szCs w:val="20"/>
                <w:color w:val="auto"/>
              </w:rPr>
            </w:pPr>
            <w:r>
              <w:rPr>
                <w:rFonts w:ascii="Arial" w:cs="Arial" w:eastAsia="Arial" w:hAnsi="Arial"/>
                <w:sz w:val="17"/>
                <w:szCs w:val="17"/>
                <w:color w:val="auto"/>
              </w:rPr>
              <w:t>1,141,323</w:t>
            </w:r>
          </w:p>
        </w:tc>
        <w:tc>
          <w:tcPr>
            <w:tcW w:w="1340" w:type="dxa"/>
            <w:vAlign w:val="bottom"/>
            <w:gridSpan w:val="2"/>
            <w:shd w:val="clear" w:color="auto" w:fill="CCEEFF"/>
          </w:tcPr>
          <w:p>
            <w:pPr>
              <w:jc w:val="right"/>
              <w:ind w:right="19"/>
              <w:spacing w:after="0"/>
              <w:rPr>
                <w:sz w:val="20"/>
                <w:szCs w:val="20"/>
                <w:color w:val="auto"/>
              </w:rPr>
            </w:pPr>
            <w:r>
              <w:rPr>
                <w:rFonts w:ascii="Arial" w:cs="Arial" w:eastAsia="Arial" w:hAnsi="Arial"/>
                <w:sz w:val="17"/>
                <w:szCs w:val="17"/>
                <w:color w:val="auto"/>
              </w:rPr>
              <w:t>1,211,378</w:t>
            </w:r>
          </w:p>
        </w:tc>
      </w:tr>
      <w:tr>
        <w:trPr>
          <w:trHeight w:val="221"/>
        </w:trPr>
        <w:tc>
          <w:tcPr>
            <w:tcW w:w="5820" w:type="dxa"/>
            <w:vAlign w:val="bottom"/>
          </w:tcPr>
          <w:p>
            <w:pPr>
              <w:spacing w:after="0"/>
              <w:rPr>
                <w:sz w:val="20"/>
                <w:szCs w:val="20"/>
                <w:color w:val="auto"/>
              </w:rPr>
            </w:pPr>
            <w:r>
              <w:rPr>
                <w:rFonts w:ascii="Arial" w:cs="Arial" w:eastAsia="Arial" w:hAnsi="Arial"/>
                <w:sz w:val="17"/>
                <w:szCs w:val="17"/>
                <w:color w:val="auto"/>
              </w:rPr>
              <w:t>Income tax paid</w:t>
            </w:r>
          </w:p>
        </w:tc>
        <w:tc>
          <w:tcPr>
            <w:tcW w:w="1380" w:type="dxa"/>
            <w:vAlign w:val="bottom"/>
          </w:tcPr>
          <w:p>
            <w:pPr>
              <w:spacing w:after="0"/>
              <w:rPr>
                <w:sz w:val="19"/>
                <w:szCs w:val="19"/>
                <w:color w:val="auto"/>
              </w:rPr>
            </w:pPr>
          </w:p>
        </w:tc>
        <w:tc>
          <w:tcPr>
            <w:tcW w:w="1440" w:type="dxa"/>
            <w:vAlign w:val="bottom"/>
            <w:gridSpan w:val="2"/>
          </w:tcPr>
          <w:p>
            <w:pPr>
              <w:jc w:val="right"/>
              <w:ind w:right="140"/>
              <w:spacing w:after="0"/>
              <w:rPr>
                <w:sz w:val="20"/>
                <w:szCs w:val="20"/>
                <w:color w:val="auto"/>
              </w:rPr>
            </w:pPr>
            <w:r>
              <w:rPr>
                <w:rFonts w:ascii="Arial" w:cs="Arial" w:eastAsia="Arial" w:hAnsi="Arial"/>
                <w:sz w:val="17"/>
                <w:szCs w:val="17"/>
                <w:color w:val="auto"/>
              </w:rPr>
              <w:t>(1,014,907)</w:t>
            </w:r>
          </w:p>
        </w:tc>
        <w:tc>
          <w:tcPr>
            <w:tcW w:w="1440" w:type="dxa"/>
            <w:vAlign w:val="bottom"/>
            <w:gridSpan w:val="2"/>
          </w:tcPr>
          <w:p>
            <w:pPr>
              <w:jc w:val="right"/>
              <w:ind w:right="59"/>
              <w:spacing w:after="0"/>
              <w:rPr>
                <w:sz w:val="20"/>
                <w:szCs w:val="20"/>
                <w:color w:val="auto"/>
              </w:rPr>
            </w:pPr>
            <w:r>
              <w:rPr>
                <w:rFonts w:ascii="Arial" w:cs="Arial" w:eastAsia="Arial" w:hAnsi="Arial"/>
                <w:sz w:val="17"/>
                <w:szCs w:val="17"/>
                <w:color w:val="auto"/>
              </w:rPr>
              <w:t>(1,108,641)</w:t>
            </w:r>
          </w:p>
        </w:tc>
        <w:tc>
          <w:tcPr>
            <w:tcW w:w="1340" w:type="dxa"/>
            <w:vAlign w:val="bottom"/>
            <w:gridSpan w:val="2"/>
          </w:tcPr>
          <w:p>
            <w:pPr>
              <w:jc w:val="right"/>
              <w:spacing w:after="0"/>
              <w:rPr>
                <w:sz w:val="20"/>
                <w:szCs w:val="20"/>
                <w:color w:val="auto"/>
              </w:rPr>
            </w:pPr>
            <w:r>
              <w:rPr>
                <w:rFonts w:ascii="Arial" w:cs="Arial" w:eastAsia="Arial" w:hAnsi="Arial"/>
                <w:sz w:val="17"/>
                <w:szCs w:val="17"/>
                <w:color w:val="auto"/>
              </w:rPr>
              <w:t>(945,178)</w:t>
            </w:r>
          </w:p>
        </w:tc>
      </w:tr>
      <w:tr>
        <w:trPr>
          <w:trHeight w:val="201"/>
        </w:trPr>
        <w:tc>
          <w:tcPr>
            <w:tcW w:w="58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b w:val="1"/>
                <w:bCs w:val="1"/>
                <w:color w:val="auto"/>
              </w:rPr>
              <w:t>Net cash flow from operating activities</w:t>
            </w:r>
          </w:p>
        </w:tc>
        <w:tc>
          <w:tcPr>
            <w:tcW w:w="138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9,301,315</w:t>
            </w:r>
          </w:p>
        </w:tc>
        <w:tc>
          <w:tcPr>
            <w:tcW w:w="20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(1,367,604</w:t>
            </w:r>
          </w:p>
        </w:tc>
        <w:tc>
          <w:tcPr>
            <w:tcW w:w="200" w:type="dxa"/>
            <w:vAlign w:val="bottom"/>
            <w:tcBorders>
              <w:top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74"/>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(1,315,645</w:t>
            </w:r>
          </w:p>
        </w:tc>
        <w:tc>
          <w:tcPr>
            <w:tcW w:w="1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r>
    </w:tbl>
    <w:p>
      <w:pPr>
        <w:spacing w:after="0" w:line="195" w:lineRule="exact"/>
        <w:rPr>
          <w:sz w:val="20"/>
          <w:szCs w:val="20"/>
          <w:color w:val="auto"/>
        </w:rPr>
      </w:pPr>
    </w:p>
    <w:p>
      <w:pPr>
        <w:spacing w:after="0"/>
        <w:rPr>
          <w:sz w:val="20"/>
          <w:szCs w:val="20"/>
          <w:color w:val="auto"/>
        </w:rPr>
      </w:pPr>
      <w:r>
        <w:rPr>
          <w:rFonts w:ascii="Arial" w:cs="Arial" w:eastAsia="Arial" w:hAnsi="Arial"/>
          <w:sz w:val="17"/>
          <w:szCs w:val="17"/>
          <w:color w:val="auto"/>
        </w:rPr>
        <w:t>The accompanying notes are an integral part of these consolidated financial statements.</w:t>
      </w: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- 14 -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15875</wp:posOffset>
            </wp:positionV>
            <wp:extent cx="725170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1700" cy="8255"/>
                    </a:xfrm>
                    <a:prstGeom prst="rect">
                      <a:avLst/>
                    </a:prstGeom>
                    <a:noFill/>
                  </pic:spPr>
                </pic:pic>
              </a:graphicData>
            </a:graphic>
          </wp:anchor>
        </w:drawing>
      </w:r>
    </w:p>
    <w:p>
      <w:pPr>
        <w:sectPr>
          <w:pgSz w:w="11900" w:h="16838" w:orient="portrait"/>
          <w:cols w:equalWidth="0" w:num="1">
            <w:col w:w="11420"/>
          </w:cols>
          <w:pgMar w:left="240" w:top="875" w:right="239" w:bottom="1440" w:gutter="0" w:footer="0" w:header="0"/>
          <w:type w:val="continuous"/>
        </w:sectPr>
      </w:pPr>
    </w:p>
    <w:bookmarkStart w:id="20" w:name="page21"/>
    <w:bookmarkEnd w:id="20"/>
    <w:tbl>
      <w:tblPr>
        <w:tblLayout w:type="fixed"/>
        <w:tblInd w:w="0" w:type="dxa"/>
        <w:tblCellMar>
          <w:top w:w="0" w:type="dxa"/>
          <w:left w:w="0" w:type="dxa"/>
          <w:bottom w:w="0" w:type="dxa"/>
          <w:right w:w="0" w:type="dxa"/>
        </w:tblCellMar>
      </w:tblPr>
      <w:tr>
        <w:trPr>
          <w:trHeight w:val="239"/>
        </w:trPr>
        <w:tc>
          <w:tcPr>
            <w:tcW w:w="2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gridSpan w:val="2"/>
          </w:tcPr>
          <w:p>
            <w:pPr>
              <w:spacing w:after="0"/>
              <w:rPr>
                <w:sz w:val="20"/>
                <w:szCs w:val="20"/>
                <w:color w:val="auto"/>
              </w:rPr>
            </w:pPr>
            <w:r>
              <w:rPr>
                <w:rFonts w:ascii="Arial" w:cs="Arial" w:eastAsia="Arial" w:hAnsi="Arial"/>
                <w:sz w:val="17"/>
                <w:szCs w:val="17"/>
                <w:b w:val="1"/>
                <w:bCs w:val="1"/>
                <w:color w:val="auto"/>
              </w:rPr>
              <w:t>Note</w:t>
            </w:r>
          </w:p>
        </w:tc>
        <w:tc>
          <w:tcPr>
            <w:tcW w:w="1580" w:type="dxa"/>
            <w:vAlign w:val="bottom"/>
            <w:gridSpan w:val="5"/>
          </w:tcPr>
          <w:p>
            <w:pPr>
              <w:jc w:val="right"/>
              <w:ind w:right="373"/>
              <w:spacing w:after="0"/>
              <w:rPr>
                <w:sz w:val="20"/>
                <w:szCs w:val="20"/>
                <w:color w:val="auto"/>
              </w:rPr>
            </w:pPr>
            <w:r>
              <w:rPr>
                <w:rFonts w:ascii="Arial" w:cs="Arial" w:eastAsia="Arial" w:hAnsi="Arial"/>
                <w:sz w:val="17"/>
                <w:szCs w:val="17"/>
                <w:b w:val="1"/>
                <w:bCs w:val="1"/>
                <w:color w:val="auto"/>
              </w:rPr>
              <w:t>2017</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00" w:type="dxa"/>
            <w:vAlign w:val="bottom"/>
            <w:gridSpan w:val="2"/>
          </w:tcPr>
          <w:p>
            <w:pPr>
              <w:jc w:val="right"/>
              <w:ind w:right="373"/>
              <w:spacing w:after="0"/>
              <w:rPr>
                <w:sz w:val="20"/>
                <w:szCs w:val="20"/>
                <w:color w:val="auto"/>
              </w:rPr>
            </w:pPr>
            <w:r>
              <w:rPr>
                <w:rFonts w:ascii="Arial" w:cs="Arial" w:eastAsia="Arial" w:hAnsi="Arial"/>
                <w:sz w:val="17"/>
                <w:szCs w:val="17"/>
                <w:b w:val="1"/>
                <w:bCs w:val="1"/>
                <w:color w:val="auto"/>
              </w:rPr>
              <w:t>2016</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jc w:val="right"/>
              <w:ind w:right="353"/>
              <w:spacing w:after="0"/>
              <w:rPr>
                <w:sz w:val="20"/>
                <w:szCs w:val="20"/>
                <w:color w:val="auto"/>
              </w:rPr>
            </w:pPr>
            <w:r>
              <w:rPr>
                <w:rFonts w:ascii="Arial" w:cs="Arial" w:eastAsia="Arial" w:hAnsi="Arial"/>
                <w:sz w:val="17"/>
                <w:szCs w:val="17"/>
                <w:b w:val="1"/>
                <w:bCs w:val="1"/>
                <w:color w:val="auto"/>
              </w:rPr>
              <w:t>2015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1"/>
        </w:trPr>
        <w:tc>
          <w:tcPr>
            <w:tcW w:w="2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60" w:type="dxa"/>
            <w:vAlign w:val="bottom"/>
            <w:tcBorders>
              <w:top w:val="single" w:sz="8" w:color="auto"/>
            </w:tcBorders>
            <w:gridSpan w:val="4"/>
          </w:tcPr>
          <w:p>
            <w:pPr>
              <w:jc w:val="center"/>
              <w:spacing w:after="0"/>
              <w:rPr>
                <w:sz w:val="20"/>
                <w:szCs w:val="20"/>
                <w:color w:val="auto"/>
              </w:rPr>
            </w:pPr>
            <w:r>
              <w:rPr>
                <w:rFonts w:ascii="Arial" w:cs="Arial" w:eastAsia="Arial" w:hAnsi="Arial"/>
                <w:sz w:val="17"/>
                <w:szCs w:val="17"/>
                <w:b w:val="1"/>
                <w:bCs w:val="1"/>
                <w:color w:val="auto"/>
                <w:w w:val="93"/>
              </w:rPr>
              <w:t>S/(000)</w:t>
            </w:r>
          </w:p>
        </w:tc>
        <w:tc>
          <w:tcPr>
            <w:tcW w:w="22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gridSpan w:val="2"/>
          </w:tcPr>
          <w:p>
            <w:pPr>
              <w:jc w:val="center"/>
              <w:ind w:right="253"/>
              <w:spacing w:after="0"/>
              <w:rPr>
                <w:sz w:val="20"/>
                <w:szCs w:val="20"/>
                <w:color w:val="auto"/>
              </w:rPr>
            </w:pPr>
            <w:r>
              <w:rPr>
                <w:rFonts w:ascii="Arial" w:cs="Arial" w:eastAsia="Arial" w:hAnsi="Arial"/>
                <w:sz w:val="17"/>
                <w:szCs w:val="17"/>
                <w:b w:val="1"/>
                <w:bCs w:val="1"/>
                <w:color w:val="auto"/>
                <w:w w:val="93"/>
              </w:rPr>
              <w:t>S/(000)</w:t>
            </w:r>
          </w:p>
        </w:tc>
        <w:tc>
          <w:tcPr>
            <w:tcW w:w="22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center"/>
              <w:ind w:right="133"/>
              <w:spacing w:after="0"/>
              <w:rPr>
                <w:sz w:val="20"/>
                <w:szCs w:val="20"/>
                <w:color w:val="auto"/>
              </w:rPr>
            </w:pPr>
            <w:r>
              <w:rPr>
                <w:rFonts w:ascii="Arial" w:cs="Arial" w:eastAsia="Arial" w:hAnsi="Arial"/>
                <w:sz w:val="17"/>
                <w:szCs w:val="17"/>
                <w:b w:val="1"/>
                <w:bCs w:val="1"/>
                <w:color w:val="auto"/>
                <w:w w:val="93"/>
              </w:rPr>
              <w:t>S/(000)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4260" w:type="dxa"/>
            <w:vAlign w:val="bottom"/>
            <w:gridSpan w:val="5"/>
            <w:shd w:val="clear" w:color="auto" w:fill="CCEEFF"/>
          </w:tcPr>
          <w:p>
            <w:pPr>
              <w:spacing w:after="0"/>
              <w:rPr>
                <w:sz w:val="20"/>
                <w:szCs w:val="20"/>
                <w:color w:val="auto"/>
              </w:rPr>
            </w:pPr>
            <w:r>
              <w:rPr>
                <w:rFonts w:ascii="Arial" w:cs="Arial" w:eastAsia="Arial" w:hAnsi="Arial"/>
                <w:sz w:val="17"/>
                <w:szCs w:val="17"/>
                <w:b w:val="1"/>
                <w:bCs w:val="1"/>
                <w:color w:val="auto"/>
              </w:rPr>
              <w:t>NET CASH FLOWS FROM INVESTING ACTIVITIES</w:t>
            </w: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4260" w:type="dxa"/>
            <w:vAlign w:val="bottom"/>
            <w:gridSpan w:val="5"/>
          </w:tcPr>
          <w:p>
            <w:pPr>
              <w:spacing w:after="0"/>
              <w:rPr>
                <w:sz w:val="20"/>
                <w:szCs w:val="20"/>
                <w:color w:val="auto"/>
              </w:rPr>
            </w:pPr>
            <w:r>
              <w:rPr>
                <w:rFonts w:ascii="Arial" w:cs="Arial" w:eastAsia="Arial" w:hAnsi="Arial"/>
                <w:sz w:val="17"/>
                <w:szCs w:val="17"/>
                <w:color w:val="auto"/>
              </w:rPr>
              <w:t>Revenue for sale of property, furniture and equipment</w:t>
            </w: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20" w:type="dxa"/>
            <w:vAlign w:val="bottom"/>
            <w:gridSpan w:val="3"/>
          </w:tcPr>
          <w:p>
            <w:pPr>
              <w:jc w:val="right"/>
              <w:ind w:right="182"/>
              <w:spacing w:after="0"/>
              <w:rPr>
                <w:sz w:val="20"/>
                <w:szCs w:val="20"/>
                <w:color w:val="auto"/>
              </w:rPr>
            </w:pPr>
            <w:r>
              <w:rPr>
                <w:rFonts w:ascii="Arial" w:cs="Arial" w:eastAsia="Arial" w:hAnsi="Arial"/>
                <w:sz w:val="17"/>
                <w:szCs w:val="17"/>
                <w:color w:val="auto"/>
              </w:rPr>
              <w:t>44,137</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3"/>
          </w:tcPr>
          <w:p>
            <w:pPr>
              <w:jc w:val="right"/>
              <w:ind w:right="139"/>
              <w:spacing w:after="0"/>
              <w:rPr>
                <w:sz w:val="20"/>
                <w:szCs w:val="20"/>
                <w:color w:val="auto"/>
              </w:rPr>
            </w:pPr>
            <w:r>
              <w:rPr>
                <w:rFonts w:ascii="Arial" w:cs="Arial" w:eastAsia="Arial" w:hAnsi="Arial"/>
                <w:sz w:val="17"/>
                <w:szCs w:val="17"/>
                <w:color w:val="auto"/>
              </w:rPr>
              <w:t>47,044</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19"/>
              <w:spacing w:after="0"/>
              <w:rPr>
                <w:sz w:val="20"/>
                <w:szCs w:val="20"/>
                <w:color w:val="auto"/>
              </w:rPr>
            </w:pPr>
            <w:r>
              <w:rPr>
                <w:rFonts w:ascii="Arial" w:cs="Arial" w:eastAsia="Arial" w:hAnsi="Arial"/>
                <w:sz w:val="17"/>
                <w:szCs w:val="17"/>
                <w:color w:val="auto"/>
              </w:rPr>
              <w:t>44,524</w:t>
            </w:r>
          </w:p>
        </w:tc>
        <w:tc>
          <w:tcPr>
            <w:tcW w:w="0" w:type="dxa"/>
            <w:vAlign w:val="bottom"/>
          </w:tcPr>
          <w:p>
            <w:pPr>
              <w:spacing w:after="0"/>
              <w:rPr>
                <w:sz w:val="1"/>
                <w:szCs w:val="1"/>
                <w:color w:val="auto"/>
              </w:rPr>
            </w:pPr>
          </w:p>
        </w:tc>
      </w:tr>
      <w:tr>
        <w:trPr>
          <w:trHeight w:val="208"/>
        </w:trPr>
        <w:tc>
          <w:tcPr>
            <w:tcW w:w="4260" w:type="dxa"/>
            <w:vAlign w:val="bottom"/>
            <w:gridSpan w:val="5"/>
            <w:shd w:val="clear" w:color="auto" w:fill="CCEEFF"/>
          </w:tcPr>
          <w:p>
            <w:pPr>
              <w:spacing w:after="0"/>
              <w:rPr>
                <w:sz w:val="20"/>
                <w:szCs w:val="20"/>
                <w:color w:val="auto"/>
              </w:rPr>
            </w:pPr>
            <w:r>
              <w:rPr>
                <w:rFonts w:ascii="Arial" w:cs="Arial" w:eastAsia="Arial" w:hAnsi="Arial"/>
                <w:sz w:val="17"/>
                <w:szCs w:val="17"/>
                <w:color w:val="auto"/>
              </w:rPr>
              <w:t>Revenue from sales of investment property</w:t>
            </w: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182"/>
              <w:spacing w:after="0"/>
              <w:rPr>
                <w:sz w:val="20"/>
                <w:szCs w:val="20"/>
                <w:color w:val="auto"/>
              </w:rPr>
            </w:pPr>
            <w:r>
              <w:rPr>
                <w:rFonts w:ascii="Arial" w:cs="Arial" w:eastAsia="Arial" w:hAnsi="Arial"/>
                <w:sz w:val="17"/>
                <w:szCs w:val="17"/>
                <w:color w:val="auto"/>
              </w:rPr>
              <w:t>115,705</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9"/>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8"/>
        </w:trPr>
        <w:tc>
          <w:tcPr>
            <w:tcW w:w="4260" w:type="dxa"/>
            <w:vAlign w:val="bottom"/>
            <w:gridSpan w:val="5"/>
          </w:tcPr>
          <w:p>
            <w:pPr>
              <w:spacing w:after="0"/>
              <w:rPr>
                <w:sz w:val="20"/>
                <w:szCs w:val="20"/>
                <w:color w:val="auto"/>
              </w:rPr>
            </w:pPr>
            <w:r>
              <w:rPr>
                <w:rFonts w:ascii="Arial" w:cs="Arial" w:eastAsia="Arial" w:hAnsi="Arial"/>
                <w:sz w:val="17"/>
                <w:szCs w:val="17"/>
                <w:color w:val="auto"/>
              </w:rPr>
              <w:t>Additions of property, furniture and equipment</w:t>
            </w: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gridSpan w:val="2"/>
          </w:tcPr>
          <w:p>
            <w:pPr>
              <w:jc w:val="center"/>
              <w:spacing w:after="0"/>
              <w:rPr>
                <w:sz w:val="20"/>
                <w:szCs w:val="20"/>
                <w:color w:val="auto"/>
              </w:rPr>
            </w:pPr>
            <w:r>
              <w:rPr>
                <w:rFonts w:ascii="Arial" w:cs="Arial" w:eastAsia="Arial" w:hAnsi="Arial"/>
                <w:sz w:val="17"/>
                <w:szCs w:val="17"/>
                <w:color w:val="auto"/>
                <w:w w:val="84"/>
              </w:rPr>
              <w:t>10</w:t>
            </w: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20" w:type="dxa"/>
            <w:vAlign w:val="bottom"/>
            <w:gridSpan w:val="3"/>
          </w:tcPr>
          <w:p>
            <w:pPr>
              <w:jc w:val="right"/>
              <w:ind w:right="142"/>
              <w:spacing w:after="0"/>
              <w:rPr>
                <w:sz w:val="20"/>
                <w:szCs w:val="20"/>
                <w:color w:val="auto"/>
              </w:rPr>
            </w:pPr>
            <w:r>
              <w:rPr>
                <w:rFonts w:ascii="Arial" w:cs="Arial" w:eastAsia="Arial" w:hAnsi="Arial"/>
                <w:sz w:val="17"/>
                <w:szCs w:val="17"/>
                <w:color w:val="auto"/>
                <w:w w:val="98"/>
              </w:rPr>
              <w:t>(143,851)</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3"/>
          </w:tcPr>
          <w:p>
            <w:pPr>
              <w:jc w:val="right"/>
              <w:ind w:right="79"/>
              <w:spacing w:after="0"/>
              <w:rPr>
                <w:sz w:val="20"/>
                <w:szCs w:val="20"/>
                <w:color w:val="auto"/>
              </w:rPr>
            </w:pPr>
            <w:r>
              <w:rPr>
                <w:rFonts w:ascii="Arial" w:cs="Arial" w:eastAsia="Arial" w:hAnsi="Arial"/>
                <w:sz w:val="17"/>
                <w:szCs w:val="17"/>
                <w:color w:val="auto"/>
              </w:rPr>
              <w:t>(110,151)</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7"/>
                <w:szCs w:val="17"/>
                <w:color w:val="auto"/>
              </w:rPr>
              <w:t>(148,426)</w:t>
            </w:r>
          </w:p>
        </w:tc>
        <w:tc>
          <w:tcPr>
            <w:tcW w:w="0" w:type="dxa"/>
            <w:vAlign w:val="bottom"/>
          </w:tcPr>
          <w:p>
            <w:pPr>
              <w:spacing w:after="0"/>
              <w:rPr>
                <w:sz w:val="1"/>
                <w:szCs w:val="1"/>
                <w:color w:val="auto"/>
              </w:rPr>
            </w:pPr>
          </w:p>
        </w:tc>
      </w:tr>
      <w:tr>
        <w:trPr>
          <w:trHeight w:val="208"/>
        </w:trPr>
        <w:tc>
          <w:tcPr>
            <w:tcW w:w="29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Purchase of investment property</w:t>
            </w:r>
          </w:p>
        </w:tc>
        <w:tc>
          <w:tcPr>
            <w:tcW w:w="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center"/>
              <w:spacing w:after="0"/>
              <w:rPr>
                <w:sz w:val="20"/>
                <w:szCs w:val="20"/>
                <w:color w:val="auto"/>
              </w:rPr>
            </w:pPr>
            <w:r>
              <w:rPr>
                <w:rFonts w:ascii="Arial" w:cs="Arial" w:eastAsia="Arial" w:hAnsi="Arial"/>
                <w:sz w:val="17"/>
                <w:szCs w:val="17"/>
                <w:color w:val="auto"/>
              </w:rPr>
              <w:t>12(f)</w:t>
            </w:r>
          </w:p>
        </w:tc>
        <w:tc>
          <w:tcPr>
            <w:tcW w:w="3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142"/>
              <w:spacing w:after="0"/>
              <w:rPr>
                <w:sz w:val="20"/>
                <w:szCs w:val="20"/>
                <w:color w:val="auto"/>
              </w:rPr>
            </w:pPr>
            <w:r>
              <w:rPr>
                <w:rFonts w:ascii="Arial" w:cs="Arial" w:eastAsia="Arial" w:hAnsi="Arial"/>
                <w:sz w:val="17"/>
                <w:szCs w:val="17"/>
                <w:color w:val="auto"/>
              </w:rPr>
              <w:t>(9,217)</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79"/>
              <w:spacing w:after="0"/>
              <w:rPr>
                <w:sz w:val="20"/>
                <w:szCs w:val="20"/>
                <w:color w:val="auto"/>
              </w:rPr>
            </w:pPr>
            <w:r>
              <w:rPr>
                <w:rFonts w:ascii="Arial" w:cs="Arial" w:eastAsia="Arial" w:hAnsi="Arial"/>
                <w:sz w:val="17"/>
                <w:szCs w:val="17"/>
                <w:color w:val="auto"/>
              </w:rPr>
              <w:t>(88,186)</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(66,237)</w:t>
            </w:r>
          </w:p>
        </w:tc>
        <w:tc>
          <w:tcPr>
            <w:tcW w:w="0" w:type="dxa"/>
            <w:vAlign w:val="bottom"/>
          </w:tcPr>
          <w:p>
            <w:pPr>
              <w:spacing w:after="0"/>
              <w:rPr>
                <w:sz w:val="1"/>
                <w:szCs w:val="1"/>
                <w:color w:val="auto"/>
              </w:rPr>
            </w:pPr>
          </w:p>
        </w:tc>
      </w:tr>
      <w:tr>
        <w:trPr>
          <w:trHeight w:val="208"/>
        </w:trPr>
        <w:tc>
          <w:tcPr>
            <w:tcW w:w="2940" w:type="dxa"/>
            <w:vAlign w:val="bottom"/>
            <w:gridSpan w:val="2"/>
          </w:tcPr>
          <w:p>
            <w:pPr>
              <w:spacing w:after="0"/>
              <w:rPr>
                <w:sz w:val="20"/>
                <w:szCs w:val="20"/>
                <w:color w:val="auto"/>
              </w:rPr>
            </w:pPr>
            <w:r>
              <w:rPr>
                <w:rFonts w:ascii="Arial" w:cs="Arial" w:eastAsia="Arial" w:hAnsi="Arial"/>
                <w:sz w:val="17"/>
                <w:szCs w:val="17"/>
                <w:color w:val="auto"/>
              </w:rPr>
              <w:t>Additions of intangible assets</w:t>
            </w: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gridSpan w:val="2"/>
          </w:tcPr>
          <w:p>
            <w:pPr>
              <w:jc w:val="center"/>
              <w:spacing w:after="0"/>
              <w:rPr>
                <w:sz w:val="20"/>
                <w:szCs w:val="20"/>
                <w:color w:val="auto"/>
              </w:rPr>
            </w:pPr>
            <w:r>
              <w:rPr>
                <w:rFonts w:ascii="Arial" w:cs="Arial" w:eastAsia="Arial" w:hAnsi="Arial"/>
                <w:sz w:val="17"/>
                <w:szCs w:val="17"/>
                <w:color w:val="auto"/>
                <w:w w:val="84"/>
              </w:rPr>
              <w:t>11</w:t>
            </w: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20" w:type="dxa"/>
            <w:vAlign w:val="bottom"/>
            <w:gridSpan w:val="3"/>
          </w:tcPr>
          <w:p>
            <w:pPr>
              <w:jc w:val="right"/>
              <w:ind w:right="142"/>
              <w:spacing w:after="0"/>
              <w:rPr>
                <w:sz w:val="20"/>
                <w:szCs w:val="20"/>
                <w:color w:val="auto"/>
              </w:rPr>
            </w:pPr>
            <w:r>
              <w:rPr>
                <w:rFonts w:ascii="Arial" w:cs="Arial" w:eastAsia="Arial" w:hAnsi="Arial"/>
                <w:sz w:val="17"/>
                <w:szCs w:val="17"/>
                <w:color w:val="auto"/>
                <w:w w:val="98"/>
              </w:rPr>
              <w:t>(271,722)</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3"/>
          </w:tcPr>
          <w:p>
            <w:pPr>
              <w:jc w:val="right"/>
              <w:ind w:right="79"/>
              <w:spacing w:after="0"/>
              <w:rPr>
                <w:sz w:val="20"/>
                <w:szCs w:val="20"/>
                <w:color w:val="auto"/>
              </w:rPr>
            </w:pPr>
            <w:r>
              <w:rPr>
                <w:rFonts w:ascii="Arial" w:cs="Arial" w:eastAsia="Arial" w:hAnsi="Arial"/>
                <w:sz w:val="17"/>
                <w:szCs w:val="17"/>
                <w:color w:val="auto"/>
              </w:rPr>
              <w:t>(277,346)</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7"/>
                <w:szCs w:val="17"/>
                <w:color w:val="auto"/>
              </w:rPr>
              <w:t>(276,564)</w:t>
            </w:r>
          </w:p>
        </w:tc>
        <w:tc>
          <w:tcPr>
            <w:tcW w:w="0" w:type="dxa"/>
            <w:vAlign w:val="bottom"/>
          </w:tcPr>
          <w:p>
            <w:pPr>
              <w:spacing w:after="0"/>
              <w:rPr>
                <w:sz w:val="1"/>
                <w:szCs w:val="1"/>
                <w:color w:val="auto"/>
              </w:rPr>
            </w:pPr>
          </w:p>
        </w:tc>
      </w:tr>
      <w:tr>
        <w:trPr>
          <w:trHeight w:val="221"/>
        </w:trPr>
        <w:tc>
          <w:tcPr>
            <w:tcW w:w="29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Held-to-maturity investments</w:t>
            </w:r>
          </w:p>
        </w:tc>
        <w:tc>
          <w:tcPr>
            <w:tcW w:w="8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920" w:type="dxa"/>
            <w:vAlign w:val="bottom"/>
            <w:gridSpan w:val="3"/>
            <w:shd w:val="clear" w:color="auto" w:fill="CCEEFF"/>
          </w:tcPr>
          <w:p>
            <w:pPr>
              <w:jc w:val="right"/>
              <w:ind w:right="182"/>
              <w:spacing w:after="0"/>
              <w:rPr>
                <w:sz w:val="20"/>
                <w:szCs w:val="20"/>
                <w:color w:val="auto"/>
              </w:rPr>
            </w:pPr>
            <w:r>
              <w:rPr>
                <w:rFonts w:ascii="Arial" w:cs="Arial" w:eastAsia="Arial" w:hAnsi="Arial"/>
                <w:sz w:val="17"/>
                <w:szCs w:val="17"/>
                <w:color w:val="auto"/>
              </w:rPr>
              <w:t>670,620</w:t>
            </w:r>
          </w:p>
        </w:tc>
        <w:tc>
          <w:tcPr>
            <w:tcW w:w="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20" w:type="dxa"/>
            <w:vAlign w:val="bottom"/>
            <w:gridSpan w:val="3"/>
            <w:shd w:val="clear" w:color="auto" w:fill="CCEEFF"/>
          </w:tcPr>
          <w:p>
            <w:pPr>
              <w:jc w:val="right"/>
              <w:ind w:right="79"/>
              <w:spacing w:after="0"/>
              <w:rPr>
                <w:sz w:val="20"/>
                <w:szCs w:val="20"/>
                <w:color w:val="auto"/>
              </w:rPr>
            </w:pPr>
            <w:r>
              <w:rPr>
                <w:rFonts w:ascii="Arial" w:cs="Arial" w:eastAsia="Arial" w:hAnsi="Arial"/>
                <w:sz w:val="17"/>
                <w:szCs w:val="17"/>
                <w:color w:val="auto"/>
              </w:rPr>
              <w:t>(1,550,332)</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(1,135,744)</w:t>
            </w:r>
          </w:p>
        </w:tc>
        <w:tc>
          <w:tcPr>
            <w:tcW w:w="0" w:type="dxa"/>
            <w:vAlign w:val="bottom"/>
          </w:tcPr>
          <w:p>
            <w:pPr>
              <w:spacing w:after="0"/>
              <w:rPr>
                <w:sz w:val="1"/>
                <w:szCs w:val="1"/>
                <w:color w:val="auto"/>
              </w:rPr>
            </w:pPr>
          </w:p>
        </w:tc>
      </w:tr>
      <w:tr>
        <w:trPr>
          <w:trHeight w:val="201"/>
        </w:trPr>
        <w:tc>
          <w:tcPr>
            <w:tcW w:w="2940" w:type="dxa"/>
            <w:vAlign w:val="bottom"/>
            <w:tcBorders>
              <w:bottom w:val="single" w:sz="8" w:color="CCEEFF"/>
            </w:tcBorders>
            <w:gridSpan w:val="2"/>
          </w:tcPr>
          <w:p>
            <w:pPr>
              <w:spacing w:after="0"/>
              <w:rPr>
                <w:sz w:val="20"/>
                <w:szCs w:val="20"/>
                <w:color w:val="auto"/>
              </w:rPr>
            </w:pPr>
            <w:r>
              <w:rPr>
                <w:rFonts w:ascii="Arial" w:cs="Arial" w:eastAsia="Arial" w:hAnsi="Arial"/>
                <w:sz w:val="17"/>
                <w:szCs w:val="17"/>
                <w:b w:val="1"/>
                <w:bCs w:val="1"/>
                <w:color w:val="auto"/>
                <w:w w:val="91"/>
              </w:rPr>
              <w:t>Net cash flows from investing activities</w:t>
            </w:r>
          </w:p>
        </w:tc>
        <w:tc>
          <w:tcPr>
            <w:tcW w:w="860" w:type="dxa"/>
            <w:vAlign w:val="bottom"/>
            <w:tcBorders>
              <w:bottom w:val="single" w:sz="8" w:color="CCEEFF"/>
            </w:tcBorders>
          </w:tcPr>
          <w:p>
            <w:pPr>
              <w:spacing w:after="0"/>
              <w:rPr>
                <w:sz w:val="17"/>
                <w:szCs w:val="17"/>
                <w:color w:val="auto"/>
              </w:rPr>
            </w:pPr>
          </w:p>
        </w:tc>
        <w:tc>
          <w:tcPr>
            <w:tcW w:w="240" w:type="dxa"/>
            <w:vAlign w:val="bottom"/>
            <w:tcBorders>
              <w:bottom w:val="single" w:sz="8" w:color="CCEEFF"/>
            </w:tcBorders>
          </w:tcPr>
          <w:p>
            <w:pPr>
              <w:spacing w:after="0"/>
              <w:rPr>
                <w:sz w:val="17"/>
                <w:szCs w:val="17"/>
                <w:color w:val="auto"/>
              </w:rPr>
            </w:pPr>
          </w:p>
        </w:tc>
        <w:tc>
          <w:tcPr>
            <w:tcW w:w="220" w:type="dxa"/>
            <w:vAlign w:val="bottom"/>
            <w:tcBorders>
              <w:bottom w:val="single" w:sz="8" w:color="CCEEFF"/>
            </w:tcBorders>
          </w:tcPr>
          <w:p>
            <w:pPr>
              <w:spacing w:after="0"/>
              <w:rPr>
                <w:sz w:val="17"/>
                <w:szCs w:val="17"/>
                <w:color w:val="auto"/>
              </w:rPr>
            </w:pPr>
          </w:p>
        </w:tc>
        <w:tc>
          <w:tcPr>
            <w:tcW w:w="820" w:type="dxa"/>
            <w:vAlign w:val="bottom"/>
            <w:tcBorders>
              <w:bottom w:val="single" w:sz="8" w:color="CCEEFF"/>
            </w:tcBorders>
          </w:tcPr>
          <w:p>
            <w:pPr>
              <w:spacing w:after="0"/>
              <w:rPr>
                <w:sz w:val="17"/>
                <w:szCs w:val="17"/>
                <w:color w:val="auto"/>
              </w:rPr>
            </w:pPr>
          </w:p>
        </w:tc>
        <w:tc>
          <w:tcPr>
            <w:tcW w:w="220" w:type="dxa"/>
            <w:vAlign w:val="bottom"/>
            <w:tcBorders>
              <w:bottom w:val="single" w:sz="8" w:color="CCEEFF"/>
            </w:tcBorders>
          </w:tcPr>
          <w:p>
            <w:pPr>
              <w:spacing w:after="0"/>
              <w:rPr>
                <w:sz w:val="17"/>
                <w:szCs w:val="17"/>
                <w:color w:val="auto"/>
              </w:rPr>
            </w:pPr>
          </w:p>
        </w:tc>
        <w:tc>
          <w:tcPr>
            <w:tcW w:w="104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220" w:type="dxa"/>
            <w:vAlign w:val="bottom"/>
            <w:tcBorders>
              <w:bottom w:val="single" w:sz="8" w:color="CCEEFF"/>
            </w:tcBorders>
          </w:tcPr>
          <w:p>
            <w:pPr>
              <w:spacing w:after="0"/>
              <w:rPr>
                <w:sz w:val="17"/>
                <w:szCs w:val="17"/>
                <w:color w:val="auto"/>
              </w:rPr>
            </w:pPr>
          </w:p>
        </w:tc>
        <w:tc>
          <w:tcPr>
            <w:tcW w:w="220" w:type="dxa"/>
            <w:vAlign w:val="bottom"/>
            <w:tcBorders>
              <w:bottom w:val="single" w:sz="8" w:color="CCEEFF"/>
            </w:tcBorders>
          </w:tcPr>
          <w:p>
            <w:pPr>
              <w:spacing w:after="0"/>
              <w:rPr>
                <w:sz w:val="17"/>
                <w:szCs w:val="17"/>
                <w:color w:val="auto"/>
              </w:rPr>
            </w:pPr>
          </w:p>
        </w:tc>
        <w:tc>
          <w:tcPr>
            <w:tcW w:w="320" w:type="dxa"/>
            <w:vAlign w:val="bottom"/>
            <w:tcBorders>
              <w:bottom w:val="single" w:sz="8" w:color="CCEEFF"/>
            </w:tcBorders>
          </w:tcPr>
          <w:p>
            <w:pPr>
              <w:spacing w:after="0"/>
              <w:rPr>
                <w:sz w:val="17"/>
                <w:szCs w:val="17"/>
                <w:color w:val="auto"/>
              </w:rPr>
            </w:pPr>
          </w:p>
        </w:tc>
        <w:tc>
          <w:tcPr>
            <w:tcW w:w="500" w:type="dxa"/>
            <w:vAlign w:val="bottom"/>
            <w:tcBorders>
              <w:top w:val="single" w:sz="8" w:color="auto"/>
              <w:bottom w:val="single" w:sz="8" w:color="auto"/>
            </w:tcBorders>
          </w:tcPr>
          <w:p>
            <w:pPr>
              <w:spacing w:after="0"/>
              <w:rPr>
                <w:sz w:val="17"/>
                <w:szCs w:val="17"/>
                <w:color w:val="auto"/>
              </w:rPr>
            </w:pPr>
          </w:p>
        </w:tc>
        <w:tc>
          <w:tcPr>
            <w:tcW w:w="60" w:type="dxa"/>
            <w:vAlign w:val="bottom"/>
            <w:tcBorders>
              <w:top w:val="single" w:sz="8" w:color="auto"/>
              <w:bottom w:val="single" w:sz="8" w:color="auto"/>
            </w:tcBorders>
          </w:tcPr>
          <w:p>
            <w:pPr>
              <w:spacing w:after="0"/>
              <w:rPr>
                <w:sz w:val="17"/>
                <w:szCs w:val="17"/>
                <w:color w:val="auto"/>
              </w:rPr>
            </w:pPr>
          </w:p>
        </w:tc>
        <w:tc>
          <w:tcPr>
            <w:tcW w:w="7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7"/>
                <w:szCs w:val="17"/>
                <w:color w:val="auto"/>
              </w:rPr>
              <w:t>405,672</w:t>
            </w:r>
          </w:p>
        </w:tc>
        <w:tc>
          <w:tcPr>
            <w:tcW w:w="220" w:type="dxa"/>
            <w:vAlign w:val="bottom"/>
            <w:tcBorders>
              <w:bottom w:val="single" w:sz="8" w:color="CCEEFF"/>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7"/>
                <w:szCs w:val="17"/>
                <w:color w:val="auto"/>
              </w:rPr>
              <w:t>(1,978,971</w:t>
            </w:r>
          </w:p>
        </w:tc>
        <w:tc>
          <w:tcPr>
            <w:tcW w:w="220" w:type="dxa"/>
            <w:vAlign w:val="bottom"/>
            <w:tcBorders>
              <w:bottom w:val="single" w:sz="8" w:color="CCEEFF"/>
            </w:tcBorders>
          </w:tcPr>
          <w:p>
            <w:pPr>
              <w:jc w:val="right"/>
              <w:ind w:right="79"/>
              <w:spacing w:after="0"/>
              <w:rPr>
                <w:sz w:val="20"/>
                <w:szCs w:val="20"/>
                <w:color w:val="auto"/>
              </w:rPr>
            </w:pPr>
            <w:r>
              <w:rPr>
                <w:rFonts w:ascii="Arial" w:cs="Arial" w:eastAsia="Arial" w:hAnsi="Arial"/>
                <w:sz w:val="16"/>
                <w:szCs w:val="16"/>
                <w:color w:val="auto"/>
                <w:w w:val="74"/>
              </w:rPr>
              <w:t>)</w:t>
            </w:r>
          </w:p>
        </w:tc>
        <w:tc>
          <w:tcPr>
            <w:tcW w:w="20" w:type="dxa"/>
            <w:vAlign w:val="bottom"/>
            <w:tcBorders>
              <w:top w:val="single" w:sz="8" w:color="auto"/>
              <w:bottom w:val="single" w:sz="8" w:color="auto"/>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(1,582,447</w:t>
            </w:r>
          </w:p>
        </w:tc>
        <w:tc>
          <w:tcPr>
            <w:tcW w:w="1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1"/>
        </w:trPr>
        <w:tc>
          <w:tcPr>
            <w:tcW w:w="27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4260" w:type="dxa"/>
            <w:vAlign w:val="bottom"/>
            <w:gridSpan w:val="5"/>
          </w:tcPr>
          <w:p>
            <w:pPr>
              <w:spacing w:after="0"/>
              <w:rPr>
                <w:sz w:val="20"/>
                <w:szCs w:val="20"/>
                <w:color w:val="auto"/>
              </w:rPr>
            </w:pPr>
            <w:r>
              <w:rPr>
                <w:rFonts w:ascii="Arial" w:cs="Arial" w:eastAsia="Arial" w:hAnsi="Arial"/>
                <w:sz w:val="17"/>
                <w:szCs w:val="17"/>
                <w:b w:val="1"/>
                <w:bCs w:val="1"/>
                <w:color w:val="auto"/>
              </w:rPr>
              <w:t>NET CASH FLOWS FROM FINANCING ACTIVITIES</w:t>
            </w: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9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Dividends paid</w:t>
            </w:r>
          </w:p>
        </w:tc>
        <w:tc>
          <w:tcPr>
            <w:tcW w:w="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center"/>
              <w:spacing w:after="0"/>
              <w:rPr>
                <w:sz w:val="20"/>
                <w:szCs w:val="20"/>
                <w:color w:val="auto"/>
              </w:rPr>
            </w:pPr>
            <w:r>
              <w:rPr>
                <w:rFonts w:ascii="Arial" w:cs="Arial" w:eastAsia="Arial" w:hAnsi="Arial"/>
                <w:sz w:val="17"/>
                <w:szCs w:val="17"/>
                <w:color w:val="auto"/>
                <w:w w:val="90"/>
              </w:rPr>
              <w:t>17(e)</w:t>
            </w:r>
          </w:p>
        </w:tc>
        <w:tc>
          <w:tcPr>
            <w:tcW w:w="3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142"/>
              <w:spacing w:after="0"/>
              <w:rPr>
                <w:sz w:val="20"/>
                <w:szCs w:val="20"/>
                <w:color w:val="auto"/>
              </w:rPr>
            </w:pPr>
            <w:r>
              <w:rPr>
                <w:rFonts w:ascii="Arial" w:cs="Arial" w:eastAsia="Arial" w:hAnsi="Arial"/>
                <w:sz w:val="17"/>
                <w:szCs w:val="17"/>
                <w:color w:val="auto"/>
                <w:w w:val="98"/>
              </w:rPr>
              <w:t>(979,989)</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79"/>
              <w:spacing w:after="0"/>
              <w:rPr>
                <w:sz w:val="20"/>
                <w:szCs w:val="20"/>
                <w:color w:val="auto"/>
              </w:rPr>
            </w:pPr>
            <w:r>
              <w:rPr>
                <w:rFonts w:ascii="Arial" w:cs="Arial" w:eastAsia="Arial" w:hAnsi="Arial"/>
                <w:sz w:val="17"/>
                <w:szCs w:val="17"/>
                <w:color w:val="auto"/>
              </w:rPr>
              <w:t>(653,326)</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(539,985)</w:t>
            </w:r>
          </w:p>
        </w:tc>
        <w:tc>
          <w:tcPr>
            <w:tcW w:w="0" w:type="dxa"/>
            <w:vAlign w:val="bottom"/>
          </w:tcPr>
          <w:p>
            <w:pPr>
              <w:spacing w:after="0"/>
              <w:rPr>
                <w:sz w:val="1"/>
                <w:szCs w:val="1"/>
                <w:color w:val="auto"/>
              </w:rPr>
            </w:pPr>
          </w:p>
        </w:tc>
      </w:tr>
      <w:tr>
        <w:trPr>
          <w:trHeight w:val="208"/>
        </w:trPr>
        <w:tc>
          <w:tcPr>
            <w:tcW w:w="2940" w:type="dxa"/>
            <w:vAlign w:val="bottom"/>
            <w:gridSpan w:val="2"/>
          </w:tcPr>
          <w:p>
            <w:pPr>
              <w:spacing w:after="0"/>
              <w:rPr>
                <w:sz w:val="20"/>
                <w:szCs w:val="20"/>
                <w:color w:val="auto"/>
              </w:rPr>
            </w:pPr>
            <w:r>
              <w:rPr>
                <w:rFonts w:ascii="Arial" w:cs="Arial" w:eastAsia="Arial" w:hAnsi="Arial"/>
                <w:sz w:val="17"/>
                <w:szCs w:val="17"/>
                <w:color w:val="auto"/>
              </w:rPr>
              <w:t>Advance of dividends</w:t>
            </w: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gridSpan w:val="2"/>
          </w:tcPr>
          <w:p>
            <w:pPr>
              <w:jc w:val="center"/>
              <w:spacing w:after="0"/>
              <w:rPr>
                <w:sz w:val="20"/>
                <w:szCs w:val="20"/>
                <w:color w:val="auto"/>
              </w:rPr>
            </w:pPr>
            <w:r>
              <w:rPr>
                <w:rFonts w:ascii="Arial" w:cs="Arial" w:eastAsia="Arial" w:hAnsi="Arial"/>
                <w:sz w:val="17"/>
                <w:szCs w:val="17"/>
                <w:color w:val="auto"/>
                <w:w w:val="90"/>
              </w:rPr>
              <w:t>17(e)</w:t>
            </w:r>
          </w:p>
        </w:tc>
        <w:tc>
          <w:tcPr>
            <w:tcW w:w="1800" w:type="dxa"/>
            <w:vAlign w:val="bottom"/>
            <w:gridSpan w:val="6"/>
          </w:tcPr>
          <w:p>
            <w:pPr>
              <w:jc w:val="right"/>
              <w:ind w:right="142"/>
              <w:spacing w:after="0"/>
              <w:rPr>
                <w:sz w:val="20"/>
                <w:szCs w:val="20"/>
                <w:color w:val="auto"/>
              </w:rPr>
            </w:pPr>
            <w:r>
              <w:rPr>
                <w:rFonts w:ascii="Arial" w:cs="Arial" w:eastAsia="Arial" w:hAnsi="Arial"/>
                <w:sz w:val="17"/>
                <w:szCs w:val="17"/>
                <w:color w:val="auto"/>
              </w:rPr>
              <w:t>(1,252,255)</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19"/>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8"/>
        </w:trPr>
        <w:tc>
          <w:tcPr>
            <w:tcW w:w="29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Subordinated bonds and Notes issued</w:t>
            </w:r>
          </w:p>
        </w:tc>
        <w:tc>
          <w:tcPr>
            <w:tcW w:w="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142"/>
              <w:spacing w:after="0"/>
              <w:rPr>
                <w:sz w:val="20"/>
                <w:szCs w:val="20"/>
                <w:color w:val="auto"/>
              </w:rPr>
            </w:pPr>
            <w:r>
              <w:rPr>
                <w:rFonts w:ascii="Arial" w:cs="Arial" w:eastAsia="Arial" w:hAnsi="Arial"/>
                <w:sz w:val="17"/>
                <w:szCs w:val="17"/>
                <w:color w:val="auto"/>
              </w:rPr>
              <w:t>(40,049)</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79"/>
              <w:spacing w:after="0"/>
              <w:rPr>
                <w:sz w:val="20"/>
                <w:szCs w:val="20"/>
                <w:color w:val="auto"/>
              </w:rPr>
            </w:pPr>
            <w:r>
              <w:rPr>
                <w:rFonts w:ascii="Arial" w:cs="Arial" w:eastAsia="Arial" w:hAnsi="Arial"/>
                <w:sz w:val="17"/>
                <w:szCs w:val="17"/>
                <w:color w:val="auto"/>
              </w:rPr>
              <w:t>(401,257)</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9"/>
              <w:spacing w:after="0"/>
              <w:rPr>
                <w:sz w:val="20"/>
                <w:szCs w:val="20"/>
                <w:color w:val="auto"/>
              </w:rPr>
            </w:pPr>
            <w:r>
              <w:rPr>
                <w:rFonts w:ascii="Arial" w:cs="Arial" w:eastAsia="Arial" w:hAnsi="Arial"/>
                <w:sz w:val="17"/>
                <w:szCs w:val="17"/>
                <w:color w:val="auto"/>
              </w:rPr>
              <w:t>666,805</w:t>
            </w:r>
          </w:p>
        </w:tc>
        <w:tc>
          <w:tcPr>
            <w:tcW w:w="0" w:type="dxa"/>
            <w:vAlign w:val="bottom"/>
          </w:tcPr>
          <w:p>
            <w:pPr>
              <w:spacing w:after="0"/>
              <w:rPr>
                <w:sz w:val="1"/>
                <w:szCs w:val="1"/>
                <w:color w:val="auto"/>
              </w:rPr>
            </w:pPr>
          </w:p>
        </w:tc>
      </w:tr>
      <w:tr>
        <w:trPr>
          <w:trHeight w:val="208"/>
        </w:trPr>
        <w:tc>
          <w:tcPr>
            <w:tcW w:w="2940" w:type="dxa"/>
            <w:vAlign w:val="bottom"/>
            <w:gridSpan w:val="2"/>
          </w:tcPr>
          <w:p>
            <w:pPr>
              <w:spacing w:after="0"/>
              <w:rPr>
                <w:sz w:val="20"/>
                <w:szCs w:val="20"/>
                <w:color w:val="auto"/>
              </w:rPr>
            </w:pPr>
            <w:r>
              <w:rPr>
                <w:rFonts w:ascii="Arial" w:cs="Arial" w:eastAsia="Arial" w:hAnsi="Arial"/>
                <w:sz w:val="17"/>
                <w:szCs w:val="17"/>
                <w:color w:val="auto"/>
              </w:rPr>
              <w:t>Acquisition of Credicorp shares</w:t>
            </w: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gridSpan w:val="2"/>
          </w:tcPr>
          <w:p>
            <w:pPr>
              <w:jc w:val="center"/>
              <w:spacing w:after="0"/>
              <w:rPr>
                <w:sz w:val="20"/>
                <w:szCs w:val="20"/>
                <w:color w:val="auto"/>
              </w:rPr>
            </w:pPr>
            <w:r>
              <w:rPr>
                <w:rFonts w:ascii="Arial" w:cs="Arial" w:eastAsia="Arial" w:hAnsi="Arial"/>
                <w:sz w:val="17"/>
                <w:szCs w:val="17"/>
                <w:color w:val="auto"/>
                <w:w w:val="90"/>
              </w:rPr>
              <w:t>17(b)</w:t>
            </w: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20" w:type="dxa"/>
            <w:vAlign w:val="bottom"/>
            <w:gridSpan w:val="3"/>
          </w:tcPr>
          <w:p>
            <w:pPr>
              <w:jc w:val="right"/>
              <w:ind w:right="142"/>
              <w:spacing w:after="0"/>
              <w:rPr>
                <w:sz w:val="20"/>
                <w:szCs w:val="20"/>
                <w:color w:val="auto"/>
              </w:rPr>
            </w:pPr>
            <w:r>
              <w:rPr>
                <w:rFonts w:ascii="Arial" w:cs="Arial" w:eastAsia="Arial" w:hAnsi="Arial"/>
                <w:sz w:val="17"/>
                <w:szCs w:val="17"/>
                <w:color w:val="auto"/>
              </w:rPr>
              <w:t>(71,008)</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3"/>
          </w:tcPr>
          <w:p>
            <w:pPr>
              <w:jc w:val="right"/>
              <w:ind w:right="79"/>
              <w:spacing w:after="0"/>
              <w:rPr>
                <w:sz w:val="20"/>
                <w:szCs w:val="20"/>
                <w:color w:val="auto"/>
              </w:rPr>
            </w:pPr>
            <w:r>
              <w:rPr>
                <w:rFonts w:ascii="Arial" w:cs="Arial" w:eastAsia="Arial" w:hAnsi="Arial"/>
                <w:sz w:val="17"/>
                <w:szCs w:val="17"/>
                <w:color w:val="auto"/>
              </w:rPr>
              <w:t>(66,528)</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7"/>
                <w:szCs w:val="17"/>
                <w:color w:val="auto"/>
              </w:rPr>
              <w:t>(72,968)</w:t>
            </w:r>
          </w:p>
        </w:tc>
        <w:tc>
          <w:tcPr>
            <w:tcW w:w="0" w:type="dxa"/>
            <w:vAlign w:val="bottom"/>
          </w:tcPr>
          <w:p>
            <w:pPr>
              <w:spacing w:after="0"/>
              <w:rPr>
                <w:sz w:val="1"/>
                <w:szCs w:val="1"/>
                <w:color w:val="auto"/>
              </w:rPr>
            </w:pPr>
          </w:p>
        </w:tc>
      </w:tr>
      <w:tr>
        <w:trPr>
          <w:trHeight w:val="221"/>
        </w:trPr>
        <w:tc>
          <w:tcPr>
            <w:tcW w:w="29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Acquisition of non-controlling interest</w:t>
            </w:r>
          </w:p>
        </w:tc>
        <w:tc>
          <w:tcPr>
            <w:tcW w:w="8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920" w:type="dxa"/>
            <w:vAlign w:val="bottom"/>
            <w:gridSpan w:val="3"/>
            <w:shd w:val="clear" w:color="auto" w:fill="CCEEFF"/>
          </w:tcPr>
          <w:p>
            <w:pPr>
              <w:jc w:val="right"/>
              <w:ind w:right="182"/>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20" w:type="dxa"/>
            <w:vAlign w:val="bottom"/>
            <w:gridSpan w:val="3"/>
            <w:shd w:val="clear" w:color="auto" w:fill="CCEEFF"/>
          </w:tcPr>
          <w:p>
            <w:pPr>
              <w:jc w:val="right"/>
              <w:ind w:right="79"/>
              <w:spacing w:after="0"/>
              <w:rPr>
                <w:sz w:val="20"/>
                <w:szCs w:val="20"/>
                <w:color w:val="auto"/>
              </w:rPr>
            </w:pPr>
            <w:r>
              <w:rPr>
                <w:rFonts w:ascii="Arial" w:cs="Arial" w:eastAsia="Arial" w:hAnsi="Arial"/>
                <w:sz w:val="17"/>
                <w:szCs w:val="17"/>
                <w:color w:val="auto"/>
              </w:rPr>
              <w:t>(489,866)</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9"/>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1"/>
        </w:trPr>
        <w:tc>
          <w:tcPr>
            <w:tcW w:w="2940" w:type="dxa"/>
            <w:vAlign w:val="bottom"/>
            <w:tcBorders>
              <w:bottom w:val="single" w:sz="8" w:color="CCEEFF"/>
            </w:tcBorders>
            <w:gridSpan w:val="2"/>
          </w:tcPr>
          <w:p>
            <w:pPr>
              <w:spacing w:after="0"/>
              <w:rPr>
                <w:sz w:val="20"/>
                <w:szCs w:val="20"/>
                <w:color w:val="auto"/>
              </w:rPr>
            </w:pPr>
            <w:r>
              <w:rPr>
                <w:rFonts w:ascii="Arial" w:cs="Arial" w:eastAsia="Arial" w:hAnsi="Arial"/>
                <w:sz w:val="17"/>
                <w:szCs w:val="17"/>
                <w:b w:val="1"/>
                <w:bCs w:val="1"/>
                <w:color w:val="auto"/>
                <w:w w:val="91"/>
              </w:rPr>
              <w:t>Net cash flows from financing activities</w:t>
            </w:r>
          </w:p>
        </w:tc>
        <w:tc>
          <w:tcPr>
            <w:tcW w:w="860" w:type="dxa"/>
            <w:vAlign w:val="bottom"/>
            <w:tcBorders>
              <w:bottom w:val="single" w:sz="8" w:color="CCEEFF"/>
            </w:tcBorders>
          </w:tcPr>
          <w:p>
            <w:pPr>
              <w:spacing w:after="0"/>
              <w:rPr>
                <w:sz w:val="17"/>
                <w:szCs w:val="17"/>
                <w:color w:val="auto"/>
              </w:rPr>
            </w:pPr>
          </w:p>
        </w:tc>
        <w:tc>
          <w:tcPr>
            <w:tcW w:w="240" w:type="dxa"/>
            <w:vAlign w:val="bottom"/>
            <w:tcBorders>
              <w:bottom w:val="single" w:sz="8" w:color="CCEEFF"/>
            </w:tcBorders>
          </w:tcPr>
          <w:p>
            <w:pPr>
              <w:spacing w:after="0"/>
              <w:rPr>
                <w:sz w:val="17"/>
                <w:szCs w:val="17"/>
                <w:color w:val="auto"/>
              </w:rPr>
            </w:pPr>
          </w:p>
        </w:tc>
        <w:tc>
          <w:tcPr>
            <w:tcW w:w="220" w:type="dxa"/>
            <w:vAlign w:val="bottom"/>
            <w:tcBorders>
              <w:bottom w:val="single" w:sz="8" w:color="CCEEFF"/>
            </w:tcBorders>
          </w:tcPr>
          <w:p>
            <w:pPr>
              <w:spacing w:after="0"/>
              <w:rPr>
                <w:sz w:val="17"/>
                <w:szCs w:val="17"/>
                <w:color w:val="auto"/>
              </w:rPr>
            </w:pPr>
          </w:p>
        </w:tc>
        <w:tc>
          <w:tcPr>
            <w:tcW w:w="820" w:type="dxa"/>
            <w:vAlign w:val="bottom"/>
            <w:tcBorders>
              <w:bottom w:val="single" w:sz="8" w:color="CCEEFF"/>
            </w:tcBorders>
          </w:tcPr>
          <w:p>
            <w:pPr>
              <w:spacing w:after="0"/>
              <w:rPr>
                <w:sz w:val="17"/>
                <w:szCs w:val="17"/>
                <w:color w:val="auto"/>
              </w:rPr>
            </w:pPr>
          </w:p>
        </w:tc>
        <w:tc>
          <w:tcPr>
            <w:tcW w:w="220" w:type="dxa"/>
            <w:vAlign w:val="bottom"/>
            <w:tcBorders>
              <w:bottom w:val="single" w:sz="8" w:color="CCEEFF"/>
            </w:tcBorders>
          </w:tcPr>
          <w:p>
            <w:pPr>
              <w:spacing w:after="0"/>
              <w:rPr>
                <w:sz w:val="17"/>
                <w:szCs w:val="17"/>
                <w:color w:val="auto"/>
              </w:rPr>
            </w:pPr>
          </w:p>
        </w:tc>
        <w:tc>
          <w:tcPr>
            <w:tcW w:w="104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220" w:type="dxa"/>
            <w:vAlign w:val="bottom"/>
            <w:tcBorders>
              <w:bottom w:val="single" w:sz="8" w:color="CCEEFF"/>
            </w:tcBorders>
          </w:tcPr>
          <w:p>
            <w:pPr>
              <w:spacing w:after="0"/>
              <w:rPr>
                <w:sz w:val="17"/>
                <w:szCs w:val="17"/>
                <w:color w:val="auto"/>
              </w:rPr>
            </w:pPr>
          </w:p>
        </w:tc>
        <w:tc>
          <w:tcPr>
            <w:tcW w:w="220" w:type="dxa"/>
            <w:vAlign w:val="bottom"/>
            <w:tcBorders>
              <w:bottom w:val="single" w:sz="8" w:color="CCEEFF"/>
            </w:tcBorders>
          </w:tcPr>
          <w:p>
            <w:pPr>
              <w:spacing w:after="0"/>
              <w:rPr>
                <w:sz w:val="17"/>
                <w:szCs w:val="17"/>
                <w:color w:val="auto"/>
              </w:rPr>
            </w:pPr>
          </w:p>
        </w:tc>
        <w:tc>
          <w:tcPr>
            <w:tcW w:w="320" w:type="dxa"/>
            <w:vAlign w:val="bottom"/>
            <w:tcBorders>
              <w:bottom w:val="single" w:sz="8" w:color="CCEEFF"/>
            </w:tcBorders>
          </w:tcPr>
          <w:p>
            <w:pPr>
              <w:spacing w:after="0"/>
              <w:rPr>
                <w:sz w:val="17"/>
                <w:szCs w:val="17"/>
                <w:color w:val="auto"/>
              </w:rPr>
            </w:pPr>
          </w:p>
        </w:tc>
        <w:tc>
          <w:tcPr>
            <w:tcW w:w="126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7"/>
                <w:szCs w:val="17"/>
                <w:color w:val="auto"/>
              </w:rPr>
              <w:t>(2,343,301</w:t>
            </w:r>
          </w:p>
        </w:tc>
        <w:tc>
          <w:tcPr>
            <w:tcW w:w="220" w:type="dxa"/>
            <w:vAlign w:val="bottom"/>
            <w:tcBorders>
              <w:bottom w:val="single" w:sz="8" w:color="CCEEFF"/>
            </w:tcBorders>
          </w:tcPr>
          <w:p>
            <w:pPr>
              <w:jc w:val="right"/>
              <w:ind w:right="142"/>
              <w:spacing w:after="0"/>
              <w:rPr>
                <w:sz w:val="20"/>
                <w:szCs w:val="20"/>
                <w:color w:val="auto"/>
              </w:rPr>
            </w:pPr>
            <w:r>
              <w:rPr>
                <w:rFonts w:ascii="Arial" w:cs="Arial" w:eastAsia="Arial" w:hAnsi="Arial"/>
                <w:sz w:val="8"/>
                <w:szCs w:val="8"/>
                <w:color w:val="auto"/>
                <w:w w:val="73"/>
              </w:rPr>
              <w:t>)</w:t>
            </w:r>
          </w:p>
        </w:tc>
        <w:tc>
          <w:tcPr>
            <w:tcW w:w="280" w:type="dxa"/>
            <w:vAlign w:val="bottom"/>
            <w:tcBorders>
              <w:top w:val="single" w:sz="8" w:color="auto"/>
              <w:bottom w:val="single" w:sz="8" w:color="auto"/>
            </w:tcBorders>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7"/>
                <w:szCs w:val="17"/>
                <w:color w:val="auto"/>
              </w:rPr>
              <w:t>(1,610,977</w:t>
            </w:r>
          </w:p>
        </w:tc>
        <w:tc>
          <w:tcPr>
            <w:tcW w:w="220" w:type="dxa"/>
            <w:vAlign w:val="bottom"/>
            <w:tcBorders>
              <w:bottom w:val="single" w:sz="8" w:color="CCEEFF"/>
            </w:tcBorders>
          </w:tcPr>
          <w:p>
            <w:pPr>
              <w:jc w:val="right"/>
              <w:ind w:right="79"/>
              <w:spacing w:after="0"/>
              <w:rPr>
                <w:sz w:val="20"/>
                <w:szCs w:val="20"/>
                <w:color w:val="auto"/>
              </w:rPr>
            </w:pPr>
            <w:r>
              <w:rPr>
                <w:rFonts w:ascii="Arial" w:cs="Arial" w:eastAsia="Arial" w:hAnsi="Arial"/>
                <w:sz w:val="16"/>
                <w:szCs w:val="16"/>
                <w:color w:val="auto"/>
                <w:w w:val="74"/>
              </w:rPr>
              <w:t>)</w:t>
            </w:r>
          </w:p>
        </w:tc>
        <w:tc>
          <w:tcPr>
            <w:tcW w:w="20" w:type="dxa"/>
            <w:vAlign w:val="bottom"/>
            <w:tcBorders>
              <w:top w:val="single" w:sz="8" w:color="auto"/>
              <w:bottom w:val="single" w:sz="8" w:color="auto"/>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53,852</w:t>
            </w:r>
          </w:p>
        </w:tc>
        <w:tc>
          <w:tcPr>
            <w:tcW w:w="10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69"/>
        </w:trPr>
        <w:tc>
          <w:tcPr>
            <w:tcW w:w="6360" w:type="dxa"/>
            <w:vAlign w:val="bottom"/>
            <w:gridSpan w:val="9"/>
            <w:shd w:val="clear" w:color="auto" w:fill="CCEEFF"/>
          </w:tcPr>
          <w:p>
            <w:pPr>
              <w:spacing w:after="0" w:line="170" w:lineRule="exact"/>
              <w:rPr>
                <w:sz w:val="20"/>
                <w:szCs w:val="20"/>
                <w:color w:val="auto"/>
              </w:rPr>
            </w:pPr>
            <w:r>
              <w:rPr>
                <w:rFonts w:ascii="Arial" w:cs="Arial" w:eastAsia="Arial" w:hAnsi="Arial"/>
                <w:sz w:val="17"/>
                <w:szCs w:val="17"/>
                <w:b w:val="1"/>
                <w:bCs w:val="1"/>
                <w:color w:val="auto"/>
                <w:w w:val="97"/>
              </w:rPr>
              <w:t>Net increase (decrease) of cash and cash equivalents before effect of changes in</w:t>
            </w:r>
          </w:p>
        </w:tc>
        <w:tc>
          <w:tcPr>
            <w:tcW w:w="2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9"/>
        </w:trPr>
        <w:tc>
          <w:tcPr>
            <w:tcW w:w="294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exchange rate</w:t>
            </w:r>
          </w:p>
        </w:tc>
        <w:tc>
          <w:tcPr>
            <w:tcW w:w="8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920" w:type="dxa"/>
            <w:vAlign w:val="bottom"/>
            <w:gridSpan w:val="3"/>
            <w:shd w:val="clear" w:color="auto" w:fill="CCEEFF"/>
          </w:tcPr>
          <w:p>
            <w:pPr>
              <w:jc w:val="right"/>
              <w:ind w:right="182"/>
              <w:spacing w:after="0"/>
              <w:rPr>
                <w:sz w:val="20"/>
                <w:szCs w:val="20"/>
                <w:color w:val="auto"/>
              </w:rPr>
            </w:pPr>
            <w:r>
              <w:rPr>
                <w:rFonts w:ascii="Arial" w:cs="Arial" w:eastAsia="Arial" w:hAnsi="Arial"/>
                <w:sz w:val="17"/>
                <w:szCs w:val="17"/>
                <w:color w:val="auto"/>
                <w:w w:val="89"/>
              </w:rPr>
              <w:t>7,363,686</w:t>
            </w:r>
          </w:p>
        </w:tc>
        <w:tc>
          <w:tcPr>
            <w:tcW w:w="2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120" w:type="dxa"/>
            <w:vAlign w:val="bottom"/>
            <w:gridSpan w:val="3"/>
            <w:shd w:val="clear" w:color="auto" w:fill="CCEEFF"/>
          </w:tcPr>
          <w:p>
            <w:pPr>
              <w:jc w:val="right"/>
              <w:ind w:right="79"/>
              <w:spacing w:after="0"/>
              <w:rPr>
                <w:sz w:val="20"/>
                <w:szCs w:val="20"/>
                <w:color w:val="auto"/>
              </w:rPr>
            </w:pPr>
            <w:r>
              <w:rPr>
                <w:rFonts w:ascii="Arial" w:cs="Arial" w:eastAsia="Arial" w:hAnsi="Arial"/>
                <w:sz w:val="17"/>
                <w:szCs w:val="17"/>
                <w:color w:val="auto"/>
              </w:rPr>
              <w:t>(4,957,552)</w:t>
            </w:r>
          </w:p>
        </w:tc>
        <w:tc>
          <w:tcPr>
            <w:tcW w:w="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(2,844,240)</w:t>
            </w:r>
          </w:p>
        </w:tc>
        <w:tc>
          <w:tcPr>
            <w:tcW w:w="0" w:type="dxa"/>
            <w:vAlign w:val="bottom"/>
          </w:tcPr>
          <w:p>
            <w:pPr>
              <w:spacing w:after="0"/>
              <w:rPr>
                <w:sz w:val="1"/>
                <w:szCs w:val="1"/>
                <w:color w:val="auto"/>
              </w:rPr>
            </w:pPr>
          </w:p>
        </w:tc>
      </w:tr>
      <w:tr>
        <w:trPr>
          <w:trHeight w:val="201"/>
        </w:trPr>
        <w:tc>
          <w:tcPr>
            <w:tcW w:w="5300" w:type="dxa"/>
            <w:vAlign w:val="bottom"/>
            <w:gridSpan w:val="7"/>
          </w:tcPr>
          <w:p>
            <w:pPr>
              <w:spacing w:after="0"/>
              <w:rPr>
                <w:sz w:val="20"/>
                <w:szCs w:val="20"/>
                <w:color w:val="auto"/>
              </w:rPr>
            </w:pPr>
            <w:r>
              <w:rPr>
                <w:rFonts w:ascii="Arial" w:cs="Arial" w:eastAsia="Arial" w:hAnsi="Arial"/>
                <w:sz w:val="17"/>
                <w:szCs w:val="17"/>
                <w:color w:val="auto"/>
              </w:rPr>
              <w:t>Effect of changes in exchange rate of cash and cash equivalents</w:t>
            </w:r>
          </w:p>
        </w:tc>
        <w:tc>
          <w:tcPr>
            <w:tcW w:w="10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gridSpan w:val="2"/>
          </w:tcPr>
          <w:p>
            <w:pPr>
              <w:jc w:val="right"/>
              <w:spacing w:after="0"/>
              <w:rPr>
                <w:sz w:val="20"/>
                <w:szCs w:val="20"/>
                <w:color w:val="auto"/>
              </w:rPr>
            </w:pPr>
            <w:r>
              <w:rPr>
                <w:rFonts w:ascii="Arial" w:cs="Arial" w:eastAsia="Arial" w:hAnsi="Arial"/>
                <w:sz w:val="17"/>
                <w:szCs w:val="17"/>
                <w:color w:val="auto"/>
                <w:w w:val="93"/>
              </w:rPr>
              <w:t>(784,685)</w:t>
            </w:r>
          </w:p>
        </w:tc>
        <w:tc>
          <w:tcPr>
            <w:tcW w:w="22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gridSpan w:val="2"/>
          </w:tcPr>
          <w:p>
            <w:pPr>
              <w:jc w:val="right"/>
              <w:spacing w:after="0"/>
              <w:rPr>
                <w:sz w:val="20"/>
                <w:szCs w:val="20"/>
                <w:color w:val="auto"/>
              </w:rPr>
            </w:pPr>
            <w:r>
              <w:rPr>
                <w:rFonts w:ascii="Arial" w:cs="Arial" w:eastAsia="Arial" w:hAnsi="Arial"/>
                <w:sz w:val="17"/>
                <w:szCs w:val="17"/>
                <w:color w:val="auto"/>
              </w:rPr>
              <w:t>(454,120)</w:t>
            </w:r>
          </w:p>
        </w:tc>
        <w:tc>
          <w:tcPr>
            <w:tcW w:w="22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3,199,642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4260" w:type="dxa"/>
            <w:vAlign w:val="bottom"/>
            <w:gridSpan w:val="5"/>
            <w:shd w:val="clear" w:color="auto" w:fill="CCEEFF"/>
          </w:tcPr>
          <w:p>
            <w:pPr>
              <w:spacing w:after="0"/>
              <w:rPr>
                <w:sz w:val="20"/>
                <w:szCs w:val="20"/>
                <w:color w:val="auto"/>
              </w:rPr>
            </w:pPr>
            <w:r>
              <w:rPr>
                <w:rFonts w:ascii="Arial" w:cs="Arial" w:eastAsia="Arial" w:hAnsi="Arial"/>
                <w:sz w:val="17"/>
                <w:szCs w:val="17"/>
                <w:b w:val="1"/>
                <w:bCs w:val="1"/>
                <w:color w:val="auto"/>
                <w:w w:val="95"/>
              </w:rPr>
              <w:t>Cash and cash equivalents at the beginning of the year</w:t>
            </w:r>
          </w:p>
        </w:tc>
        <w:tc>
          <w:tcPr>
            <w:tcW w:w="8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00" w:type="dxa"/>
            <w:vAlign w:val="bottom"/>
            <w:gridSpan w:val="6"/>
            <w:shd w:val="clear" w:color="auto" w:fill="CCEEFF"/>
          </w:tcPr>
          <w:p>
            <w:pPr>
              <w:jc w:val="right"/>
              <w:ind w:right="182"/>
              <w:spacing w:after="0"/>
              <w:rPr>
                <w:sz w:val="20"/>
                <w:szCs w:val="20"/>
                <w:color w:val="auto"/>
              </w:rPr>
            </w:pPr>
            <w:r>
              <w:rPr>
                <w:rFonts w:ascii="Arial" w:cs="Arial" w:eastAsia="Arial" w:hAnsi="Arial"/>
                <w:sz w:val="17"/>
                <w:szCs w:val="17"/>
                <w:color w:val="auto"/>
              </w:rPr>
              <w:t>16,633,196</w:t>
            </w:r>
          </w:p>
        </w:tc>
        <w:tc>
          <w:tcPr>
            <w:tcW w:w="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20" w:type="dxa"/>
            <w:vAlign w:val="bottom"/>
            <w:gridSpan w:val="3"/>
            <w:shd w:val="clear" w:color="auto" w:fill="CCEEFF"/>
          </w:tcPr>
          <w:p>
            <w:pPr>
              <w:jc w:val="right"/>
              <w:ind w:right="139"/>
              <w:spacing w:after="0"/>
              <w:rPr>
                <w:sz w:val="20"/>
                <w:szCs w:val="20"/>
                <w:color w:val="auto"/>
              </w:rPr>
            </w:pPr>
            <w:r>
              <w:rPr>
                <w:rFonts w:ascii="Arial" w:cs="Arial" w:eastAsia="Arial" w:hAnsi="Arial"/>
                <w:sz w:val="17"/>
                <w:szCs w:val="17"/>
                <w:color w:val="auto"/>
              </w:rPr>
              <w:t>22,044,868</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9"/>
              <w:spacing w:after="0"/>
              <w:rPr>
                <w:sz w:val="20"/>
                <w:szCs w:val="20"/>
                <w:color w:val="auto"/>
              </w:rPr>
            </w:pPr>
            <w:r>
              <w:rPr>
                <w:rFonts w:ascii="Arial" w:cs="Arial" w:eastAsia="Arial" w:hAnsi="Arial"/>
                <w:sz w:val="17"/>
                <w:szCs w:val="17"/>
                <w:color w:val="auto"/>
              </w:rPr>
              <w:t>21,689,466</w:t>
            </w:r>
          </w:p>
        </w:tc>
        <w:tc>
          <w:tcPr>
            <w:tcW w:w="0" w:type="dxa"/>
            <w:vAlign w:val="bottom"/>
          </w:tcPr>
          <w:p>
            <w:pPr>
              <w:spacing w:after="0"/>
              <w:rPr>
                <w:sz w:val="1"/>
                <w:szCs w:val="1"/>
                <w:color w:val="auto"/>
              </w:rPr>
            </w:pPr>
          </w:p>
        </w:tc>
      </w:tr>
      <w:tr>
        <w:trPr>
          <w:trHeight w:val="201"/>
        </w:trPr>
        <w:tc>
          <w:tcPr>
            <w:tcW w:w="4260" w:type="dxa"/>
            <w:vAlign w:val="bottom"/>
            <w:tcBorders>
              <w:bottom w:val="single" w:sz="8" w:color="CCEEFF"/>
            </w:tcBorders>
            <w:gridSpan w:val="5"/>
          </w:tcPr>
          <w:p>
            <w:pPr>
              <w:spacing w:after="0"/>
              <w:rPr>
                <w:sz w:val="20"/>
                <w:szCs w:val="20"/>
                <w:color w:val="auto"/>
              </w:rPr>
            </w:pPr>
            <w:r>
              <w:rPr>
                <w:rFonts w:ascii="Arial" w:cs="Arial" w:eastAsia="Arial" w:hAnsi="Arial"/>
                <w:sz w:val="17"/>
                <w:szCs w:val="17"/>
                <w:b w:val="1"/>
                <w:bCs w:val="1"/>
                <w:color w:val="auto"/>
              </w:rPr>
              <w:t>Cash and cash equivalents at the end of the year</w:t>
            </w:r>
          </w:p>
        </w:tc>
        <w:tc>
          <w:tcPr>
            <w:tcW w:w="820" w:type="dxa"/>
            <w:vAlign w:val="bottom"/>
            <w:tcBorders>
              <w:bottom w:val="single" w:sz="8" w:color="CCEEFF"/>
            </w:tcBorders>
          </w:tcPr>
          <w:p>
            <w:pPr>
              <w:spacing w:after="0"/>
              <w:rPr>
                <w:sz w:val="17"/>
                <w:szCs w:val="17"/>
                <w:color w:val="auto"/>
              </w:rPr>
            </w:pPr>
          </w:p>
        </w:tc>
        <w:tc>
          <w:tcPr>
            <w:tcW w:w="220" w:type="dxa"/>
            <w:vAlign w:val="bottom"/>
            <w:tcBorders>
              <w:bottom w:val="single" w:sz="8" w:color="CCEEFF"/>
            </w:tcBorders>
          </w:tcPr>
          <w:p>
            <w:pPr>
              <w:spacing w:after="0"/>
              <w:rPr>
                <w:sz w:val="17"/>
                <w:szCs w:val="17"/>
                <w:color w:val="auto"/>
              </w:rPr>
            </w:pPr>
          </w:p>
        </w:tc>
        <w:tc>
          <w:tcPr>
            <w:tcW w:w="104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220" w:type="dxa"/>
            <w:vAlign w:val="bottom"/>
            <w:tcBorders>
              <w:bottom w:val="single" w:sz="8" w:color="CCEEFF"/>
            </w:tcBorders>
          </w:tcPr>
          <w:p>
            <w:pPr>
              <w:spacing w:after="0"/>
              <w:rPr>
                <w:sz w:val="17"/>
                <w:szCs w:val="17"/>
                <w:color w:val="auto"/>
              </w:rPr>
            </w:pPr>
          </w:p>
        </w:tc>
        <w:tc>
          <w:tcPr>
            <w:tcW w:w="220" w:type="dxa"/>
            <w:vAlign w:val="bottom"/>
            <w:tcBorders>
              <w:bottom w:val="single" w:sz="8" w:color="CCEEFF"/>
            </w:tcBorders>
          </w:tcPr>
          <w:p>
            <w:pPr>
              <w:spacing w:after="0"/>
              <w:rPr>
                <w:sz w:val="17"/>
                <w:szCs w:val="17"/>
                <w:color w:val="auto"/>
              </w:rPr>
            </w:pPr>
          </w:p>
        </w:tc>
        <w:tc>
          <w:tcPr>
            <w:tcW w:w="320" w:type="dxa"/>
            <w:vAlign w:val="bottom"/>
            <w:tcBorders>
              <w:bottom w:val="single" w:sz="8" w:color="CCEEFF"/>
            </w:tcBorders>
          </w:tcPr>
          <w:p>
            <w:pPr>
              <w:spacing w:after="0"/>
              <w:rPr>
                <w:sz w:val="17"/>
                <w:szCs w:val="17"/>
                <w:color w:val="auto"/>
              </w:rPr>
            </w:pPr>
          </w:p>
        </w:tc>
        <w:tc>
          <w:tcPr>
            <w:tcW w:w="126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7"/>
                <w:szCs w:val="17"/>
                <w:color w:val="auto"/>
              </w:rPr>
              <w:t>23,212,197</w:t>
            </w:r>
          </w:p>
        </w:tc>
        <w:tc>
          <w:tcPr>
            <w:tcW w:w="220" w:type="dxa"/>
            <w:vAlign w:val="bottom"/>
            <w:tcBorders>
              <w:bottom w:val="single" w:sz="8" w:color="CCEEFF"/>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7"/>
                <w:szCs w:val="17"/>
                <w:color w:val="auto"/>
              </w:rPr>
              <w:t>16,633,196</w:t>
            </w:r>
          </w:p>
        </w:tc>
        <w:tc>
          <w:tcPr>
            <w:tcW w:w="220" w:type="dxa"/>
            <w:vAlign w:val="bottom"/>
            <w:tcBorders>
              <w:bottom w:val="single" w:sz="8" w:color="CCEEFF"/>
            </w:tcBorders>
          </w:tcPr>
          <w:p>
            <w:pPr>
              <w:spacing w:after="0"/>
              <w:rPr>
                <w:sz w:val="17"/>
                <w:szCs w:val="17"/>
                <w:color w:val="auto"/>
              </w:rPr>
            </w:pPr>
          </w:p>
        </w:tc>
        <w:tc>
          <w:tcPr>
            <w:tcW w:w="20" w:type="dxa"/>
            <w:vAlign w:val="bottom"/>
            <w:tcBorders>
              <w:top w:val="single" w:sz="8" w:color="auto"/>
              <w:bottom w:val="single" w:sz="8" w:color="auto"/>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22,044,868</w:t>
            </w:r>
          </w:p>
        </w:tc>
        <w:tc>
          <w:tcPr>
            <w:tcW w:w="10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7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2940" w:type="dxa"/>
            <w:vAlign w:val="bottom"/>
            <w:gridSpan w:val="2"/>
          </w:tcPr>
          <w:p>
            <w:pPr>
              <w:spacing w:after="0"/>
              <w:rPr>
                <w:sz w:val="20"/>
                <w:szCs w:val="20"/>
                <w:color w:val="auto"/>
              </w:rPr>
            </w:pPr>
            <w:r>
              <w:rPr>
                <w:rFonts w:ascii="Arial" w:cs="Arial" w:eastAsia="Arial" w:hAnsi="Arial"/>
                <w:sz w:val="17"/>
                <w:szCs w:val="17"/>
                <w:b w:val="1"/>
                <w:bCs w:val="1"/>
                <w:color w:val="auto"/>
                <w:w w:val="92"/>
              </w:rPr>
              <w:t>Additional information from cash flows</w:t>
            </w: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9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Interest received</w:t>
            </w:r>
          </w:p>
        </w:tc>
        <w:tc>
          <w:tcPr>
            <w:tcW w:w="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0" w:type="dxa"/>
            <w:vAlign w:val="bottom"/>
            <w:gridSpan w:val="6"/>
            <w:shd w:val="clear" w:color="auto" w:fill="CCEEFF"/>
          </w:tcPr>
          <w:p>
            <w:pPr>
              <w:jc w:val="right"/>
              <w:ind w:right="182"/>
              <w:spacing w:after="0"/>
              <w:rPr>
                <w:sz w:val="20"/>
                <w:szCs w:val="20"/>
                <w:color w:val="auto"/>
              </w:rPr>
            </w:pPr>
            <w:r>
              <w:rPr>
                <w:rFonts w:ascii="Arial" w:cs="Arial" w:eastAsia="Arial" w:hAnsi="Arial"/>
                <w:sz w:val="17"/>
                <w:szCs w:val="17"/>
                <w:color w:val="auto"/>
              </w:rPr>
              <w:t>10,935,640</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139"/>
              <w:spacing w:after="0"/>
              <w:rPr>
                <w:sz w:val="20"/>
                <w:szCs w:val="20"/>
                <w:color w:val="auto"/>
              </w:rPr>
            </w:pPr>
            <w:r>
              <w:rPr>
                <w:rFonts w:ascii="Arial" w:cs="Arial" w:eastAsia="Arial" w:hAnsi="Arial"/>
                <w:sz w:val="17"/>
                <w:szCs w:val="17"/>
                <w:color w:val="auto"/>
              </w:rPr>
              <w:t>10,640,157</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9"/>
              <w:spacing w:after="0"/>
              <w:rPr>
                <w:sz w:val="20"/>
                <w:szCs w:val="20"/>
                <w:color w:val="auto"/>
              </w:rPr>
            </w:pPr>
            <w:r>
              <w:rPr>
                <w:rFonts w:ascii="Arial" w:cs="Arial" w:eastAsia="Arial" w:hAnsi="Arial"/>
                <w:sz w:val="17"/>
                <w:szCs w:val="17"/>
                <w:color w:val="auto"/>
              </w:rPr>
              <w:t>9,748,822</w:t>
            </w:r>
          </w:p>
        </w:tc>
        <w:tc>
          <w:tcPr>
            <w:tcW w:w="0" w:type="dxa"/>
            <w:vAlign w:val="bottom"/>
          </w:tcPr>
          <w:p>
            <w:pPr>
              <w:spacing w:after="0"/>
              <w:rPr>
                <w:sz w:val="1"/>
                <w:szCs w:val="1"/>
                <w:color w:val="auto"/>
              </w:rPr>
            </w:pPr>
          </w:p>
        </w:tc>
      </w:tr>
      <w:tr>
        <w:trPr>
          <w:trHeight w:val="220"/>
        </w:trPr>
        <w:tc>
          <w:tcPr>
            <w:tcW w:w="2940" w:type="dxa"/>
            <w:vAlign w:val="bottom"/>
            <w:gridSpan w:val="2"/>
          </w:tcPr>
          <w:p>
            <w:pPr>
              <w:spacing w:after="0"/>
              <w:rPr>
                <w:sz w:val="20"/>
                <w:szCs w:val="20"/>
                <w:color w:val="auto"/>
              </w:rPr>
            </w:pPr>
            <w:r>
              <w:rPr>
                <w:rFonts w:ascii="Arial" w:cs="Arial" w:eastAsia="Arial" w:hAnsi="Arial"/>
                <w:sz w:val="17"/>
                <w:szCs w:val="17"/>
                <w:color w:val="auto"/>
              </w:rPr>
              <w:t>Interest paid</w:t>
            </w:r>
          </w:p>
        </w:tc>
        <w:tc>
          <w:tcPr>
            <w:tcW w:w="8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0" w:type="dxa"/>
            <w:vAlign w:val="bottom"/>
            <w:gridSpan w:val="6"/>
          </w:tcPr>
          <w:p>
            <w:pPr>
              <w:jc w:val="right"/>
              <w:ind w:right="142"/>
              <w:spacing w:after="0"/>
              <w:rPr>
                <w:sz w:val="20"/>
                <w:szCs w:val="20"/>
                <w:color w:val="auto"/>
              </w:rPr>
            </w:pPr>
            <w:r>
              <w:rPr>
                <w:rFonts w:ascii="Arial" w:cs="Arial" w:eastAsia="Arial" w:hAnsi="Arial"/>
                <w:sz w:val="17"/>
                <w:szCs w:val="17"/>
                <w:color w:val="auto"/>
              </w:rPr>
              <w:t>(2,885,989)</w:t>
            </w: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gridSpan w:val="3"/>
          </w:tcPr>
          <w:p>
            <w:pPr>
              <w:jc w:val="right"/>
              <w:ind w:right="79"/>
              <w:spacing w:after="0"/>
              <w:rPr>
                <w:sz w:val="20"/>
                <w:szCs w:val="20"/>
                <w:color w:val="auto"/>
              </w:rPr>
            </w:pPr>
            <w:r>
              <w:rPr>
                <w:rFonts w:ascii="Arial" w:cs="Arial" w:eastAsia="Arial" w:hAnsi="Arial"/>
                <w:sz w:val="17"/>
                <w:szCs w:val="17"/>
                <w:color w:val="auto"/>
              </w:rPr>
              <w:t>(2,772,891)</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gridSpan w:val="2"/>
          </w:tcPr>
          <w:p>
            <w:pPr>
              <w:jc w:val="right"/>
              <w:spacing w:after="0"/>
              <w:rPr>
                <w:sz w:val="20"/>
                <w:szCs w:val="20"/>
                <w:color w:val="auto"/>
              </w:rPr>
            </w:pPr>
            <w:r>
              <w:rPr>
                <w:rFonts w:ascii="Arial" w:cs="Arial" w:eastAsia="Arial" w:hAnsi="Arial"/>
                <w:sz w:val="17"/>
                <w:szCs w:val="17"/>
                <w:color w:val="auto"/>
              </w:rPr>
              <w:t>(2,318,724)</w:t>
            </w:r>
          </w:p>
        </w:tc>
        <w:tc>
          <w:tcPr>
            <w:tcW w:w="0" w:type="dxa"/>
            <w:vAlign w:val="bottom"/>
          </w:tcPr>
          <w:p>
            <w:pPr>
              <w:spacing w:after="0"/>
              <w:rPr>
                <w:sz w:val="1"/>
                <w:szCs w:val="1"/>
                <w:color w:val="auto"/>
              </w:rPr>
            </w:pPr>
          </w:p>
        </w:tc>
      </w:tr>
      <w:tr>
        <w:trPr>
          <w:trHeight w:val="403"/>
        </w:trPr>
        <w:tc>
          <w:tcPr>
            <w:tcW w:w="5300" w:type="dxa"/>
            <w:vAlign w:val="bottom"/>
            <w:gridSpan w:val="7"/>
          </w:tcPr>
          <w:p>
            <w:pPr>
              <w:spacing w:after="0"/>
              <w:rPr>
                <w:sz w:val="20"/>
                <w:szCs w:val="20"/>
                <w:color w:val="auto"/>
              </w:rPr>
            </w:pPr>
            <w:r>
              <w:rPr>
                <w:rFonts w:ascii="Arial" w:cs="Arial" w:eastAsia="Arial" w:hAnsi="Arial"/>
                <w:sz w:val="17"/>
                <w:szCs w:val="17"/>
                <w:b w:val="1"/>
                <w:bCs w:val="1"/>
                <w:color w:val="auto"/>
              </w:rPr>
              <w:t>Reconciliation of liabilities arising from financing activities:</w:t>
            </w: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7"/>
        </w:trPr>
        <w:tc>
          <w:tcPr>
            <w:tcW w:w="2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20" w:type="dxa"/>
            <w:vAlign w:val="bottom"/>
            <w:gridSpan w:val="5"/>
          </w:tcPr>
          <w:p>
            <w:pPr>
              <w:jc w:val="right"/>
              <w:ind w:right="160"/>
              <w:spacing w:after="0"/>
              <w:rPr>
                <w:sz w:val="20"/>
                <w:szCs w:val="20"/>
                <w:color w:val="auto"/>
              </w:rPr>
            </w:pPr>
            <w:r>
              <w:rPr>
                <w:rFonts w:ascii="Arial" w:cs="Arial" w:eastAsia="Arial" w:hAnsi="Arial"/>
                <w:sz w:val="17"/>
                <w:szCs w:val="17"/>
                <w:b w:val="1"/>
                <w:bCs w:val="1"/>
                <w:color w:val="auto"/>
                <w:w w:val="94"/>
              </w:rPr>
              <w:t>Changes that generate cash</w:t>
            </w: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500" w:type="dxa"/>
            <w:vAlign w:val="bottom"/>
            <w:gridSpan w:val="13"/>
          </w:tcPr>
          <w:p>
            <w:pPr>
              <w:jc w:val="right"/>
              <w:ind w:right="700"/>
              <w:spacing w:after="0"/>
              <w:rPr>
                <w:sz w:val="20"/>
                <w:szCs w:val="20"/>
                <w:color w:val="auto"/>
              </w:rPr>
            </w:pPr>
            <w:r>
              <w:rPr>
                <w:rFonts w:ascii="Arial" w:cs="Arial" w:eastAsia="Arial" w:hAnsi="Arial"/>
                <w:sz w:val="17"/>
                <w:szCs w:val="17"/>
                <w:b w:val="1"/>
                <w:bCs w:val="1"/>
                <w:color w:val="auto"/>
                <w:w w:val="98"/>
              </w:rPr>
              <w:t>Changes that do not generate cash</w:t>
            </w: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gridSpan w:val="2"/>
            <w:vMerge w:val="restart"/>
          </w:tcPr>
          <w:p>
            <w:pPr>
              <w:jc w:val="center"/>
              <w:ind w:right="440"/>
              <w:spacing w:after="0"/>
              <w:rPr>
                <w:sz w:val="20"/>
                <w:szCs w:val="20"/>
                <w:color w:val="auto"/>
              </w:rPr>
            </w:pPr>
            <w:r>
              <w:rPr>
                <w:rFonts w:ascii="Arial" w:cs="Arial" w:eastAsia="Arial" w:hAnsi="Arial"/>
                <w:sz w:val="17"/>
                <w:szCs w:val="17"/>
                <w:b w:val="1"/>
                <w:bCs w:val="1"/>
                <w:color w:val="auto"/>
              </w:rPr>
              <w:t>At</w:t>
            </w:r>
          </w:p>
        </w:tc>
        <w:tc>
          <w:tcPr>
            <w:tcW w:w="220" w:type="dxa"/>
            <w:vAlign w:val="bottom"/>
          </w:tcPr>
          <w:p>
            <w:pPr>
              <w:spacing w:after="0"/>
              <w:rPr>
                <w:sz w:val="19"/>
                <w:szCs w:val="19"/>
                <w:color w:val="auto"/>
              </w:rPr>
            </w:pPr>
          </w:p>
        </w:tc>
        <w:tc>
          <w:tcPr>
            <w:tcW w:w="2100" w:type="dxa"/>
            <w:vAlign w:val="bottom"/>
            <w:gridSpan w:val="4"/>
          </w:tcPr>
          <w:p>
            <w:pPr>
              <w:jc w:val="right"/>
              <w:ind w:right="980"/>
              <w:spacing w:after="0"/>
              <w:rPr>
                <w:sz w:val="20"/>
                <w:szCs w:val="20"/>
                <w:color w:val="auto"/>
              </w:rPr>
            </w:pPr>
            <w:r>
              <w:rPr>
                <w:rFonts w:ascii="Arial" w:cs="Arial" w:eastAsia="Arial" w:hAnsi="Arial"/>
                <w:sz w:val="17"/>
                <w:szCs w:val="17"/>
                <w:b w:val="1"/>
                <w:bCs w:val="1"/>
                <w:color w:val="auto"/>
              </w:rPr>
              <w:t>flows</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gridSpan w:val="4"/>
          </w:tcPr>
          <w:p>
            <w:pPr>
              <w:jc w:val="right"/>
              <w:ind w:right="420"/>
              <w:spacing w:after="0"/>
              <w:rPr>
                <w:sz w:val="20"/>
                <w:szCs w:val="20"/>
                <w:color w:val="auto"/>
              </w:rPr>
            </w:pPr>
            <w:r>
              <w:rPr>
                <w:rFonts w:ascii="Arial" w:cs="Arial" w:eastAsia="Arial" w:hAnsi="Arial"/>
                <w:sz w:val="17"/>
                <w:szCs w:val="17"/>
                <w:b w:val="1"/>
                <w:bCs w:val="1"/>
                <w:color w:val="auto"/>
              </w:rPr>
              <w:t>flows</w:t>
            </w: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gridSpan w:val="2"/>
            <w:vMerge w:val="restart"/>
          </w:tcPr>
          <w:p>
            <w:pPr>
              <w:jc w:val="right"/>
              <w:ind w:right="439"/>
              <w:spacing w:after="0"/>
              <w:rPr>
                <w:sz w:val="20"/>
                <w:szCs w:val="20"/>
                <w:color w:val="auto"/>
              </w:rPr>
            </w:pPr>
            <w:r>
              <w:rPr>
                <w:rFonts w:ascii="Arial" w:cs="Arial" w:eastAsia="Arial" w:hAnsi="Arial"/>
                <w:sz w:val="17"/>
                <w:szCs w:val="17"/>
                <w:b w:val="1"/>
                <w:bCs w:val="1"/>
                <w:color w:val="auto"/>
              </w:rPr>
              <w:t>At</w:t>
            </w:r>
          </w:p>
        </w:tc>
        <w:tc>
          <w:tcPr>
            <w:tcW w:w="0" w:type="dxa"/>
            <w:vAlign w:val="bottom"/>
          </w:tcPr>
          <w:p>
            <w:pPr>
              <w:spacing w:after="0"/>
              <w:rPr>
                <w:sz w:val="1"/>
                <w:szCs w:val="1"/>
                <w:color w:val="auto"/>
              </w:rPr>
            </w:pPr>
          </w:p>
        </w:tc>
      </w:tr>
      <w:tr>
        <w:trPr>
          <w:trHeight w:val="182"/>
        </w:trPr>
        <w:tc>
          <w:tcPr>
            <w:tcW w:w="2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gridSpan w:val="2"/>
            <w:vMerge w:val="continue"/>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50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gridSpan w:val="4"/>
          </w:tcPr>
          <w:p>
            <w:pPr>
              <w:jc w:val="center"/>
              <w:ind w:right="100"/>
              <w:spacing w:after="0" w:line="183" w:lineRule="exact"/>
              <w:rPr>
                <w:sz w:val="20"/>
                <w:szCs w:val="20"/>
                <w:color w:val="auto"/>
              </w:rPr>
            </w:pPr>
            <w:r>
              <w:rPr>
                <w:rFonts w:ascii="Arial" w:cs="Arial" w:eastAsia="Arial" w:hAnsi="Arial"/>
                <w:sz w:val="17"/>
                <w:szCs w:val="17"/>
                <w:b w:val="1"/>
                <w:bCs w:val="1"/>
                <w:color w:val="auto"/>
                <w:w w:val="89"/>
              </w:rPr>
              <w:t>Changes</w:t>
            </w:r>
          </w:p>
        </w:tc>
        <w:tc>
          <w:tcPr>
            <w:tcW w:w="12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2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3"/>
          </w:tcPr>
          <w:p>
            <w:pPr>
              <w:jc w:val="center"/>
              <w:ind w:right="553"/>
              <w:spacing w:after="0"/>
              <w:rPr>
                <w:sz w:val="20"/>
                <w:szCs w:val="20"/>
                <w:color w:val="auto"/>
              </w:rPr>
            </w:pPr>
            <w:r>
              <w:rPr>
                <w:rFonts w:ascii="Arial" w:cs="Arial" w:eastAsia="Arial" w:hAnsi="Arial"/>
                <w:sz w:val="17"/>
                <w:szCs w:val="17"/>
                <w:b w:val="1"/>
                <w:bCs w:val="1"/>
                <w:color w:val="auto"/>
                <w:w w:val="91"/>
              </w:rPr>
              <w:t>January</w:t>
            </w:r>
          </w:p>
        </w:tc>
        <w:tc>
          <w:tcPr>
            <w:tcW w:w="1040" w:type="dxa"/>
            <w:vAlign w:val="bottom"/>
            <w:gridSpan w:val="2"/>
          </w:tcPr>
          <w:p>
            <w:pPr>
              <w:jc w:val="center"/>
              <w:ind w:right="460"/>
              <w:spacing w:after="0"/>
              <w:rPr>
                <w:sz w:val="20"/>
                <w:szCs w:val="20"/>
                <w:color w:val="auto"/>
              </w:rPr>
            </w:pPr>
            <w:r>
              <w:rPr>
                <w:rFonts w:ascii="Arial" w:cs="Arial" w:eastAsia="Arial" w:hAnsi="Arial"/>
                <w:sz w:val="17"/>
                <w:szCs w:val="17"/>
                <w:b w:val="1"/>
                <w:bCs w:val="1"/>
                <w:color w:val="auto"/>
                <w:w w:val="97"/>
              </w:rPr>
              <w:t>New</w:t>
            </w:r>
          </w:p>
        </w:tc>
        <w:tc>
          <w:tcPr>
            <w:tcW w:w="1060" w:type="dxa"/>
            <w:vAlign w:val="bottom"/>
            <w:gridSpan w:val="2"/>
          </w:tcPr>
          <w:p>
            <w:pPr>
              <w:jc w:val="center"/>
              <w:ind w:right="20"/>
              <w:spacing w:after="0"/>
              <w:rPr>
                <w:sz w:val="20"/>
                <w:szCs w:val="20"/>
                <w:color w:val="auto"/>
              </w:rPr>
            </w:pPr>
            <w:r>
              <w:rPr>
                <w:rFonts w:ascii="Arial" w:cs="Arial" w:eastAsia="Arial" w:hAnsi="Arial"/>
                <w:sz w:val="17"/>
                <w:szCs w:val="17"/>
                <w:b w:val="1"/>
                <w:bCs w:val="1"/>
                <w:color w:val="auto"/>
                <w:w w:val="96"/>
              </w:rPr>
              <w:t>Amortization</w:t>
            </w:r>
          </w:p>
        </w:tc>
        <w:tc>
          <w:tcPr>
            <w:tcW w:w="220" w:type="dxa"/>
            <w:vAlign w:val="bottom"/>
          </w:tcPr>
          <w:p>
            <w:pPr>
              <w:spacing w:after="0"/>
              <w:rPr>
                <w:sz w:val="18"/>
                <w:szCs w:val="18"/>
                <w:color w:val="auto"/>
              </w:rPr>
            </w:pPr>
          </w:p>
        </w:tc>
        <w:tc>
          <w:tcPr>
            <w:tcW w:w="1100" w:type="dxa"/>
            <w:vAlign w:val="bottom"/>
            <w:gridSpan w:val="4"/>
          </w:tcPr>
          <w:p>
            <w:pPr>
              <w:jc w:val="center"/>
              <w:ind w:right="60"/>
              <w:spacing w:after="0"/>
              <w:rPr>
                <w:sz w:val="20"/>
                <w:szCs w:val="20"/>
                <w:color w:val="auto"/>
              </w:rPr>
            </w:pPr>
            <w:r>
              <w:rPr>
                <w:rFonts w:ascii="Arial" w:cs="Arial" w:eastAsia="Arial" w:hAnsi="Arial"/>
                <w:sz w:val="17"/>
                <w:szCs w:val="17"/>
                <w:b w:val="1"/>
                <w:bCs w:val="1"/>
                <w:color w:val="auto"/>
                <w:w w:val="89"/>
              </w:rPr>
              <w:t>Exchange</w:t>
            </w:r>
          </w:p>
        </w:tc>
        <w:tc>
          <w:tcPr>
            <w:tcW w:w="180" w:type="dxa"/>
            <w:vAlign w:val="bottom"/>
          </w:tcPr>
          <w:p>
            <w:pPr>
              <w:spacing w:after="0"/>
              <w:rPr>
                <w:sz w:val="18"/>
                <w:szCs w:val="18"/>
                <w:color w:val="auto"/>
              </w:rPr>
            </w:pPr>
          </w:p>
        </w:tc>
        <w:tc>
          <w:tcPr>
            <w:tcW w:w="1100" w:type="dxa"/>
            <w:vAlign w:val="bottom"/>
            <w:gridSpan w:val="4"/>
          </w:tcPr>
          <w:p>
            <w:pPr>
              <w:jc w:val="center"/>
              <w:ind w:right="80"/>
              <w:spacing w:after="0"/>
              <w:rPr>
                <w:sz w:val="20"/>
                <w:szCs w:val="20"/>
                <w:color w:val="auto"/>
              </w:rPr>
            </w:pPr>
            <w:r>
              <w:rPr>
                <w:rFonts w:ascii="Arial" w:cs="Arial" w:eastAsia="Arial" w:hAnsi="Arial"/>
                <w:sz w:val="17"/>
                <w:szCs w:val="17"/>
                <w:b w:val="1"/>
                <w:bCs w:val="1"/>
                <w:color w:val="auto"/>
                <w:w w:val="99"/>
              </w:rPr>
              <w:t>in fair</w:t>
            </w: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159"/>
              <w:spacing w:after="0"/>
              <w:rPr>
                <w:sz w:val="20"/>
                <w:szCs w:val="20"/>
                <w:color w:val="auto"/>
              </w:rPr>
            </w:pPr>
            <w:r>
              <w:rPr>
                <w:rFonts w:ascii="Arial" w:cs="Arial" w:eastAsia="Arial" w:hAnsi="Arial"/>
                <w:sz w:val="17"/>
                <w:szCs w:val="17"/>
                <w:b w:val="1"/>
                <w:bCs w:val="1"/>
                <w:color w:val="auto"/>
              </w:rPr>
              <w:t>December</w:t>
            </w:r>
          </w:p>
        </w:tc>
        <w:tc>
          <w:tcPr>
            <w:tcW w:w="0" w:type="dxa"/>
            <w:vAlign w:val="bottom"/>
          </w:tcPr>
          <w:p>
            <w:pPr>
              <w:spacing w:after="0"/>
              <w:rPr>
                <w:sz w:val="1"/>
                <w:szCs w:val="1"/>
                <w:color w:val="auto"/>
              </w:rPr>
            </w:pPr>
          </w:p>
        </w:tc>
      </w:tr>
      <w:tr>
        <w:trPr>
          <w:trHeight w:val="226"/>
        </w:trPr>
        <w:tc>
          <w:tcPr>
            <w:tcW w:w="2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center"/>
              <w:ind w:right="93"/>
              <w:spacing w:after="0"/>
              <w:rPr>
                <w:sz w:val="20"/>
                <w:szCs w:val="20"/>
                <w:color w:val="auto"/>
              </w:rPr>
            </w:pPr>
            <w:r>
              <w:rPr>
                <w:rFonts w:ascii="Arial" w:cs="Arial" w:eastAsia="Arial" w:hAnsi="Arial"/>
                <w:sz w:val="17"/>
                <w:szCs w:val="17"/>
                <w:b w:val="1"/>
                <w:bCs w:val="1"/>
                <w:color w:val="auto"/>
                <w:w w:val="91"/>
              </w:rPr>
              <w:t>1, 2017</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gridSpan w:val="2"/>
          </w:tcPr>
          <w:p>
            <w:pPr>
              <w:jc w:val="center"/>
              <w:ind w:right="460"/>
              <w:spacing w:after="0"/>
              <w:rPr>
                <w:sz w:val="20"/>
                <w:szCs w:val="20"/>
                <w:color w:val="auto"/>
              </w:rPr>
            </w:pPr>
            <w:r>
              <w:rPr>
                <w:rFonts w:ascii="Arial" w:cs="Arial" w:eastAsia="Arial" w:hAnsi="Arial"/>
                <w:sz w:val="17"/>
                <w:szCs w:val="17"/>
                <w:b w:val="1"/>
                <w:bCs w:val="1"/>
                <w:color w:val="auto"/>
                <w:w w:val="79"/>
              </w:rPr>
              <w:t>issues</w:t>
            </w:r>
          </w:p>
        </w:tc>
        <w:tc>
          <w:tcPr>
            <w:tcW w:w="1060" w:type="dxa"/>
            <w:vAlign w:val="bottom"/>
            <w:gridSpan w:val="2"/>
          </w:tcPr>
          <w:p>
            <w:pPr>
              <w:jc w:val="center"/>
              <w:spacing w:after="0"/>
              <w:rPr>
                <w:sz w:val="20"/>
                <w:szCs w:val="20"/>
                <w:color w:val="auto"/>
              </w:rPr>
            </w:pPr>
            <w:r>
              <w:rPr>
                <w:rFonts w:ascii="Arial" w:cs="Arial" w:eastAsia="Arial" w:hAnsi="Arial"/>
                <w:sz w:val="17"/>
                <w:szCs w:val="17"/>
                <w:b w:val="1"/>
                <w:bCs w:val="1"/>
                <w:color w:val="auto"/>
                <w:w w:val="93"/>
              </w:rPr>
              <w:t>of principal</w:t>
            </w:r>
          </w:p>
        </w:tc>
        <w:tc>
          <w:tcPr>
            <w:tcW w:w="220" w:type="dxa"/>
            <w:vAlign w:val="bottom"/>
          </w:tcPr>
          <w:p>
            <w:pPr>
              <w:spacing w:after="0"/>
              <w:rPr>
                <w:sz w:val="19"/>
                <w:szCs w:val="19"/>
                <w:color w:val="auto"/>
              </w:rPr>
            </w:pPr>
          </w:p>
        </w:tc>
        <w:tc>
          <w:tcPr>
            <w:tcW w:w="1100" w:type="dxa"/>
            <w:vAlign w:val="bottom"/>
            <w:gridSpan w:val="4"/>
          </w:tcPr>
          <w:p>
            <w:pPr>
              <w:jc w:val="center"/>
              <w:ind w:right="80"/>
              <w:spacing w:after="0"/>
              <w:rPr>
                <w:sz w:val="20"/>
                <w:szCs w:val="20"/>
                <w:color w:val="auto"/>
              </w:rPr>
            </w:pPr>
            <w:r>
              <w:rPr>
                <w:rFonts w:ascii="Arial" w:cs="Arial" w:eastAsia="Arial" w:hAnsi="Arial"/>
                <w:sz w:val="17"/>
                <w:szCs w:val="17"/>
                <w:b w:val="1"/>
                <w:bCs w:val="1"/>
                <w:color w:val="auto"/>
                <w:w w:val="91"/>
              </w:rPr>
              <w:t>difference</w:t>
            </w:r>
          </w:p>
        </w:tc>
        <w:tc>
          <w:tcPr>
            <w:tcW w:w="180" w:type="dxa"/>
            <w:vAlign w:val="bottom"/>
          </w:tcPr>
          <w:p>
            <w:pPr>
              <w:spacing w:after="0"/>
              <w:rPr>
                <w:sz w:val="19"/>
                <w:szCs w:val="19"/>
                <w:color w:val="auto"/>
              </w:rPr>
            </w:pPr>
          </w:p>
        </w:tc>
        <w:tc>
          <w:tcPr>
            <w:tcW w:w="1100" w:type="dxa"/>
            <w:vAlign w:val="bottom"/>
            <w:gridSpan w:val="4"/>
          </w:tcPr>
          <w:p>
            <w:pPr>
              <w:jc w:val="center"/>
              <w:ind w:right="100"/>
              <w:spacing w:after="0"/>
              <w:rPr>
                <w:sz w:val="20"/>
                <w:szCs w:val="20"/>
                <w:color w:val="auto"/>
              </w:rPr>
            </w:pPr>
            <w:r>
              <w:rPr>
                <w:rFonts w:ascii="Arial" w:cs="Arial" w:eastAsia="Arial" w:hAnsi="Arial"/>
                <w:sz w:val="17"/>
                <w:szCs w:val="17"/>
                <w:b w:val="1"/>
                <w:bCs w:val="1"/>
                <w:color w:val="auto"/>
                <w:w w:val="91"/>
              </w:rPr>
              <w:t>value</w:t>
            </w:r>
          </w:p>
        </w:tc>
        <w:tc>
          <w:tcPr>
            <w:tcW w:w="120" w:type="dxa"/>
            <w:vAlign w:val="bottom"/>
          </w:tcPr>
          <w:p>
            <w:pPr>
              <w:spacing w:after="0"/>
              <w:rPr>
                <w:sz w:val="19"/>
                <w:szCs w:val="19"/>
                <w:color w:val="auto"/>
              </w:rPr>
            </w:pPr>
          </w:p>
        </w:tc>
        <w:tc>
          <w:tcPr>
            <w:tcW w:w="1220" w:type="dxa"/>
            <w:vAlign w:val="bottom"/>
            <w:gridSpan w:val="4"/>
          </w:tcPr>
          <w:p>
            <w:pPr>
              <w:jc w:val="right"/>
              <w:ind w:right="460"/>
              <w:spacing w:after="0"/>
              <w:rPr>
                <w:sz w:val="20"/>
                <w:szCs w:val="20"/>
                <w:color w:val="auto"/>
              </w:rPr>
            </w:pPr>
            <w:r>
              <w:rPr>
                <w:rFonts w:ascii="Arial" w:cs="Arial" w:eastAsia="Arial" w:hAnsi="Arial"/>
                <w:sz w:val="17"/>
                <w:szCs w:val="17"/>
                <w:b w:val="1"/>
                <w:bCs w:val="1"/>
                <w:color w:val="auto"/>
              </w:rPr>
              <w:t>Others</w:t>
            </w:r>
          </w:p>
        </w:tc>
        <w:tc>
          <w:tcPr>
            <w:tcW w:w="1020" w:type="dxa"/>
            <w:vAlign w:val="bottom"/>
          </w:tcPr>
          <w:p>
            <w:pPr>
              <w:jc w:val="right"/>
              <w:ind w:right="113"/>
              <w:spacing w:after="0"/>
              <w:rPr>
                <w:sz w:val="20"/>
                <w:szCs w:val="20"/>
                <w:color w:val="auto"/>
              </w:rPr>
            </w:pPr>
            <w:r>
              <w:rPr>
                <w:rFonts w:ascii="Arial" w:cs="Arial" w:eastAsia="Arial" w:hAnsi="Arial"/>
                <w:sz w:val="17"/>
                <w:szCs w:val="17"/>
                <w:b w:val="1"/>
                <w:bCs w:val="1"/>
                <w:color w:val="auto"/>
              </w:rPr>
              <w:t>31, 2017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1"/>
        </w:trPr>
        <w:tc>
          <w:tcPr>
            <w:tcW w:w="276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jc w:val="center"/>
              <w:ind w:right="93"/>
              <w:spacing w:after="0"/>
              <w:rPr>
                <w:sz w:val="20"/>
                <w:szCs w:val="20"/>
                <w:color w:val="auto"/>
              </w:rPr>
            </w:pPr>
            <w:r>
              <w:rPr>
                <w:rFonts w:ascii="Arial" w:cs="Arial" w:eastAsia="Arial" w:hAnsi="Arial"/>
                <w:sz w:val="17"/>
                <w:szCs w:val="17"/>
                <w:b w:val="1"/>
                <w:bCs w:val="1"/>
                <w:color w:val="auto"/>
                <w:w w:val="93"/>
              </w:rPr>
              <w:t>S/(000)</w:t>
            </w:r>
          </w:p>
        </w:tc>
        <w:tc>
          <w:tcPr>
            <w:tcW w:w="24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jc w:val="center"/>
              <w:ind w:right="133"/>
              <w:spacing w:after="0"/>
              <w:rPr>
                <w:sz w:val="20"/>
                <w:szCs w:val="20"/>
                <w:color w:val="auto"/>
              </w:rPr>
            </w:pPr>
            <w:r>
              <w:rPr>
                <w:rFonts w:ascii="Arial" w:cs="Arial" w:eastAsia="Arial" w:hAnsi="Arial"/>
                <w:sz w:val="17"/>
                <w:szCs w:val="17"/>
                <w:b w:val="1"/>
                <w:bCs w:val="1"/>
                <w:color w:val="auto"/>
                <w:w w:val="93"/>
              </w:rPr>
              <w:t>S/(000)</w:t>
            </w:r>
          </w:p>
        </w:tc>
        <w:tc>
          <w:tcPr>
            <w:tcW w:w="220" w:type="dxa"/>
            <w:vAlign w:val="bottom"/>
          </w:tcPr>
          <w:p>
            <w:pPr>
              <w:spacing w:after="0"/>
              <w:rPr>
                <w:sz w:val="17"/>
                <w:szCs w:val="17"/>
                <w:color w:val="auto"/>
              </w:rPr>
            </w:pPr>
          </w:p>
        </w:tc>
        <w:tc>
          <w:tcPr>
            <w:tcW w:w="1040" w:type="dxa"/>
            <w:vAlign w:val="bottom"/>
            <w:tcBorders>
              <w:top w:val="single" w:sz="8" w:color="auto"/>
            </w:tcBorders>
          </w:tcPr>
          <w:p>
            <w:pPr>
              <w:jc w:val="center"/>
              <w:spacing w:after="0"/>
              <w:rPr>
                <w:sz w:val="20"/>
                <w:szCs w:val="20"/>
                <w:color w:val="auto"/>
              </w:rPr>
            </w:pPr>
            <w:r>
              <w:rPr>
                <w:rFonts w:ascii="Arial" w:cs="Arial" w:eastAsia="Arial" w:hAnsi="Arial"/>
                <w:sz w:val="17"/>
                <w:szCs w:val="17"/>
                <w:b w:val="1"/>
                <w:bCs w:val="1"/>
                <w:color w:val="auto"/>
                <w:w w:val="93"/>
              </w:rPr>
              <w:t>S/(000)</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gridSpan w:val="2"/>
          </w:tcPr>
          <w:p>
            <w:pPr>
              <w:jc w:val="center"/>
              <w:ind w:right="133"/>
              <w:spacing w:after="0"/>
              <w:rPr>
                <w:sz w:val="20"/>
                <w:szCs w:val="20"/>
                <w:color w:val="auto"/>
              </w:rPr>
            </w:pPr>
            <w:r>
              <w:rPr>
                <w:rFonts w:ascii="Arial" w:cs="Arial" w:eastAsia="Arial" w:hAnsi="Arial"/>
                <w:sz w:val="17"/>
                <w:szCs w:val="17"/>
                <w:b w:val="1"/>
                <w:bCs w:val="1"/>
                <w:color w:val="auto"/>
                <w:w w:val="93"/>
              </w:rPr>
              <w:t>S/(000)</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Borders>
              <w:top w:val="single" w:sz="8" w:color="auto"/>
            </w:tcBorders>
            <w:gridSpan w:val="3"/>
          </w:tcPr>
          <w:p>
            <w:pPr>
              <w:jc w:val="center"/>
              <w:ind w:right="20"/>
              <w:spacing w:after="0"/>
              <w:rPr>
                <w:sz w:val="20"/>
                <w:szCs w:val="20"/>
                <w:color w:val="auto"/>
              </w:rPr>
            </w:pPr>
            <w:r>
              <w:rPr>
                <w:rFonts w:ascii="Arial" w:cs="Arial" w:eastAsia="Arial" w:hAnsi="Arial"/>
                <w:sz w:val="17"/>
                <w:szCs w:val="17"/>
                <w:b w:val="1"/>
                <w:bCs w:val="1"/>
                <w:color w:val="auto"/>
                <w:w w:val="93"/>
              </w:rPr>
              <w:t>S/(000)</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Borders>
              <w:top w:val="single" w:sz="8" w:color="auto"/>
            </w:tcBorders>
            <w:gridSpan w:val="3"/>
          </w:tcPr>
          <w:p>
            <w:pPr>
              <w:jc w:val="right"/>
              <w:ind w:right="240"/>
              <w:spacing w:after="0"/>
              <w:rPr>
                <w:sz w:val="20"/>
                <w:szCs w:val="20"/>
                <w:color w:val="auto"/>
              </w:rPr>
            </w:pPr>
            <w:r>
              <w:rPr>
                <w:rFonts w:ascii="Arial" w:cs="Arial" w:eastAsia="Arial" w:hAnsi="Arial"/>
                <w:sz w:val="17"/>
                <w:szCs w:val="17"/>
                <w:b w:val="1"/>
                <w:bCs w:val="1"/>
                <w:color w:val="auto"/>
              </w:rPr>
              <w:t>S/(000)</w:t>
            </w:r>
          </w:p>
        </w:tc>
        <w:tc>
          <w:tcPr>
            <w:tcW w:w="200" w:type="dxa"/>
            <w:vAlign w:val="bottom"/>
          </w:tcPr>
          <w:p>
            <w:pPr>
              <w:spacing w:after="0"/>
              <w:rPr>
                <w:sz w:val="17"/>
                <w:szCs w:val="17"/>
                <w:color w:val="auto"/>
              </w:rPr>
            </w:pPr>
          </w:p>
        </w:tc>
        <w:tc>
          <w:tcPr>
            <w:tcW w:w="1020" w:type="dxa"/>
            <w:vAlign w:val="bottom"/>
            <w:tcBorders>
              <w:top w:val="single" w:sz="8" w:color="auto"/>
            </w:tcBorders>
          </w:tcPr>
          <w:p>
            <w:pPr>
              <w:jc w:val="center"/>
              <w:spacing w:after="0"/>
              <w:rPr>
                <w:sz w:val="20"/>
                <w:szCs w:val="20"/>
                <w:color w:val="auto"/>
              </w:rPr>
            </w:pPr>
            <w:r>
              <w:rPr>
                <w:rFonts w:ascii="Arial" w:cs="Arial" w:eastAsia="Arial" w:hAnsi="Arial"/>
                <w:sz w:val="17"/>
                <w:szCs w:val="17"/>
                <w:b w:val="1"/>
                <w:bCs w:val="1"/>
                <w:color w:val="auto"/>
                <w:w w:val="93"/>
              </w:rPr>
              <w:t>S/(000)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29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Subordinated bonds:</w:t>
            </w:r>
          </w:p>
        </w:tc>
        <w:tc>
          <w:tcPr>
            <w:tcW w:w="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940" w:type="dxa"/>
            <w:vAlign w:val="bottom"/>
            <w:gridSpan w:val="2"/>
          </w:tcPr>
          <w:p>
            <w:pPr>
              <w:spacing w:after="0"/>
              <w:rPr>
                <w:sz w:val="20"/>
                <w:szCs w:val="20"/>
                <w:color w:val="auto"/>
              </w:rPr>
            </w:pPr>
            <w:r>
              <w:rPr>
                <w:rFonts w:ascii="Arial" w:cs="Arial" w:eastAsia="Arial" w:hAnsi="Arial"/>
                <w:sz w:val="17"/>
                <w:szCs w:val="17"/>
                <w:color w:val="auto"/>
              </w:rPr>
              <w:t>Amortized Cost</w:t>
            </w:r>
          </w:p>
        </w:tc>
        <w:tc>
          <w:tcPr>
            <w:tcW w:w="1100" w:type="dxa"/>
            <w:vAlign w:val="bottom"/>
            <w:gridSpan w:val="2"/>
          </w:tcPr>
          <w:p>
            <w:pPr>
              <w:jc w:val="right"/>
              <w:ind w:right="240"/>
              <w:spacing w:after="0"/>
              <w:rPr>
                <w:sz w:val="20"/>
                <w:szCs w:val="20"/>
                <w:color w:val="auto"/>
              </w:rPr>
            </w:pPr>
            <w:r>
              <w:rPr>
                <w:rFonts w:ascii="Arial" w:cs="Arial" w:eastAsia="Arial" w:hAnsi="Arial"/>
                <w:sz w:val="17"/>
                <w:szCs w:val="17"/>
                <w:color w:val="auto"/>
              </w:rPr>
              <w:t>616,020</w:t>
            </w:r>
          </w:p>
        </w:tc>
        <w:tc>
          <w:tcPr>
            <w:tcW w:w="22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7"/>
                <w:szCs w:val="17"/>
                <w:color w:val="auto"/>
              </w:rPr>
              <w:t>29,953</w:t>
            </w:r>
          </w:p>
        </w:tc>
        <w:tc>
          <w:tcPr>
            <w:tcW w:w="1280" w:type="dxa"/>
            <w:vAlign w:val="bottom"/>
            <w:gridSpan w:val="3"/>
          </w:tcPr>
          <w:p>
            <w:pPr>
              <w:jc w:val="right"/>
              <w:ind w:right="93"/>
              <w:spacing w:after="0"/>
              <w:rPr>
                <w:sz w:val="20"/>
                <w:szCs w:val="20"/>
                <w:color w:val="auto"/>
              </w:rPr>
            </w:pPr>
            <w:r>
              <w:rPr>
                <w:rFonts w:ascii="Arial" w:cs="Arial" w:eastAsia="Arial" w:hAnsi="Arial"/>
                <w:sz w:val="17"/>
                <w:szCs w:val="17"/>
                <w:color w:val="auto"/>
              </w:rPr>
              <w:t>(70,002)</w:t>
            </w:r>
          </w:p>
        </w:tc>
        <w:tc>
          <w:tcPr>
            <w:tcW w:w="220" w:type="dxa"/>
            <w:vAlign w:val="bottom"/>
          </w:tcPr>
          <w:p>
            <w:pPr>
              <w:spacing w:after="0"/>
              <w:rPr>
                <w:sz w:val="18"/>
                <w:szCs w:val="18"/>
                <w:color w:val="auto"/>
              </w:rPr>
            </w:pPr>
          </w:p>
        </w:tc>
        <w:tc>
          <w:tcPr>
            <w:tcW w:w="880" w:type="dxa"/>
            <w:vAlign w:val="bottom"/>
            <w:gridSpan w:val="3"/>
          </w:tcPr>
          <w:p>
            <w:pPr>
              <w:jc w:val="right"/>
              <w:spacing w:after="0"/>
              <w:rPr>
                <w:sz w:val="20"/>
                <w:szCs w:val="20"/>
                <w:color w:val="auto"/>
              </w:rPr>
            </w:pPr>
            <w:r>
              <w:rPr>
                <w:rFonts w:ascii="Arial" w:cs="Arial" w:eastAsia="Arial" w:hAnsi="Arial"/>
                <w:sz w:val="17"/>
                <w:szCs w:val="17"/>
                <w:color w:val="auto"/>
              </w:rPr>
              <w:t>(10,382)</w:t>
            </w:r>
          </w:p>
        </w:tc>
        <w:tc>
          <w:tcPr>
            <w:tcW w:w="1280" w:type="dxa"/>
            <w:vAlign w:val="bottom"/>
            <w:gridSpan w:val="5"/>
          </w:tcPr>
          <w:p>
            <w:pPr>
              <w:jc w:val="right"/>
              <w:ind w:right="80"/>
              <w:spacing w:after="0"/>
              <w:rPr>
                <w:sz w:val="20"/>
                <w:szCs w:val="20"/>
                <w:color w:val="auto"/>
              </w:rPr>
            </w:pPr>
            <w:r>
              <w:rPr>
                <w:rFonts w:ascii="Arial" w:cs="Arial" w:eastAsia="Arial" w:hAnsi="Arial"/>
                <w:sz w:val="17"/>
                <w:szCs w:val="17"/>
                <w:color w:val="auto"/>
              </w:rPr>
              <w:t>-</w:t>
            </w:r>
          </w:p>
        </w:tc>
        <w:tc>
          <w:tcPr>
            <w:tcW w:w="1340" w:type="dxa"/>
            <w:vAlign w:val="bottom"/>
            <w:gridSpan w:val="5"/>
          </w:tcPr>
          <w:p>
            <w:pPr>
              <w:jc w:val="right"/>
              <w:ind w:right="140"/>
              <w:spacing w:after="0"/>
              <w:rPr>
                <w:sz w:val="20"/>
                <w:szCs w:val="20"/>
                <w:color w:val="auto"/>
              </w:rPr>
            </w:pPr>
            <w:r>
              <w:rPr>
                <w:rFonts w:ascii="Arial" w:cs="Arial" w:eastAsia="Arial" w:hAnsi="Arial"/>
                <w:sz w:val="17"/>
                <w:szCs w:val="17"/>
                <w:color w:val="auto"/>
              </w:rPr>
              <w:t>(140)</w:t>
            </w:r>
          </w:p>
        </w:tc>
        <w:tc>
          <w:tcPr>
            <w:tcW w:w="1120" w:type="dxa"/>
            <w:vAlign w:val="bottom"/>
            <w:gridSpan w:val="2"/>
          </w:tcPr>
          <w:p>
            <w:pPr>
              <w:jc w:val="right"/>
              <w:ind w:right="19"/>
              <w:spacing w:after="0"/>
              <w:rPr>
                <w:sz w:val="20"/>
                <w:szCs w:val="20"/>
                <w:color w:val="auto"/>
              </w:rPr>
            </w:pPr>
            <w:r>
              <w:rPr>
                <w:rFonts w:ascii="Arial" w:cs="Arial" w:eastAsia="Arial" w:hAnsi="Arial"/>
                <w:sz w:val="17"/>
                <w:szCs w:val="17"/>
                <w:color w:val="auto"/>
              </w:rPr>
              <w:t>565,449</w:t>
            </w:r>
          </w:p>
        </w:tc>
        <w:tc>
          <w:tcPr>
            <w:tcW w:w="0" w:type="dxa"/>
            <w:vAlign w:val="bottom"/>
          </w:tcPr>
          <w:p>
            <w:pPr>
              <w:spacing w:after="0"/>
              <w:rPr>
                <w:sz w:val="1"/>
                <w:szCs w:val="1"/>
                <w:color w:val="auto"/>
              </w:rPr>
            </w:pPr>
          </w:p>
        </w:tc>
      </w:tr>
      <w:tr>
        <w:trPr>
          <w:trHeight w:val="221"/>
        </w:trPr>
        <w:tc>
          <w:tcPr>
            <w:tcW w:w="29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Fair value</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4,881,989</w:t>
            </w:r>
          </w:p>
        </w:tc>
        <w:tc>
          <w:tcPr>
            <w:tcW w:w="2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(166,645)</w:t>
            </w:r>
          </w:p>
        </w:tc>
        <w:tc>
          <w:tcPr>
            <w:tcW w:w="1280" w:type="dxa"/>
            <w:vAlign w:val="bottom"/>
            <w:gridSpan w:val="5"/>
            <w:shd w:val="clear" w:color="auto" w:fill="CCEEFF"/>
          </w:tcPr>
          <w:p>
            <w:pPr>
              <w:jc w:val="right"/>
              <w:ind w:right="20"/>
              <w:spacing w:after="0"/>
              <w:rPr>
                <w:sz w:val="20"/>
                <w:szCs w:val="20"/>
                <w:color w:val="auto"/>
              </w:rPr>
            </w:pPr>
            <w:r>
              <w:rPr>
                <w:rFonts w:ascii="Arial" w:cs="Arial" w:eastAsia="Arial" w:hAnsi="Arial"/>
                <w:sz w:val="17"/>
                <w:szCs w:val="17"/>
                <w:color w:val="auto"/>
              </w:rPr>
              <w:t>(39,137)</w:t>
            </w:r>
          </w:p>
        </w:tc>
        <w:tc>
          <w:tcPr>
            <w:tcW w:w="1340" w:type="dxa"/>
            <w:vAlign w:val="bottom"/>
            <w:gridSpan w:val="5"/>
            <w:shd w:val="clear" w:color="auto" w:fill="CCEEFF"/>
          </w:tcPr>
          <w:p>
            <w:pPr>
              <w:jc w:val="right"/>
              <w:ind w:right="200"/>
              <w:spacing w:after="0"/>
              <w:rPr>
                <w:sz w:val="20"/>
                <w:szCs w:val="20"/>
                <w:color w:val="auto"/>
              </w:rPr>
            </w:pPr>
            <w:r>
              <w:rPr>
                <w:rFonts w:ascii="Arial" w:cs="Arial" w:eastAsia="Arial" w:hAnsi="Arial"/>
                <w:sz w:val="17"/>
                <w:szCs w:val="17"/>
                <w:color w:val="auto"/>
              </w:rPr>
              <w:t>5,733</w:t>
            </w:r>
          </w:p>
        </w:tc>
        <w:tc>
          <w:tcPr>
            <w:tcW w:w="1120" w:type="dxa"/>
            <w:vAlign w:val="bottom"/>
            <w:gridSpan w:val="2"/>
            <w:shd w:val="clear" w:color="auto" w:fill="CCEEFF"/>
          </w:tcPr>
          <w:p>
            <w:pPr>
              <w:jc w:val="right"/>
              <w:ind w:right="19"/>
              <w:spacing w:after="0"/>
              <w:rPr>
                <w:sz w:val="20"/>
                <w:szCs w:val="20"/>
                <w:color w:val="auto"/>
              </w:rPr>
            </w:pPr>
            <w:r>
              <w:rPr>
                <w:rFonts w:ascii="Arial" w:cs="Arial" w:eastAsia="Arial" w:hAnsi="Arial"/>
                <w:sz w:val="17"/>
                <w:szCs w:val="17"/>
                <w:color w:val="auto"/>
              </w:rPr>
              <w:t>4,681,940</w:t>
            </w:r>
          </w:p>
        </w:tc>
        <w:tc>
          <w:tcPr>
            <w:tcW w:w="0" w:type="dxa"/>
            <w:vAlign w:val="bottom"/>
          </w:tcPr>
          <w:p>
            <w:pPr>
              <w:spacing w:after="0"/>
              <w:rPr>
                <w:sz w:val="1"/>
                <w:szCs w:val="1"/>
                <w:color w:val="auto"/>
              </w:rPr>
            </w:pPr>
          </w:p>
        </w:tc>
      </w:tr>
      <w:tr>
        <w:trPr>
          <w:trHeight w:val="201"/>
        </w:trPr>
        <w:tc>
          <w:tcPr>
            <w:tcW w:w="276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5,498,009</w:t>
            </w:r>
          </w:p>
        </w:tc>
        <w:tc>
          <w:tcPr>
            <w:tcW w:w="24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29,953</w:t>
            </w:r>
          </w:p>
        </w:tc>
        <w:tc>
          <w:tcPr>
            <w:tcW w:w="220" w:type="dxa"/>
            <w:vAlign w:val="bottom"/>
          </w:tcPr>
          <w:p>
            <w:pPr>
              <w:spacing w:after="0"/>
              <w:rPr>
                <w:sz w:val="17"/>
                <w:szCs w:val="17"/>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(70,002)</w:t>
            </w:r>
          </w:p>
        </w:tc>
        <w:tc>
          <w:tcPr>
            <w:tcW w:w="240" w:type="dxa"/>
            <w:vAlign w:val="bottom"/>
            <w:gridSpan w:val="2"/>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gridSpan w:val="2"/>
          </w:tcPr>
          <w:p>
            <w:pPr>
              <w:jc w:val="right"/>
              <w:spacing w:after="0"/>
              <w:rPr>
                <w:sz w:val="20"/>
                <w:szCs w:val="20"/>
                <w:color w:val="auto"/>
              </w:rPr>
            </w:pPr>
            <w:r>
              <w:rPr>
                <w:rFonts w:ascii="Arial" w:cs="Arial" w:eastAsia="Arial" w:hAnsi="Arial"/>
                <w:sz w:val="17"/>
                <w:szCs w:val="17"/>
                <w:color w:val="auto"/>
              </w:rPr>
              <w:t>(177,027)</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Borders>
              <w:top w:val="single" w:sz="8" w:color="auto"/>
            </w:tcBorders>
            <w:gridSpan w:val="3"/>
          </w:tcPr>
          <w:p>
            <w:pPr>
              <w:jc w:val="right"/>
              <w:spacing w:after="0"/>
              <w:rPr>
                <w:sz w:val="20"/>
                <w:szCs w:val="20"/>
                <w:color w:val="auto"/>
              </w:rPr>
            </w:pPr>
            <w:r>
              <w:rPr>
                <w:rFonts w:ascii="Arial" w:cs="Arial" w:eastAsia="Arial" w:hAnsi="Arial"/>
                <w:sz w:val="17"/>
                <w:szCs w:val="17"/>
                <w:color w:val="auto"/>
              </w:rPr>
              <w:t>(39,137)</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Borders>
              <w:top w:val="single" w:sz="8" w:color="auto"/>
            </w:tcBorders>
            <w:gridSpan w:val="3"/>
          </w:tcPr>
          <w:p>
            <w:pPr>
              <w:jc w:val="right"/>
              <w:spacing w:after="0"/>
              <w:rPr>
                <w:sz w:val="20"/>
                <w:szCs w:val="20"/>
                <w:color w:val="auto"/>
              </w:rPr>
            </w:pPr>
            <w:r>
              <w:rPr>
                <w:rFonts w:ascii="Arial" w:cs="Arial" w:eastAsia="Arial" w:hAnsi="Arial"/>
                <w:sz w:val="17"/>
                <w:szCs w:val="17"/>
                <w:color w:val="auto"/>
              </w:rPr>
              <w:t>5,593</w:t>
            </w:r>
          </w:p>
        </w:tc>
        <w:tc>
          <w:tcPr>
            <w:tcW w:w="200" w:type="dxa"/>
            <w:vAlign w:val="bottom"/>
          </w:tcPr>
          <w:p>
            <w:pPr>
              <w:spacing w:after="0"/>
              <w:rPr>
                <w:sz w:val="17"/>
                <w:szCs w:val="17"/>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5,247,389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29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Hedge of fair value</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(77,508)</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2,512</w:t>
            </w:r>
          </w:p>
        </w:tc>
        <w:tc>
          <w:tcPr>
            <w:tcW w:w="1280" w:type="dxa"/>
            <w:vAlign w:val="bottom"/>
            <w:gridSpan w:val="5"/>
            <w:shd w:val="clear" w:color="auto" w:fill="CCEEFF"/>
          </w:tcPr>
          <w:p>
            <w:pPr>
              <w:jc w:val="right"/>
              <w:ind w:right="80"/>
              <w:spacing w:after="0"/>
              <w:rPr>
                <w:sz w:val="20"/>
                <w:szCs w:val="20"/>
                <w:color w:val="auto"/>
              </w:rPr>
            </w:pPr>
            <w:r>
              <w:rPr>
                <w:rFonts w:ascii="Arial" w:cs="Arial" w:eastAsia="Arial" w:hAnsi="Arial"/>
                <w:sz w:val="17"/>
                <w:szCs w:val="17"/>
                <w:color w:val="auto"/>
              </w:rPr>
              <w:t>39,250</w:t>
            </w:r>
          </w:p>
        </w:tc>
        <w:tc>
          <w:tcPr>
            <w:tcW w:w="1340" w:type="dxa"/>
            <w:vAlign w:val="bottom"/>
            <w:gridSpan w:val="5"/>
            <w:shd w:val="clear" w:color="auto" w:fill="CCEEFF"/>
          </w:tcPr>
          <w:p>
            <w:pPr>
              <w:jc w:val="right"/>
              <w:ind w:right="200"/>
              <w:spacing w:after="0"/>
              <w:rPr>
                <w:sz w:val="20"/>
                <w:szCs w:val="20"/>
                <w:color w:val="auto"/>
              </w:rPr>
            </w:pPr>
            <w:r>
              <w:rPr>
                <w:rFonts w:ascii="Arial" w:cs="Arial" w:eastAsia="Arial" w:hAnsi="Arial"/>
                <w:sz w:val="17"/>
                <w:szCs w:val="17"/>
                <w:color w:val="auto"/>
              </w:rPr>
              <w:t>1,456</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(34,290)</w:t>
            </w:r>
          </w:p>
        </w:tc>
        <w:tc>
          <w:tcPr>
            <w:tcW w:w="0" w:type="dxa"/>
            <w:vAlign w:val="bottom"/>
          </w:tcPr>
          <w:p>
            <w:pPr>
              <w:spacing w:after="0"/>
              <w:rPr>
                <w:sz w:val="1"/>
                <w:szCs w:val="1"/>
                <w:color w:val="auto"/>
              </w:rPr>
            </w:pPr>
          </w:p>
        </w:tc>
      </w:tr>
    </w:tbl>
    <w:p>
      <w:pPr>
        <w:spacing w:after="0" w:line="195" w:lineRule="exact"/>
        <w:rPr>
          <w:sz w:val="20"/>
          <w:szCs w:val="20"/>
          <w:color w:val="auto"/>
        </w:rPr>
      </w:pPr>
    </w:p>
    <w:p>
      <w:pPr>
        <w:spacing w:after="0"/>
        <w:rPr>
          <w:sz w:val="20"/>
          <w:szCs w:val="20"/>
          <w:color w:val="auto"/>
        </w:rPr>
      </w:pPr>
      <w:r>
        <w:rPr>
          <w:rFonts w:ascii="Arial" w:cs="Arial" w:eastAsia="Arial" w:hAnsi="Arial"/>
          <w:sz w:val="17"/>
          <w:szCs w:val="17"/>
          <w:color w:val="auto"/>
        </w:rPr>
        <w:t>The accompanying notes are an integral part of these consolidated financial statements.</w:t>
      </w: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- 15 -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15875</wp:posOffset>
            </wp:positionV>
            <wp:extent cx="725170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1700" cy="8255"/>
                    </a:xfrm>
                    <a:prstGeom prst="rect">
                      <a:avLst/>
                    </a:prstGeom>
                    <a:noFill/>
                  </pic:spPr>
                </pic:pic>
              </a:graphicData>
            </a:graphic>
          </wp:anchor>
        </w:drawing>
      </w:r>
    </w:p>
    <w:p>
      <w:pPr>
        <w:sectPr>
          <w:pgSz w:w="11900" w:h="16838" w:orient="portrait"/>
          <w:cols w:equalWidth="0" w:num="1">
            <w:col w:w="11420"/>
          </w:cols>
          <w:pgMar w:left="240" w:top="875" w:right="239" w:bottom="1440" w:gutter="0" w:footer="0" w:header="0"/>
        </w:sectPr>
      </w:pPr>
    </w:p>
    <w:bookmarkStart w:id="21" w:name="page22"/>
    <w:bookmarkEnd w:id="21"/>
    <w:p>
      <w:pPr>
        <w:spacing w:after="0"/>
        <w:rPr>
          <w:sz w:val="20"/>
          <w:szCs w:val="20"/>
          <w:color w:val="auto"/>
        </w:rPr>
      </w:pPr>
      <w:r>
        <w:rPr>
          <w:rFonts w:ascii="Arial" w:cs="Arial" w:eastAsia="Arial" w:hAnsi="Arial"/>
          <w:sz w:val="17"/>
          <w:szCs w:val="17"/>
          <w:b w:val="1"/>
          <w:bCs w:val="1"/>
          <w:color w:val="auto"/>
        </w:rPr>
        <w:t>CREDICORP LTD. AND SUBSIDIARIES</w:t>
      </w:r>
    </w:p>
    <w:p>
      <w:pPr>
        <w:spacing w:after="0" w:line="226" w:lineRule="exact"/>
        <w:rPr>
          <w:sz w:val="20"/>
          <w:szCs w:val="20"/>
          <w:color w:val="auto"/>
        </w:rPr>
      </w:pPr>
    </w:p>
    <w:p>
      <w:pPr>
        <w:spacing w:after="0"/>
        <w:rPr>
          <w:sz w:val="20"/>
          <w:szCs w:val="20"/>
          <w:color w:val="auto"/>
        </w:rPr>
      </w:pPr>
      <w:r>
        <w:rPr>
          <w:rFonts w:ascii="Arial" w:cs="Arial" w:eastAsia="Arial" w:hAnsi="Arial"/>
          <w:sz w:val="17"/>
          <w:szCs w:val="17"/>
          <w:color w:val="auto"/>
        </w:rPr>
        <w:t>NOTES TO THE CONSOLIDATED FINANCIAL STATEMENTS</w:t>
      </w:r>
    </w:p>
    <w:p>
      <w:pPr>
        <w:spacing w:after="0" w:line="25" w:lineRule="exact"/>
        <w:rPr>
          <w:sz w:val="20"/>
          <w:szCs w:val="20"/>
          <w:color w:val="auto"/>
        </w:rPr>
      </w:pPr>
    </w:p>
    <w:p>
      <w:pPr>
        <w:spacing w:after="0"/>
        <w:rPr>
          <w:sz w:val="20"/>
          <w:szCs w:val="20"/>
          <w:color w:val="auto"/>
        </w:rPr>
      </w:pPr>
      <w:r>
        <w:rPr>
          <w:rFonts w:ascii="Arial" w:cs="Arial" w:eastAsia="Arial" w:hAnsi="Arial"/>
          <w:sz w:val="17"/>
          <w:szCs w:val="17"/>
          <w:color w:val="auto"/>
        </w:rPr>
        <w:t>AS OF DECEMBER 31, 2017 AND 2016</w:t>
      </w:r>
    </w:p>
    <w:p>
      <w:pPr>
        <w:spacing w:after="0" w:line="202" w:lineRule="exact"/>
        <w:rPr>
          <w:sz w:val="20"/>
          <w:szCs w:val="20"/>
          <w:color w:val="auto"/>
        </w:rPr>
      </w:pPr>
    </w:p>
    <w:p>
      <w:pPr>
        <w:ind w:left="320" w:hanging="316"/>
        <w:spacing w:after="0"/>
        <w:tabs>
          <w:tab w:leader="none" w:pos="320" w:val="left"/>
        </w:tabs>
        <w:numPr>
          <w:ilvl w:val="0"/>
          <w:numId w:val="7"/>
        </w:numPr>
        <w:rPr>
          <w:rFonts w:ascii="Arial" w:cs="Arial" w:eastAsia="Arial" w:hAnsi="Arial"/>
          <w:sz w:val="17"/>
          <w:szCs w:val="17"/>
          <w:b w:val="1"/>
          <w:bCs w:val="1"/>
          <w:color w:val="auto"/>
        </w:rPr>
      </w:pPr>
      <w:r>
        <w:rPr>
          <w:rFonts w:ascii="Arial" w:cs="Arial" w:eastAsia="Arial" w:hAnsi="Arial"/>
          <w:sz w:val="17"/>
          <w:szCs w:val="17"/>
          <w:b w:val="1"/>
          <w:bCs w:val="1"/>
          <w:color w:val="auto"/>
        </w:rPr>
        <w:t>OPERATIONS</w:t>
      </w:r>
    </w:p>
    <w:p>
      <w:pPr>
        <w:spacing w:after="0" w:line="226" w:lineRule="exact"/>
        <w:rPr>
          <w:sz w:val="20"/>
          <w:szCs w:val="20"/>
          <w:color w:val="auto"/>
        </w:rPr>
      </w:pPr>
    </w:p>
    <w:p>
      <w:pPr>
        <w:ind w:right="640"/>
        <w:spacing w:after="0" w:line="285" w:lineRule="auto"/>
        <w:rPr>
          <w:sz w:val="20"/>
          <w:szCs w:val="20"/>
          <w:color w:val="auto"/>
        </w:rPr>
      </w:pPr>
      <w:r>
        <w:rPr>
          <w:rFonts w:ascii="Arial" w:cs="Arial" w:eastAsia="Arial" w:hAnsi="Arial"/>
          <w:sz w:val="17"/>
          <w:szCs w:val="17"/>
          <w:color w:val="auto"/>
        </w:rPr>
        <w:t>Credicorp Ltd. (hereinafter “Credicorp” or “the Group”) is a limited liability company incorporated in Bermuda in 1995 to act as a holding company and to coordinate the policies and administration of its subsidiaries. It is also engaged in investing activities.</w:t>
      </w:r>
    </w:p>
    <w:p>
      <w:pPr>
        <w:spacing w:after="0" w:line="159" w:lineRule="exact"/>
        <w:rPr>
          <w:sz w:val="20"/>
          <w:szCs w:val="20"/>
          <w:color w:val="auto"/>
        </w:rPr>
      </w:pPr>
    </w:p>
    <w:p>
      <w:pPr>
        <w:ind w:right="120"/>
        <w:spacing w:after="0" w:line="265" w:lineRule="auto"/>
        <w:rPr>
          <w:sz w:val="20"/>
          <w:szCs w:val="20"/>
          <w:color w:val="auto"/>
        </w:rPr>
      </w:pPr>
      <w:r>
        <w:rPr>
          <w:rFonts w:ascii="Arial" w:cs="Arial" w:eastAsia="Arial" w:hAnsi="Arial"/>
          <w:sz w:val="17"/>
          <w:szCs w:val="17"/>
          <w:color w:val="auto"/>
        </w:rPr>
        <w:t>Credicorp Ltd., through its banking and non-banking subsidiaries and its associate Entidad Prestadora de Salud, provides a wide range of financial, insurance and health services and products mainly throughout Peru and in certain other countries (See Note 3(b)). Its major subsidiary is Banco de Crédito del Perú (hereinafter “BCP” or the “Bank”), a Peruvian universal bank. Credicorp’s address is Clarendon House 2 Church Street Hamilton, Bermuda; likewise, administration offices of its representative in Peru are located in Calle Centenario Nº156, La Molina, Lima, Peru.</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color w:val="auto"/>
        </w:rPr>
        <w:t>Credicorp is listed on the Lima and New York stock exchanges.</w:t>
      </w:r>
    </w:p>
    <w:p>
      <w:pPr>
        <w:spacing w:after="0" w:line="220"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color w:val="auto"/>
        </w:rPr>
        <w:t>The consolidated financial statements as of December 31, 2016, and for the year ended on that date were approved in the General Shareholders’ Meeting held on March 31, 2017. The consolidated financial statements as of December 31, 2017 and for the year ended on that date, were approved and authorized to be issued by the Audit Committee and Management on February 27, 2018 and will be submitted for their final approval by the Board of Directors and the General Shareholders’ Meeting that will occur within the period established by law; in Management’s opinion, they will be approved without modifications.</w:t>
      </w:r>
    </w:p>
    <w:p>
      <w:pPr>
        <w:spacing w:after="0" w:line="156" w:lineRule="exact"/>
        <w:rPr>
          <w:sz w:val="20"/>
          <w:szCs w:val="20"/>
          <w:color w:val="auto"/>
        </w:rPr>
      </w:pPr>
    </w:p>
    <w:p>
      <w:pPr>
        <w:ind w:left="320" w:hanging="316"/>
        <w:spacing w:after="0"/>
        <w:tabs>
          <w:tab w:leader="none" w:pos="320" w:val="left"/>
        </w:tabs>
        <w:numPr>
          <w:ilvl w:val="0"/>
          <w:numId w:val="8"/>
        </w:numPr>
        <w:rPr>
          <w:rFonts w:ascii="Arial" w:cs="Arial" w:eastAsia="Arial" w:hAnsi="Arial"/>
          <w:sz w:val="17"/>
          <w:szCs w:val="17"/>
          <w:b w:val="1"/>
          <w:bCs w:val="1"/>
          <w:color w:val="auto"/>
        </w:rPr>
      </w:pPr>
      <w:r>
        <w:rPr>
          <w:rFonts w:ascii="Arial" w:cs="Arial" w:eastAsia="Arial" w:hAnsi="Arial"/>
          <w:sz w:val="17"/>
          <w:szCs w:val="17"/>
          <w:b w:val="1"/>
          <w:bCs w:val="1"/>
          <w:color w:val="auto"/>
        </w:rPr>
        <w:t>ACQUISITIONS, TRANSFERS AND MERGER</w:t>
      </w:r>
    </w:p>
    <w:p>
      <w:pPr>
        <w:spacing w:after="0" w:line="226" w:lineRule="exact"/>
        <w:rPr>
          <w:sz w:val="20"/>
          <w:szCs w:val="20"/>
          <w:color w:val="auto"/>
        </w:rPr>
      </w:pPr>
    </w:p>
    <w:p>
      <w:pPr>
        <w:ind w:left="320" w:right="340" w:hanging="316"/>
        <w:spacing w:after="0" w:line="285" w:lineRule="auto"/>
        <w:tabs>
          <w:tab w:leader="none" w:pos="320" w:val="left"/>
        </w:tabs>
        <w:numPr>
          <w:ilvl w:val="0"/>
          <w:numId w:val="9"/>
        </w:numPr>
        <w:rPr>
          <w:rFonts w:ascii="Arial" w:cs="Arial" w:eastAsia="Arial" w:hAnsi="Arial"/>
          <w:sz w:val="17"/>
          <w:szCs w:val="17"/>
          <w:color w:val="auto"/>
        </w:rPr>
      </w:pPr>
      <w:r>
        <w:rPr>
          <w:rFonts w:ascii="Arial" w:cs="Arial" w:eastAsia="Arial" w:hAnsi="Arial"/>
          <w:sz w:val="17"/>
          <w:szCs w:val="17"/>
          <w:color w:val="auto"/>
        </w:rPr>
        <w:t>Merger by absorption between El Pacífico Vida Compañía de Seguros y Reaseguros (Pacífico Vida) and El Pacífico Peruano-Suiza Compañía de Seguros y Reaseguros (PPS) -</w:t>
      </w:r>
    </w:p>
    <w:p>
      <w:pPr>
        <w:spacing w:after="0" w:line="159" w:lineRule="exact"/>
        <w:rPr>
          <w:rFonts w:ascii="Arial" w:cs="Arial" w:eastAsia="Arial" w:hAnsi="Arial"/>
          <w:sz w:val="17"/>
          <w:szCs w:val="17"/>
          <w:color w:val="auto"/>
        </w:rPr>
      </w:pPr>
    </w:p>
    <w:p>
      <w:pPr>
        <w:ind w:left="320" w:right="220"/>
        <w:spacing w:after="0" w:line="270" w:lineRule="auto"/>
        <w:rPr>
          <w:rFonts w:ascii="Arial" w:cs="Arial" w:eastAsia="Arial" w:hAnsi="Arial"/>
          <w:sz w:val="17"/>
          <w:szCs w:val="17"/>
          <w:color w:val="auto"/>
        </w:rPr>
      </w:pPr>
      <w:r>
        <w:rPr>
          <w:rFonts w:ascii="Arial" w:cs="Arial" w:eastAsia="Arial" w:hAnsi="Arial"/>
          <w:sz w:val="17"/>
          <w:szCs w:val="17"/>
          <w:color w:val="auto"/>
        </w:rPr>
        <w:t>At the Obligatory Annual Shareholders’ Meeting of Pacífico Vida, held on February 23, 2017, the merger by absorption was approved between Pacífico Vida (absorbing entity) and PPS (absorbed entity), and the amendments to their corporate denomination and purpose. Furthermore, it was agreed that said merger would come into effect on the date of the approval of the Public Deed, subject to the prior authorization of the SBS.</w:t>
      </w:r>
    </w:p>
    <w:p>
      <w:pPr>
        <w:spacing w:after="0" w:line="171" w:lineRule="exact"/>
        <w:rPr>
          <w:rFonts w:ascii="Arial" w:cs="Arial" w:eastAsia="Arial" w:hAnsi="Arial"/>
          <w:sz w:val="17"/>
          <w:szCs w:val="17"/>
          <w:color w:val="auto"/>
        </w:rPr>
      </w:pPr>
    </w:p>
    <w:p>
      <w:pPr>
        <w:ind w:left="320"/>
        <w:spacing w:after="0"/>
        <w:rPr>
          <w:rFonts w:ascii="Arial" w:cs="Arial" w:eastAsia="Arial" w:hAnsi="Arial"/>
          <w:sz w:val="17"/>
          <w:szCs w:val="17"/>
          <w:color w:val="auto"/>
        </w:rPr>
      </w:pPr>
      <w:r>
        <w:rPr>
          <w:rFonts w:ascii="Arial" w:cs="Arial" w:eastAsia="Arial" w:hAnsi="Arial"/>
          <w:sz w:val="17"/>
          <w:szCs w:val="17"/>
          <w:color w:val="auto"/>
        </w:rPr>
        <w:t>In this sense, on July 24, 2017, the SBS, by means of Resolution N° 2836-2017 authorized the following to Pacífico Vida:</w:t>
      </w:r>
    </w:p>
    <w:p>
      <w:pPr>
        <w:spacing w:after="0" w:line="220" w:lineRule="exact"/>
        <w:rPr>
          <w:rFonts w:ascii="Arial" w:cs="Arial" w:eastAsia="Arial" w:hAnsi="Arial"/>
          <w:sz w:val="17"/>
          <w:szCs w:val="17"/>
          <w:color w:val="auto"/>
        </w:rPr>
      </w:pPr>
    </w:p>
    <w:p>
      <w:pPr>
        <w:ind w:left="620" w:hanging="304"/>
        <w:spacing w:after="0"/>
        <w:tabs>
          <w:tab w:leader="none" w:pos="620" w:val="left"/>
        </w:tabs>
        <w:numPr>
          <w:ilvl w:val="1"/>
          <w:numId w:val="9"/>
        </w:numPr>
        <w:rPr>
          <w:rFonts w:ascii="Arial" w:cs="Arial" w:eastAsia="Arial" w:hAnsi="Arial"/>
          <w:sz w:val="17"/>
          <w:szCs w:val="17"/>
          <w:color w:val="auto"/>
        </w:rPr>
      </w:pPr>
      <w:r>
        <w:rPr>
          <w:rFonts w:ascii="Arial" w:cs="Arial" w:eastAsia="Arial" w:hAnsi="Arial"/>
          <w:sz w:val="17"/>
          <w:szCs w:val="17"/>
          <w:color w:val="auto"/>
        </w:rPr>
        <w:t>The merger by absorption.</w:t>
      </w:r>
    </w:p>
    <w:p>
      <w:pPr>
        <w:spacing w:after="0" w:line="24" w:lineRule="exact"/>
        <w:rPr>
          <w:rFonts w:ascii="Arial" w:cs="Arial" w:eastAsia="Arial" w:hAnsi="Arial"/>
          <w:sz w:val="17"/>
          <w:szCs w:val="17"/>
          <w:color w:val="auto"/>
        </w:rPr>
      </w:pPr>
    </w:p>
    <w:p>
      <w:pPr>
        <w:ind w:left="620" w:hanging="304"/>
        <w:spacing w:after="0"/>
        <w:tabs>
          <w:tab w:leader="none" w:pos="620" w:val="left"/>
        </w:tabs>
        <w:numPr>
          <w:ilvl w:val="1"/>
          <w:numId w:val="9"/>
        </w:numPr>
        <w:rPr>
          <w:rFonts w:ascii="Arial" w:cs="Arial" w:eastAsia="Arial" w:hAnsi="Arial"/>
          <w:sz w:val="17"/>
          <w:szCs w:val="17"/>
          <w:color w:val="auto"/>
        </w:rPr>
      </w:pPr>
      <w:r>
        <w:rPr>
          <w:rFonts w:ascii="Arial" w:cs="Arial" w:eastAsia="Arial" w:hAnsi="Arial"/>
          <w:sz w:val="17"/>
          <w:szCs w:val="17"/>
          <w:color w:val="auto"/>
        </w:rPr>
        <w:t>The increase in its share capital by the amount of S/571,009,670, thereby increasing its new share capital to the total of S/1,121,316,750.</w:t>
      </w:r>
    </w:p>
    <w:p>
      <w:pPr>
        <w:spacing w:after="0" w:line="12" w:lineRule="exact"/>
        <w:rPr>
          <w:rFonts w:ascii="Arial" w:cs="Arial" w:eastAsia="Arial" w:hAnsi="Arial"/>
          <w:sz w:val="17"/>
          <w:szCs w:val="17"/>
          <w:color w:val="auto"/>
        </w:rPr>
      </w:pPr>
    </w:p>
    <w:p>
      <w:pPr>
        <w:ind w:left="620" w:right="460" w:hanging="304"/>
        <w:spacing w:after="0" w:line="302" w:lineRule="auto"/>
        <w:tabs>
          <w:tab w:leader="none" w:pos="620" w:val="left"/>
        </w:tabs>
        <w:numPr>
          <w:ilvl w:val="1"/>
          <w:numId w:val="9"/>
        </w:numPr>
        <w:rPr>
          <w:rFonts w:ascii="Arial" w:cs="Arial" w:eastAsia="Arial" w:hAnsi="Arial"/>
          <w:sz w:val="16"/>
          <w:szCs w:val="16"/>
          <w:color w:val="auto"/>
        </w:rPr>
      </w:pPr>
      <w:r>
        <w:rPr>
          <w:rFonts w:ascii="Arial" w:cs="Arial" w:eastAsia="Arial" w:hAnsi="Arial"/>
          <w:sz w:val="16"/>
          <w:szCs w:val="16"/>
          <w:color w:val="auto"/>
        </w:rPr>
        <w:t>The amendment in its corporate denomination to Pacífico Compañía de Seguros y Reaseguros S.A., being able to use the abbreviated name “Pacífico Seguros”; and to change its corporate purpose in order to be able to operate in the branches of life and general insurance.</w:t>
      </w:r>
    </w:p>
    <w:p>
      <w:pPr>
        <w:spacing w:after="0" w:line="148" w:lineRule="exact"/>
        <w:rPr>
          <w:sz w:val="20"/>
          <w:szCs w:val="20"/>
          <w:color w:val="auto"/>
        </w:rPr>
      </w:pPr>
    </w:p>
    <w:p>
      <w:pPr>
        <w:ind w:left="320"/>
        <w:spacing w:after="0" w:line="270" w:lineRule="auto"/>
        <w:rPr>
          <w:sz w:val="20"/>
          <w:szCs w:val="20"/>
          <w:color w:val="auto"/>
        </w:rPr>
      </w:pPr>
      <w:r>
        <w:rPr>
          <w:rFonts w:ascii="Arial" w:cs="Arial" w:eastAsia="Arial" w:hAnsi="Arial"/>
          <w:sz w:val="17"/>
          <w:szCs w:val="17"/>
          <w:color w:val="auto"/>
        </w:rPr>
        <w:t>Subsequently, on August 1, 2017, the signing of the Public Deed of Fusion was formalized, with the merger by absorption becoming effective as from said date; consequently, Pacífico Vida absorbs the totality of the assets, liabilities, rights and obligations of PPS, with the latter becoming extinguished, without dissolution or liquidation.</w:t>
      </w:r>
    </w:p>
    <w:p>
      <w:pPr>
        <w:spacing w:after="0" w:line="172" w:lineRule="exact"/>
        <w:rPr>
          <w:sz w:val="20"/>
          <w:szCs w:val="20"/>
          <w:color w:val="auto"/>
        </w:rPr>
      </w:pPr>
    </w:p>
    <w:p>
      <w:pPr>
        <w:ind w:left="320" w:hanging="316"/>
        <w:spacing w:after="0"/>
        <w:tabs>
          <w:tab w:leader="none" w:pos="3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Acquisition of the non-controlling interest of Credicorp Capital Colombia S.A. (formerly Correval) and Inversiones IMT S.A. -</w:t>
      </w:r>
    </w:p>
    <w:p>
      <w:pPr>
        <w:spacing w:after="0" w:line="200" w:lineRule="exact"/>
        <w:rPr>
          <w:rFonts w:ascii="Arial" w:cs="Arial" w:eastAsia="Arial" w:hAnsi="Arial"/>
          <w:sz w:val="17"/>
          <w:szCs w:val="17"/>
          <w:color w:val="auto"/>
        </w:rPr>
      </w:pPr>
    </w:p>
    <w:p>
      <w:pPr>
        <w:spacing w:after="0" w:line="228" w:lineRule="exact"/>
        <w:rPr>
          <w:rFonts w:ascii="Arial" w:cs="Arial" w:eastAsia="Arial" w:hAnsi="Arial"/>
          <w:sz w:val="17"/>
          <w:szCs w:val="17"/>
          <w:color w:val="auto"/>
        </w:rPr>
      </w:pPr>
    </w:p>
    <w:p>
      <w:pPr>
        <w:ind w:left="5640" w:hanging="107"/>
        <w:spacing w:after="0"/>
        <w:tabs>
          <w:tab w:leader="none" w:pos="5640" w:val="left"/>
        </w:tabs>
        <w:numPr>
          <w:ilvl w:val="1"/>
          <w:numId w:val="10"/>
        </w:numPr>
        <w:rPr>
          <w:rFonts w:ascii="Arial" w:cs="Arial" w:eastAsia="Arial" w:hAnsi="Arial"/>
          <w:sz w:val="17"/>
          <w:szCs w:val="17"/>
          <w:color w:val="auto"/>
        </w:rPr>
      </w:pPr>
      <w:r>
        <w:rPr>
          <w:rFonts w:ascii="Arial" w:cs="Arial" w:eastAsia="Arial" w:hAnsi="Arial"/>
          <w:sz w:val="17"/>
          <w:szCs w:val="17"/>
          <w:color w:val="auto"/>
        </w:rPr>
        <w:t>16 -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15875</wp:posOffset>
            </wp:positionV>
            <wp:extent cx="725170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1700" cy="8255"/>
                    </a:xfrm>
                    <a:prstGeom prst="rect">
                      <a:avLst/>
                    </a:prstGeom>
                    <a:noFill/>
                  </pic:spPr>
                </pic:pic>
              </a:graphicData>
            </a:graphic>
          </wp:anchor>
        </w:drawing>
      </w:r>
    </w:p>
    <w:p>
      <w:pPr>
        <w:sectPr>
          <w:pgSz w:w="11900" w:h="16838" w:orient="portrait"/>
          <w:cols w:equalWidth="0" w:num="1">
            <w:col w:w="11420"/>
          </w:cols>
          <w:pgMar w:left="240" w:top="875" w:right="239" w:bottom="1440" w:gutter="0" w:footer="0" w:header="0"/>
        </w:sectPr>
      </w:pPr>
    </w:p>
    <w:bookmarkStart w:id="22" w:name="page23"/>
    <w:bookmarkEnd w:id="22"/>
    <w:p>
      <w:pPr>
        <w:ind w:right="40"/>
        <w:spacing w:after="0" w:line="262" w:lineRule="auto"/>
        <w:rPr>
          <w:sz w:val="20"/>
          <w:szCs w:val="20"/>
          <w:color w:val="auto"/>
        </w:rPr>
      </w:pPr>
      <w:r>
        <w:rPr>
          <w:rFonts w:ascii="Arial" w:cs="Arial" w:eastAsia="Arial" w:hAnsi="Arial"/>
          <w:sz w:val="17"/>
          <w:szCs w:val="17"/>
          <w:color w:val="auto"/>
        </w:rPr>
        <w:t>In the Board Meetings of Credicorp held on February 24, and July 20 of 2016, capital contributions were approved in favor of Credicorp Capital Ltd. for an amount of US$15.4 million and US$106.3 million, respectively, for the purpose of acquiring all of the shares held by the minority shareholders of Credicorp Capital Colombia S.A. (49.0 percent) and Inversiones IMT S.A. (39.4 percent) at said date, exercising the sale option agreed with them amounting, at that time, to S/489.9 million (S/340.4 million at the time of the signing of the contract and S/149.5 million related to the appreciation of that option recorded in the period from 2013 until its execution date).</w:t>
      </w:r>
    </w:p>
    <w:p>
      <w:pPr>
        <w:spacing w:after="0" w:line="180" w:lineRule="exact"/>
        <w:rPr>
          <w:sz w:val="20"/>
          <w:szCs w:val="20"/>
          <w:color w:val="auto"/>
        </w:rPr>
      </w:pPr>
    </w:p>
    <w:p>
      <w:pPr>
        <w:ind w:right="180"/>
        <w:spacing w:after="0" w:line="285" w:lineRule="auto"/>
        <w:rPr>
          <w:sz w:val="20"/>
          <w:szCs w:val="20"/>
          <w:color w:val="auto"/>
        </w:rPr>
      </w:pPr>
      <w:r>
        <w:rPr>
          <w:rFonts w:ascii="Arial" w:cs="Arial" w:eastAsia="Arial" w:hAnsi="Arial"/>
          <w:sz w:val="17"/>
          <w:szCs w:val="17"/>
          <w:color w:val="auto"/>
        </w:rPr>
        <w:t>It should be mentioned that in said Board meetings, a capital contribution in favor of Credicorp Capital was initially approved for a total amount of US$121.7 million; however, Management subsequently decided that the contribution would only be for US$120.1 million.</w:t>
      </w:r>
    </w:p>
    <w:p>
      <w:pPr>
        <w:spacing w:after="0" w:line="159" w:lineRule="exact"/>
        <w:rPr>
          <w:sz w:val="20"/>
          <w:szCs w:val="20"/>
          <w:color w:val="auto"/>
        </w:rPr>
      </w:pPr>
    </w:p>
    <w:p>
      <w:pPr>
        <w:spacing w:after="0"/>
        <w:rPr>
          <w:sz w:val="20"/>
          <w:szCs w:val="20"/>
          <w:color w:val="auto"/>
        </w:rPr>
      </w:pPr>
      <w:r>
        <w:rPr>
          <w:rFonts w:ascii="Arial" w:cs="Arial" w:eastAsia="Arial" w:hAnsi="Arial"/>
          <w:sz w:val="16"/>
          <w:szCs w:val="16"/>
          <w:color w:val="auto"/>
        </w:rPr>
        <w:t>Credicorp Capital Ltd. made capital contributions in favor of Credicorp Capital Holding Chile and Credicorp Capital Holding Colombia for approximately</w:t>
      </w:r>
    </w:p>
    <w:p>
      <w:pPr>
        <w:spacing w:after="0" w:line="36" w:lineRule="exact"/>
        <w:rPr>
          <w:sz w:val="20"/>
          <w:szCs w:val="20"/>
          <w:color w:val="auto"/>
        </w:rPr>
      </w:pPr>
    </w:p>
    <w:p>
      <w:pPr>
        <w:spacing w:after="0"/>
        <w:rPr>
          <w:sz w:val="20"/>
          <w:szCs w:val="20"/>
          <w:color w:val="auto"/>
        </w:rPr>
      </w:pPr>
      <w:r>
        <w:rPr>
          <w:rFonts w:ascii="Arial" w:cs="Arial" w:eastAsia="Arial" w:hAnsi="Arial"/>
          <w:sz w:val="15"/>
          <w:szCs w:val="15"/>
          <w:color w:val="auto"/>
        </w:rPr>
        <w:t>US$49.2 million and US$44.2 million, respectively, to enable said entities to execute directly the purchase and sale options (PUT) of the minority shareholders.</w:t>
      </w:r>
    </w:p>
    <w:p>
      <w:pPr>
        <w:spacing w:after="0" w:line="231"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Accordingly, on May 20 and August 1 of 2016, the minority shareholders of Credicorp Capital Holding Chile executed the purchase option of Inversiones IMT S.A. thus selling the 39.4 percent share that they held, for approximately US$73.7 million (equivalent to S/241.4 million), with which, Credicorp Capital Holding Chile became the owner of 100 percent of the share capital of Inversiones IMT S.A.</w:t>
      </w:r>
    </w:p>
    <w:p>
      <w:pPr>
        <w:spacing w:after="0" w:line="172" w:lineRule="exact"/>
        <w:rPr>
          <w:sz w:val="20"/>
          <w:szCs w:val="20"/>
          <w:color w:val="auto"/>
        </w:rPr>
      </w:pPr>
    </w:p>
    <w:p>
      <w:pPr>
        <w:ind w:right="140"/>
        <w:spacing w:after="0" w:line="285" w:lineRule="auto"/>
        <w:rPr>
          <w:sz w:val="20"/>
          <w:szCs w:val="20"/>
          <w:color w:val="auto"/>
        </w:rPr>
      </w:pPr>
      <w:r>
        <w:rPr>
          <w:rFonts w:ascii="Arial" w:cs="Arial" w:eastAsia="Arial" w:hAnsi="Arial"/>
          <w:sz w:val="17"/>
          <w:szCs w:val="17"/>
          <w:color w:val="auto"/>
        </w:rPr>
        <w:t>The amount paid by Credicorp Capital Holding Chile was made up of: (i) US$49.2 million originating from the capital contribution of Credicorp Capital Ltd., (ii) US$20.0 million obtained through a financing from a local Chilean bank and own (iii) funds of approximately US$4.5 million.</w:t>
      </w:r>
    </w:p>
    <w:p>
      <w:pPr>
        <w:spacing w:after="0" w:line="159" w:lineRule="exact"/>
        <w:rPr>
          <w:sz w:val="20"/>
          <w:szCs w:val="20"/>
          <w:color w:val="auto"/>
        </w:rPr>
      </w:pPr>
    </w:p>
    <w:p>
      <w:pPr>
        <w:jc w:val="both"/>
        <w:ind w:right="360"/>
        <w:spacing w:after="0" w:line="294" w:lineRule="auto"/>
        <w:rPr>
          <w:sz w:val="20"/>
          <w:szCs w:val="20"/>
          <w:color w:val="auto"/>
        </w:rPr>
      </w:pPr>
      <w:r>
        <w:rPr>
          <w:rFonts w:ascii="Arial" w:cs="Arial" w:eastAsia="Arial" w:hAnsi="Arial"/>
          <w:sz w:val="16"/>
          <w:szCs w:val="16"/>
          <w:color w:val="auto"/>
        </w:rPr>
        <w:t>Furthermore, on May 20, June 1 and August 1, of 2016, Credicorp Capital Holding Colombia executed the purchase option of Credicorp Capital Colombia S.A., purchasing the 30.32 percent share held by the minority shareholders for approximately US$45.2 million (equivalent to S/152.4 million), with which, Credicorp Capital Holding Colombia became the owner of 81.32 percent of the share capital of Credicorp Capital Colombia S.A.</w:t>
      </w:r>
    </w:p>
    <w:p>
      <w:pPr>
        <w:spacing w:after="0" w:line="155" w:lineRule="exact"/>
        <w:rPr>
          <w:sz w:val="20"/>
          <w:szCs w:val="20"/>
          <w:color w:val="auto"/>
        </w:rPr>
      </w:pPr>
    </w:p>
    <w:p>
      <w:pPr>
        <w:spacing w:after="0" w:line="285" w:lineRule="auto"/>
        <w:rPr>
          <w:sz w:val="20"/>
          <w:szCs w:val="20"/>
          <w:color w:val="auto"/>
        </w:rPr>
      </w:pPr>
      <w:r>
        <w:rPr>
          <w:rFonts w:ascii="Arial" w:cs="Arial" w:eastAsia="Arial" w:hAnsi="Arial"/>
          <w:sz w:val="17"/>
          <w:szCs w:val="17"/>
          <w:color w:val="auto"/>
        </w:rPr>
        <w:t>The amount paid by Credicorp Capital Holding Colombia is made up of US$44.2 million originating from the capital contribution of Credicorp Capital Ltd. and US$1.0 million of own funds.</w:t>
      </w:r>
    </w:p>
    <w:p>
      <w:pPr>
        <w:spacing w:after="0" w:line="159" w:lineRule="exact"/>
        <w:rPr>
          <w:sz w:val="20"/>
          <w:szCs w:val="20"/>
          <w:color w:val="auto"/>
        </w:rPr>
      </w:pPr>
    </w:p>
    <w:p>
      <w:pPr>
        <w:ind w:right="160"/>
        <w:spacing w:after="0" w:line="262" w:lineRule="auto"/>
        <w:rPr>
          <w:sz w:val="20"/>
          <w:szCs w:val="20"/>
          <w:color w:val="auto"/>
        </w:rPr>
      </w:pPr>
      <w:r>
        <w:rPr>
          <w:rFonts w:ascii="Arial" w:cs="Arial" w:eastAsia="Arial" w:hAnsi="Arial"/>
          <w:sz w:val="17"/>
          <w:szCs w:val="17"/>
          <w:color w:val="auto"/>
        </w:rPr>
        <w:t>Finally, on September 30, 2016, Credicorp Capital Ltd. executed the remaining purchase option of Credicorp Capital Colombia S.A., purchasing the 18.68 percent share held by the minority shareholders, by means of the purchase of the entities Coby Business Inc. and Artigas Global Corp, both Panamanian companies whose only asset are their shares of Credicorp Capital Colombia S.A. The total amount of the purchase was US$28.3 million (equivalent to S/96.1 million), of which Credicorp Capital Ltd. paid US$26.7 million in cash (which originated from Credicorp´s capital contribution), leaving a balance payable of US$1.6 million at December 31, 2017.</w:t>
      </w:r>
    </w:p>
    <w:p>
      <w:pPr>
        <w:spacing w:after="0" w:line="180" w:lineRule="exact"/>
        <w:rPr>
          <w:sz w:val="20"/>
          <w:szCs w:val="20"/>
          <w:color w:val="auto"/>
        </w:rPr>
      </w:pPr>
    </w:p>
    <w:p>
      <w:pPr>
        <w:ind w:right="360"/>
        <w:spacing w:after="0" w:line="265" w:lineRule="auto"/>
        <w:rPr>
          <w:sz w:val="20"/>
          <w:szCs w:val="20"/>
          <w:color w:val="auto"/>
        </w:rPr>
      </w:pPr>
      <w:r>
        <w:rPr>
          <w:rFonts w:ascii="Arial" w:cs="Arial" w:eastAsia="Arial" w:hAnsi="Arial"/>
          <w:sz w:val="17"/>
          <w:szCs w:val="17"/>
          <w:color w:val="auto"/>
        </w:rPr>
        <w:t>The total contribution of Credicorp Ltd. in Credicorp Capital Ltd. Group was US$120.1 million and with the financing taken by Credicorp Capital Holding Chile, all of the purchase options were exercised, resulting in the achievement of a 100 percent share in Inversiones IMT S.A. and in Credicorp Capital Colombia S.A. With this operation, the process was concluded of establishing a regional investment bank which operates in the Integrated Latin American Market (MILA from the Spanish acronym), involving the stock exchanges of Peru, Colombia and Chile.</w:t>
      </w:r>
    </w:p>
    <w:p>
      <w:pPr>
        <w:spacing w:after="0" w:line="384" w:lineRule="exact"/>
        <w:rPr>
          <w:sz w:val="20"/>
          <w:szCs w:val="20"/>
          <w:color w:val="auto"/>
        </w:rPr>
      </w:pPr>
    </w:p>
    <w:p>
      <w:pPr>
        <w:jc w:val="center"/>
        <w:ind w:right="300"/>
        <w:spacing w:after="0"/>
        <w:rPr>
          <w:sz w:val="20"/>
          <w:szCs w:val="20"/>
          <w:color w:val="auto"/>
        </w:rPr>
      </w:pPr>
      <w:r>
        <w:rPr>
          <w:rFonts w:ascii="Arial" w:cs="Arial" w:eastAsia="Arial" w:hAnsi="Arial"/>
          <w:sz w:val="17"/>
          <w:szCs w:val="17"/>
          <w:color w:val="auto"/>
        </w:rPr>
        <w:t>- 17 -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-200025</wp:posOffset>
            </wp:positionH>
            <wp:positionV relativeFrom="paragraph">
              <wp:posOffset>15875</wp:posOffset>
            </wp:positionV>
            <wp:extent cx="725170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1700" cy="8255"/>
                    </a:xfrm>
                    <a:prstGeom prst="rect">
                      <a:avLst/>
                    </a:prstGeom>
                    <a:noFill/>
                  </pic:spPr>
                </pic:pic>
              </a:graphicData>
            </a:graphic>
          </wp:anchor>
        </w:drawing>
      </w:r>
    </w:p>
    <w:p>
      <w:pPr>
        <w:sectPr>
          <w:pgSz w:w="11900" w:h="16838" w:orient="portrait"/>
          <w:cols w:equalWidth="0" w:num="1">
            <w:col w:w="11100"/>
          </w:cols>
          <w:pgMar w:left="560" w:top="881" w:right="239" w:bottom="1440" w:gutter="0" w:footer="0" w:header="0"/>
        </w:sectPr>
      </w:pPr>
    </w:p>
    <w:bookmarkStart w:id="23" w:name="page24"/>
    <w:bookmarkEnd w:id="23"/>
    <w:p>
      <w:pPr>
        <w:ind w:left="316"/>
        <w:spacing w:after="0"/>
        <w:rPr>
          <w:sz w:val="20"/>
          <w:szCs w:val="20"/>
          <w:color w:val="auto"/>
        </w:rPr>
      </w:pPr>
      <w:r>
        <w:rPr>
          <w:rFonts w:ascii="Arial" w:cs="Arial" w:eastAsia="Arial" w:hAnsi="Arial"/>
          <w:sz w:val="17"/>
          <w:szCs w:val="17"/>
          <w:color w:val="auto"/>
        </w:rPr>
        <w:t>The impacts of the operation on the financial statements of the Group are summarized below:</w:t>
      </w:r>
    </w:p>
    <w:p>
      <w:pPr>
        <w:spacing w:after="0" w:line="227" w:lineRule="exact"/>
        <w:rPr>
          <w:sz w:val="20"/>
          <w:szCs w:val="20"/>
          <w:color w:val="auto"/>
        </w:rPr>
      </w:pPr>
    </w:p>
    <w:tbl>
      <w:tblPr>
        <w:tblLayout w:type="fixed"/>
        <w:tblInd w:w="316" w:type="dxa"/>
        <w:tblCellMar>
          <w:top w:w="0" w:type="dxa"/>
          <w:left w:w="0" w:type="dxa"/>
          <w:bottom w:w="0" w:type="dxa"/>
          <w:right w:w="0" w:type="dxa"/>
        </w:tblCellMar>
      </w:tblPr>
      <w:tr>
        <w:trPr>
          <w:trHeight w:val="226"/>
        </w:trPr>
        <w:tc>
          <w:tcPr>
            <w:tcW w:w="5320" w:type="dxa"/>
            <w:vAlign w:val="bottom"/>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800" w:type="dxa"/>
            <w:vAlign w:val="bottom"/>
            <w:tcBorders>
              <w:bottom w:val="single" w:sz="8" w:color="auto"/>
            </w:tcBorders>
            <w:gridSpan w:val="4"/>
          </w:tcPr>
          <w:p>
            <w:pPr>
              <w:jc w:val="right"/>
              <w:ind w:right="760"/>
              <w:spacing w:after="0"/>
              <w:rPr>
                <w:sz w:val="20"/>
                <w:szCs w:val="20"/>
                <w:color w:val="auto"/>
              </w:rPr>
            </w:pPr>
            <w:r>
              <w:rPr>
                <w:rFonts w:ascii="Arial" w:cs="Arial" w:eastAsia="Arial" w:hAnsi="Arial"/>
                <w:sz w:val="17"/>
                <w:szCs w:val="17"/>
                <w:b w:val="1"/>
                <w:bCs w:val="1"/>
                <w:color w:val="auto"/>
              </w:rPr>
              <w:t>Companies acquired</w:t>
            </w:r>
          </w:p>
        </w:tc>
        <w:tc>
          <w:tcPr>
            <w:tcW w:w="11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182"/>
        </w:trPr>
        <w:tc>
          <w:tcPr>
            <w:tcW w:w="53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0" w:type="dxa"/>
            <w:vAlign w:val="bottom"/>
            <w:gridSpan w:val="2"/>
          </w:tcPr>
          <w:p>
            <w:pPr>
              <w:jc w:val="center"/>
              <w:ind w:right="200"/>
              <w:spacing w:after="0" w:line="183" w:lineRule="exact"/>
              <w:rPr>
                <w:sz w:val="20"/>
                <w:szCs w:val="20"/>
                <w:color w:val="auto"/>
              </w:rPr>
            </w:pPr>
            <w:r>
              <w:rPr>
                <w:rFonts w:ascii="Arial" w:cs="Arial" w:eastAsia="Arial" w:hAnsi="Arial"/>
                <w:sz w:val="17"/>
                <w:szCs w:val="17"/>
                <w:b w:val="1"/>
                <w:bCs w:val="1"/>
                <w:color w:val="auto"/>
                <w:w w:val="94"/>
              </w:rPr>
              <w:t>Coby</w:t>
            </w: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08"/>
        </w:trPr>
        <w:tc>
          <w:tcPr>
            <w:tcW w:w="53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2"/>
          </w:tcPr>
          <w:p>
            <w:pPr>
              <w:jc w:val="center"/>
              <w:ind w:right="200"/>
              <w:spacing w:after="0"/>
              <w:rPr>
                <w:sz w:val="20"/>
                <w:szCs w:val="20"/>
                <w:color w:val="auto"/>
              </w:rPr>
            </w:pPr>
            <w:r>
              <w:rPr>
                <w:rFonts w:ascii="Arial" w:cs="Arial" w:eastAsia="Arial" w:hAnsi="Arial"/>
                <w:sz w:val="17"/>
                <w:szCs w:val="17"/>
                <w:b w:val="1"/>
                <w:bCs w:val="1"/>
                <w:color w:val="auto"/>
                <w:w w:val="94"/>
              </w:rPr>
              <w:t>Credicorp</w:t>
            </w:r>
          </w:p>
        </w:tc>
        <w:tc>
          <w:tcPr>
            <w:tcW w:w="1400" w:type="dxa"/>
            <w:vAlign w:val="bottom"/>
            <w:gridSpan w:val="2"/>
          </w:tcPr>
          <w:p>
            <w:pPr>
              <w:jc w:val="center"/>
              <w:ind w:right="200"/>
              <w:spacing w:after="0"/>
              <w:rPr>
                <w:sz w:val="20"/>
                <w:szCs w:val="20"/>
                <w:color w:val="auto"/>
              </w:rPr>
            </w:pPr>
            <w:r>
              <w:rPr>
                <w:rFonts w:ascii="Arial" w:cs="Arial" w:eastAsia="Arial" w:hAnsi="Arial"/>
                <w:sz w:val="17"/>
                <w:szCs w:val="17"/>
                <w:b w:val="1"/>
                <w:bCs w:val="1"/>
                <w:color w:val="auto"/>
                <w:w w:val="87"/>
              </w:rPr>
              <w:t>Business Inc.</w:t>
            </w: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8"/>
        </w:trPr>
        <w:tc>
          <w:tcPr>
            <w:tcW w:w="5320" w:type="dxa"/>
            <w:vAlign w:val="bottom"/>
          </w:tcPr>
          <w:p>
            <w:pPr>
              <w:spacing w:after="0"/>
              <w:rPr>
                <w:sz w:val="18"/>
                <w:szCs w:val="18"/>
                <w:color w:val="auto"/>
              </w:rPr>
            </w:pPr>
          </w:p>
        </w:tc>
        <w:tc>
          <w:tcPr>
            <w:tcW w:w="1440" w:type="dxa"/>
            <w:vAlign w:val="bottom"/>
            <w:gridSpan w:val="2"/>
          </w:tcPr>
          <w:p>
            <w:pPr>
              <w:jc w:val="center"/>
              <w:ind w:right="220"/>
              <w:spacing w:after="0"/>
              <w:rPr>
                <w:sz w:val="20"/>
                <w:szCs w:val="20"/>
                <w:color w:val="auto"/>
              </w:rPr>
            </w:pPr>
            <w:r>
              <w:rPr>
                <w:rFonts w:ascii="Arial" w:cs="Arial" w:eastAsia="Arial" w:hAnsi="Arial"/>
                <w:sz w:val="17"/>
                <w:szCs w:val="17"/>
                <w:b w:val="1"/>
                <w:bCs w:val="1"/>
                <w:color w:val="auto"/>
                <w:w w:val="90"/>
              </w:rPr>
              <w:t>Inversiones</w:t>
            </w:r>
          </w:p>
        </w:tc>
        <w:tc>
          <w:tcPr>
            <w:tcW w:w="1400" w:type="dxa"/>
            <w:vAlign w:val="bottom"/>
            <w:gridSpan w:val="2"/>
          </w:tcPr>
          <w:p>
            <w:pPr>
              <w:jc w:val="center"/>
              <w:ind w:right="200"/>
              <w:spacing w:after="0"/>
              <w:rPr>
                <w:sz w:val="20"/>
                <w:szCs w:val="20"/>
                <w:color w:val="auto"/>
              </w:rPr>
            </w:pPr>
            <w:r>
              <w:rPr>
                <w:rFonts w:ascii="Arial" w:cs="Arial" w:eastAsia="Arial" w:hAnsi="Arial"/>
                <w:sz w:val="17"/>
                <w:szCs w:val="17"/>
                <w:b w:val="1"/>
                <w:bCs w:val="1"/>
                <w:color w:val="auto"/>
                <w:w w:val="98"/>
              </w:rPr>
              <w:t>Capital</w:t>
            </w:r>
          </w:p>
        </w:tc>
        <w:tc>
          <w:tcPr>
            <w:tcW w:w="1400" w:type="dxa"/>
            <w:vAlign w:val="bottom"/>
            <w:gridSpan w:val="2"/>
          </w:tcPr>
          <w:p>
            <w:pPr>
              <w:jc w:val="center"/>
              <w:ind w:right="200"/>
              <w:spacing w:after="0"/>
              <w:rPr>
                <w:sz w:val="20"/>
                <w:szCs w:val="20"/>
                <w:color w:val="auto"/>
              </w:rPr>
            </w:pPr>
            <w:r>
              <w:rPr>
                <w:rFonts w:ascii="Arial" w:cs="Arial" w:eastAsia="Arial" w:hAnsi="Arial"/>
                <w:sz w:val="17"/>
                <w:szCs w:val="17"/>
                <w:b w:val="1"/>
                <w:bCs w:val="1"/>
                <w:color w:val="auto"/>
                <w:w w:val="93"/>
              </w:rPr>
              <w:t>y Artigas</w:t>
            </w: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6"/>
        </w:trPr>
        <w:tc>
          <w:tcPr>
            <w:tcW w:w="5320" w:type="dxa"/>
            <w:vAlign w:val="bottom"/>
          </w:tcPr>
          <w:p>
            <w:pPr>
              <w:spacing w:after="0"/>
              <w:rPr>
                <w:sz w:val="19"/>
                <w:szCs w:val="19"/>
                <w:color w:val="auto"/>
              </w:rPr>
            </w:pPr>
          </w:p>
        </w:tc>
        <w:tc>
          <w:tcPr>
            <w:tcW w:w="1440" w:type="dxa"/>
            <w:vAlign w:val="bottom"/>
            <w:gridSpan w:val="2"/>
          </w:tcPr>
          <w:p>
            <w:pPr>
              <w:jc w:val="center"/>
              <w:ind w:right="220"/>
              <w:spacing w:after="0"/>
              <w:rPr>
                <w:sz w:val="20"/>
                <w:szCs w:val="20"/>
                <w:color w:val="auto"/>
              </w:rPr>
            </w:pPr>
            <w:r>
              <w:rPr>
                <w:rFonts w:ascii="Arial" w:cs="Arial" w:eastAsia="Arial" w:hAnsi="Arial"/>
                <w:sz w:val="17"/>
                <w:szCs w:val="17"/>
                <w:b w:val="1"/>
                <w:bCs w:val="1"/>
                <w:color w:val="auto"/>
              </w:rPr>
              <w:t>IMT S.A.</w:t>
            </w:r>
          </w:p>
        </w:tc>
        <w:tc>
          <w:tcPr>
            <w:tcW w:w="1400" w:type="dxa"/>
            <w:vAlign w:val="bottom"/>
            <w:gridSpan w:val="2"/>
          </w:tcPr>
          <w:p>
            <w:pPr>
              <w:jc w:val="center"/>
              <w:ind w:right="200"/>
              <w:spacing w:after="0"/>
              <w:rPr>
                <w:sz w:val="20"/>
                <w:szCs w:val="20"/>
                <w:color w:val="auto"/>
              </w:rPr>
            </w:pPr>
            <w:r>
              <w:rPr>
                <w:rFonts w:ascii="Arial" w:cs="Arial" w:eastAsia="Arial" w:hAnsi="Arial"/>
                <w:sz w:val="17"/>
                <w:szCs w:val="17"/>
                <w:b w:val="1"/>
                <w:bCs w:val="1"/>
                <w:color w:val="auto"/>
                <w:w w:val="93"/>
              </w:rPr>
              <w:t>Colombia S.A.</w:t>
            </w:r>
          </w:p>
        </w:tc>
        <w:tc>
          <w:tcPr>
            <w:tcW w:w="1400" w:type="dxa"/>
            <w:vAlign w:val="bottom"/>
            <w:gridSpan w:val="2"/>
          </w:tcPr>
          <w:p>
            <w:pPr>
              <w:jc w:val="center"/>
              <w:ind w:right="200"/>
              <w:spacing w:after="0"/>
              <w:rPr>
                <w:sz w:val="20"/>
                <w:szCs w:val="20"/>
                <w:color w:val="auto"/>
              </w:rPr>
            </w:pPr>
            <w:r>
              <w:rPr>
                <w:rFonts w:ascii="Arial" w:cs="Arial" w:eastAsia="Arial" w:hAnsi="Arial"/>
                <w:sz w:val="17"/>
                <w:szCs w:val="17"/>
                <w:b w:val="1"/>
                <w:bCs w:val="1"/>
                <w:color w:val="auto"/>
                <w:w w:val="94"/>
              </w:rPr>
              <w:t>Global Corp.</w:t>
            </w:r>
          </w:p>
        </w:tc>
        <w:tc>
          <w:tcPr>
            <w:tcW w:w="1280" w:type="dxa"/>
            <w:vAlign w:val="bottom"/>
            <w:gridSpan w:val="2"/>
          </w:tcPr>
          <w:p>
            <w:pPr>
              <w:jc w:val="center"/>
              <w:ind w:right="100"/>
              <w:spacing w:after="0"/>
              <w:rPr>
                <w:sz w:val="20"/>
                <w:szCs w:val="20"/>
                <w:color w:val="auto"/>
              </w:rPr>
            </w:pPr>
            <w:r>
              <w:rPr>
                <w:rFonts w:ascii="Arial" w:cs="Arial" w:eastAsia="Arial" w:hAnsi="Arial"/>
                <w:sz w:val="17"/>
                <w:szCs w:val="17"/>
                <w:b w:val="1"/>
                <w:bCs w:val="1"/>
                <w:color w:val="auto"/>
                <w:w w:val="93"/>
              </w:rPr>
              <w:t>Total</w:t>
            </w:r>
          </w:p>
        </w:tc>
      </w:tr>
      <w:tr>
        <w:trPr>
          <w:trHeight w:val="201"/>
        </w:trPr>
        <w:tc>
          <w:tcPr>
            <w:tcW w:w="5320" w:type="dxa"/>
            <w:vAlign w:val="bottom"/>
          </w:tcPr>
          <w:p>
            <w:pPr>
              <w:spacing w:after="0"/>
              <w:rPr>
                <w:sz w:val="17"/>
                <w:szCs w:val="17"/>
                <w:color w:val="auto"/>
              </w:rPr>
            </w:pPr>
          </w:p>
        </w:tc>
        <w:tc>
          <w:tcPr>
            <w:tcW w:w="1220" w:type="dxa"/>
            <w:vAlign w:val="bottom"/>
            <w:tcBorders>
              <w:top w:val="single" w:sz="8" w:color="auto"/>
            </w:tcBorders>
          </w:tcPr>
          <w:p>
            <w:pPr>
              <w:jc w:val="center"/>
              <w:spacing w:after="0"/>
              <w:rPr>
                <w:sz w:val="20"/>
                <w:szCs w:val="20"/>
                <w:color w:val="auto"/>
              </w:rPr>
            </w:pPr>
            <w:r>
              <w:rPr>
                <w:rFonts w:ascii="Arial" w:cs="Arial" w:eastAsia="Arial" w:hAnsi="Arial"/>
                <w:sz w:val="17"/>
                <w:szCs w:val="17"/>
                <w:b w:val="1"/>
                <w:bCs w:val="1"/>
                <w:color w:val="auto"/>
                <w:w w:val="93"/>
              </w:rPr>
              <w:t>S/(000)</w:t>
            </w:r>
          </w:p>
        </w:tc>
        <w:tc>
          <w:tcPr>
            <w:tcW w:w="220" w:type="dxa"/>
            <w:vAlign w:val="bottom"/>
          </w:tcPr>
          <w:p>
            <w:pPr>
              <w:spacing w:after="0"/>
              <w:rPr>
                <w:sz w:val="17"/>
                <w:szCs w:val="17"/>
                <w:color w:val="auto"/>
              </w:rPr>
            </w:pPr>
          </w:p>
        </w:tc>
        <w:tc>
          <w:tcPr>
            <w:tcW w:w="1200" w:type="dxa"/>
            <w:vAlign w:val="bottom"/>
            <w:tcBorders>
              <w:top w:val="single" w:sz="8" w:color="auto"/>
            </w:tcBorders>
          </w:tcPr>
          <w:p>
            <w:pPr>
              <w:jc w:val="center"/>
              <w:spacing w:after="0"/>
              <w:rPr>
                <w:sz w:val="20"/>
                <w:szCs w:val="20"/>
                <w:color w:val="auto"/>
              </w:rPr>
            </w:pPr>
            <w:r>
              <w:rPr>
                <w:rFonts w:ascii="Arial" w:cs="Arial" w:eastAsia="Arial" w:hAnsi="Arial"/>
                <w:sz w:val="17"/>
                <w:szCs w:val="17"/>
                <w:b w:val="1"/>
                <w:bCs w:val="1"/>
                <w:color w:val="auto"/>
                <w:w w:val="93"/>
              </w:rPr>
              <w:t>S/(000)</w:t>
            </w:r>
          </w:p>
        </w:tc>
        <w:tc>
          <w:tcPr>
            <w:tcW w:w="200" w:type="dxa"/>
            <w:vAlign w:val="bottom"/>
          </w:tcPr>
          <w:p>
            <w:pPr>
              <w:spacing w:after="0"/>
              <w:rPr>
                <w:sz w:val="17"/>
                <w:szCs w:val="17"/>
                <w:color w:val="auto"/>
              </w:rPr>
            </w:pPr>
          </w:p>
        </w:tc>
        <w:tc>
          <w:tcPr>
            <w:tcW w:w="1200" w:type="dxa"/>
            <w:vAlign w:val="bottom"/>
            <w:tcBorders>
              <w:top w:val="single" w:sz="8" w:color="auto"/>
            </w:tcBorders>
          </w:tcPr>
          <w:p>
            <w:pPr>
              <w:jc w:val="center"/>
              <w:spacing w:after="0"/>
              <w:rPr>
                <w:sz w:val="20"/>
                <w:szCs w:val="20"/>
                <w:color w:val="auto"/>
              </w:rPr>
            </w:pPr>
            <w:r>
              <w:rPr>
                <w:rFonts w:ascii="Arial" w:cs="Arial" w:eastAsia="Arial" w:hAnsi="Arial"/>
                <w:sz w:val="17"/>
                <w:szCs w:val="17"/>
                <w:b w:val="1"/>
                <w:bCs w:val="1"/>
                <w:color w:val="auto"/>
                <w:w w:val="93"/>
              </w:rPr>
              <w:t>S/(000)</w:t>
            </w:r>
          </w:p>
        </w:tc>
        <w:tc>
          <w:tcPr>
            <w:tcW w:w="200" w:type="dxa"/>
            <w:vAlign w:val="bottom"/>
          </w:tcPr>
          <w:p>
            <w:pPr>
              <w:spacing w:after="0"/>
              <w:rPr>
                <w:sz w:val="17"/>
                <w:szCs w:val="17"/>
                <w:color w:val="auto"/>
              </w:rPr>
            </w:pPr>
          </w:p>
        </w:tc>
        <w:tc>
          <w:tcPr>
            <w:tcW w:w="1180" w:type="dxa"/>
            <w:vAlign w:val="bottom"/>
            <w:tcBorders>
              <w:top w:val="single" w:sz="8" w:color="auto"/>
            </w:tcBorders>
          </w:tcPr>
          <w:p>
            <w:pPr>
              <w:jc w:val="center"/>
              <w:spacing w:after="0"/>
              <w:rPr>
                <w:sz w:val="20"/>
                <w:szCs w:val="20"/>
                <w:color w:val="auto"/>
              </w:rPr>
            </w:pPr>
            <w:r>
              <w:rPr>
                <w:rFonts w:ascii="Arial" w:cs="Arial" w:eastAsia="Arial" w:hAnsi="Arial"/>
                <w:sz w:val="17"/>
                <w:szCs w:val="17"/>
                <w:b w:val="1"/>
                <w:bCs w:val="1"/>
                <w:color w:val="auto"/>
                <w:w w:val="93"/>
              </w:rPr>
              <w:t>S/(000)</w:t>
            </w:r>
          </w:p>
        </w:tc>
        <w:tc>
          <w:tcPr>
            <w:tcW w:w="100" w:type="dxa"/>
            <w:vAlign w:val="bottom"/>
          </w:tcPr>
          <w:p>
            <w:pPr>
              <w:spacing w:after="0"/>
              <w:rPr>
                <w:sz w:val="17"/>
                <w:szCs w:val="17"/>
                <w:color w:val="auto"/>
              </w:rPr>
            </w:pPr>
          </w:p>
        </w:tc>
      </w:tr>
      <w:tr>
        <w:trPr>
          <w:trHeight w:val="208"/>
        </w:trPr>
        <w:tc>
          <w:tcPr>
            <w:tcW w:w="5320" w:type="dxa"/>
            <w:vAlign w:val="bottom"/>
            <w:shd w:val="clear" w:color="auto" w:fill="CCEEFF"/>
          </w:tcPr>
          <w:p>
            <w:pPr>
              <w:spacing w:after="0"/>
              <w:rPr>
                <w:sz w:val="20"/>
                <w:szCs w:val="20"/>
                <w:color w:val="auto"/>
              </w:rPr>
            </w:pPr>
            <w:r>
              <w:rPr>
                <w:rFonts w:ascii="Arial" w:cs="Arial" w:eastAsia="Arial" w:hAnsi="Arial"/>
                <w:sz w:val="17"/>
                <w:szCs w:val="17"/>
                <w:color w:val="auto"/>
              </w:rPr>
              <w:t>Assets and liabilities acquired / Non controlling interest</w:t>
            </w: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103,630</w:t>
            </w:r>
          </w:p>
        </w:tc>
        <w:tc>
          <w:tcPr>
            <w:tcW w:w="2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69,482</w:t>
            </w: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43,261</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216,373</w:t>
            </w:r>
          </w:p>
        </w:tc>
      </w:tr>
      <w:tr>
        <w:trPr>
          <w:trHeight w:val="208"/>
        </w:trPr>
        <w:tc>
          <w:tcPr>
            <w:tcW w:w="5320" w:type="dxa"/>
            <w:vAlign w:val="bottom"/>
          </w:tcPr>
          <w:p>
            <w:pPr>
              <w:spacing w:after="0"/>
              <w:rPr>
                <w:sz w:val="20"/>
                <w:szCs w:val="20"/>
                <w:color w:val="auto"/>
              </w:rPr>
            </w:pPr>
            <w:r>
              <w:rPr>
                <w:rFonts w:ascii="Arial" w:cs="Arial" w:eastAsia="Arial" w:hAnsi="Arial"/>
                <w:sz w:val="17"/>
                <w:szCs w:val="17"/>
                <w:color w:val="auto"/>
              </w:rPr>
              <w:t>Payment made / execution of sale option</w:t>
            </w:r>
          </w:p>
        </w:tc>
        <w:tc>
          <w:tcPr>
            <w:tcW w:w="1440" w:type="dxa"/>
            <w:vAlign w:val="bottom"/>
            <w:gridSpan w:val="2"/>
          </w:tcPr>
          <w:p>
            <w:pPr>
              <w:jc w:val="right"/>
              <w:ind w:right="180"/>
              <w:spacing w:after="0"/>
              <w:rPr>
                <w:sz w:val="20"/>
                <w:szCs w:val="20"/>
                <w:color w:val="auto"/>
              </w:rPr>
            </w:pPr>
            <w:r>
              <w:rPr>
                <w:rFonts w:ascii="Arial" w:cs="Arial" w:eastAsia="Arial" w:hAnsi="Arial"/>
                <w:sz w:val="17"/>
                <w:szCs w:val="17"/>
                <w:color w:val="auto"/>
              </w:rPr>
              <w:t>(241,420)</w:t>
            </w:r>
          </w:p>
        </w:tc>
        <w:tc>
          <w:tcPr>
            <w:tcW w:w="1400" w:type="dxa"/>
            <w:vAlign w:val="bottom"/>
            <w:gridSpan w:val="2"/>
          </w:tcPr>
          <w:p>
            <w:pPr>
              <w:jc w:val="right"/>
              <w:ind w:right="140"/>
              <w:spacing w:after="0"/>
              <w:rPr>
                <w:sz w:val="20"/>
                <w:szCs w:val="20"/>
                <w:color w:val="auto"/>
              </w:rPr>
            </w:pPr>
            <w:r>
              <w:rPr>
                <w:rFonts w:ascii="Arial" w:cs="Arial" w:eastAsia="Arial" w:hAnsi="Arial"/>
                <w:sz w:val="17"/>
                <w:szCs w:val="17"/>
                <w:color w:val="auto"/>
              </w:rPr>
              <w:t>(152,379)</w:t>
            </w:r>
          </w:p>
        </w:tc>
        <w:tc>
          <w:tcPr>
            <w:tcW w:w="1400" w:type="dxa"/>
            <w:vAlign w:val="bottom"/>
            <w:gridSpan w:val="2"/>
          </w:tcPr>
          <w:p>
            <w:pPr>
              <w:jc w:val="right"/>
              <w:ind w:right="160"/>
              <w:spacing w:after="0"/>
              <w:rPr>
                <w:sz w:val="20"/>
                <w:szCs w:val="20"/>
                <w:color w:val="auto"/>
              </w:rPr>
            </w:pPr>
            <w:r>
              <w:rPr>
                <w:rFonts w:ascii="Arial" w:cs="Arial" w:eastAsia="Arial" w:hAnsi="Arial"/>
                <w:sz w:val="17"/>
                <w:szCs w:val="17"/>
                <w:color w:val="auto"/>
              </w:rPr>
              <w:t>(96,067)</w:t>
            </w:r>
          </w:p>
        </w:tc>
        <w:tc>
          <w:tcPr>
            <w:tcW w:w="1280" w:type="dxa"/>
            <w:vAlign w:val="bottom"/>
            <w:gridSpan w:val="2"/>
          </w:tcPr>
          <w:p>
            <w:pPr>
              <w:jc w:val="right"/>
              <w:ind w:right="40"/>
              <w:spacing w:after="0"/>
              <w:rPr>
                <w:sz w:val="20"/>
                <w:szCs w:val="20"/>
                <w:color w:val="auto"/>
              </w:rPr>
            </w:pPr>
            <w:r>
              <w:rPr>
                <w:rFonts w:ascii="Arial" w:cs="Arial" w:eastAsia="Arial" w:hAnsi="Arial"/>
                <w:sz w:val="17"/>
                <w:szCs w:val="17"/>
                <w:color w:val="auto"/>
              </w:rPr>
              <w:t>(489,866)</w:t>
            </w:r>
          </w:p>
        </w:tc>
      </w:tr>
      <w:tr>
        <w:trPr>
          <w:trHeight w:val="208"/>
        </w:trPr>
        <w:tc>
          <w:tcPr>
            <w:tcW w:w="5320" w:type="dxa"/>
            <w:vAlign w:val="bottom"/>
            <w:shd w:val="clear" w:color="auto" w:fill="CCEEFF"/>
          </w:tcPr>
          <w:p>
            <w:pPr>
              <w:spacing w:after="0"/>
              <w:rPr>
                <w:sz w:val="20"/>
                <w:szCs w:val="20"/>
                <w:color w:val="auto"/>
              </w:rPr>
            </w:pPr>
            <w:r>
              <w:rPr>
                <w:rFonts w:ascii="Arial" w:cs="Arial" w:eastAsia="Arial" w:hAnsi="Arial"/>
                <w:sz w:val="17"/>
                <w:szCs w:val="17"/>
                <w:color w:val="auto"/>
              </w:rPr>
              <w:t>Higher value paid</w:t>
            </w: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(137,790)</w:t>
            </w:r>
          </w:p>
        </w:tc>
        <w:tc>
          <w:tcPr>
            <w:tcW w:w="14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(82,897)</w:t>
            </w: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(52,806)</w:t>
            </w:r>
          </w:p>
        </w:tc>
        <w:tc>
          <w:tcPr>
            <w:tcW w:w="12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(273,493)</w:t>
            </w:r>
          </w:p>
        </w:tc>
      </w:tr>
    </w:tbl>
    <w:p>
      <w:pPr>
        <w:spacing w:after="0" w:line="195" w:lineRule="exact"/>
        <w:rPr>
          <w:sz w:val="20"/>
          <w:szCs w:val="20"/>
          <w:color w:val="auto"/>
        </w:rPr>
      </w:pPr>
    </w:p>
    <w:p>
      <w:pPr>
        <w:ind w:left="316" w:hanging="316"/>
        <w:spacing w:after="0"/>
        <w:tabs>
          <w:tab w:leader="none" w:pos="316" w:val="left"/>
        </w:tabs>
        <w:numPr>
          <w:ilvl w:val="0"/>
          <w:numId w:val="11"/>
        </w:numPr>
        <w:rPr>
          <w:rFonts w:ascii="Arial" w:cs="Arial" w:eastAsia="Arial" w:hAnsi="Arial"/>
          <w:sz w:val="17"/>
          <w:szCs w:val="17"/>
          <w:color w:val="auto"/>
        </w:rPr>
      </w:pPr>
      <w:r>
        <w:rPr>
          <w:rFonts w:ascii="Arial" w:cs="Arial" w:eastAsia="Arial" w:hAnsi="Arial"/>
          <w:sz w:val="17"/>
          <w:szCs w:val="17"/>
          <w:color w:val="auto"/>
        </w:rPr>
        <w:t>Corporate reorganization of Inversiones Credicorp Bolivia in the Group -</w:t>
      </w:r>
    </w:p>
    <w:p>
      <w:pPr>
        <w:spacing w:after="0" w:line="220" w:lineRule="exact"/>
        <w:rPr>
          <w:rFonts w:ascii="Arial" w:cs="Arial" w:eastAsia="Arial" w:hAnsi="Arial"/>
          <w:sz w:val="17"/>
          <w:szCs w:val="17"/>
          <w:color w:val="auto"/>
        </w:rPr>
      </w:pPr>
    </w:p>
    <w:p>
      <w:pPr>
        <w:ind w:left="316" w:right="120"/>
        <w:spacing w:after="0" w:line="294" w:lineRule="auto"/>
        <w:rPr>
          <w:rFonts w:ascii="Arial" w:cs="Arial" w:eastAsia="Arial" w:hAnsi="Arial"/>
          <w:sz w:val="17"/>
          <w:szCs w:val="17"/>
          <w:color w:val="auto"/>
        </w:rPr>
      </w:pPr>
      <w:r>
        <w:rPr>
          <w:rFonts w:ascii="Arial" w:cs="Arial" w:eastAsia="Arial" w:hAnsi="Arial"/>
          <w:sz w:val="16"/>
          <w:szCs w:val="16"/>
          <w:color w:val="auto"/>
        </w:rPr>
        <w:t>As part of the corporate reorganization of Grupo Credicorp, in a General Shareholders’ Meeting of Inversiones Credicorp Bolivia S.A. (hereinafter “ICBSA”), held on December 31, 2015, an increase in the share capital was approved in the form of a voluntary contribution of Grupo Crédito S.A. (hereinafter “Grupo Crédito”, a subsidiary of Credicorp Ltd.) amounting to Bs.1,134.5 million, equivalent to S/383.5 million, issuing in its favor 11,344,800 shares.</w:t>
      </w:r>
    </w:p>
    <w:p>
      <w:pPr>
        <w:spacing w:after="0" w:line="155" w:lineRule="exact"/>
        <w:rPr>
          <w:rFonts w:ascii="Arial" w:cs="Arial" w:eastAsia="Arial" w:hAnsi="Arial"/>
          <w:sz w:val="17"/>
          <w:szCs w:val="17"/>
          <w:color w:val="auto"/>
        </w:rPr>
      </w:pPr>
    </w:p>
    <w:p>
      <w:pPr>
        <w:ind w:left="316" w:right="80"/>
        <w:spacing w:after="0" w:line="285" w:lineRule="auto"/>
        <w:rPr>
          <w:rFonts w:ascii="Arial" w:cs="Arial" w:eastAsia="Arial" w:hAnsi="Arial"/>
          <w:sz w:val="17"/>
          <w:szCs w:val="17"/>
          <w:color w:val="auto"/>
        </w:rPr>
      </w:pPr>
      <w:r>
        <w:rPr>
          <w:rFonts w:ascii="Arial" w:cs="Arial" w:eastAsia="Arial" w:hAnsi="Arial"/>
          <w:sz w:val="17"/>
          <w:szCs w:val="17"/>
          <w:color w:val="auto"/>
        </w:rPr>
        <w:t>The contribution was made by Grupo Crédito on March 30, 2016, as a result of which BCP lost control of ICBSA, and Grupo Crédito is the new entity that has assumed control.</w:t>
      </w:r>
    </w:p>
    <w:p>
      <w:pPr>
        <w:spacing w:after="0" w:line="159" w:lineRule="exact"/>
        <w:rPr>
          <w:rFonts w:ascii="Arial" w:cs="Arial" w:eastAsia="Arial" w:hAnsi="Arial"/>
          <w:sz w:val="17"/>
          <w:szCs w:val="17"/>
          <w:color w:val="auto"/>
        </w:rPr>
      </w:pPr>
    </w:p>
    <w:p>
      <w:pPr>
        <w:ind w:left="316"/>
        <w:spacing w:after="0"/>
        <w:rPr>
          <w:rFonts w:ascii="Arial" w:cs="Arial" w:eastAsia="Arial" w:hAnsi="Arial"/>
          <w:sz w:val="17"/>
          <w:szCs w:val="17"/>
          <w:color w:val="auto"/>
        </w:rPr>
      </w:pPr>
      <w:r>
        <w:rPr>
          <w:rFonts w:ascii="Arial" w:cs="Arial" w:eastAsia="Arial" w:hAnsi="Arial"/>
          <w:sz w:val="17"/>
          <w:szCs w:val="17"/>
          <w:color w:val="auto"/>
        </w:rPr>
        <w:t>This transaction had no significant impact on the consolidated financial statement.</w:t>
      </w:r>
    </w:p>
    <w:p>
      <w:pPr>
        <w:spacing w:after="0" w:line="220" w:lineRule="exact"/>
        <w:rPr>
          <w:rFonts w:ascii="Arial" w:cs="Arial" w:eastAsia="Arial" w:hAnsi="Arial"/>
          <w:sz w:val="17"/>
          <w:szCs w:val="17"/>
          <w:color w:val="auto"/>
        </w:rPr>
      </w:pPr>
    </w:p>
    <w:p>
      <w:pPr>
        <w:ind w:left="316" w:hanging="316"/>
        <w:spacing w:after="0"/>
        <w:tabs>
          <w:tab w:leader="none" w:pos="316" w:val="left"/>
        </w:tabs>
        <w:numPr>
          <w:ilvl w:val="0"/>
          <w:numId w:val="11"/>
        </w:numPr>
        <w:rPr>
          <w:rFonts w:ascii="Arial" w:cs="Arial" w:eastAsia="Arial" w:hAnsi="Arial"/>
          <w:sz w:val="17"/>
          <w:szCs w:val="17"/>
          <w:color w:val="auto"/>
        </w:rPr>
      </w:pPr>
      <w:r>
        <w:rPr>
          <w:rFonts w:ascii="Arial" w:cs="Arial" w:eastAsia="Arial" w:hAnsi="Arial"/>
          <w:sz w:val="17"/>
          <w:szCs w:val="17"/>
          <w:color w:val="auto"/>
        </w:rPr>
        <w:t>Sale of shares of Banco de Crédito de Bolivia -</w:t>
      </w:r>
    </w:p>
    <w:p>
      <w:pPr>
        <w:spacing w:after="0" w:line="220" w:lineRule="exact"/>
        <w:rPr>
          <w:rFonts w:ascii="Arial" w:cs="Arial" w:eastAsia="Arial" w:hAnsi="Arial"/>
          <w:sz w:val="17"/>
          <w:szCs w:val="17"/>
          <w:color w:val="auto"/>
        </w:rPr>
      </w:pPr>
    </w:p>
    <w:p>
      <w:pPr>
        <w:ind w:left="316" w:right="340"/>
        <w:spacing w:after="0" w:line="285" w:lineRule="auto"/>
        <w:rPr>
          <w:rFonts w:ascii="Arial" w:cs="Arial" w:eastAsia="Arial" w:hAnsi="Arial"/>
          <w:sz w:val="17"/>
          <w:szCs w:val="17"/>
          <w:color w:val="auto"/>
        </w:rPr>
      </w:pPr>
      <w:r>
        <w:rPr>
          <w:rFonts w:ascii="Arial" w:cs="Arial" w:eastAsia="Arial" w:hAnsi="Arial"/>
          <w:sz w:val="17"/>
          <w:szCs w:val="17"/>
          <w:color w:val="auto"/>
        </w:rPr>
        <w:t>The Executive Committee of the Board of Directors of BCP, in its meeting held on December 30, 2015, approved the sale of all of the shares (14,121 units) which it held of Banco de Crédito de Bolivia (hereinafter “BCB”) to ICBSA. Both companies form part of the Group.</w:t>
      </w:r>
    </w:p>
    <w:p>
      <w:pPr>
        <w:spacing w:after="0" w:line="159" w:lineRule="exact"/>
        <w:rPr>
          <w:rFonts w:ascii="Arial" w:cs="Arial" w:eastAsia="Arial" w:hAnsi="Arial"/>
          <w:sz w:val="17"/>
          <w:szCs w:val="17"/>
          <w:color w:val="auto"/>
        </w:rPr>
      </w:pPr>
    </w:p>
    <w:p>
      <w:pPr>
        <w:ind w:left="316" w:right="160"/>
        <w:spacing w:after="0" w:line="318" w:lineRule="auto"/>
        <w:rPr>
          <w:rFonts w:ascii="Arial" w:cs="Arial" w:eastAsia="Arial" w:hAnsi="Arial"/>
          <w:sz w:val="17"/>
          <w:szCs w:val="17"/>
          <w:color w:val="auto"/>
        </w:rPr>
      </w:pPr>
      <w:r>
        <w:rPr>
          <w:rFonts w:ascii="Arial" w:cs="Arial" w:eastAsia="Arial" w:hAnsi="Arial"/>
          <w:sz w:val="16"/>
          <w:szCs w:val="16"/>
          <w:color w:val="auto"/>
        </w:rPr>
        <w:t>It is worth mentioning that at December 31, 2015, said transaction was not recognized as an “asset classified as held-for-sale”, since it did not comply with all of the requirements of IFRS 5 “Non-current assets held for sale and discontinued operations” and it did not have the regulator’s approval.</w:t>
      </w:r>
    </w:p>
    <w:p>
      <w:pPr>
        <w:spacing w:after="0" w:line="136" w:lineRule="exact"/>
        <w:rPr>
          <w:rFonts w:ascii="Arial" w:cs="Arial" w:eastAsia="Arial" w:hAnsi="Arial"/>
          <w:sz w:val="17"/>
          <w:szCs w:val="17"/>
          <w:color w:val="auto"/>
        </w:rPr>
      </w:pPr>
    </w:p>
    <w:p>
      <w:pPr>
        <w:jc w:val="both"/>
        <w:ind w:left="316" w:right="420"/>
        <w:spacing w:after="0" w:line="270" w:lineRule="auto"/>
        <w:rPr>
          <w:rFonts w:ascii="Arial" w:cs="Arial" w:eastAsia="Arial" w:hAnsi="Arial"/>
          <w:sz w:val="17"/>
          <w:szCs w:val="17"/>
          <w:color w:val="auto"/>
        </w:rPr>
      </w:pPr>
      <w:r>
        <w:rPr>
          <w:rFonts w:ascii="Arial" w:cs="Arial" w:eastAsia="Arial" w:hAnsi="Arial"/>
          <w:sz w:val="17"/>
          <w:szCs w:val="17"/>
          <w:color w:val="auto"/>
        </w:rPr>
        <w:t>Furthermore, in a General Shareholders’ Meeting of BCB held on March 10, 2016, the capitalization of reserves was approved for an amount of Bs.607.5 million, equivalent to S/307.4 million, increasing proportionally the shareholding of all of the shareholders. As a result of the capitalization, BCP received 29,116 shares, obtaining a total holding of 43,237 shares.</w:t>
      </w:r>
    </w:p>
    <w:p>
      <w:pPr>
        <w:spacing w:after="0" w:line="171" w:lineRule="exact"/>
        <w:rPr>
          <w:rFonts w:ascii="Arial" w:cs="Arial" w:eastAsia="Arial" w:hAnsi="Arial"/>
          <w:sz w:val="17"/>
          <w:szCs w:val="17"/>
          <w:color w:val="auto"/>
        </w:rPr>
      </w:pPr>
    </w:p>
    <w:p>
      <w:pPr>
        <w:jc w:val="both"/>
        <w:ind w:left="316"/>
        <w:spacing w:after="0" w:line="270" w:lineRule="auto"/>
        <w:rPr>
          <w:rFonts w:ascii="Arial" w:cs="Arial" w:eastAsia="Arial" w:hAnsi="Arial"/>
          <w:sz w:val="17"/>
          <w:szCs w:val="17"/>
          <w:color w:val="auto"/>
        </w:rPr>
      </w:pPr>
      <w:r>
        <w:rPr>
          <w:rFonts w:ascii="Arial" w:cs="Arial" w:eastAsia="Arial" w:hAnsi="Arial"/>
          <w:sz w:val="17"/>
          <w:szCs w:val="17"/>
          <w:color w:val="auto"/>
        </w:rPr>
        <w:t>The share sale operation by BCP was authorized by the Supervisory Authority of the Financial System (ASFI from the Spanish acronym) of Bolivia on May 12, 2016, after which, BCP carried out the sale of all of its shares at that date (43,237 shares) in favor of ICBSA, through the Bolivian Stock Exchange, at a price of Bs.25,811.0 per share, representing a total amount of Bs.1,116.0 million, equivalent to S/541.1 million.</w:t>
      </w:r>
    </w:p>
    <w:p>
      <w:pPr>
        <w:spacing w:after="0" w:line="171" w:lineRule="exact"/>
        <w:rPr>
          <w:rFonts w:ascii="Arial" w:cs="Arial" w:eastAsia="Arial" w:hAnsi="Arial"/>
          <w:sz w:val="17"/>
          <w:szCs w:val="17"/>
          <w:color w:val="auto"/>
        </w:rPr>
      </w:pPr>
    </w:p>
    <w:p>
      <w:pPr>
        <w:ind w:left="316"/>
        <w:spacing w:after="0"/>
        <w:rPr>
          <w:rFonts w:ascii="Arial" w:cs="Arial" w:eastAsia="Arial" w:hAnsi="Arial"/>
          <w:sz w:val="17"/>
          <w:szCs w:val="17"/>
          <w:color w:val="auto"/>
        </w:rPr>
      </w:pPr>
      <w:r>
        <w:rPr>
          <w:rFonts w:ascii="Arial" w:cs="Arial" w:eastAsia="Arial" w:hAnsi="Arial"/>
          <w:sz w:val="17"/>
          <w:szCs w:val="17"/>
          <w:color w:val="auto"/>
        </w:rPr>
        <w:t>As a result of the sale of shares, ICBSA became the new entity which assumed control over BCB.</w:t>
      </w:r>
    </w:p>
    <w:p>
      <w:pPr>
        <w:spacing w:after="0" w:line="200" w:lineRule="exact"/>
        <w:rPr>
          <w:rFonts w:ascii="Arial" w:cs="Arial" w:eastAsia="Arial" w:hAnsi="Arial"/>
          <w:sz w:val="17"/>
          <w:szCs w:val="17"/>
          <w:color w:val="auto"/>
        </w:rPr>
      </w:pPr>
    </w:p>
    <w:p>
      <w:pPr>
        <w:spacing w:after="0" w:line="228" w:lineRule="exact"/>
        <w:rPr>
          <w:rFonts w:ascii="Arial" w:cs="Arial" w:eastAsia="Arial" w:hAnsi="Arial"/>
          <w:sz w:val="17"/>
          <w:szCs w:val="17"/>
          <w:color w:val="auto"/>
        </w:rPr>
      </w:pPr>
    </w:p>
    <w:p>
      <w:pPr>
        <w:ind w:left="5636" w:hanging="107"/>
        <w:spacing w:after="0"/>
        <w:tabs>
          <w:tab w:leader="none" w:pos="5636" w:val="left"/>
        </w:tabs>
        <w:numPr>
          <w:ilvl w:val="1"/>
          <w:numId w:val="11"/>
        </w:numPr>
        <w:rPr>
          <w:rFonts w:ascii="Arial" w:cs="Arial" w:eastAsia="Arial" w:hAnsi="Arial"/>
          <w:sz w:val="17"/>
          <w:szCs w:val="17"/>
          <w:color w:val="auto"/>
        </w:rPr>
      </w:pPr>
      <w:r>
        <w:rPr>
          <w:rFonts w:ascii="Arial" w:cs="Arial" w:eastAsia="Arial" w:hAnsi="Arial"/>
          <w:sz w:val="17"/>
          <w:szCs w:val="17"/>
          <w:color w:val="auto"/>
        </w:rPr>
        <w:t>18 -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15875</wp:posOffset>
            </wp:positionV>
            <wp:extent cx="725170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1700" cy="8255"/>
                    </a:xfrm>
                    <a:prstGeom prst="rect">
                      <a:avLst/>
                    </a:prstGeom>
                    <a:noFill/>
                  </pic:spPr>
                </pic:pic>
              </a:graphicData>
            </a:graphic>
          </wp:anchor>
        </w:drawing>
      </w:r>
    </w:p>
    <w:p>
      <w:pPr>
        <w:sectPr>
          <w:pgSz w:w="11900" w:h="16838" w:orient="portrait"/>
          <w:cols w:equalWidth="0" w:num="1">
            <w:col w:w="11416"/>
          </w:cols>
          <w:pgMar w:left="244" w:top="881" w:right="239" w:bottom="1440" w:gutter="0" w:footer="0" w:header="0"/>
        </w:sectPr>
      </w:pPr>
    </w:p>
    <w:bookmarkStart w:id="24" w:name="page25"/>
    <w:bookmarkEnd w:id="24"/>
    <w:p>
      <w:pPr>
        <w:ind w:left="320" w:hanging="316"/>
        <w:spacing w:after="0"/>
        <w:tabs>
          <w:tab w:leader="none" w:pos="320" w:val="left"/>
        </w:tabs>
        <w:numPr>
          <w:ilvl w:val="0"/>
          <w:numId w:val="12"/>
        </w:numPr>
        <w:rPr>
          <w:rFonts w:ascii="Arial" w:cs="Arial" w:eastAsia="Arial" w:hAnsi="Arial"/>
          <w:sz w:val="17"/>
          <w:szCs w:val="17"/>
          <w:b w:val="1"/>
          <w:bCs w:val="1"/>
          <w:color w:val="auto"/>
        </w:rPr>
      </w:pPr>
      <w:r>
        <w:rPr>
          <w:rFonts w:ascii="Arial" w:cs="Arial" w:eastAsia="Arial" w:hAnsi="Arial"/>
          <w:sz w:val="17"/>
          <w:szCs w:val="17"/>
          <w:b w:val="1"/>
          <w:bCs w:val="1"/>
          <w:color w:val="auto"/>
        </w:rPr>
        <w:t>SIGNIFICANT ACCOUNTING POLICIES</w:t>
      </w:r>
    </w:p>
    <w:p>
      <w:pPr>
        <w:spacing w:after="0" w:line="226" w:lineRule="exact"/>
        <w:rPr>
          <w:sz w:val="20"/>
          <w:szCs w:val="20"/>
          <w:color w:val="auto"/>
        </w:rPr>
      </w:pPr>
    </w:p>
    <w:p>
      <w:pPr>
        <w:spacing w:after="0"/>
        <w:rPr>
          <w:sz w:val="20"/>
          <w:szCs w:val="20"/>
          <w:color w:val="auto"/>
        </w:rPr>
      </w:pPr>
      <w:r>
        <w:rPr>
          <w:rFonts w:ascii="Arial" w:cs="Arial" w:eastAsia="Arial" w:hAnsi="Arial"/>
          <w:sz w:val="17"/>
          <w:szCs w:val="17"/>
          <w:color w:val="auto"/>
        </w:rPr>
        <w:t>The significant accounting principles applied in the preparation of Credicorp’s consolidated financial statements are set out below:</w:t>
      </w:r>
    </w:p>
    <w:p>
      <w:pPr>
        <w:spacing w:after="0" w:line="220" w:lineRule="exact"/>
        <w:rPr>
          <w:sz w:val="20"/>
          <w:szCs w:val="20"/>
          <w:color w:val="auto"/>
        </w:rPr>
      </w:pPr>
    </w:p>
    <w:p>
      <w:pPr>
        <w:ind w:left="320" w:hanging="316"/>
        <w:spacing w:after="0"/>
        <w:tabs>
          <w:tab w:leader="none" w:pos="3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Basis of presentation and use of estimates -</w:t>
      </w:r>
    </w:p>
    <w:p>
      <w:pPr>
        <w:spacing w:after="0" w:line="220" w:lineRule="exact"/>
        <w:rPr>
          <w:rFonts w:ascii="Arial" w:cs="Arial" w:eastAsia="Arial" w:hAnsi="Arial"/>
          <w:sz w:val="17"/>
          <w:szCs w:val="17"/>
          <w:color w:val="auto"/>
        </w:rPr>
      </w:pPr>
    </w:p>
    <w:p>
      <w:pPr>
        <w:ind w:left="320" w:right="220"/>
        <w:spacing w:after="0" w:line="285" w:lineRule="auto"/>
        <w:rPr>
          <w:rFonts w:ascii="Arial" w:cs="Arial" w:eastAsia="Arial" w:hAnsi="Arial"/>
          <w:sz w:val="17"/>
          <w:szCs w:val="17"/>
          <w:color w:val="auto"/>
        </w:rPr>
      </w:pPr>
      <w:r>
        <w:rPr>
          <w:rFonts w:ascii="Arial" w:cs="Arial" w:eastAsia="Arial" w:hAnsi="Arial"/>
          <w:sz w:val="17"/>
          <w:szCs w:val="17"/>
          <w:color w:val="auto"/>
        </w:rPr>
        <w:t>The accompanying consolidated financial statements have been prepared in accordance with International Financial Reporting Standards (IFRS) as issued by the International Accounting Standards Board (IASB).</w:t>
      </w:r>
    </w:p>
    <w:p>
      <w:pPr>
        <w:spacing w:after="0" w:line="159" w:lineRule="exact"/>
        <w:rPr>
          <w:rFonts w:ascii="Arial" w:cs="Arial" w:eastAsia="Arial" w:hAnsi="Arial"/>
          <w:sz w:val="17"/>
          <w:szCs w:val="17"/>
          <w:color w:val="auto"/>
        </w:rPr>
      </w:pPr>
    </w:p>
    <w:p>
      <w:pPr>
        <w:ind w:left="320" w:right="100"/>
        <w:spacing w:after="0" w:line="270" w:lineRule="auto"/>
        <w:rPr>
          <w:rFonts w:ascii="Arial" w:cs="Arial" w:eastAsia="Arial" w:hAnsi="Arial"/>
          <w:sz w:val="17"/>
          <w:szCs w:val="17"/>
          <w:color w:val="auto"/>
        </w:rPr>
      </w:pPr>
      <w:r>
        <w:rPr>
          <w:rFonts w:ascii="Arial" w:cs="Arial" w:eastAsia="Arial" w:hAnsi="Arial"/>
          <w:sz w:val="17"/>
          <w:szCs w:val="17"/>
          <w:color w:val="auto"/>
        </w:rPr>
        <w:t>The accompanying consolidated financial statements have been prepared on a historical cost basis, except for trading securities, available-for-sale investments, financial assets at fair value through profit or loss, derivative financial instruments, share-based payments, bonds and notes associated with fair value hedges, and financial liabilities at fair value through profit or loss that have been measured at fair value.</w:t>
      </w:r>
    </w:p>
    <w:p>
      <w:pPr>
        <w:spacing w:after="0" w:line="171" w:lineRule="exact"/>
        <w:rPr>
          <w:rFonts w:ascii="Arial" w:cs="Arial" w:eastAsia="Arial" w:hAnsi="Arial"/>
          <w:sz w:val="17"/>
          <w:szCs w:val="17"/>
          <w:color w:val="auto"/>
        </w:rPr>
      </w:pPr>
    </w:p>
    <w:p>
      <w:pPr>
        <w:ind w:left="320" w:right="400"/>
        <w:spacing w:after="0" w:line="285" w:lineRule="auto"/>
        <w:rPr>
          <w:rFonts w:ascii="Arial" w:cs="Arial" w:eastAsia="Arial" w:hAnsi="Arial"/>
          <w:sz w:val="17"/>
          <w:szCs w:val="17"/>
          <w:color w:val="auto"/>
        </w:rPr>
      </w:pPr>
      <w:r>
        <w:rPr>
          <w:rFonts w:ascii="Arial" w:cs="Arial" w:eastAsia="Arial" w:hAnsi="Arial"/>
          <w:sz w:val="17"/>
          <w:szCs w:val="17"/>
          <w:color w:val="auto"/>
        </w:rPr>
        <w:t>The consolidated financial statements are presented in Soles (S/), see paragraph (c) below, and values are rounded to the nearest S/thousands, except when otherwise indicated.</w:t>
      </w:r>
    </w:p>
    <w:p>
      <w:pPr>
        <w:spacing w:after="0" w:line="159" w:lineRule="exact"/>
        <w:rPr>
          <w:rFonts w:ascii="Arial" w:cs="Arial" w:eastAsia="Arial" w:hAnsi="Arial"/>
          <w:sz w:val="17"/>
          <w:szCs w:val="17"/>
          <w:color w:val="auto"/>
        </w:rPr>
      </w:pPr>
    </w:p>
    <w:p>
      <w:pPr>
        <w:ind w:left="320" w:right="440"/>
        <w:spacing w:after="0" w:line="355" w:lineRule="auto"/>
        <w:rPr>
          <w:rFonts w:ascii="Arial" w:cs="Arial" w:eastAsia="Arial" w:hAnsi="Arial"/>
          <w:sz w:val="17"/>
          <w:szCs w:val="17"/>
          <w:color w:val="auto"/>
        </w:rPr>
      </w:pPr>
      <w:r>
        <w:rPr>
          <w:rFonts w:ascii="Arial" w:cs="Arial" w:eastAsia="Arial" w:hAnsi="Arial"/>
          <w:sz w:val="15"/>
          <w:szCs w:val="15"/>
          <w:color w:val="auto"/>
        </w:rPr>
        <w:t>The preparation of the consolidated financial statements in accordance with IFRS requires Management to make estimates and assumptions that affect the reported amounts of assets, liabilities, revenues and expenses and the disclosure of significant events in notes to the consolidated financial statements.</w:t>
      </w:r>
    </w:p>
    <w:p>
      <w:pPr>
        <w:spacing w:after="0" w:line="113" w:lineRule="exact"/>
        <w:rPr>
          <w:rFonts w:ascii="Arial" w:cs="Arial" w:eastAsia="Arial" w:hAnsi="Arial"/>
          <w:sz w:val="17"/>
          <w:szCs w:val="17"/>
          <w:color w:val="auto"/>
        </w:rPr>
      </w:pPr>
    </w:p>
    <w:p>
      <w:pPr>
        <w:ind w:left="320" w:right="100"/>
        <w:spacing w:after="0" w:line="270" w:lineRule="auto"/>
        <w:rPr>
          <w:rFonts w:ascii="Arial" w:cs="Arial" w:eastAsia="Arial" w:hAnsi="Arial"/>
          <w:sz w:val="17"/>
          <w:szCs w:val="17"/>
          <w:color w:val="auto"/>
        </w:rPr>
      </w:pPr>
      <w:r>
        <w:rPr>
          <w:rFonts w:ascii="Arial" w:cs="Arial" w:eastAsia="Arial" w:hAnsi="Arial"/>
          <w:sz w:val="17"/>
          <w:szCs w:val="17"/>
          <w:color w:val="auto"/>
        </w:rPr>
        <w:t>Estimates and judgments are continually evaluated and are based on historical experience and other factors, including expectations of future events that are believed to be reasonable under the current circumstances. The final results could differ from said estimates; however, management expects that the variations, if any, will not have a material impact on the consolidated financial statements.</w:t>
      </w:r>
    </w:p>
    <w:p>
      <w:pPr>
        <w:spacing w:after="0" w:line="171" w:lineRule="exact"/>
        <w:rPr>
          <w:rFonts w:ascii="Arial" w:cs="Arial" w:eastAsia="Arial" w:hAnsi="Arial"/>
          <w:sz w:val="17"/>
          <w:szCs w:val="17"/>
          <w:color w:val="auto"/>
        </w:rPr>
      </w:pPr>
    </w:p>
    <w:p>
      <w:pPr>
        <w:ind w:left="320" w:right="300"/>
        <w:spacing w:after="0" w:line="262" w:lineRule="auto"/>
        <w:rPr>
          <w:rFonts w:ascii="Arial" w:cs="Arial" w:eastAsia="Arial" w:hAnsi="Arial"/>
          <w:sz w:val="17"/>
          <w:szCs w:val="17"/>
          <w:color w:val="auto"/>
        </w:rPr>
      </w:pPr>
      <w:r>
        <w:rPr>
          <w:rFonts w:ascii="Arial" w:cs="Arial" w:eastAsia="Arial" w:hAnsi="Arial"/>
          <w:sz w:val="17"/>
          <w:szCs w:val="17"/>
          <w:color w:val="auto"/>
        </w:rPr>
        <w:t>The most significant estimates included in the accompanying consolidated financial statements are related to allowance for loan losses, the valuation of investments, the technical reserves for claims and premiums, goodwill impairment, the impairment of available-for-sale investments, the valuation of share-based payment transactions and the valuation of derivative financial instruments. Furthermore, other estimates exist, such as the estimated useful life of intangible assets, property, furniture and equipment and the deferred income tax assets and liabilities. The accounting criteria used for said estimates are described below.</w:t>
      </w:r>
    </w:p>
    <w:p>
      <w:pPr>
        <w:spacing w:after="0" w:line="180" w:lineRule="exact"/>
        <w:rPr>
          <w:rFonts w:ascii="Arial" w:cs="Arial" w:eastAsia="Arial" w:hAnsi="Arial"/>
          <w:sz w:val="17"/>
          <w:szCs w:val="17"/>
          <w:color w:val="auto"/>
        </w:rPr>
      </w:pPr>
    </w:p>
    <w:p>
      <w:pPr>
        <w:ind w:left="320" w:right="300"/>
        <w:spacing w:after="0" w:line="285" w:lineRule="auto"/>
        <w:rPr>
          <w:rFonts w:ascii="Arial" w:cs="Arial" w:eastAsia="Arial" w:hAnsi="Arial"/>
          <w:sz w:val="17"/>
          <w:szCs w:val="17"/>
          <w:color w:val="auto"/>
        </w:rPr>
      </w:pPr>
      <w:r>
        <w:rPr>
          <w:rFonts w:ascii="Arial" w:cs="Arial" w:eastAsia="Arial" w:hAnsi="Arial"/>
          <w:sz w:val="17"/>
          <w:szCs w:val="17"/>
          <w:color w:val="auto"/>
        </w:rPr>
        <w:t>The accounting policies adopted are consistent with those of the previous years, except that the Group has adopted the new revised IFRS and IAS which are mandatory for the periods beginning on or after January 1, 2017, as described below:</w:t>
      </w:r>
    </w:p>
    <w:p>
      <w:pPr>
        <w:spacing w:after="0" w:line="159" w:lineRule="exact"/>
        <w:rPr>
          <w:rFonts w:ascii="Arial" w:cs="Arial" w:eastAsia="Arial" w:hAnsi="Arial"/>
          <w:sz w:val="17"/>
          <w:szCs w:val="17"/>
          <w:color w:val="auto"/>
        </w:rPr>
      </w:pPr>
    </w:p>
    <w:p>
      <w:pPr>
        <w:ind w:left="620" w:hanging="304"/>
        <w:spacing w:after="0"/>
        <w:tabs>
          <w:tab w:leader="none" w:pos="620" w:val="left"/>
        </w:tabs>
        <w:numPr>
          <w:ilvl w:val="1"/>
          <w:numId w:val="13"/>
        </w:numPr>
        <w:rPr>
          <w:rFonts w:ascii="Arial" w:cs="Arial" w:eastAsia="Arial" w:hAnsi="Arial"/>
          <w:sz w:val="17"/>
          <w:szCs w:val="17"/>
          <w:color w:val="auto"/>
        </w:rPr>
      </w:pPr>
      <w:r>
        <w:rPr>
          <w:rFonts w:ascii="Arial" w:cs="Arial" w:eastAsia="Arial" w:hAnsi="Arial"/>
          <w:sz w:val="17"/>
          <w:szCs w:val="17"/>
          <w:color w:val="auto"/>
        </w:rPr>
        <w:t>Amendments to IAS 12 “Income Taxes”: Recognition of the deferred income tax asset for unrealized losses.</w:t>
      </w:r>
    </w:p>
    <w:p>
      <w:pPr>
        <w:spacing w:after="0" w:line="220" w:lineRule="exact"/>
        <w:rPr>
          <w:rFonts w:ascii="Arial" w:cs="Arial" w:eastAsia="Arial" w:hAnsi="Arial"/>
          <w:sz w:val="17"/>
          <w:szCs w:val="17"/>
          <w:color w:val="auto"/>
        </w:rPr>
      </w:pPr>
    </w:p>
    <w:p>
      <w:pPr>
        <w:ind w:left="620"/>
        <w:spacing w:after="0" w:line="285" w:lineRule="auto"/>
        <w:rPr>
          <w:rFonts w:ascii="Arial" w:cs="Arial" w:eastAsia="Arial" w:hAnsi="Arial"/>
          <w:sz w:val="17"/>
          <w:szCs w:val="17"/>
          <w:color w:val="auto"/>
        </w:rPr>
      </w:pPr>
      <w:r>
        <w:rPr>
          <w:rFonts w:ascii="Arial" w:cs="Arial" w:eastAsia="Arial" w:hAnsi="Arial"/>
          <w:sz w:val="17"/>
          <w:szCs w:val="17"/>
          <w:color w:val="auto"/>
        </w:rPr>
        <w:t>The amendments clarify the accounting treatment of deferred taxes when an asset is measured at fair value and when said fair value is less than the tax base of the asset. The amendments specifically confirm that:</w:t>
      </w:r>
    </w:p>
    <w:p>
      <w:pPr>
        <w:spacing w:after="0" w:line="159" w:lineRule="exact"/>
        <w:rPr>
          <w:rFonts w:ascii="Arial" w:cs="Arial" w:eastAsia="Arial" w:hAnsi="Arial"/>
          <w:sz w:val="17"/>
          <w:szCs w:val="17"/>
          <w:color w:val="auto"/>
        </w:rPr>
      </w:pPr>
    </w:p>
    <w:p>
      <w:pPr>
        <w:ind w:left="940" w:hanging="312"/>
        <w:spacing w:after="0"/>
        <w:tabs>
          <w:tab w:leader="none" w:pos="940" w:val="left"/>
        </w:tabs>
        <w:numPr>
          <w:ilvl w:val="2"/>
          <w:numId w:val="13"/>
        </w:numPr>
        <w:rPr>
          <w:rFonts w:ascii="Arial" w:cs="Arial" w:eastAsia="Arial" w:hAnsi="Arial"/>
          <w:sz w:val="16"/>
          <w:szCs w:val="16"/>
          <w:color w:val="auto"/>
        </w:rPr>
      </w:pPr>
      <w:r>
        <w:rPr>
          <w:rFonts w:ascii="Arial" w:cs="Arial" w:eastAsia="Arial" w:hAnsi="Arial"/>
          <w:sz w:val="16"/>
          <w:szCs w:val="16"/>
          <w:color w:val="auto"/>
        </w:rPr>
        <w:t>A temporary difference exists when the carrying amount of an asset is less than its tax base at the end of the information presentation period.</w:t>
      </w:r>
    </w:p>
    <w:p>
      <w:pPr>
        <w:spacing w:after="0" w:line="36" w:lineRule="exact"/>
        <w:rPr>
          <w:rFonts w:ascii="Arial" w:cs="Arial" w:eastAsia="Arial" w:hAnsi="Arial"/>
          <w:sz w:val="16"/>
          <w:szCs w:val="16"/>
          <w:color w:val="auto"/>
        </w:rPr>
      </w:pPr>
    </w:p>
    <w:p>
      <w:pPr>
        <w:ind w:left="940" w:hanging="312"/>
        <w:spacing w:after="0"/>
        <w:tabs>
          <w:tab w:leader="none" w:pos="940" w:val="left"/>
        </w:tabs>
        <w:numPr>
          <w:ilvl w:val="2"/>
          <w:numId w:val="13"/>
        </w:numPr>
        <w:rPr>
          <w:rFonts w:ascii="Arial" w:cs="Arial" w:eastAsia="Arial" w:hAnsi="Arial"/>
          <w:sz w:val="16"/>
          <w:szCs w:val="16"/>
          <w:color w:val="auto"/>
        </w:rPr>
      </w:pPr>
      <w:r>
        <w:rPr>
          <w:rFonts w:ascii="Arial" w:cs="Arial" w:eastAsia="Arial" w:hAnsi="Arial"/>
          <w:sz w:val="16"/>
          <w:szCs w:val="16"/>
          <w:color w:val="auto"/>
        </w:rPr>
        <w:t>An entity can assume that it will recover an amount greater than the carrying amount when estimating the taxable profit that it will obtain in future.</w:t>
      </w:r>
    </w:p>
    <w:p>
      <w:pPr>
        <w:spacing w:after="0" w:line="200" w:lineRule="exact"/>
        <w:rPr>
          <w:rFonts w:ascii="Arial" w:cs="Arial" w:eastAsia="Arial" w:hAnsi="Arial"/>
          <w:sz w:val="16"/>
          <w:szCs w:val="16"/>
          <w:color w:val="auto"/>
        </w:rPr>
      </w:pPr>
    </w:p>
    <w:p>
      <w:pPr>
        <w:spacing w:after="0" w:line="227" w:lineRule="exact"/>
        <w:rPr>
          <w:rFonts w:ascii="Arial" w:cs="Arial" w:eastAsia="Arial" w:hAnsi="Arial"/>
          <w:sz w:val="16"/>
          <w:szCs w:val="16"/>
          <w:color w:val="auto"/>
        </w:rPr>
      </w:pPr>
    </w:p>
    <w:p>
      <w:pPr>
        <w:ind w:left="5640" w:hanging="107"/>
        <w:spacing w:after="0"/>
        <w:tabs>
          <w:tab w:leader="none" w:pos="5640" w:val="left"/>
        </w:tabs>
        <w:numPr>
          <w:ilvl w:val="3"/>
          <w:numId w:val="13"/>
        </w:numPr>
        <w:rPr>
          <w:rFonts w:ascii="Arial" w:cs="Arial" w:eastAsia="Arial" w:hAnsi="Arial"/>
          <w:sz w:val="17"/>
          <w:szCs w:val="17"/>
          <w:color w:val="auto"/>
        </w:rPr>
      </w:pPr>
      <w:r>
        <w:rPr>
          <w:rFonts w:ascii="Arial" w:cs="Arial" w:eastAsia="Arial" w:hAnsi="Arial"/>
          <w:sz w:val="17"/>
          <w:szCs w:val="17"/>
          <w:color w:val="auto"/>
        </w:rPr>
        <w:t>19 -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15875</wp:posOffset>
            </wp:positionV>
            <wp:extent cx="725170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1700" cy="8255"/>
                    </a:xfrm>
                    <a:prstGeom prst="rect">
                      <a:avLst/>
                    </a:prstGeom>
                    <a:noFill/>
                  </pic:spPr>
                </pic:pic>
              </a:graphicData>
            </a:graphic>
          </wp:anchor>
        </w:drawing>
      </w:r>
    </w:p>
    <w:p>
      <w:pPr>
        <w:sectPr>
          <w:pgSz w:w="11900" w:h="16838" w:orient="portrait"/>
          <w:cols w:equalWidth="0" w:num="1">
            <w:col w:w="11420"/>
          </w:cols>
          <w:pgMar w:left="240" w:top="875" w:right="239" w:bottom="1440" w:gutter="0" w:footer="0" w:header="0"/>
        </w:sectPr>
      </w:pPr>
    </w:p>
    <w:bookmarkStart w:id="25" w:name="page26"/>
    <w:bookmarkEnd w:id="25"/>
    <w:p>
      <w:pPr>
        <w:ind w:left="936" w:right="100" w:hanging="312"/>
        <w:spacing w:after="0" w:line="262" w:lineRule="auto"/>
        <w:tabs>
          <w:tab w:leader="none" w:pos="936" w:val="left"/>
        </w:tabs>
        <w:numPr>
          <w:ilvl w:val="0"/>
          <w:numId w:val="14"/>
        </w:numPr>
        <w:rPr>
          <w:rFonts w:ascii="Arial" w:cs="Arial" w:eastAsia="Arial" w:hAnsi="Arial"/>
          <w:sz w:val="17"/>
          <w:szCs w:val="17"/>
          <w:color w:val="auto"/>
        </w:rPr>
      </w:pPr>
      <w:r>
        <w:rPr>
          <w:rFonts w:ascii="Arial" w:cs="Arial" w:eastAsia="Arial" w:hAnsi="Arial"/>
          <w:sz w:val="17"/>
          <w:szCs w:val="17"/>
          <w:color w:val="auto"/>
        </w:rPr>
        <w:t>When the tax law restricts the source of taxable profits against which the particular types of deferred tax assets can be recovered, the recoverability of deferred tax assets can only be evaluated together with other deferred tax assets of the same kind.</w:t>
      </w:r>
    </w:p>
    <w:p>
      <w:pPr>
        <w:spacing w:after="0" w:line="1" w:lineRule="exact"/>
        <w:rPr>
          <w:rFonts w:ascii="Arial" w:cs="Arial" w:eastAsia="Arial" w:hAnsi="Arial"/>
          <w:sz w:val="17"/>
          <w:szCs w:val="17"/>
          <w:color w:val="auto"/>
        </w:rPr>
      </w:pPr>
    </w:p>
    <w:p>
      <w:pPr>
        <w:ind w:left="936" w:right="540" w:hanging="312"/>
        <w:spacing w:after="0" w:line="270" w:lineRule="auto"/>
        <w:tabs>
          <w:tab w:leader="none" w:pos="936"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tax deductions resulting from the reversal of deferred income tax assets are excluded from the estimated future taxable profit that is used to evaluate the recoverability of said assets.</w:t>
      </w:r>
    </w:p>
    <w:p>
      <w:pPr>
        <w:spacing w:after="0" w:line="171" w:lineRule="exact"/>
        <w:rPr>
          <w:sz w:val="20"/>
          <w:szCs w:val="20"/>
          <w:color w:val="auto"/>
        </w:rPr>
      </w:pPr>
    </w:p>
    <w:p>
      <w:pPr>
        <w:ind w:left="616" w:right="280"/>
        <w:spacing w:after="0" w:line="285" w:lineRule="auto"/>
        <w:rPr>
          <w:sz w:val="20"/>
          <w:szCs w:val="20"/>
          <w:color w:val="auto"/>
        </w:rPr>
      </w:pPr>
      <w:r>
        <w:rPr>
          <w:rFonts w:ascii="Arial" w:cs="Arial" w:eastAsia="Arial" w:hAnsi="Arial"/>
          <w:sz w:val="17"/>
          <w:szCs w:val="17"/>
          <w:color w:val="auto"/>
        </w:rPr>
        <w:t>Due to the Group’s structure and operations, the adoption of this amendment did not have a significant impact on its consolidated financial position and consolidated results; therefore, it has not been necessary to modify the Group’s comparative consolidated financial statements.</w:t>
      </w:r>
    </w:p>
    <w:p>
      <w:pPr>
        <w:spacing w:after="0" w:line="159" w:lineRule="exact"/>
        <w:rPr>
          <w:sz w:val="20"/>
          <w:szCs w:val="20"/>
          <w:color w:val="auto"/>
        </w:rPr>
      </w:pPr>
    </w:p>
    <w:p>
      <w:pPr>
        <w:ind w:left="616" w:hanging="304"/>
        <w:spacing w:after="0"/>
        <w:tabs>
          <w:tab w:leader="none" w:pos="616" w:val="left"/>
        </w:tabs>
        <w:numPr>
          <w:ilvl w:val="1"/>
          <w:numId w:val="15"/>
        </w:numPr>
        <w:rPr>
          <w:rFonts w:ascii="Arial" w:cs="Arial" w:eastAsia="Arial" w:hAnsi="Arial"/>
          <w:sz w:val="17"/>
          <w:szCs w:val="17"/>
          <w:color w:val="auto"/>
        </w:rPr>
      </w:pPr>
      <w:r>
        <w:rPr>
          <w:rFonts w:ascii="Arial" w:cs="Arial" w:eastAsia="Arial" w:hAnsi="Arial"/>
          <w:sz w:val="17"/>
          <w:szCs w:val="17"/>
          <w:color w:val="auto"/>
        </w:rPr>
        <w:t>Amendments to IAS 7 “Statement of Cash Flows”: Disclosure initiatives.</w:t>
      </w:r>
    </w:p>
    <w:p>
      <w:pPr>
        <w:spacing w:after="0" w:line="220" w:lineRule="exact"/>
        <w:rPr>
          <w:rFonts w:ascii="Arial" w:cs="Arial" w:eastAsia="Arial" w:hAnsi="Arial"/>
          <w:sz w:val="17"/>
          <w:szCs w:val="17"/>
          <w:color w:val="auto"/>
        </w:rPr>
      </w:pPr>
    </w:p>
    <w:p>
      <w:pPr>
        <w:ind w:left="616" w:right="80"/>
        <w:spacing w:after="0" w:line="285" w:lineRule="auto"/>
        <w:rPr>
          <w:rFonts w:ascii="Arial" w:cs="Arial" w:eastAsia="Arial" w:hAnsi="Arial"/>
          <w:sz w:val="17"/>
          <w:szCs w:val="17"/>
          <w:color w:val="auto"/>
        </w:rPr>
      </w:pPr>
      <w:r>
        <w:rPr>
          <w:rFonts w:ascii="Arial" w:cs="Arial" w:eastAsia="Arial" w:hAnsi="Arial"/>
          <w:sz w:val="17"/>
          <w:szCs w:val="17"/>
          <w:color w:val="auto"/>
        </w:rPr>
        <w:t>The amendments require entities to break down the changes in their liabilities originating from financing activities, including both those generated by cash flows as well as those which do not involve cash flows (such as gains and losses due to exchange difference).</w:t>
      </w:r>
    </w:p>
    <w:p>
      <w:pPr>
        <w:spacing w:after="0" w:line="159" w:lineRule="exact"/>
        <w:rPr>
          <w:rFonts w:ascii="Arial" w:cs="Arial" w:eastAsia="Arial" w:hAnsi="Arial"/>
          <w:sz w:val="17"/>
          <w:szCs w:val="17"/>
          <w:color w:val="auto"/>
        </w:rPr>
      </w:pPr>
    </w:p>
    <w:p>
      <w:pPr>
        <w:ind w:left="616" w:right="520"/>
        <w:spacing w:after="0" w:line="285" w:lineRule="auto"/>
        <w:rPr>
          <w:rFonts w:ascii="Arial" w:cs="Arial" w:eastAsia="Arial" w:hAnsi="Arial"/>
          <w:sz w:val="17"/>
          <w:szCs w:val="17"/>
          <w:color w:val="auto"/>
        </w:rPr>
      </w:pPr>
      <w:r>
        <w:rPr>
          <w:rFonts w:ascii="Arial" w:cs="Arial" w:eastAsia="Arial" w:hAnsi="Arial"/>
          <w:sz w:val="17"/>
          <w:szCs w:val="17"/>
          <w:color w:val="auto"/>
        </w:rPr>
        <w:t>The Group has disclosed in its consolidated statement of cash flows the information required in tabular format as a reconciliation of the opening and closing balances.</w:t>
      </w:r>
    </w:p>
    <w:p>
      <w:pPr>
        <w:spacing w:after="0" w:line="159" w:lineRule="exact"/>
        <w:rPr>
          <w:rFonts w:ascii="Arial" w:cs="Arial" w:eastAsia="Arial" w:hAnsi="Arial"/>
          <w:sz w:val="17"/>
          <w:szCs w:val="17"/>
          <w:color w:val="auto"/>
        </w:rPr>
      </w:pPr>
    </w:p>
    <w:p>
      <w:pPr>
        <w:ind w:left="316" w:right="9160" w:hanging="316"/>
        <w:spacing w:after="0" w:line="578" w:lineRule="auto"/>
        <w:tabs>
          <w:tab w:leader="none" w:pos="316" w:val="left"/>
        </w:tabs>
        <w:numPr>
          <w:ilvl w:val="0"/>
          <w:numId w:val="15"/>
        </w:numPr>
        <w:rPr>
          <w:rFonts w:ascii="Arial" w:cs="Arial" w:eastAsia="Arial" w:hAnsi="Arial"/>
          <w:sz w:val="15"/>
          <w:szCs w:val="15"/>
          <w:color w:val="auto"/>
        </w:rPr>
      </w:pPr>
      <w:r>
        <w:rPr>
          <w:rFonts w:ascii="Arial" w:cs="Arial" w:eastAsia="Arial" w:hAnsi="Arial"/>
          <w:sz w:val="15"/>
          <w:szCs w:val="15"/>
          <w:color w:val="auto"/>
        </w:rPr>
        <w:t>Basis of consolidation - Investment in subsidiaries –</w:t>
      </w:r>
    </w:p>
    <w:p>
      <w:pPr>
        <w:ind w:left="316"/>
        <w:spacing w:after="0"/>
        <w:rPr>
          <w:rFonts w:ascii="Arial" w:cs="Arial" w:eastAsia="Arial" w:hAnsi="Arial"/>
          <w:sz w:val="15"/>
          <w:szCs w:val="15"/>
          <w:color w:val="auto"/>
        </w:rPr>
      </w:pPr>
      <w:r>
        <w:rPr>
          <w:rFonts w:ascii="Arial" w:cs="Arial" w:eastAsia="Arial" w:hAnsi="Arial"/>
          <w:sz w:val="17"/>
          <w:szCs w:val="17"/>
          <w:color w:val="auto"/>
        </w:rPr>
        <w:t>The consolidated financial statements comprise the financial statements of Credicorp and its Subsidiaries for all the years presented.</w:t>
      </w:r>
    </w:p>
    <w:p>
      <w:pPr>
        <w:spacing w:after="0" w:line="220" w:lineRule="exact"/>
        <w:rPr>
          <w:rFonts w:ascii="Arial" w:cs="Arial" w:eastAsia="Arial" w:hAnsi="Arial"/>
          <w:sz w:val="15"/>
          <w:szCs w:val="15"/>
          <w:color w:val="auto"/>
        </w:rPr>
      </w:pPr>
    </w:p>
    <w:p>
      <w:pPr>
        <w:ind w:left="316"/>
        <w:spacing w:after="0" w:line="270" w:lineRule="auto"/>
        <w:rPr>
          <w:rFonts w:ascii="Arial" w:cs="Arial" w:eastAsia="Arial" w:hAnsi="Arial"/>
          <w:sz w:val="15"/>
          <w:szCs w:val="15"/>
          <w:color w:val="auto"/>
        </w:rPr>
      </w:pPr>
      <w:r>
        <w:rPr>
          <w:rFonts w:ascii="Arial" w:cs="Arial" w:eastAsia="Arial" w:hAnsi="Arial"/>
          <w:sz w:val="17"/>
          <w:szCs w:val="17"/>
          <w:color w:val="auto"/>
        </w:rPr>
        <w:t>Under IFRS 10 all entities over which the Group has control are subsidiaries. Control is achieved when the Group is exposed, or has rights, to variable returns from its involvement with the investee and has the ability to affect those returns through its power over the investee. Specifically, the Group controls an investee if and only if the Group has:</w:t>
      </w:r>
    </w:p>
    <w:p>
      <w:pPr>
        <w:spacing w:after="0" w:line="171" w:lineRule="exact"/>
        <w:rPr>
          <w:rFonts w:ascii="Arial" w:cs="Arial" w:eastAsia="Arial" w:hAnsi="Arial"/>
          <w:sz w:val="15"/>
          <w:szCs w:val="15"/>
          <w:color w:val="auto"/>
        </w:rPr>
      </w:pPr>
    </w:p>
    <w:p>
      <w:pPr>
        <w:ind w:left="616" w:hanging="304"/>
        <w:spacing w:after="0"/>
        <w:tabs>
          <w:tab w:leader="none" w:pos="616" w:val="left"/>
        </w:tabs>
        <w:numPr>
          <w:ilvl w:val="1"/>
          <w:numId w:val="15"/>
        </w:numPr>
        <w:rPr>
          <w:rFonts w:ascii="Arial" w:cs="Arial" w:eastAsia="Arial" w:hAnsi="Arial"/>
          <w:sz w:val="17"/>
          <w:szCs w:val="17"/>
          <w:color w:val="auto"/>
        </w:rPr>
      </w:pPr>
      <w:r>
        <w:rPr>
          <w:rFonts w:ascii="Arial" w:cs="Arial" w:eastAsia="Arial" w:hAnsi="Arial"/>
          <w:sz w:val="17"/>
          <w:szCs w:val="17"/>
          <w:color w:val="auto"/>
        </w:rPr>
        <w:t>Power over the investee (i.e. existing rights that give it the current ability to direct the relevant activities of the investee),</w:t>
      </w:r>
    </w:p>
    <w:p>
      <w:pPr>
        <w:spacing w:after="0" w:line="24" w:lineRule="exact"/>
        <w:rPr>
          <w:rFonts w:ascii="Arial" w:cs="Arial" w:eastAsia="Arial" w:hAnsi="Arial"/>
          <w:sz w:val="17"/>
          <w:szCs w:val="17"/>
          <w:color w:val="auto"/>
        </w:rPr>
      </w:pPr>
    </w:p>
    <w:p>
      <w:pPr>
        <w:ind w:left="616" w:hanging="304"/>
        <w:spacing w:after="0"/>
        <w:tabs>
          <w:tab w:leader="none" w:pos="616" w:val="left"/>
        </w:tabs>
        <w:numPr>
          <w:ilvl w:val="1"/>
          <w:numId w:val="15"/>
        </w:numPr>
        <w:rPr>
          <w:rFonts w:ascii="Arial" w:cs="Arial" w:eastAsia="Arial" w:hAnsi="Arial"/>
          <w:sz w:val="17"/>
          <w:szCs w:val="17"/>
          <w:color w:val="auto"/>
        </w:rPr>
      </w:pPr>
      <w:r>
        <w:rPr>
          <w:rFonts w:ascii="Arial" w:cs="Arial" w:eastAsia="Arial" w:hAnsi="Arial"/>
          <w:sz w:val="17"/>
          <w:szCs w:val="17"/>
          <w:color w:val="auto"/>
        </w:rPr>
        <w:t>Exposure, or rights, to variable returns from its involvement with the investee, and</w:t>
      </w:r>
    </w:p>
    <w:p>
      <w:pPr>
        <w:spacing w:after="0" w:line="12" w:lineRule="exact"/>
        <w:rPr>
          <w:rFonts w:ascii="Arial" w:cs="Arial" w:eastAsia="Arial" w:hAnsi="Arial"/>
          <w:sz w:val="17"/>
          <w:szCs w:val="17"/>
          <w:color w:val="auto"/>
        </w:rPr>
      </w:pPr>
    </w:p>
    <w:p>
      <w:pPr>
        <w:ind w:left="616" w:hanging="304"/>
        <w:spacing w:after="0"/>
        <w:tabs>
          <w:tab w:leader="none" w:pos="616" w:val="left"/>
        </w:tabs>
        <w:numPr>
          <w:ilvl w:val="1"/>
          <w:numId w:val="15"/>
        </w:numPr>
        <w:rPr>
          <w:rFonts w:ascii="Arial" w:cs="Arial" w:eastAsia="Arial" w:hAnsi="Arial"/>
          <w:sz w:val="17"/>
          <w:szCs w:val="17"/>
          <w:color w:val="auto"/>
        </w:rPr>
      </w:pPr>
      <w:r>
        <w:rPr>
          <w:rFonts w:ascii="Arial" w:cs="Arial" w:eastAsia="Arial" w:hAnsi="Arial"/>
          <w:sz w:val="17"/>
          <w:szCs w:val="17"/>
          <w:color w:val="auto"/>
        </w:rPr>
        <w:t>The ability to use its power over the investee to affect its returns.</w:t>
      </w:r>
    </w:p>
    <w:p>
      <w:pPr>
        <w:spacing w:after="0" w:line="208" w:lineRule="exact"/>
        <w:rPr>
          <w:sz w:val="20"/>
          <w:szCs w:val="20"/>
          <w:color w:val="auto"/>
        </w:rPr>
      </w:pPr>
    </w:p>
    <w:p>
      <w:pPr>
        <w:ind w:left="316" w:right="100"/>
        <w:spacing w:after="0" w:line="270" w:lineRule="auto"/>
        <w:rPr>
          <w:sz w:val="20"/>
          <w:szCs w:val="20"/>
          <w:color w:val="auto"/>
        </w:rPr>
      </w:pPr>
      <w:r>
        <w:rPr>
          <w:rFonts w:ascii="Arial" w:cs="Arial" w:eastAsia="Arial" w:hAnsi="Arial"/>
          <w:sz w:val="17"/>
          <w:szCs w:val="17"/>
          <w:color w:val="auto"/>
        </w:rPr>
        <w:t>Generally, there is a presumption that a majority of voting rights results in control. To support this presumption and when the Group has less than a majority of the voting or similar rights of an investee, the Group considers all relevant facts and circumstances in assessing whether it has power over an investee, including:</w:t>
      </w:r>
    </w:p>
    <w:p>
      <w:pPr>
        <w:spacing w:after="0" w:line="172" w:lineRule="exact"/>
        <w:rPr>
          <w:sz w:val="20"/>
          <w:szCs w:val="20"/>
          <w:color w:val="auto"/>
        </w:rPr>
      </w:pPr>
    </w:p>
    <w:p>
      <w:pPr>
        <w:ind w:left="616" w:hanging="304"/>
        <w:spacing w:after="0"/>
        <w:tabs>
          <w:tab w:leader="none" w:pos="616"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contractual arrangement with the other vote holders of the investee.</w:t>
      </w:r>
    </w:p>
    <w:p>
      <w:pPr>
        <w:spacing w:after="0" w:line="24" w:lineRule="exact"/>
        <w:rPr>
          <w:rFonts w:ascii="Arial" w:cs="Arial" w:eastAsia="Arial" w:hAnsi="Arial"/>
          <w:sz w:val="17"/>
          <w:szCs w:val="17"/>
          <w:color w:val="auto"/>
        </w:rPr>
      </w:pPr>
    </w:p>
    <w:p>
      <w:pPr>
        <w:ind w:left="616" w:hanging="304"/>
        <w:spacing w:after="0"/>
        <w:tabs>
          <w:tab w:leader="none" w:pos="616" w:val="left"/>
        </w:tabs>
        <w:numPr>
          <w:ilvl w:val="0"/>
          <w:numId w:val="16"/>
        </w:numPr>
        <w:rPr>
          <w:rFonts w:ascii="Arial" w:cs="Arial" w:eastAsia="Arial" w:hAnsi="Arial"/>
          <w:sz w:val="17"/>
          <w:szCs w:val="17"/>
          <w:color w:val="auto"/>
        </w:rPr>
      </w:pPr>
      <w:r>
        <w:rPr>
          <w:rFonts w:ascii="Arial" w:cs="Arial" w:eastAsia="Arial" w:hAnsi="Arial"/>
          <w:sz w:val="17"/>
          <w:szCs w:val="17"/>
          <w:color w:val="auto"/>
        </w:rPr>
        <w:t>Rights arising from other contractual arrangements.</w:t>
      </w:r>
    </w:p>
    <w:p>
      <w:pPr>
        <w:spacing w:after="0" w:line="12" w:lineRule="exact"/>
        <w:rPr>
          <w:rFonts w:ascii="Arial" w:cs="Arial" w:eastAsia="Arial" w:hAnsi="Arial"/>
          <w:sz w:val="17"/>
          <w:szCs w:val="17"/>
          <w:color w:val="auto"/>
        </w:rPr>
      </w:pPr>
    </w:p>
    <w:p>
      <w:pPr>
        <w:ind w:left="616" w:hanging="304"/>
        <w:spacing w:after="0"/>
        <w:tabs>
          <w:tab w:leader="none" w:pos="616"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Group’s voting rights and potential voting rights.</w:t>
      </w:r>
    </w:p>
    <w:p>
      <w:pPr>
        <w:spacing w:after="0" w:line="208" w:lineRule="exact"/>
        <w:rPr>
          <w:sz w:val="20"/>
          <w:szCs w:val="20"/>
          <w:color w:val="auto"/>
        </w:rPr>
      </w:pPr>
    </w:p>
    <w:p>
      <w:pPr>
        <w:ind w:left="316"/>
        <w:spacing w:after="0" w:line="294" w:lineRule="auto"/>
        <w:rPr>
          <w:sz w:val="20"/>
          <w:szCs w:val="20"/>
          <w:color w:val="auto"/>
        </w:rPr>
      </w:pPr>
      <w:r>
        <w:rPr>
          <w:rFonts w:ascii="Arial" w:cs="Arial" w:eastAsia="Arial" w:hAnsi="Arial"/>
          <w:sz w:val="16"/>
          <w:szCs w:val="16"/>
          <w:color w:val="auto"/>
        </w:rPr>
        <w:t>The Group assesses whether or not it controls an investee if the facts and circumstances indicate that there are changes in one or more of the three elements of control. Consolidation of a subsidiary begins when the Group obtains control over the subsidiary and ceases when the Group loses control of the subsidiary. The consolidated financial statements include assets, liabilities, income and expenses of Credicorp and its subsidiaries.</w:t>
      </w:r>
    </w:p>
    <w:p>
      <w:pPr>
        <w:spacing w:after="0" w:line="155" w:lineRule="exact"/>
        <w:rPr>
          <w:sz w:val="20"/>
          <w:szCs w:val="20"/>
          <w:color w:val="auto"/>
        </w:rPr>
      </w:pPr>
    </w:p>
    <w:p>
      <w:pPr>
        <w:ind w:left="316" w:right="80"/>
        <w:spacing w:after="0" w:line="286" w:lineRule="auto"/>
        <w:rPr>
          <w:sz w:val="20"/>
          <w:szCs w:val="20"/>
          <w:color w:val="auto"/>
        </w:rPr>
      </w:pPr>
      <w:r>
        <w:rPr>
          <w:rFonts w:ascii="Arial" w:cs="Arial" w:eastAsia="Arial" w:hAnsi="Arial"/>
          <w:sz w:val="16"/>
          <w:szCs w:val="16"/>
          <w:color w:val="auto"/>
        </w:rPr>
        <w:t>Profit or loss for the period and each component of other comprehensive income (OCI) are attributed to the equity holders of the parent of the Group and to the non-controlling interest, even if this results in the non-controlling interest with a negative balance. When necessary, adjustments are made to the financial statements of subsidiaries to bring their accounting policies into line with the Group’s accounting policies. All intra-group assets and liabilities, equity, income, expenses and cash flows relating to transactions between members of the Group are eliminated in full on consolidation.</w:t>
      </w:r>
    </w:p>
    <w:p>
      <w:pPr>
        <w:spacing w:after="0" w:line="370" w:lineRule="exact"/>
        <w:rPr>
          <w:sz w:val="20"/>
          <w:szCs w:val="20"/>
          <w:color w:val="auto"/>
        </w:rPr>
      </w:pPr>
    </w:p>
    <w:p>
      <w:pPr>
        <w:jc w:val="center"/>
        <w:ind w:right="-15"/>
        <w:spacing w:after="0"/>
        <w:rPr>
          <w:sz w:val="20"/>
          <w:szCs w:val="20"/>
          <w:color w:val="auto"/>
        </w:rPr>
      </w:pPr>
      <w:r>
        <w:rPr>
          <w:rFonts w:ascii="Arial" w:cs="Arial" w:eastAsia="Arial" w:hAnsi="Arial"/>
          <w:sz w:val="17"/>
          <w:szCs w:val="17"/>
          <w:color w:val="auto"/>
        </w:rPr>
        <w:t>- 20 -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15875</wp:posOffset>
            </wp:positionV>
            <wp:extent cx="725170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1700" cy="8255"/>
                    </a:xfrm>
                    <a:prstGeom prst="rect">
                      <a:avLst/>
                    </a:prstGeom>
                    <a:noFill/>
                  </pic:spPr>
                </pic:pic>
              </a:graphicData>
            </a:graphic>
          </wp:anchor>
        </w:drawing>
      </w:r>
    </w:p>
    <w:p>
      <w:pPr>
        <w:sectPr>
          <w:pgSz w:w="11900" w:h="16838" w:orient="portrait"/>
          <w:cols w:equalWidth="0" w:num="1">
            <w:col w:w="11416"/>
          </w:cols>
          <w:pgMar w:left="244" w:top="881" w:right="239" w:bottom="1440" w:gutter="0" w:footer="0" w:header="0"/>
        </w:sectPr>
      </w:pPr>
    </w:p>
    <w:bookmarkStart w:id="26" w:name="page27"/>
    <w:bookmarkEnd w:id="26"/>
    <w:p>
      <w:pPr>
        <w:spacing w:after="0" w:line="285" w:lineRule="auto"/>
        <w:rPr>
          <w:sz w:val="20"/>
          <w:szCs w:val="20"/>
          <w:color w:val="auto"/>
        </w:rPr>
      </w:pPr>
      <w:r>
        <w:rPr>
          <w:rFonts w:ascii="Arial" w:cs="Arial" w:eastAsia="Arial" w:hAnsi="Arial"/>
          <w:sz w:val="17"/>
          <w:szCs w:val="17"/>
          <w:color w:val="auto"/>
        </w:rPr>
        <w:t>Assets in custody or managed by the Group, such as investment funds and private pension funds (AFP funds), are not part of the Group’s consolidated financial statements, Note 3(ab).</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color w:val="auto"/>
        </w:rPr>
        <w:t>Transactions with non-controlling interest -</w:t>
      </w:r>
    </w:p>
    <w:p>
      <w:pPr>
        <w:spacing w:after="0" w:line="220" w:lineRule="exact"/>
        <w:rPr>
          <w:sz w:val="20"/>
          <w:szCs w:val="20"/>
          <w:color w:val="auto"/>
        </w:rPr>
      </w:pPr>
    </w:p>
    <w:p>
      <w:pPr>
        <w:ind w:right="120"/>
        <w:spacing w:after="0" w:line="318" w:lineRule="auto"/>
        <w:rPr>
          <w:sz w:val="20"/>
          <w:szCs w:val="20"/>
          <w:color w:val="auto"/>
        </w:rPr>
      </w:pPr>
      <w:r>
        <w:rPr>
          <w:rFonts w:ascii="Arial" w:cs="Arial" w:eastAsia="Arial" w:hAnsi="Arial"/>
          <w:sz w:val="16"/>
          <w:szCs w:val="16"/>
          <w:color w:val="auto"/>
        </w:rPr>
        <w:t>A change in the ownership interest of a subsidiary, without a loss of control, is accounted for as an equity transaction and any resulting difference between the price paid and the amount corresponding to non-controlling shareholders is recognized directly in the consolidated statement of changes in net equity.</w:t>
      </w:r>
    </w:p>
    <w:p>
      <w:pPr>
        <w:spacing w:after="0" w:line="136" w:lineRule="exact"/>
        <w:rPr>
          <w:sz w:val="20"/>
          <w:szCs w:val="20"/>
          <w:color w:val="auto"/>
        </w:rPr>
      </w:pPr>
    </w:p>
    <w:p>
      <w:pPr>
        <w:spacing w:after="0"/>
        <w:rPr>
          <w:sz w:val="20"/>
          <w:szCs w:val="20"/>
          <w:color w:val="auto"/>
        </w:rPr>
      </w:pPr>
      <w:r>
        <w:rPr>
          <w:rFonts w:ascii="Arial" w:cs="Arial" w:eastAsia="Arial" w:hAnsi="Arial"/>
          <w:sz w:val="17"/>
          <w:szCs w:val="17"/>
          <w:color w:val="auto"/>
        </w:rPr>
        <w:t>Loss of control -</w:t>
      </w:r>
    </w:p>
    <w:p>
      <w:pPr>
        <w:spacing w:after="0" w:line="220" w:lineRule="exact"/>
        <w:rPr>
          <w:sz w:val="20"/>
          <w:szCs w:val="20"/>
          <w:color w:val="auto"/>
        </w:rPr>
      </w:pPr>
    </w:p>
    <w:p>
      <w:pPr>
        <w:ind w:right="220"/>
        <w:spacing w:after="0" w:line="270" w:lineRule="auto"/>
        <w:rPr>
          <w:sz w:val="20"/>
          <w:szCs w:val="20"/>
          <w:color w:val="auto"/>
        </w:rPr>
      </w:pPr>
      <w:r>
        <w:rPr>
          <w:rFonts w:ascii="Arial" w:cs="Arial" w:eastAsia="Arial" w:hAnsi="Arial"/>
          <w:sz w:val="17"/>
          <w:szCs w:val="17"/>
          <w:color w:val="auto"/>
        </w:rPr>
        <w:t>If the Group loses control over a subsidiary, it derecognizes the carrying amount of the related assets (including goodwill) and liabilities, non-controlling interest and other components of equity, while any resultant gain or loss is recognized in profit or loss. Any residual investment retained is recognized at fair value.</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color w:val="auto"/>
        </w:rPr>
        <w:t>Investments in associates -</w:t>
      </w:r>
    </w:p>
    <w:p>
      <w:pPr>
        <w:spacing w:after="0" w:line="220" w:lineRule="exact"/>
        <w:rPr>
          <w:sz w:val="20"/>
          <w:szCs w:val="20"/>
          <w:color w:val="auto"/>
        </w:rPr>
      </w:pPr>
    </w:p>
    <w:p>
      <w:pPr>
        <w:ind w:right="160"/>
        <w:spacing w:after="0" w:line="285" w:lineRule="auto"/>
        <w:rPr>
          <w:sz w:val="20"/>
          <w:szCs w:val="20"/>
          <w:color w:val="auto"/>
        </w:rPr>
      </w:pPr>
      <w:r>
        <w:rPr>
          <w:rFonts w:ascii="Arial" w:cs="Arial" w:eastAsia="Arial" w:hAnsi="Arial"/>
          <w:sz w:val="17"/>
          <w:szCs w:val="17"/>
          <w:color w:val="auto"/>
        </w:rPr>
        <w:t>An associate is an entity over which the Group has significant influence. Significant influence is the power to participate in the financial and operating policy decisions of the entity, but without exercising control over said policies.</w:t>
      </w:r>
    </w:p>
    <w:p>
      <w:pPr>
        <w:spacing w:after="0" w:line="159" w:lineRule="exact"/>
        <w:rPr>
          <w:sz w:val="20"/>
          <w:szCs w:val="20"/>
          <w:color w:val="auto"/>
        </w:rPr>
      </w:pPr>
    </w:p>
    <w:p>
      <w:pPr>
        <w:ind w:right="360"/>
        <w:spacing w:after="0" w:line="270" w:lineRule="auto"/>
        <w:rPr>
          <w:sz w:val="20"/>
          <w:szCs w:val="20"/>
          <w:color w:val="auto"/>
        </w:rPr>
      </w:pPr>
      <w:r>
        <w:rPr>
          <w:rFonts w:ascii="Arial" w:cs="Arial" w:eastAsia="Arial" w:hAnsi="Arial"/>
          <w:sz w:val="17"/>
          <w:szCs w:val="17"/>
          <w:color w:val="auto"/>
        </w:rPr>
        <w:t>The Group’s investments in its associates are recognized initially at cost and are subsequently accounted for using the equity method. They are included in “Other assets” in the consolidated statement of financial position; gains resulting from the use of the equity method of accounting are included in “Other income” of the consolidated statement of income.</w:t>
      </w:r>
    </w:p>
    <w:p>
      <w:pPr>
        <w:spacing w:after="0" w:line="380" w:lineRule="exact"/>
        <w:rPr>
          <w:sz w:val="20"/>
          <w:szCs w:val="20"/>
          <w:color w:val="auto"/>
        </w:rPr>
      </w:pPr>
    </w:p>
    <w:p>
      <w:pPr>
        <w:jc w:val="center"/>
        <w:ind w:right="260"/>
        <w:spacing w:after="0"/>
        <w:rPr>
          <w:sz w:val="20"/>
          <w:szCs w:val="20"/>
          <w:color w:val="auto"/>
        </w:rPr>
      </w:pPr>
      <w:r>
        <w:rPr>
          <w:rFonts w:ascii="Arial" w:cs="Arial" w:eastAsia="Arial" w:hAnsi="Arial"/>
          <w:sz w:val="17"/>
          <w:szCs w:val="17"/>
          <w:color w:val="auto"/>
        </w:rPr>
        <w:t>- 21 -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-200025</wp:posOffset>
            </wp:positionH>
            <wp:positionV relativeFrom="paragraph">
              <wp:posOffset>15875</wp:posOffset>
            </wp:positionV>
            <wp:extent cx="725170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1700" cy="8255"/>
                    </a:xfrm>
                    <a:prstGeom prst="rect">
                      <a:avLst/>
                    </a:prstGeom>
                    <a:noFill/>
                  </pic:spPr>
                </pic:pic>
              </a:graphicData>
            </a:graphic>
          </wp:anchor>
        </w:drawing>
      </w:r>
    </w:p>
    <w:p>
      <w:pPr>
        <w:sectPr>
          <w:pgSz w:w="11900" w:h="16838" w:orient="portrait"/>
          <w:cols w:equalWidth="0" w:num="1">
            <w:col w:w="11060"/>
          </w:cols>
          <w:pgMar w:left="560" w:top="881" w:right="279" w:bottom="1440" w:gutter="0" w:footer="0" w:header="0"/>
        </w:sectPr>
      </w:pPr>
    </w:p>
    <w:bookmarkStart w:id="27" w:name="page28"/>
    <w:bookmarkEnd w:id="27"/>
    <w:p>
      <w:pPr>
        <w:ind w:right="380"/>
        <w:spacing w:after="0" w:line="355" w:lineRule="auto"/>
        <w:rPr>
          <w:sz w:val="20"/>
          <w:szCs w:val="20"/>
          <w:color w:val="auto"/>
        </w:rPr>
      </w:pPr>
      <w:r>
        <w:rPr>
          <w:rFonts w:ascii="Arial" w:cs="Arial" w:eastAsia="Arial" w:hAnsi="Arial"/>
          <w:sz w:val="15"/>
          <w:szCs w:val="15"/>
          <w:color w:val="auto"/>
        </w:rPr>
        <w:t>At December 31, 2017 and 2016, the following entities comprise the Group (the individual or consolidated figures of their financial statements are presented in accordance with IFRS and before eliminations for consolidation purposes, except for the elimination of Credicorp’s treasury shares and its related dividends):</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8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w w:val="86"/>
              </w:rPr>
              <w:t>Percentage of</w:t>
            </w: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9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Entity</w:t>
            </w:r>
          </w:p>
        </w:tc>
        <w:tc>
          <w:tcPr>
            <w:tcW w:w="230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2"/>
              </w:rPr>
              <w:t>Activity and country of incorporation</w:t>
            </w:r>
          </w:p>
        </w:tc>
        <w:tc>
          <w:tcPr>
            <w:tcW w:w="1380" w:type="dxa"/>
            <w:vAlign w:val="bottom"/>
            <w:gridSpan w:val="4"/>
          </w:tcPr>
          <w:p>
            <w:pPr>
              <w:jc w:val="center"/>
              <w:ind w:right="140"/>
              <w:spacing w:after="0" w:line="143" w:lineRule="exact"/>
              <w:rPr>
                <w:sz w:val="20"/>
                <w:szCs w:val="20"/>
                <w:color w:val="auto"/>
              </w:rPr>
            </w:pPr>
            <w:r>
              <w:rPr>
                <w:rFonts w:ascii="Arial" w:cs="Arial" w:eastAsia="Arial" w:hAnsi="Arial"/>
                <w:sz w:val="14"/>
                <w:szCs w:val="14"/>
                <w:b w:val="1"/>
                <w:bCs w:val="1"/>
                <w:color w:val="auto"/>
                <w:w w:val="88"/>
              </w:rPr>
              <w:t>interest (direct and</w:t>
            </w:r>
          </w:p>
        </w:tc>
        <w:tc>
          <w:tcPr>
            <w:tcW w:w="1800" w:type="dxa"/>
            <w:vAlign w:val="bottom"/>
            <w:gridSpan w:val="4"/>
            <w:vMerge w:val="restart"/>
          </w:tcPr>
          <w:p>
            <w:pPr>
              <w:jc w:val="right"/>
              <w:ind w:right="780"/>
              <w:spacing w:after="0"/>
              <w:rPr>
                <w:sz w:val="20"/>
                <w:szCs w:val="20"/>
                <w:color w:val="auto"/>
              </w:rPr>
            </w:pPr>
            <w:r>
              <w:rPr>
                <w:rFonts w:ascii="Arial" w:cs="Arial" w:eastAsia="Arial" w:hAnsi="Arial"/>
                <w:sz w:val="14"/>
                <w:szCs w:val="14"/>
                <w:b w:val="1"/>
                <w:bCs w:val="1"/>
                <w:color w:val="auto"/>
              </w:rPr>
              <w:t>Assets</w:t>
            </w:r>
          </w:p>
        </w:tc>
        <w:tc>
          <w:tcPr>
            <w:tcW w:w="1800" w:type="dxa"/>
            <w:vAlign w:val="bottom"/>
            <w:gridSpan w:val="4"/>
            <w:vMerge w:val="restart"/>
          </w:tcPr>
          <w:p>
            <w:pPr>
              <w:jc w:val="right"/>
              <w:ind w:right="680"/>
              <w:spacing w:after="0"/>
              <w:rPr>
                <w:sz w:val="20"/>
                <w:szCs w:val="20"/>
                <w:color w:val="auto"/>
              </w:rPr>
            </w:pPr>
            <w:r>
              <w:rPr>
                <w:rFonts w:ascii="Arial" w:cs="Arial" w:eastAsia="Arial" w:hAnsi="Arial"/>
                <w:sz w:val="14"/>
                <w:szCs w:val="14"/>
                <w:b w:val="1"/>
                <w:bCs w:val="1"/>
                <w:color w:val="auto"/>
              </w:rPr>
              <w:t>Liabilities</w:t>
            </w:r>
          </w:p>
        </w:tc>
        <w:tc>
          <w:tcPr>
            <w:tcW w:w="1720" w:type="dxa"/>
            <w:vAlign w:val="bottom"/>
            <w:gridSpan w:val="4"/>
            <w:vMerge w:val="restart"/>
          </w:tcPr>
          <w:p>
            <w:pPr>
              <w:jc w:val="right"/>
              <w:ind w:right="740"/>
              <w:spacing w:after="0"/>
              <w:rPr>
                <w:sz w:val="20"/>
                <w:szCs w:val="20"/>
                <w:color w:val="auto"/>
              </w:rPr>
            </w:pPr>
            <w:r>
              <w:rPr>
                <w:rFonts w:ascii="Arial" w:cs="Arial" w:eastAsia="Arial" w:hAnsi="Arial"/>
                <w:sz w:val="14"/>
                <w:szCs w:val="14"/>
                <w:b w:val="1"/>
                <w:bCs w:val="1"/>
                <w:color w:val="auto"/>
              </w:rPr>
              <w:t>Equity</w:t>
            </w:r>
          </w:p>
        </w:tc>
        <w:tc>
          <w:tcPr>
            <w:tcW w:w="1500" w:type="dxa"/>
            <w:vAlign w:val="bottom"/>
            <w:gridSpan w:val="4"/>
            <w:vMerge w:val="restart"/>
          </w:tcPr>
          <w:p>
            <w:pPr>
              <w:jc w:val="right"/>
              <w:ind w:right="280"/>
              <w:spacing w:after="0"/>
              <w:rPr>
                <w:sz w:val="20"/>
                <w:szCs w:val="20"/>
                <w:color w:val="auto"/>
              </w:rPr>
            </w:pPr>
            <w:r>
              <w:rPr>
                <w:rFonts w:ascii="Arial" w:cs="Arial" w:eastAsia="Arial" w:hAnsi="Arial"/>
                <w:sz w:val="14"/>
                <w:szCs w:val="14"/>
                <w:b w:val="1"/>
                <w:bCs w:val="1"/>
                <w:color w:val="auto"/>
              </w:rPr>
              <w:t>Net income (loss)</w:t>
            </w:r>
          </w:p>
        </w:tc>
        <w:tc>
          <w:tcPr>
            <w:tcW w:w="0" w:type="dxa"/>
            <w:vAlign w:val="bottom"/>
          </w:tcPr>
          <w:p>
            <w:pPr>
              <w:spacing w:after="0"/>
              <w:rPr>
                <w:sz w:val="1"/>
                <w:szCs w:val="1"/>
                <w:color w:val="auto"/>
              </w:rPr>
            </w:pPr>
          </w:p>
        </w:tc>
      </w:tr>
      <w:tr>
        <w:trPr>
          <w:trHeight w:val="165"/>
        </w:trPr>
        <w:tc>
          <w:tcPr>
            <w:tcW w:w="920" w:type="dxa"/>
            <w:vAlign w:val="bottom"/>
            <w:gridSpan w:val="2"/>
            <w:vMerge w:val="continue"/>
          </w:tcPr>
          <w:p>
            <w:pPr>
              <w:spacing w:after="0"/>
              <w:rPr>
                <w:sz w:val="14"/>
                <w:szCs w:val="14"/>
                <w:color w:val="auto"/>
              </w:rPr>
            </w:pPr>
          </w:p>
        </w:tc>
        <w:tc>
          <w:tcPr>
            <w:tcW w:w="2300" w:type="dxa"/>
            <w:vAlign w:val="bottom"/>
            <w:gridSpan w:val="2"/>
            <w:vMerge w:val="continue"/>
          </w:tcPr>
          <w:p>
            <w:pPr>
              <w:spacing w:after="0"/>
              <w:rPr>
                <w:sz w:val="14"/>
                <w:szCs w:val="14"/>
                <w:color w:val="auto"/>
              </w:rPr>
            </w:pPr>
          </w:p>
        </w:tc>
        <w:tc>
          <w:tcPr>
            <w:tcW w:w="138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90"/>
              </w:rPr>
              <w:t>indirect)</w:t>
            </w:r>
          </w:p>
        </w:tc>
        <w:tc>
          <w:tcPr>
            <w:tcW w:w="1800" w:type="dxa"/>
            <w:vAlign w:val="bottom"/>
            <w:gridSpan w:val="4"/>
            <w:vMerge w:val="continue"/>
          </w:tcPr>
          <w:p>
            <w:pPr>
              <w:spacing w:after="0"/>
              <w:rPr>
                <w:sz w:val="14"/>
                <w:szCs w:val="14"/>
                <w:color w:val="auto"/>
              </w:rPr>
            </w:pPr>
          </w:p>
        </w:tc>
        <w:tc>
          <w:tcPr>
            <w:tcW w:w="1800" w:type="dxa"/>
            <w:vAlign w:val="bottom"/>
            <w:gridSpan w:val="4"/>
            <w:vMerge w:val="continue"/>
          </w:tcPr>
          <w:p>
            <w:pPr>
              <w:spacing w:after="0"/>
              <w:rPr>
                <w:sz w:val="14"/>
                <w:szCs w:val="14"/>
                <w:color w:val="auto"/>
              </w:rPr>
            </w:pPr>
          </w:p>
        </w:tc>
        <w:tc>
          <w:tcPr>
            <w:tcW w:w="1720" w:type="dxa"/>
            <w:vAlign w:val="bottom"/>
            <w:gridSpan w:val="4"/>
            <w:vMerge w:val="continue"/>
          </w:tcPr>
          <w:p>
            <w:pPr>
              <w:spacing w:after="0"/>
              <w:rPr>
                <w:sz w:val="14"/>
                <w:szCs w:val="14"/>
                <w:color w:val="auto"/>
              </w:rPr>
            </w:pPr>
          </w:p>
        </w:tc>
        <w:tc>
          <w:tcPr>
            <w:tcW w:w="150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84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222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Borders>
              <w:top w:val="single" w:sz="8" w:color="auto"/>
              <w:bottom w:val="single" w:sz="8" w:color="auto"/>
            </w:tcBorders>
          </w:tcPr>
          <w:p>
            <w:pPr>
              <w:jc w:val="right"/>
              <w:ind w:right="51"/>
              <w:spacing w:after="0" w:line="149" w:lineRule="exact"/>
              <w:rPr>
                <w:sz w:val="20"/>
                <w:szCs w:val="20"/>
                <w:color w:val="auto"/>
              </w:rPr>
            </w:pPr>
            <w:r>
              <w:rPr>
                <w:rFonts w:ascii="Arial" w:cs="Arial" w:eastAsia="Arial" w:hAnsi="Arial"/>
                <w:sz w:val="14"/>
                <w:szCs w:val="14"/>
                <w:b w:val="1"/>
                <w:bCs w:val="1"/>
                <w:color w:val="auto"/>
              </w:rPr>
              <w:t>2017</w:t>
            </w:r>
          </w:p>
        </w:tc>
        <w:tc>
          <w:tcPr>
            <w:tcW w:w="180" w:type="dxa"/>
            <w:vAlign w:val="bottom"/>
            <w:tcBorders>
              <w:top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91"/>
              <w:spacing w:after="0" w:line="149" w:lineRule="exact"/>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2"/>
                <w:szCs w:val="12"/>
                <w:color w:val="auto"/>
              </w:rPr>
            </w:pPr>
          </w:p>
        </w:tc>
        <w:tc>
          <w:tcPr>
            <w:tcW w:w="760" w:type="dxa"/>
            <w:vAlign w:val="bottom"/>
            <w:tcBorders>
              <w:top w:val="single" w:sz="8" w:color="auto"/>
              <w:bottom w:val="single" w:sz="8" w:color="auto"/>
            </w:tcBorders>
          </w:tcPr>
          <w:p>
            <w:pPr>
              <w:jc w:val="right"/>
              <w:ind w:right="171"/>
              <w:spacing w:after="0" w:line="149" w:lineRule="exact"/>
              <w:rPr>
                <w:sz w:val="20"/>
                <w:szCs w:val="20"/>
                <w:color w:val="auto"/>
              </w:rPr>
            </w:pPr>
            <w:r>
              <w:rPr>
                <w:rFonts w:ascii="Arial" w:cs="Arial" w:eastAsia="Arial" w:hAnsi="Arial"/>
                <w:sz w:val="14"/>
                <w:szCs w:val="14"/>
                <w:b w:val="1"/>
                <w:bCs w:val="1"/>
                <w:color w:val="auto"/>
              </w:rPr>
              <w:t>2017</w:t>
            </w:r>
          </w:p>
        </w:tc>
        <w:tc>
          <w:tcPr>
            <w:tcW w:w="140" w:type="dxa"/>
            <w:vAlign w:val="bottom"/>
            <w:tcBorders>
              <w:top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171"/>
              <w:spacing w:after="0" w:line="149" w:lineRule="exact"/>
              <w:rPr>
                <w:sz w:val="20"/>
                <w:szCs w:val="20"/>
                <w:color w:val="auto"/>
              </w:rPr>
            </w:pPr>
            <w:r>
              <w:rPr>
                <w:rFonts w:ascii="Arial" w:cs="Arial" w:eastAsia="Arial" w:hAnsi="Arial"/>
                <w:sz w:val="14"/>
                <w:szCs w:val="14"/>
                <w:b w:val="1"/>
                <w:bCs w:val="1"/>
                <w:color w:val="auto"/>
              </w:rPr>
              <w:t>2016</w:t>
            </w:r>
          </w:p>
        </w:tc>
        <w:tc>
          <w:tcPr>
            <w:tcW w:w="140" w:type="dxa"/>
            <w:vAlign w:val="bottom"/>
          </w:tcPr>
          <w:p>
            <w:pPr>
              <w:spacing w:after="0"/>
              <w:rPr>
                <w:sz w:val="12"/>
                <w:szCs w:val="12"/>
                <w:color w:val="auto"/>
              </w:rPr>
            </w:pPr>
          </w:p>
        </w:tc>
        <w:tc>
          <w:tcPr>
            <w:tcW w:w="760" w:type="dxa"/>
            <w:vAlign w:val="bottom"/>
            <w:tcBorders>
              <w:top w:val="single" w:sz="8" w:color="auto"/>
              <w:bottom w:val="single" w:sz="8" w:color="auto"/>
            </w:tcBorders>
          </w:tcPr>
          <w:p>
            <w:pPr>
              <w:jc w:val="right"/>
              <w:ind w:right="171"/>
              <w:spacing w:after="0" w:line="149" w:lineRule="exact"/>
              <w:rPr>
                <w:sz w:val="20"/>
                <w:szCs w:val="20"/>
                <w:color w:val="auto"/>
              </w:rPr>
            </w:pPr>
            <w:r>
              <w:rPr>
                <w:rFonts w:ascii="Arial" w:cs="Arial" w:eastAsia="Arial" w:hAnsi="Arial"/>
                <w:sz w:val="14"/>
                <w:szCs w:val="14"/>
                <w:b w:val="1"/>
                <w:bCs w:val="1"/>
                <w:color w:val="auto"/>
              </w:rPr>
              <w:t>2017</w:t>
            </w:r>
          </w:p>
        </w:tc>
        <w:tc>
          <w:tcPr>
            <w:tcW w:w="140" w:type="dxa"/>
            <w:vAlign w:val="bottom"/>
            <w:tcBorders>
              <w:top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71"/>
              <w:spacing w:after="0" w:line="149" w:lineRule="exact"/>
              <w:rPr>
                <w:sz w:val="20"/>
                <w:szCs w:val="20"/>
                <w:color w:val="auto"/>
              </w:rPr>
            </w:pPr>
            <w:r>
              <w:rPr>
                <w:rFonts w:ascii="Arial" w:cs="Arial" w:eastAsia="Arial" w:hAnsi="Arial"/>
                <w:sz w:val="14"/>
                <w:szCs w:val="14"/>
                <w:b w:val="1"/>
                <w:bCs w:val="1"/>
                <w:color w:val="auto"/>
              </w:rPr>
              <w:t>2016</w:t>
            </w:r>
          </w:p>
        </w:tc>
        <w:tc>
          <w:tcPr>
            <w:tcW w:w="160" w:type="dxa"/>
            <w:vAlign w:val="bottom"/>
          </w:tcPr>
          <w:p>
            <w:pPr>
              <w:spacing w:after="0"/>
              <w:rPr>
                <w:sz w:val="12"/>
                <w:szCs w:val="12"/>
                <w:color w:val="auto"/>
              </w:rPr>
            </w:pPr>
          </w:p>
        </w:tc>
        <w:tc>
          <w:tcPr>
            <w:tcW w:w="700" w:type="dxa"/>
            <w:vAlign w:val="bottom"/>
            <w:tcBorders>
              <w:top w:val="single" w:sz="8" w:color="auto"/>
              <w:bottom w:val="single" w:sz="8" w:color="auto"/>
            </w:tcBorders>
          </w:tcPr>
          <w:p>
            <w:pPr>
              <w:jc w:val="right"/>
              <w:ind w:right="131"/>
              <w:spacing w:after="0" w:line="149" w:lineRule="exact"/>
              <w:rPr>
                <w:sz w:val="20"/>
                <w:szCs w:val="20"/>
                <w:color w:val="auto"/>
              </w:rPr>
            </w:pPr>
            <w:r>
              <w:rPr>
                <w:rFonts w:ascii="Arial" w:cs="Arial" w:eastAsia="Arial" w:hAnsi="Arial"/>
                <w:sz w:val="14"/>
                <w:szCs w:val="14"/>
                <w:b w:val="1"/>
                <w:bCs w:val="1"/>
                <w:color w:val="auto"/>
              </w:rPr>
              <w:t>2017</w:t>
            </w:r>
          </w:p>
        </w:tc>
        <w:tc>
          <w:tcPr>
            <w:tcW w:w="160" w:type="dxa"/>
            <w:vAlign w:val="bottom"/>
            <w:tcBorders>
              <w:top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51"/>
              <w:spacing w:after="0" w:line="149" w:lineRule="exact"/>
              <w:rPr>
                <w:sz w:val="20"/>
                <w:szCs w:val="20"/>
                <w:color w:val="auto"/>
              </w:rPr>
            </w:pPr>
            <w:r>
              <w:rPr>
                <w:rFonts w:ascii="Arial" w:cs="Arial" w:eastAsia="Arial" w:hAnsi="Arial"/>
                <w:sz w:val="14"/>
                <w:szCs w:val="14"/>
                <w:b w:val="1"/>
                <w:bCs w:val="1"/>
                <w:color w:val="auto"/>
              </w:rPr>
              <w:t>2016</w:t>
            </w:r>
          </w:p>
        </w:tc>
        <w:tc>
          <w:tcPr>
            <w:tcW w:w="160" w:type="dxa"/>
            <w:vAlign w:val="bottom"/>
          </w:tcPr>
          <w:p>
            <w:pPr>
              <w:spacing w:after="0"/>
              <w:rPr>
                <w:sz w:val="12"/>
                <w:szCs w:val="12"/>
                <w:color w:val="auto"/>
              </w:rPr>
            </w:pPr>
          </w:p>
        </w:tc>
        <w:tc>
          <w:tcPr>
            <w:tcW w:w="640" w:type="dxa"/>
            <w:vAlign w:val="bottom"/>
            <w:tcBorders>
              <w:top w:val="single" w:sz="8" w:color="auto"/>
              <w:bottom w:val="single" w:sz="8" w:color="auto"/>
            </w:tcBorders>
          </w:tcPr>
          <w:p>
            <w:pPr>
              <w:jc w:val="right"/>
              <w:ind w:right="111"/>
              <w:spacing w:after="0" w:line="149" w:lineRule="exact"/>
              <w:rPr>
                <w:sz w:val="20"/>
                <w:szCs w:val="20"/>
                <w:color w:val="auto"/>
              </w:rPr>
            </w:pPr>
            <w:r>
              <w:rPr>
                <w:rFonts w:ascii="Arial" w:cs="Arial" w:eastAsia="Arial" w:hAnsi="Arial"/>
                <w:sz w:val="14"/>
                <w:szCs w:val="14"/>
                <w:b w:val="1"/>
                <w:bCs w:val="1"/>
                <w:color w:val="auto"/>
              </w:rPr>
              <w:t>2017</w:t>
            </w:r>
          </w:p>
        </w:tc>
        <w:tc>
          <w:tcPr>
            <w:tcW w:w="140" w:type="dxa"/>
            <w:vAlign w:val="bottom"/>
            <w:tcBorders>
              <w:top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11"/>
              <w:spacing w:after="0" w:line="149" w:lineRule="exact"/>
              <w:rPr>
                <w:sz w:val="20"/>
                <w:szCs w:val="20"/>
                <w:color w:val="auto"/>
              </w:rPr>
            </w:pPr>
            <w:r>
              <w:rPr>
                <w:rFonts w:ascii="Arial" w:cs="Arial" w:eastAsia="Arial" w:hAnsi="Arial"/>
                <w:sz w:val="14"/>
                <w:szCs w:val="14"/>
                <w:b w:val="1"/>
                <w:bCs w:val="1"/>
                <w:color w:val="auto"/>
              </w:rPr>
              <w:t>2016</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jc w:val="right"/>
              <w:ind w:right="111"/>
              <w:spacing w:after="0" w:line="136"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1"/>
                <w:szCs w:val="11"/>
                <w:color w:val="auto"/>
              </w:rPr>
            </w:pPr>
          </w:p>
        </w:tc>
        <w:tc>
          <w:tcPr>
            <w:tcW w:w="580" w:type="dxa"/>
            <w:vAlign w:val="bottom"/>
          </w:tcPr>
          <w:p>
            <w:pPr>
              <w:jc w:val="right"/>
              <w:ind w:right="151"/>
              <w:spacing w:after="0" w:line="136" w:lineRule="exact"/>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1"/>
                <w:szCs w:val="11"/>
                <w:color w:val="auto"/>
              </w:rPr>
            </w:pPr>
          </w:p>
        </w:tc>
        <w:tc>
          <w:tcPr>
            <w:tcW w:w="760" w:type="dxa"/>
            <w:vAlign w:val="bottom"/>
          </w:tcPr>
          <w:p>
            <w:pPr>
              <w:jc w:val="center"/>
              <w:spacing w:after="0" w:line="136" w:lineRule="exact"/>
              <w:rPr>
                <w:sz w:val="20"/>
                <w:szCs w:val="20"/>
                <w:color w:val="auto"/>
              </w:rPr>
            </w:pPr>
            <w:r>
              <w:rPr>
                <w:rFonts w:ascii="Arial" w:cs="Arial" w:eastAsia="Arial" w:hAnsi="Arial"/>
                <w:sz w:val="14"/>
                <w:szCs w:val="14"/>
                <w:b w:val="1"/>
                <w:bCs w:val="1"/>
                <w:color w:val="auto"/>
                <w:w w:val="91"/>
              </w:rPr>
              <w:t>S/(000)</w:t>
            </w:r>
          </w:p>
        </w:tc>
        <w:tc>
          <w:tcPr>
            <w:tcW w:w="140" w:type="dxa"/>
            <w:vAlign w:val="bottom"/>
          </w:tcPr>
          <w:p>
            <w:pPr>
              <w:spacing w:after="0"/>
              <w:rPr>
                <w:sz w:val="11"/>
                <w:szCs w:val="11"/>
                <w:color w:val="auto"/>
              </w:rPr>
            </w:pPr>
          </w:p>
        </w:tc>
        <w:tc>
          <w:tcPr>
            <w:tcW w:w="760" w:type="dxa"/>
            <w:vAlign w:val="bottom"/>
          </w:tcPr>
          <w:p>
            <w:pPr>
              <w:jc w:val="center"/>
              <w:spacing w:after="0" w:line="136" w:lineRule="exact"/>
              <w:rPr>
                <w:sz w:val="20"/>
                <w:szCs w:val="20"/>
                <w:color w:val="auto"/>
              </w:rPr>
            </w:pPr>
            <w:r>
              <w:rPr>
                <w:rFonts w:ascii="Arial" w:cs="Arial" w:eastAsia="Arial" w:hAnsi="Arial"/>
                <w:sz w:val="14"/>
                <w:szCs w:val="14"/>
                <w:b w:val="1"/>
                <w:bCs w:val="1"/>
                <w:color w:val="auto"/>
                <w:w w:val="91"/>
              </w:rPr>
              <w:t>S/(000)</w:t>
            </w:r>
          </w:p>
        </w:tc>
        <w:tc>
          <w:tcPr>
            <w:tcW w:w="140" w:type="dxa"/>
            <w:vAlign w:val="bottom"/>
          </w:tcPr>
          <w:p>
            <w:pPr>
              <w:spacing w:after="0"/>
              <w:rPr>
                <w:sz w:val="11"/>
                <w:szCs w:val="11"/>
                <w:color w:val="auto"/>
              </w:rPr>
            </w:pPr>
          </w:p>
        </w:tc>
        <w:tc>
          <w:tcPr>
            <w:tcW w:w="760" w:type="dxa"/>
            <w:vAlign w:val="bottom"/>
          </w:tcPr>
          <w:p>
            <w:pPr>
              <w:jc w:val="center"/>
              <w:spacing w:after="0" w:line="136" w:lineRule="exact"/>
              <w:rPr>
                <w:sz w:val="20"/>
                <w:szCs w:val="20"/>
                <w:color w:val="auto"/>
              </w:rPr>
            </w:pPr>
            <w:r>
              <w:rPr>
                <w:rFonts w:ascii="Arial" w:cs="Arial" w:eastAsia="Arial" w:hAnsi="Arial"/>
                <w:sz w:val="14"/>
                <w:szCs w:val="14"/>
                <w:b w:val="1"/>
                <w:bCs w:val="1"/>
                <w:color w:val="auto"/>
                <w:w w:val="87"/>
              </w:rPr>
              <w:t>S/(000)</w:t>
            </w:r>
          </w:p>
        </w:tc>
        <w:tc>
          <w:tcPr>
            <w:tcW w:w="140" w:type="dxa"/>
            <w:vAlign w:val="bottom"/>
          </w:tcPr>
          <w:p>
            <w:pPr>
              <w:spacing w:after="0"/>
              <w:rPr>
                <w:sz w:val="11"/>
                <w:szCs w:val="11"/>
                <w:color w:val="auto"/>
              </w:rPr>
            </w:pPr>
          </w:p>
        </w:tc>
        <w:tc>
          <w:tcPr>
            <w:tcW w:w="740" w:type="dxa"/>
            <w:vAlign w:val="bottom"/>
          </w:tcPr>
          <w:p>
            <w:pPr>
              <w:jc w:val="center"/>
              <w:spacing w:after="0" w:line="136" w:lineRule="exact"/>
              <w:rPr>
                <w:sz w:val="20"/>
                <w:szCs w:val="20"/>
                <w:color w:val="auto"/>
              </w:rPr>
            </w:pPr>
            <w:r>
              <w:rPr>
                <w:rFonts w:ascii="Arial" w:cs="Arial" w:eastAsia="Arial" w:hAnsi="Arial"/>
                <w:sz w:val="14"/>
                <w:szCs w:val="14"/>
                <w:b w:val="1"/>
                <w:bCs w:val="1"/>
                <w:color w:val="auto"/>
                <w:w w:val="91"/>
              </w:rPr>
              <w:t>S/(000)</w:t>
            </w:r>
          </w:p>
        </w:tc>
        <w:tc>
          <w:tcPr>
            <w:tcW w:w="160" w:type="dxa"/>
            <w:vAlign w:val="bottom"/>
          </w:tcPr>
          <w:p>
            <w:pPr>
              <w:spacing w:after="0"/>
              <w:rPr>
                <w:sz w:val="11"/>
                <w:szCs w:val="11"/>
                <w:color w:val="auto"/>
              </w:rPr>
            </w:pPr>
          </w:p>
        </w:tc>
        <w:tc>
          <w:tcPr>
            <w:tcW w:w="700" w:type="dxa"/>
            <w:vAlign w:val="bottom"/>
          </w:tcPr>
          <w:p>
            <w:pPr>
              <w:jc w:val="center"/>
              <w:spacing w:after="0" w:line="136" w:lineRule="exact"/>
              <w:rPr>
                <w:sz w:val="20"/>
                <w:szCs w:val="20"/>
                <w:color w:val="auto"/>
              </w:rPr>
            </w:pPr>
            <w:r>
              <w:rPr>
                <w:rFonts w:ascii="Arial" w:cs="Arial" w:eastAsia="Arial" w:hAnsi="Arial"/>
                <w:sz w:val="14"/>
                <w:szCs w:val="14"/>
                <w:b w:val="1"/>
                <w:bCs w:val="1"/>
                <w:color w:val="auto"/>
                <w:w w:val="91"/>
              </w:rPr>
              <w:t>S/(000)</w:t>
            </w:r>
          </w:p>
        </w:tc>
        <w:tc>
          <w:tcPr>
            <w:tcW w:w="160" w:type="dxa"/>
            <w:vAlign w:val="bottom"/>
          </w:tcPr>
          <w:p>
            <w:pPr>
              <w:spacing w:after="0"/>
              <w:rPr>
                <w:sz w:val="11"/>
                <w:szCs w:val="11"/>
                <w:color w:val="auto"/>
              </w:rPr>
            </w:pPr>
          </w:p>
        </w:tc>
        <w:tc>
          <w:tcPr>
            <w:tcW w:w="700" w:type="dxa"/>
            <w:vAlign w:val="bottom"/>
          </w:tcPr>
          <w:p>
            <w:pPr>
              <w:jc w:val="center"/>
              <w:spacing w:after="0" w:line="136" w:lineRule="exact"/>
              <w:rPr>
                <w:sz w:val="20"/>
                <w:szCs w:val="20"/>
                <w:color w:val="auto"/>
              </w:rPr>
            </w:pPr>
            <w:r>
              <w:rPr>
                <w:rFonts w:ascii="Arial" w:cs="Arial" w:eastAsia="Arial" w:hAnsi="Arial"/>
                <w:sz w:val="14"/>
                <w:szCs w:val="14"/>
                <w:b w:val="1"/>
                <w:bCs w:val="1"/>
                <w:color w:val="auto"/>
                <w:w w:val="91"/>
              </w:rPr>
              <w:t>S/(000)</w:t>
            </w:r>
          </w:p>
        </w:tc>
        <w:tc>
          <w:tcPr>
            <w:tcW w:w="160" w:type="dxa"/>
            <w:vAlign w:val="bottom"/>
          </w:tcPr>
          <w:p>
            <w:pPr>
              <w:spacing w:after="0"/>
              <w:rPr>
                <w:sz w:val="11"/>
                <w:szCs w:val="11"/>
                <w:color w:val="auto"/>
              </w:rPr>
            </w:pPr>
          </w:p>
        </w:tc>
        <w:tc>
          <w:tcPr>
            <w:tcW w:w="640" w:type="dxa"/>
            <w:vAlign w:val="bottom"/>
          </w:tcPr>
          <w:p>
            <w:pPr>
              <w:jc w:val="center"/>
              <w:spacing w:after="0" w:line="136" w:lineRule="exact"/>
              <w:rPr>
                <w:sz w:val="20"/>
                <w:szCs w:val="20"/>
                <w:color w:val="auto"/>
              </w:rPr>
            </w:pPr>
            <w:r>
              <w:rPr>
                <w:rFonts w:ascii="Arial" w:cs="Arial" w:eastAsia="Arial" w:hAnsi="Arial"/>
                <w:sz w:val="14"/>
                <w:szCs w:val="14"/>
                <w:b w:val="1"/>
                <w:bCs w:val="1"/>
                <w:color w:val="auto"/>
                <w:w w:val="91"/>
              </w:rPr>
              <w:t>S/(000)</w:t>
            </w:r>
          </w:p>
        </w:tc>
        <w:tc>
          <w:tcPr>
            <w:tcW w:w="140" w:type="dxa"/>
            <w:vAlign w:val="bottom"/>
          </w:tcPr>
          <w:p>
            <w:pPr>
              <w:spacing w:after="0"/>
              <w:rPr>
                <w:sz w:val="11"/>
                <w:szCs w:val="11"/>
                <w:color w:val="auto"/>
              </w:rPr>
            </w:pPr>
          </w:p>
        </w:tc>
        <w:tc>
          <w:tcPr>
            <w:tcW w:w="640" w:type="dxa"/>
            <w:vAlign w:val="bottom"/>
          </w:tcPr>
          <w:p>
            <w:pPr>
              <w:jc w:val="center"/>
              <w:spacing w:after="0" w:line="136" w:lineRule="exact"/>
              <w:rPr>
                <w:sz w:val="20"/>
                <w:szCs w:val="20"/>
                <w:color w:val="auto"/>
              </w:rPr>
            </w:pPr>
            <w:r>
              <w:rPr>
                <w:rFonts w:ascii="Arial" w:cs="Arial" w:eastAsia="Arial" w:hAnsi="Arial"/>
                <w:sz w:val="14"/>
                <w:szCs w:val="14"/>
                <w:b w:val="1"/>
                <w:bCs w:val="1"/>
                <w:color w:val="auto"/>
                <w:w w:val="91"/>
              </w:rPr>
              <w:t>S/(000)</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4"/>
        </w:trPr>
        <w:tc>
          <w:tcPr>
            <w:tcW w:w="920" w:type="dxa"/>
            <w:vAlign w:val="bottom"/>
            <w:gridSpan w:val="2"/>
            <w:shd w:val="clear" w:color="auto" w:fill="CCEEFF"/>
          </w:tcPr>
          <w:p>
            <w:pPr>
              <w:spacing w:after="0" w:line="125" w:lineRule="exact"/>
              <w:rPr>
                <w:sz w:val="20"/>
                <w:szCs w:val="20"/>
                <w:color w:val="auto"/>
              </w:rPr>
            </w:pPr>
            <w:r>
              <w:rPr>
                <w:rFonts w:ascii="Arial" w:cs="Arial" w:eastAsia="Arial" w:hAnsi="Arial"/>
                <w:sz w:val="14"/>
                <w:szCs w:val="14"/>
                <w:color w:val="auto"/>
              </w:rPr>
              <w:t>Banco de</w:t>
            </w:r>
          </w:p>
        </w:tc>
        <w:tc>
          <w:tcPr>
            <w:tcW w:w="2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920" w:type="dxa"/>
            <w:vAlign w:val="bottom"/>
            <w:gridSpan w:val="2"/>
            <w:shd w:val="clear" w:color="auto" w:fill="CCEEFF"/>
          </w:tcPr>
          <w:p>
            <w:pPr>
              <w:spacing w:after="0" w:line="143" w:lineRule="exact"/>
              <w:rPr>
                <w:sz w:val="20"/>
                <w:szCs w:val="20"/>
                <w:color w:val="auto"/>
              </w:rPr>
            </w:pPr>
            <w:r>
              <w:rPr>
                <w:rFonts w:ascii="Arial" w:cs="Arial" w:eastAsia="Arial" w:hAnsi="Arial"/>
                <w:sz w:val="14"/>
                <w:szCs w:val="14"/>
                <w:color w:val="auto"/>
              </w:rPr>
              <w:t>Crédito del</w:t>
            </w:r>
          </w:p>
        </w:tc>
        <w:tc>
          <w:tcPr>
            <w:tcW w:w="2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920" w:type="dxa"/>
            <w:vAlign w:val="bottom"/>
            <w:gridSpan w:val="2"/>
            <w:shd w:val="clear" w:color="auto" w:fill="CCEEFF"/>
          </w:tcPr>
          <w:p>
            <w:pPr>
              <w:spacing w:after="0" w:line="143" w:lineRule="exact"/>
              <w:rPr>
                <w:sz w:val="20"/>
                <w:szCs w:val="20"/>
                <w:color w:val="auto"/>
              </w:rPr>
            </w:pPr>
            <w:r>
              <w:rPr>
                <w:rFonts w:ascii="Arial" w:cs="Arial" w:eastAsia="Arial" w:hAnsi="Arial"/>
                <w:sz w:val="14"/>
                <w:szCs w:val="14"/>
                <w:color w:val="auto"/>
              </w:rPr>
              <w:t>Perú S.A. and</w:t>
            </w:r>
          </w:p>
        </w:tc>
        <w:tc>
          <w:tcPr>
            <w:tcW w:w="2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3220" w:type="dxa"/>
            <w:vAlign w:val="bottom"/>
            <w:gridSpan w:val="4"/>
            <w:shd w:val="clear" w:color="auto" w:fill="CCEEFF"/>
          </w:tcPr>
          <w:p>
            <w:pPr>
              <w:spacing w:after="0"/>
              <w:rPr>
                <w:sz w:val="20"/>
                <w:szCs w:val="20"/>
                <w:color w:val="auto"/>
              </w:rPr>
            </w:pPr>
            <w:r>
              <w:rPr>
                <w:rFonts w:ascii="Arial" w:cs="Arial" w:eastAsia="Arial" w:hAnsi="Arial"/>
                <w:sz w:val="14"/>
                <w:szCs w:val="14"/>
                <w:color w:val="auto"/>
              </w:rPr>
              <w:t>Subsidiaries (i) Banking, Peru</w:t>
            </w: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97.69</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97.69</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w w:val="95"/>
              </w:rPr>
              <w:t>139,658,667</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w w:val="95"/>
              </w:rPr>
              <w:t>127,513,766</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5"/>
              </w:rPr>
              <w:t>124,107,841</w:t>
            </w:r>
          </w:p>
        </w:tc>
        <w:tc>
          <w:tcPr>
            <w:tcW w:w="14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w w:val="92"/>
              </w:rPr>
              <w:t>113,568,832</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w w:val="96"/>
              </w:rPr>
              <w:t>15,550,826</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13,944,934</w:t>
            </w:r>
          </w:p>
        </w:tc>
        <w:tc>
          <w:tcPr>
            <w:tcW w:w="16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w w:val="99"/>
              </w:rPr>
              <w:t>3,036,929</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w w:val="99"/>
              </w:rPr>
              <w:t>2,954,668</w:t>
            </w:r>
          </w:p>
        </w:tc>
        <w:tc>
          <w:tcPr>
            <w:tcW w:w="0" w:type="dxa"/>
            <w:vAlign w:val="bottom"/>
          </w:tcPr>
          <w:p>
            <w:pPr>
              <w:spacing w:after="0"/>
              <w:rPr>
                <w:sz w:val="1"/>
                <w:szCs w:val="1"/>
                <w:color w:val="auto"/>
              </w:rPr>
            </w:pPr>
          </w:p>
        </w:tc>
      </w:tr>
      <w:tr>
        <w:trPr>
          <w:trHeight w:val="143"/>
        </w:trPr>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4"/>
        </w:trPr>
        <w:tc>
          <w:tcPr>
            <w:tcW w:w="920" w:type="dxa"/>
            <w:vAlign w:val="bottom"/>
            <w:gridSpan w:val="2"/>
            <w:shd w:val="clear" w:color="auto" w:fill="CCEEFF"/>
          </w:tcPr>
          <w:p>
            <w:pPr>
              <w:spacing w:after="0" w:line="125" w:lineRule="exact"/>
              <w:rPr>
                <w:sz w:val="20"/>
                <w:szCs w:val="20"/>
                <w:color w:val="auto"/>
              </w:rPr>
            </w:pPr>
            <w:r>
              <w:rPr>
                <w:rFonts w:ascii="Arial" w:cs="Arial" w:eastAsia="Arial" w:hAnsi="Arial"/>
                <w:sz w:val="14"/>
                <w:szCs w:val="14"/>
                <w:color w:val="auto"/>
              </w:rPr>
              <w:t>Pacífico</w:t>
            </w:r>
          </w:p>
        </w:tc>
        <w:tc>
          <w:tcPr>
            <w:tcW w:w="2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920" w:type="dxa"/>
            <w:vAlign w:val="bottom"/>
            <w:gridSpan w:val="2"/>
            <w:shd w:val="clear" w:color="auto" w:fill="CCEEFF"/>
          </w:tcPr>
          <w:p>
            <w:pPr>
              <w:spacing w:after="0" w:line="143" w:lineRule="exact"/>
              <w:rPr>
                <w:sz w:val="20"/>
                <w:szCs w:val="20"/>
                <w:color w:val="auto"/>
              </w:rPr>
            </w:pPr>
            <w:r>
              <w:rPr>
                <w:rFonts w:ascii="Arial" w:cs="Arial" w:eastAsia="Arial" w:hAnsi="Arial"/>
                <w:sz w:val="14"/>
                <w:szCs w:val="14"/>
                <w:color w:val="auto"/>
              </w:rPr>
              <w:t>Compañía de</w:t>
            </w:r>
          </w:p>
        </w:tc>
        <w:tc>
          <w:tcPr>
            <w:tcW w:w="2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920" w:type="dxa"/>
            <w:vAlign w:val="bottom"/>
            <w:gridSpan w:val="2"/>
            <w:shd w:val="clear" w:color="auto" w:fill="CCEEFF"/>
          </w:tcPr>
          <w:p>
            <w:pPr>
              <w:spacing w:after="0" w:line="143" w:lineRule="exact"/>
              <w:rPr>
                <w:sz w:val="20"/>
                <w:szCs w:val="20"/>
                <w:color w:val="auto"/>
              </w:rPr>
            </w:pPr>
            <w:r>
              <w:rPr>
                <w:rFonts w:ascii="Arial" w:cs="Arial" w:eastAsia="Arial" w:hAnsi="Arial"/>
                <w:sz w:val="14"/>
                <w:szCs w:val="14"/>
                <w:color w:val="auto"/>
              </w:rPr>
              <w:t>Seguros y</w:t>
            </w:r>
          </w:p>
        </w:tc>
        <w:tc>
          <w:tcPr>
            <w:tcW w:w="2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920" w:type="dxa"/>
            <w:vAlign w:val="bottom"/>
            <w:gridSpan w:val="2"/>
            <w:shd w:val="clear" w:color="auto" w:fill="CCEEFF"/>
          </w:tcPr>
          <w:p>
            <w:pPr>
              <w:spacing w:after="0" w:line="143" w:lineRule="exact"/>
              <w:rPr>
                <w:sz w:val="20"/>
                <w:szCs w:val="20"/>
                <w:color w:val="auto"/>
              </w:rPr>
            </w:pPr>
            <w:r>
              <w:rPr>
                <w:rFonts w:ascii="Arial" w:cs="Arial" w:eastAsia="Arial" w:hAnsi="Arial"/>
                <w:sz w:val="14"/>
                <w:szCs w:val="14"/>
                <w:color w:val="auto"/>
              </w:rPr>
              <w:t>Reaseguros</w:t>
            </w:r>
          </w:p>
        </w:tc>
        <w:tc>
          <w:tcPr>
            <w:tcW w:w="2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920" w:type="dxa"/>
            <w:vAlign w:val="bottom"/>
            <w:gridSpan w:val="2"/>
            <w:shd w:val="clear" w:color="auto" w:fill="CCEEFF"/>
          </w:tcPr>
          <w:p>
            <w:pPr>
              <w:spacing w:after="0" w:line="143" w:lineRule="exact"/>
              <w:rPr>
                <w:sz w:val="20"/>
                <w:szCs w:val="20"/>
                <w:color w:val="auto"/>
              </w:rPr>
            </w:pPr>
            <w:r>
              <w:rPr>
                <w:rFonts w:ascii="Arial" w:cs="Arial" w:eastAsia="Arial" w:hAnsi="Arial"/>
                <w:sz w:val="14"/>
                <w:szCs w:val="14"/>
                <w:color w:val="auto"/>
              </w:rPr>
              <w:t>S.A. and</w:t>
            </w:r>
          </w:p>
        </w:tc>
        <w:tc>
          <w:tcPr>
            <w:tcW w:w="2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920" w:type="dxa"/>
            <w:vAlign w:val="bottom"/>
            <w:gridSpan w:val="2"/>
            <w:shd w:val="clear" w:color="auto" w:fill="CCEEFF"/>
          </w:tcPr>
          <w:p>
            <w:pPr>
              <w:spacing w:after="0" w:line="143" w:lineRule="exact"/>
              <w:rPr>
                <w:sz w:val="20"/>
                <w:szCs w:val="20"/>
                <w:color w:val="auto"/>
              </w:rPr>
            </w:pPr>
            <w:r>
              <w:rPr>
                <w:rFonts w:ascii="Arial" w:cs="Arial" w:eastAsia="Arial" w:hAnsi="Arial"/>
                <w:sz w:val="14"/>
                <w:szCs w:val="14"/>
                <w:color w:val="auto"/>
              </w:rPr>
              <w:t>Subsidiaries</w:t>
            </w:r>
          </w:p>
        </w:tc>
        <w:tc>
          <w:tcPr>
            <w:tcW w:w="2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9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2(a)</w:t>
            </w:r>
          </w:p>
        </w:tc>
        <w:tc>
          <w:tcPr>
            <w:tcW w:w="23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Insurance, Peru</w:t>
            </w: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98.79</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98.45</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11,402,998</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10,156,361</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8,558,149</w:t>
            </w:r>
          </w:p>
        </w:tc>
        <w:tc>
          <w:tcPr>
            <w:tcW w:w="14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7,786,257</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2,844,849</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2,370,104</w:t>
            </w:r>
          </w:p>
        </w:tc>
        <w:tc>
          <w:tcPr>
            <w:tcW w:w="16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325,008</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303,264</w:t>
            </w:r>
          </w:p>
        </w:tc>
        <w:tc>
          <w:tcPr>
            <w:tcW w:w="0" w:type="dxa"/>
            <w:vAlign w:val="bottom"/>
          </w:tcPr>
          <w:p>
            <w:pPr>
              <w:spacing w:after="0"/>
              <w:rPr>
                <w:sz w:val="1"/>
                <w:szCs w:val="1"/>
                <w:color w:val="auto"/>
              </w:rPr>
            </w:pPr>
          </w:p>
        </w:tc>
      </w:tr>
      <w:tr>
        <w:trPr>
          <w:trHeight w:val="124"/>
        </w:trPr>
        <w:tc>
          <w:tcPr>
            <w:tcW w:w="920" w:type="dxa"/>
            <w:vAlign w:val="bottom"/>
            <w:gridSpan w:val="2"/>
          </w:tcPr>
          <w:p>
            <w:pPr>
              <w:spacing w:after="0" w:line="125" w:lineRule="exact"/>
              <w:rPr>
                <w:sz w:val="20"/>
                <w:szCs w:val="20"/>
                <w:color w:val="auto"/>
              </w:rPr>
            </w:pPr>
            <w:r>
              <w:rPr>
                <w:rFonts w:ascii="Arial" w:cs="Arial" w:eastAsia="Arial" w:hAnsi="Arial"/>
                <w:sz w:val="14"/>
                <w:szCs w:val="14"/>
                <w:color w:val="auto"/>
              </w:rPr>
              <w:t>Inversiones</w:t>
            </w:r>
          </w:p>
        </w:tc>
        <w:tc>
          <w:tcPr>
            <w:tcW w:w="2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920" w:type="dxa"/>
            <w:vAlign w:val="bottom"/>
            <w:gridSpan w:val="2"/>
          </w:tcPr>
          <w:p>
            <w:pPr>
              <w:spacing w:after="0" w:line="143" w:lineRule="exact"/>
              <w:rPr>
                <w:sz w:val="20"/>
                <w:szCs w:val="20"/>
                <w:color w:val="auto"/>
              </w:rPr>
            </w:pPr>
            <w:r>
              <w:rPr>
                <w:rFonts w:ascii="Arial" w:cs="Arial" w:eastAsia="Arial" w:hAnsi="Arial"/>
                <w:sz w:val="14"/>
                <w:szCs w:val="14"/>
                <w:color w:val="auto"/>
              </w:rPr>
              <w:t>Credicorp</w:t>
            </w:r>
          </w:p>
        </w:tc>
        <w:tc>
          <w:tcPr>
            <w:tcW w:w="2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920" w:type="dxa"/>
            <w:vAlign w:val="bottom"/>
            <w:gridSpan w:val="2"/>
          </w:tcPr>
          <w:p>
            <w:pPr>
              <w:spacing w:after="0" w:line="143" w:lineRule="exact"/>
              <w:rPr>
                <w:sz w:val="20"/>
                <w:szCs w:val="20"/>
                <w:color w:val="auto"/>
              </w:rPr>
            </w:pPr>
            <w:r>
              <w:rPr>
                <w:rFonts w:ascii="Arial" w:cs="Arial" w:eastAsia="Arial" w:hAnsi="Arial"/>
                <w:sz w:val="14"/>
                <w:szCs w:val="14"/>
                <w:color w:val="auto"/>
              </w:rPr>
              <w:t>Bolivia S.A.</w:t>
            </w:r>
          </w:p>
        </w:tc>
        <w:tc>
          <w:tcPr>
            <w:tcW w:w="2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920" w:type="dxa"/>
            <w:vAlign w:val="bottom"/>
            <w:gridSpan w:val="2"/>
          </w:tcPr>
          <w:p>
            <w:pPr>
              <w:spacing w:after="0" w:line="143" w:lineRule="exact"/>
              <w:rPr>
                <w:sz w:val="20"/>
                <w:szCs w:val="20"/>
                <w:color w:val="auto"/>
              </w:rPr>
            </w:pPr>
            <w:r>
              <w:rPr>
                <w:rFonts w:ascii="Arial" w:cs="Arial" w:eastAsia="Arial" w:hAnsi="Arial"/>
                <w:sz w:val="14"/>
                <w:szCs w:val="14"/>
                <w:color w:val="auto"/>
              </w:rPr>
              <w:t>and</w:t>
            </w:r>
          </w:p>
        </w:tc>
        <w:tc>
          <w:tcPr>
            <w:tcW w:w="2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920" w:type="dxa"/>
            <w:vAlign w:val="bottom"/>
            <w:gridSpan w:val="2"/>
          </w:tcPr>
          <w:p>
            <w:pPr>
              <w:spacing w:after="0" w:line="143" w:lineRule="exact"/>
              <w:rPr>
                <w:sz w:val="20"/>
                <w:szCs w:val="20"/>
                <w:color w:val="auto"/>
              </w:rPr>
            </w:pPr>
            <w:r>
              <w:rPr>
                <w:rFonts w:ascii="Arial" w:cs="Arial" w:eastAsia="Arial" w:hAnsi="Arial"/>
                <w:sz w:val="14"/>
                <w:szCs w:val="14"/>
                <w:color w:val="auto"/>
              </w:rPr>
              <w:t>Subsidiaries</w:t>
            </w:r>
          </w:p>
        </w:tc>
        <w:tc>
          <w:tcPr>
            <w:tcW w:w="2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920" w:type="dxa"/>
            <w:vAlign w:val="bottom"/>
            <w:gridSpan w:val="2"/>
          </w:tcPr>
          <w:p>
            <w:pPr>
              <w:spacing w:after="0"/>
              <w:rPr>
                <w:sz w:val="20"/>
                <w:szCs w:val="20"/>
                <w:color w:val="auto"/>
              </w:rPr>
            </w:pPr>
            <w:r>
              <w:rPr>
                <w:rFonts w:ascii="Arial" w:cs="Arial" w:eastAsia="Arial" w:hAnsi="Arial"/>
                <w:sz w:val="14"/>
                <w:szCs w:val="14"/>
                <w:color w:val="auto"/>
              </w:rPr>
              <w:t>(iii)</w:t>
            </w:r>
          </w:p>
        </w:tc>
        <w:tc>
          <w:tcPr>
            <w:tcW w:w="2300" w:type="dxa"/>
            <w:vAlign w:val="bottom"/>
            <w:gridSpan w:val="2"/>
          </w:tcPr>
          <w:p>
            <w:pPr>
              <w:spacing w:after="0"/>
              <w:rPr>
                <w:sz w:val="20"/>
                <w:szCs w:val="20"/>
                <w:color w:val="auto"/>
              </w:rPr>
            </w:pPr>
            <w:r>
              <w:rPr>
                <w:rFonts w:ascii="Arial" w:cs="Arial" w:eastAsia="Arial" w:hAnsi="Arial"/>
                <w:sz w:val="14"/>
                <w:szCs w:val="14"/>
                <w:color w:val="auto"/>
              </w:rPr>
              <w:t>Holding, Bolivia</w:t>
            </w:r>
          </w:p>
        </w:tc>
        <w:tc>
          <w:tcPr>
            <w:tcW w:w="680" w:type="dxa"/>
            <w:vAlign w:val="bottom"/>
            <w:gridSpan w:val="2"/>
          </w:tcPr>
          <w:p>
            <w:pPr>
              <w:jc w:val="right"/>
              <w:ind w:right="180"/>
              <w:spacing w:after="0"/>
              <w:rPr>
                <w:sz w:val="20"/>
                <w:szCs w:val="20"/>
                <w:color w:val="auto"/>
              </w:rPr>
            </w:pPr>
            <w:r>
              <w:rPr>
                <w:rFonts w:ascii="Arial" w:cs="Arial" w:eastAsia="Arial" w:hAnsi="Arial"/>
                <w:sz w:val="14"/>
                <w:szCs w:val="14"/>
                <w:color w:val="auto"/>
              </w:rPr>
              <w:t>99.96</w:t>
            </w:r>
          </w:p>
        </w:tc>
        <w:tc>
          <w:tcPr>
            <w:tcW w:w="700" w:type="dxa"/>
            <w:vAlign w:val="bottom"/>
            <w:gridSpan w:val="2"/>
          </w:tcPr>
          <w:p>
            <w:pPr>
              <w:jc w:val="right"/>
              <w:ind w:right="120"/>
              <w:spacing w:after="0"/>
              <w:rPr>
                <w:sz w:val="20"/>
                <w:szCs w:val="20"/>
                <w:color w:val="auto"/>
              </w:rPr>
            </w:pPr>
            <w:r>
              <w:rPr>
                <w:rFonts w:ascii="Arial" w:cs="Arial" w:eastAsia="Arial" w:hAnsi="Arial"/>
                <w:sz w:val="14"/>
                <w:szCs w:val="14"/>
                <w:color w:val="auto"/>
              </w:rPr>
              <w:t>99.96</w:t>
            </w: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9,153,381</w:t>
            </w: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8,017,925</w:t>
            </w:r>
          </w:p>
        </w:tc>
        <w:tc>
          <w:tcPr>
            <w:tcW w:w="760" w:type="dxa"/>
            <w:vAlign w:val="bottom"/>
          </w:tcPr>
          <w:p>
            <w:pPr>
              <w:jc w:val="right"/>
              <w:spacing w:after="0"/>
              <w:rPr>
                <w:sz w:val="20"/>
                <w:szCs w:val="20"/>
                <w:color w:val="auto"/>
              </w:rPr>
            </w:pPr>
            <w:r>
              <w:rPr>
                <w:rFonts w:ascii="Arial" w:cs="Arial" w:eastAsia="Arial" w:hAnsi="Arial"/>
                <w:sz w:val="14"/>
                <w:szCs w:val="14"/>
                <w:color w:val="auto"/>
              </w:rPr>
              <w:t>8,458,813</w:t>
            </w:r>
          </w:p>
        </w:tc>
        <w:tc>
          <w:tcPr>
            <w:tcW w:w="140" w:type="dxa"/>
            <w:vAlign w:val="bottom"/>
          </w:tcPr>
          <w:p>
            <w:pPr>
              <w:spacing w:after="0"/>
              <w:rPr>
                <w:sz w:val="14"/>
                <w:szCs w:val="14"/>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7,337,562</w:t>
            </w: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694,568</w:t>
            </w: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680,363</w:t>
            </w: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auto"/>
              </w:rPr>
              <w:t>96,826</w:t>
            </w:r>
          </w:p>
        </w:tc>
        <w:tc>
          <w:tcPr>
            <w:tcW w:w="720" w:type="dxa"/>
            <w:vAlign w:val="bottom"/>
            <w:gridSpan w:val="2"/>
          </w:tcPr>
          <w:p>
            <w:pPr>
              <w:jc w:val="right"/>
              <w:ind w:right="80"/>
              <w:spacing w:after="0"/>
              <w:rPr>
                <w:sz w:val="20"/>
                <w:szCs w:val="20"/>
                <w:color w:val="auto"/>
              </w:rPr>
            </w:pPr>
            <w:r>
              <w:rPr>
                <w:rFonts w:ascii="Arial" w:cs="Arial" w:eastAsia="Arial" w:hAnsi="Arial"/>
                <w:sz w:val="14"/>
                <w:szCs w:val="14"/>
                <w:color w:val="auto"/>
              </w:rPr>
              <w:t>71,910</w:t>
            </w:r>
          </w:p>
        </w:tc>
        <w:tc>
          <w:tcPr>
            <w:tcW w:w="0" w:type="dxa"/>
            <w:vAlign w:val="bottom"/>
          </w:tcPr>
          <w:p>
            <w:pPr>
              <w:spacing w:after="0"/>
              <w:rPr>
                <w:sz w:val="1"/>
                <w:szCs w:val="1"/>
                <w:color w:val="auto"/>
              </w:rPr>
            </w:pPr>
          </w:p>
        </w:tc>
      </w:tr>
      <w:tr>
        <w:trPr>
          <w:trHeight w:val="124"/>
        </w:trPr>
        <w:tc>
          <w:tcPr>
            <w:tcW w:w="920" w:type="dxa"/>
            <w:vAlign w:val="bottom"/>
            <w:gridSpan w:val="2"/>
            <w:shd w:val="clear" w:color="auto" w:fill="CCEEFF"/>
          </w:tcPr>
          <w:p>
            <w:pPr>
              <w:spacing w:after="0" w:line="125" w:lineRule="exact"/>
              <w:rPr>
                <w:sz w:val="20"/>
                <w:szCs w:val="20"/>
                <w:color w:val="auto"/>
              </w:rPr>
            </w:pPr>
            <w:r>
              <w:rPr>
                <w:rFonts w:ascii="Arial" w:cs="Arial" w:eastAsia="Arial" w:hAnsi="Arial"/>
                <w:sz w:val="14"/>
                <w:szCs w:val="14"/>
                <w:color w:val="auto"/>
              </w:rPr>
              <w:t>Atlantic</w:t>
            </w:r>
          </w:p>
        </w:tc>
        <w:tc>
          <w:tcPr>
            <w:tcW w:w="2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920" w:type="dxa"/>
            <w:vAlign w:val="bottom"/>
            <w:gridSpan w:val="2"/>
            <w:shd w:val="clear" w:color="auto" w:fill="CCEEFF"/>
          </w:tcPr>
          <w:p>
            <w:pPr>
              <w:spacing w:after="0" w:line="143" w:lineRule="exact"/>
              <w:rPr>
                <w:sz w:val="20"/>
                <w:szCs w:val="20"/>
                <w:color w:val="auto"/>
              </w:rPr>
            </w:pPr>
            <w:r>
              <w:rPr>
                <w:rFonts w:ascii="Arial" w:cs="Arial" w:eastAsia="Arial" w:hAnsi="Arial"/>
                <w:sz w:val="14"/>
                <w:szCs w:val="14"/>
                <w:color w:val="auto"/>
              </w:rPr>
              <w:t>Security</w:t>
            </w:r>
          </w:p>
        </w:tc>
        <w:tc>
          <w:tcPr>
            <w:tcW w:w="2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920" w:type="dxa"/>
            <w:vAlign w:val="bottom"/>
            <w:gridSpan w:val="2"/>
            <w:shd w:val="clear" w:color="auto" w:fill="CCEEFF"/>
          </w:tcPr>
          <w:p>
            <w:pPr>
              <w:spacing w:after="0" w:line="143" w:lineRule="exact"/>
              <w:rPr>
                <w:sz w:val="20"/>
                <w:szCs w:val="20"/>
                <w:color w:val="auto"/>
              </w:rPr>
            </w:pPr>
            <w:r>
              <w:rPr>
                <w:rFonts w:ascii="Arial" w:cs="Arial" w:eastAsia="Arial" w:hAnsi="Arial"/>
                <w:sz w:val="14"/>
                <w:szCs w:val="14"/>
                <w:color w:val="auto"/>
              </w:rPr>
              <w:t>Holding</w:t>
            </w:r>
          </w:p>
        </w:tc>
        <w:tc>
          <w:tcPr>
            <w:tcW w:w="2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920" w:type="dxa"/>
            <w:vAlign w:val="bottom"/>
            <w:gridSpan w:val="2"/>
            <w:shd w:val="clear" w:color="auto" w:fill="CCEEFF"/>
          </w:tcPr>
          <w:p>
            <w:pPr>
              <w:spacing w:after="0" w:line="143" w:lineRule="exact"/>
              <w:rPr>
                <w:sz w:val="20"/>
                <w:szCs w:val="20"/>
                <w:color w:val="auto"/>
              </w:rPr>
            </w:pPr>
            <w:r>
              <w:rPr>
                <w:rFonts w:ascii="Arial" w:cs="Arial" w:eastAsia="Arial" w:hAnsi="Arial"/>
                <w:sz w:val="14"/>
                <w:szCs w:val="14"/>
                <w:color w:val="auto"/>
              </w:rPr>
              <w:t>Corporation</w:t>
            </w:r>
          </w:p>
        </w:tc>
        <w:tc>
          <w:tcPr>
            <w:tcW w:w="2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920" w:type="dxa"/>
            <w:vAlign w:val="bottom"/>
            <w:gridSpan w:val="2"/>
            <w:shd w:val="clear" w:color="auto" w:fill="CCEEFF"/>
          </w:tcPr>
          <w:p>
            <w:pPr>
              <w:spacing w:after="0" w:line="143" w:lineRule="exact"/>
              <w:rPr>
                <w:sz w:val="20"/>
                <w:szCs w:val="20"/>
                <w:color w:val="auto"/>
              </w:rPr>
            </w:pPr>
            <w:r>
              <w:rPr>
                <w:rFonts w:ascii="Arial" w:cs="Arial" w:eastAsia="Arial" w:hAnsi="Arial"/>
                <w:sz w:val="14"/>
                <w:szCs w:val="14"/>
                <w:color w:val="auto"/>
              </w:rPr>
              <w:t>and</w:t>
            </w:r>
          </w:p>
        </w:tc>
        <w:tc>
          <w:tcPr>
            <w:tcW w:w="2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920" w:type="dxa"/>
            <w:vAlign w:val="bottom"/>
            <w:gridSpan w:val="2"/>
            <w:shd w:val="clear" w:color="auto" w:fill="CCEEFF"/>
          </w:tcPr>
          <w:p>
            <w:pPr>
              <w:spacing w:after="0" w:line="143" w:lineRule="exact"/>
              <w:rPr>
                <w:sz w:val="20"/>
                <w:szCs w:val="20"/>
                <w:color w:val="auto"/>
              </w:rPr>
            </w:pPr>
            <w:r>
              <w:rPr>
                <w:rFonts w:ascii="Arial" w:cs="Arial" w:eastAsia="Arial" w:hAnsi="Arial"/>
                <w:sz w:val="14"/>
                <w:szCs w:val="14"/>
                <w:color w:val="auto"/>
              </w:rPr>
              <w:t>Subsidiaries</w:t>
            </w:r>
          </w:p>
        </w:tc>
        <w:tc>
          <w:tcPr>
            <w:tcW w:w="2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9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(iv)</w:t>
            </w:r>
          </w:p>
        </w:tc>
        <w:tc>
          <w:tcPr>
            <w:tcW w:w="23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Capital Markets, Cayman</w:t>
            </w: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100.00</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100.00</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7,034,717</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7,056,980</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6,206,861</w:t>
            </w:r>
          </w:p>
        </w:tc>
        <w:tc>
          <w:tcPr>
            <w:tcW w:w="14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5,961,796</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827,856</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1,095,184</w:t>
            </w:r>
          </w:p>
        </w:tc>
        <w:tc>
          <w:tcPr>
            <w:tcW w:w="16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187,132</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143,238</w:t>
            </w:r>
          </w:p>
        </w:tc>
        <w:tc>
          <w:tcPr>
            <w:tcW w:w="0" w:type="dxa"/>
            <w:vAlign w:val="bottom"/>
          </w:tcPr>
          <w:p>
            <w:pPr>
              <w:spacing w:after="0"/>
              <w:rPr>
                <w:sz w:val="1"/>
                <w:szCs w:val="1"/>
                <w:color w:val="auto"/>
              </w:rPr>
            </w:pPr>
          </w:p>
        </w:tc>
      </w:tr>
      <w:tr>
        <w:trPr>
          <w:trHeight w:val="124"/>
        </w:trPr>
        <w:tc>
          <w:tcPr>
            <w:tcW w:w="920" w:type="dxa"/>
            <w:vAlign w:val="bottom"/>
            <w:gridSpan w:val="2"/>
          </w:tcPr>
          <w:p>
            <w:pPr>
              <w:spacing w:after="0" w:line="125" w:lineRule="exact"/>
              <w:rPr>
                <w:sz w:val="20"/>
                <w:szCs w:val="20"/>
                <w:color w:val="auto"/>
              </w:rPr>
            </w:pPr>
            <w:r>
              <w:rPr>
                <w:rFonts w:ascii="Arial" w:cs="Arial" w:eastAsia="Arial" w:hAnsi="Arial"/>
                <w:sz w:val="14"/>
                <w:szCs w:val="14"/>
                <w:color w:val="auto"/>
              </w:rPr>
              <w:t>Credicorp</w:t>
            </w:r>
          </w:p>
        </w:tc>
        <w:tc>
          <w:tcPr>
            <w:tcW w:w="2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920" w:type="dxa"/>
            <w:vAlign w:val="bottom"/>
            <w:gridSpan w:val="2"/>
          </w:tcPr>
          <w:p>
            <w:pPr>
              <w:spacing w:after="0" w:line="143" w:lineRule="exact"/>
              <w:rPr>
                <w:sz w:val="20"/>
                <w:szCs w:val="20"/>
                <w:color w:val="auto"/>
              </w:rPr>
            </w:pPr>
            <w:r>
              <w:rPr>
                <w:rFonts w:ascii="Arial" w:cs="Arial" w:eastAsia="Arial" w:hAnsi="Arial"/>
                <w:sz w:val="14"/>
                <w:szCs w:val="14"/>
                <w:color w:val="auto"/>
              </w:rPr>
              <w:t>Capital Ltd.</w:t>
            </w:r>
          </w:p>
        </w:tc>
        <w:tc>
          <w:tcPr>
            <w:tcW w:w="2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920" w:type="dxa"/>
            <w:vAlign w:val="bottom"/>
            <w:gridSpan w:val="2"/>
          </w:tcPr>
          <w:p>
            <w:pPr>
              <w:spacing w:after="0" w:line="143" w:lineRule="exact"/>
              <w:rPr>
                <w:sz w:val="20"/>
                <w:szCs w:val="20"/>
                <w:color w:val="auto"/>
              </w:rPr>
            </w:pPr>
            <w:r>
              <w:rPr>
                <w:rFonts w:ascii="Arial" w:cs="Arial" w:eastAsia="Arial" w:hAnsi="Arial"/>
                <w:sz w:val="14"/>
                <w:szCs w:val="14"/>
                <w:color w:val="auto"/>
              </w:rPr>
              <w:t>and</w:t>
            </w:r>
          </w:p>
        </w:tc>
        <w:tc>
          <w:tcPr>
            <w:tcW w:w="2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920" w:type="dxa"/>
            <w:vAlign w:val="bottom"/>
            <w:gridSpan w:val="2"/>
          </w:tcPr>
          <w:p>
            <w:pPr>
              <w:spacing w:after="0" w:line="143" w:lineRule="exact"/>
              <w:rPr>
                <w:sz w:val="20"/>
                <w:szCs w:val="20"/>
                <w:color w:val="auto"/>
              </w:rPr>
            </w:pPr>
            <w:r>
              <w:rPr>
                <w:rFonts w:ascii="Arial" w:cs="Arial" w:eastAsia="Arial" w:hAnsi="Arial"/>
                <w:sz w:val="14"/>
                <w:szCs w:val="14"/>
                <w:color w:val="auto"/>
              </w:rPr>
              <w:t>Subsidiaries</w:t>
            </w:r>
          </w:p>
        </w:tc>
        <w:tc>
          <w:tcPr>
            <w:tcW w:w="2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920" w:type="dxa"/>
            <w:vAlign w:val="bottom"/>
            <w:gridSpan w:val="2"/>
          </w:tcPr>
          <w:p>
            <w:pPr>
              <w:spacing w:after="0"/>
              <w:rPr>
                <w:sz w:val="20"/>
                <w:szCs w:val="20"/>
                <w:color w:val="auto"/>
              </w:rPr>
            </w:pPr>
            <w:r>
              <w:rPr>
                <w:rFonts w:ascii="Arial" w:cs="Arial" w:eastAsia="Arial" w:hAnsi="Arial"/>
                <w:sz w:val="14"/>
                <w:szCs w:val="14"/>
                <w:color w:val="auto"/>
              </w:rPr>
              <w:t>(v)</w:t>
            </w:r>
          </w:p>
        </w:tc>
        <w:tc>
          <w:tcPr>
            <w:tcW w:w="2300" w:type="dxa"/>
            <w:vAlign w:val="bottom"/>
            <w:gridSpan w:val="2"/>
          </w:tcPr>
          <w:p>
            <w:pPr>
              <w:spacing w:after="0"/>
              <w:rPr>
                <w:sz w:val="20"/>
                <w:szCs w:val="20"/>
                <w:color w:val="auto"/>
              </w:rPr>
            </w:pPr>
            <w:r>
              <w:rPr>
                <w:rFonts w:ascii="Arial" w:cs="Arial" w:eastAsia="Arial" w:hAnsi="Arial"/>
                <w:sz w:val="14"/>
                <w:szCs w:val="14"/>
                <w:color w:val="auto"/>
              </w:rPr>
              <w:t>Capital Markets, Bermuda</w:t>
            </w:r>
          </w:p>
        </w:tc>
        <w:tc>
          <w:tcPr>
            <w:tcW w:w="680" w:type="dxa"/>
            <w:vAlign w:val="bottom"/>
            <w:gridSpan w:val="2"/>
          </w:tcPr>
          <w:p>
            <w:pPr>
              <w:jc w:val="right"/>
              <w:ind w:right="180"/>
              <w:spacing w:after="0"/>
              <w:rPr>
                <w:sz w:val="20"/>
                <w:szCs w:val="20"/>
                <w:color w:val="auto"/>
              </w:rPr>
            </w:pPr>
            <w:r>
              <w:rPr>
                <w:rFonts w:ascii="Arial" w:cs="Arial" w:eastAsia="Arial" w:hAnsi="Arial"/>
                <w:sz w:val="14"/>
                <w:szCs w:val="14"/>
                <w:color w:val="auto"/>
              </w:rPr>
              <w:t>100.00</w:t>
            </w:r>
          </w:p>
        </w:tc>
        <w:tc>
          <w:tcPr>
            <w:tcW w:w="700" w:type="dxa"/>
            <w:vAlign w:val="bottom"/>
            <w:gridSpan w:val="2"/>
          </w:tcPr>
          <w:p>
            <w:pPr>
              <w:jc w:val="right"/>
              <w:ind w:right="120"/>
              <w:spacing w:after="0"/>
              <w:rPr>
                <w:sz w:val="20"/>
                <w:szCs w:val="20"/>
                <w:color w:val="auto"/>
              </w:rPr>
            </w:pPr>
            <w:r>
              <w:rPr>
                <w:rFonts w:ascii="Arial" w:cs="Arial" w:eastAsia="Arial" w:hAnsi="Arial"/>
                <w:sz w:val="14"/>
                <w:szCs w:val="14"/>
                <w:color w:val="auto"/>
              </w:rPr>
              <w:t>100.00</w:t>
            </w: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3,731,930</w:t>
            </w: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3,230,080</w:t>
            </w:r>
          </w:p>
        </w:tc>
        <w:tc>
          <w:tcPr>
            <w:tcW w:w="760" w:type="dxa"/>
            <w:vAlign w:val="bottom"/>
          </w:tcPr>
          <w:p>
            <w:pPr>
              <w:jc w:val="right"/>
              <w:spacing w:after="0"/>
              <w:rPr>
                <w:sz w:val="20"/>
                <w:szCs w:val="20"/>
                <w:color w:val="auto"/>
              </w:rPr>
            </w:pPr>
            <w:r>
              <w:rPr>
                <w:rFonts w:ascii="Arial" w:cs="Arial" w:eastAsia="Arial" w:hAnsi="Arial"/>
                <w:sz w:val="14"/>
                <w:szCs w:val="14"/>
                <w:color w:val="auto"/>
              </w:rPr>
              <w:t>2,943,210</w:t>
            </w:r>
          </w:p>
        </w:tc>
        <w:tc>
          <w:tcPr>
            <w:tcW w:w="140" w:type="dxa"/>
            <w:vAlign w:val="bottom"/>
          </w:tcPr>
          <w:p>
            <w:pPr>
              <w:spacing w:after="0"/>
              <w:rPr>
                <w:sz w:val="14"/>
                <w:szCs w:val="14"/>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2,440,496</w:t>
            </w: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788,720</w:t>
            </w: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789,584</w:t>
            </w: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auto"/>
              </w:rPr>
              <w:t>77,963</w:t>
            </w:r>
          </w:p>
        </w:tc>
        <w:tc>
          <w:tcPr>
            <w:tcW w:w="720" w:type="dxa"/>
            <w:vAlign w:val="bottom"/>
            <w:gridSpan w:val="2"/>
          </w:tcPr>
          <w:p>
            <w:pPr>
              <w:jc w:val="right"/>
              <w:ind w:right="80"/>
              <w:spacing w:after="0"/>
              <w:rPr>
                <w:sz w:val="20"/>
                <w:szCs w:val="20"/>
                <w:color w:val="auto"/>
              </w:rPr>
            </w:pPr>
            <w:r>
              <w:rPr>
                <w:rFonts w:ascii="Arial" w:cs="Arial" w:eastAsia="Arial" w:hAnsi="Arial"/>
                <w:sz w:val="14"/>
                <w:szCs w:val="14"/>
                <w:color w:val="auto"/>
              </w:rPr>
              <w:t>89,654</w:t>
            </w:r>
          </w:p>
        </w:tc>
        <w:tc>
          <w:tcPr>
            <w:tcW w:w="0" w:type="dxa"/>
            <w:vAlign w:val="bottom"/>
          </w:tcPr>
          <w:p>
            <w:pPr>
              <w:spacing w:after="0"/>
              <w:rPr>
                <w:sz w:val="1"/>
                <w:szCs w:val="1"/>
                <w:color w:val="auto"/>
              </w:rPr>
            </w:pPr>
          </w:p>
        </w:tc>
      </w:tr>
      <w:tr>
        <w:trPr>
          <w:trHeight w:val="143"/>
        </w:trPr>
        <w:tc>
          <w:tcPr>
            <w:tcW w:w="920" w:type="dxa"/>
            <w:vAlign w:val="bottom"/>
            <w:gridSpan w:val="2"/>
            <w:shd w:val="clear" w:color="auto" w:fill="CCEEFF"/>
          </w:tcPr>
          <w:p>
            <w:pPr>
              <w:spacing w:after="0" w:line="143" w:lineRule="exact"/>
              <w:rPr>
                <w:sz w:val="20"/>
                <w:szCs w:val="20"/>
                <w:color w:val="auto"/>
              </w:rPr>
            </w:pPr>
            <w:r>
              <w:rPr>
                <w:rFonts w:ascii="Arial" w:cs="Arial" w:eastAsia="Arial" w:hAnsi="Arial"/>
                <w:sz w:val="14"/>
                <w:szCs w:val="14"/>
                <w:color w:val="auto"/>
              </w:rPr>
              <w:t>CCR Inc. (vi)</w:t>
            </w:r>
          </w:p>
        </w:tc>
        <w:tc>
          <w:tcPr>
            <w:tcW w:w="2300" w:type="dxa"/>
            <w:vAlign w:val="bottom"/>
            <w:gridSpan w:val="2"/>
            <w:shd w:val="clear" w:color="auto" w:fill="CCEEFF"/>
          </w:tcPr>
          <w:p>
            <w:pPr>
              <w:spacing w:after="0" w:line="143" w:lineRule="exact"/>
              <w:rPr>
                <w:sz w:val="20"/>
                <w:szCs w:val="20"/>
                <w:color w:val="auto"/>
              </w:rPr>
            </w:pPr>
            <w:r>
              <w:rPr>
                <w:rFonts w:ascii="Arial" w:cs="Arial" w:eastAsia="Arial" w:hAnsi="Arial"/>
                <w:sz w:val="14"/>
                <w:szCs w:val="14"/>
                <w:color w:val="auto"/>
              </w:rPr>
              <w:t>Special purpose Entity, Bahamas</w:t>
            </w:r>
          </w:p>
        </w:tc>
        <w:tc>
          <w:tcPr>
            <w:tcW w:w="680" w:type="dxa"/>
            <w:vAlign w:val="bottom"/>
            <w:gridSpan w:val="2"/>
            <w:shd w:val="clear" w:color="auto" w:fill="CCEEFF"/>
          </w:tcPr>
          <w:p>
            <w:pPr>
              <w:jc w:val="right"/>
              <w:ind w:right="180"/>
              <w:spacing w:after="0" w:line="143" w:lineRule="exact"/>
              <w:rPr>
                <w:sz w:val="20"/>
                <w:szCs w:val="20"/>
                <w:color w:val="auto"/>
              </w:rPr>
            </w:pPr>
            <w:r>
              <w:rPr>
                <w:rFonts w:ascii="Arial" w:cs="Arial" w:eastAsia="Arial" w:hAnsi="Arial"/>
                <w:sz w:val="14"/>
                <w:szCs w:val="14"/>
                <w:color w:val="auto"/>
              </w:rPr>
              <w:t>100.00</w:t>
            </w:r>
          </w:p>
        </w:tc>
        <w:tc>
          <w:tcPr>
            <w:tcW w:w="700" w:type="dxa"/>
            <w:vAlign w:val="bottom"/>
            <w:gridSpan w:val="2"/>
            <w:shd w:val="clear" w:color="auto" w:fill="CCEEFF"/>
          </w:tcPr>
          <w:p>
            <w:pPr>
              <w:jc w:val="right"/>
              <w:ind w:right="120"/>
              <w:spacing w:after="0" w:line="143" w:lineRule="exact"/>
              <w:rPr>
                <w:sz w:val="20"/>
                <w:szCs w:val="20"/>
                <w:color w:val="auto"/>
              </w:rPr>
            </w:pPr>
            <w:r>
              <w:rPr>
                <w:rFonts w:ascii="Arial" w:cs="Arial" w:eastAsia="Arial" w:hAnsi="Arial"/>
                <w:sz w:val="14"/>
                <w:szCs w:val="14"/>
                <w:color w:val="auto"/>
              </w:rPr>
              <w:t>100.00</w:t>
            </w:r>
          </w:p>
        </w:tc>
        <w:tc>
          <w:tcPr>
            <w:tcW w:w="900" w:type="dxa"/>
            <w:vAlign w:val="bottom"/>
            <w:gridSpan w:val="2"/>
            <w:shd w:val="clear" w:color="auto" w:fill="CCEEFF"/>
          </w:tcPr>
          <w:p>
            <w:pPr>
              <w:jc w:val="right"/>
              <w:ind w:right="140"/>
              <w:spacing w:after="0" w:line="143" w:lineRule="exact"/>
              <w:rPr>
                <w:sz w:val="20"/>
                <w:szCs w:val="20"/>
                <w:color w:val="auto"/>
              </w:rPr>
            </w:pPr>
            <w:r>
              <w:rPr>
                <w:rFonts w:ascii="Arial" w:cs="Arial" w:eastAsia="Arial" w:hAnsi="Arial"/>
                <w:sz w:val="14"/>
                <w:szCs w:val="14"/>
                <w:color w:val="auto"/>
              </w:rPr>
              <w:t>667,170</w:t>
            </w:r>
          </w:p>
        </w:tc>
        <w:tc>
          <w:tcPr>
            <w:tcW w:w="900" w:type="dxa"/>
            <w:vAlign w:val="bottom"/>
            <w:gridSpan w:val="2"/>
            <w:shd w:val="clear" w:color="auto" w:fill="CCEEFF"/>
          </w:tcPr>
          <w:p>
            <w:pPr>
              <w:jc w:val="right"/>
              <w:ind w:right="140"/>
              <w:spacing w:after="0" w:line="143" w:lineRule="exact"/>
              <w:rPr>
                <w:sz w:val="20"/>
                <w:szCs w:val="20"/>
                <w:color w:val="auto"/>
              </w:rPr>
            </w:pPr>
            <w:r>
              <w:rPr>
                <w:rFonts w:ascii="Arial" w:cs="Arial" w:eastAsia="Arial" w:hAnsi="Arial"/>
                <w:sz w:val="14"/>
                <w:szCs w:val="14"/>
                <w:color w:val="auto"/>
              </w:rPr>
              <w:t>1,103,787</w:t>
            </w:r>
          </w:p>
        </w:tc>
        <w:tc>
          <w:tcPr>
            <w:tcW w:w="900" w:type="dxa"/>
            <w:vAlign w:val="bottom"/>
            <w:gridSpan w:val="2"/>
            <w:shd w:val="clear" w:color="auto" w:fill="CCEEFF"/>
          </w:tcPr>
          <w:p>
            <w:pPr>
              <w:jc w:val="right"/>
              <w:ind w:right="140"/>
              <w:spacing w:after="0" w:line="143" w:lineRule="exact"/>
              <w:rPr>
                <w:sz w:val="20"/>
                <w:szCs w:val="20"/>
                <w:color w:val="auto"/>
              </w:rPr>
            </w:pPr>
            <w:r>
              <w:rPr>
                <w:rFonts w:ascii="Arial" w:cs="Arial" w:eastAsia="Arial" w:hAnsi="Arial"/>
                <w:sz w:val="14"/>
                <w:szCs w:val="14"/>
                <w:color w:val="auto"/>
              </w:rPr>
              <w:t>670,132</w:t>
            </w:r>
          </w:p>
        </w:tc>
        <w:tc>
          <w:tcPr>
            <w:tcW w:w="900" w:type="dxa"/>
            <w:vAlign w:val="bottom"/>
            <w:gridSpan w:val="2"/>
            <w:shd w:val="clear" w:color="auto" w:fill="CCEEFF"/>
          </w:tcPr>
          <w:p>
            <w:pPr>
              <w:jc w:val="right"/>
              <w:ind w:right="160"/>
              <w:spacing w:after="0" w:line="143" w:lineRule="exact"/>
              <w:rPr>
                <w:sz w:val="20"/>
                <w:szCs w:val="20"/>
                <w:color w:val="auto"/>
              </w:rPr>
            </w:pPr>
            <w:r>
              <w:rPr>
                <w:rFonts w:ascii="Arial" w:cs="Arial" w:eastAsia="Arial" w:hAnsi="Arial"/>
                <w:sz w:val="14"/>
                <w:szCs w:val="14"/>
                <w:color w:val="auto"/>
              </w:rPr>
              <w:t>1,123,045</w:t>
            </w:r>
          </w:p>
        </w:tc>
        <w:tc>
          <w:tcPr>
            <w:tcW w:w="860" w:type="dxa"/>
            <w:vAlign w:val="bottom"/>
            <w:gridSpan w:val="2"/>
            <w:shd w:val="clear" w:color="auto" w:fill="CCEEFF"/>
          </w:tcPr>
          <w:p>
            <w:pPr>
              <w:jc w:val="right"/>
              <w:ind w:right="120"/>
              <w:spacing w:after="0" w:line="143" w:lineRule="exact"/>
              <w:rPr>
                <w:sz w:val="20"/>
                <w:szCs w:val="20"/>
                <w:color w:val="auto"/>
              </w:rPr>
            </w:pPr>
            <w:r>
              <w:rPr>
                <w:rFonts w:ascii="Arial" w:cs="Arial" w:eastAsia="Arial" w:hAnsi="Arial"/>
                <w:sz w:val="14"/>
                <w:szCs w:val="14"/>
                <w:color w:val="auto"/>
              </w:rPr>
              <w:t>(2,962)</w:t>
            </w:r>
          </w:p>
        </w:tc>
        <w:tc>
          <w:tcPr>
            <w:tcW w:w="860" w:type="dxa"/>
            <w:vAlign w:val="bottom"/>
            <w:gridSpan w:val="2"/>
            <w:shd w:val="clear" w:color="auto" w:fill="CCEEFF"/>
          </w:tcPr>
          <w:p>
            <w:pPr>
              <w:jc w:val="right"/>
              <w:ind w:right="120"/>
              <w:spacing w:after="0" w:line="143" w:lineRule="exact"/>
              <w:rPr>
                <w:sz w:val="20"/>
                <w:szCs w:val="20"/>
                <w:color w:val="auto"/>
              </w:rPr>
            </w:pPr>
            <w:r>
              <w:rPr>
                <w:rFonts w:ascii="Arial" w:cs="Arial" w:eastAsia="Arial" w:hAnsi="Arial"/>
                <w:sz w:val="14"/>
                <w:szCs w:val="14"/>
                <w:color w:val="auto"/>
              </w:rPr>
              <w:t>(19,258)</w:t>
            </w:r>
          </w:p>
        </w:tc>
        <w:tc>
          <w:tcPr>
            <w:tcW w:w="780" w:type="dxa"/>
            <w:vAlign w:val="bottom"/>
            <w:gridSpan w:val="2"/>
            <w:shd w:val="clear" w:color="auto" w:fill="CCEEFF"/>
          </w:tcPr>
          <w:p>
            <w:pPr>
              <w:jc w:val="right"/>
              <w:ind w:right="140"/>
              <w:spacing w:after="0" w:line="143" w:lineRule="exact"/>
              <w:rPr>
                <w:sz w:val="20"/>
                <w:szCs w:val="20"/>
                <w:color w:val="auto"/>
              </w:rPr>
            </w:pPr>
            <w:r>
              <w:rPr>
                <w:rFonts w:ascii="Arial" w:cs="Arial" w:eastAsia="Arial" w:hAnsi="Arial"/>
                <w:sz w:val="14"/>
                <w:szCs w:val="14"/>
                <w:color w:val="auto"/>
              </w:rPr>
              <w:t>14,018</w:t>
            </w:r>
          </w:p>
        </w:tc>
        <w:tc>
          <w:tcPr>
            <w:tcW w:w="720" w:type="dxa"/>
            <w:vAlign w:val="bottom"/>
            <w:gridSpan w:val="2"/>
            <w:shd w:val="clear" w:color="auto" w:fill="CCEEFF"/>
          </w:tcPr>
          <w:p>
            <w:pPr>
              <w:jc w:val="right"/>
              <w:ind w:right="20"/>
              <w:spacing w:after="0" w:line="143" w:lineRule="exact"/>
              <w:rPr>
                <w:sz w:val="20"/>
                <w:szCs w:val="20"/>
                <w:color w:val="auto"/>
              </w:rPr>
            </w:pPr>
            <w:r>
              <w:rPr>
                <w:rFonts w:ascii="Arial" w:cs="Arial" w:eastAsia="Arial" w:hAnsi="Arial"/>
                <w:sz w:val="14"/>
                <w:szCs w:val="14"/>
                <w:color w:val="auto"/>
              </w:rPr>
              <w:t>(39)</w:t>
            </w:r>
          </w:p>
        </w:tc>
        <w:tc>
          <w:tcPr>
            <w:tcW w:w="0" w:type="dxa"/>
            <w:vAlign w:val="bottom"/>
          </w:tcPr>
          <w:p>
            <w:pPr>
              <w:spacing w:after="0"/>
              <w:rPr>
                <w:sz w:val="1"/>
                <w:szCs w:val="1"/>
                <w:color w:val="auto"/>
              </w:rPr>
            </w:pPr>
          </w:p>
        </w:tc>
      </w:tr>
      <w:tr>
        <w:trPr>
          <w:trHeight w:val="124"/>
        </w:trPr>
        <w:tc>
          <w:tcPr>
            <w:tcW w:w="920" w:type="dxa"/>
            <w:vAlign w:val="bottom"/>
            <w:gridSpan w:val="2"/>
          </w:tcPr>
          <w:p>
            <w:pPr>
              <w:spacing w:after="0" w:line="125" w:lineRule="exact"/>
              <w:rPr>
                <w:sz w:val="20"/>
                <w:szCs w:val="20"/>
                <w:color w:val="auto"/>
              </w:rPr>
            </w:pPr>
            <w:r>
              <w:rPr>
                <w:rFonts w:ascii="Arial" w:cs="Arial" w:eastAsia="Arial" w:hAnsi="Arial"/>
                <w:sz w:val="14"/>
                <w:szCs w:val="14"/>
                <w:color w:val="auto"/>
              </w:rPr>
              <w:t>Prima AFP</w:t>
            </w:r>
          </w:p>
        </w:tc>
        <w:tc>
          <w:tcPr>
            <w:tcW w:w="2300" w:type="dxa"/>
            <w:vAlign w:val="bottom"/>
            <w:gridSpan w:val="2"/>
          </w:tcPr>
          <w:p>
            <w:pPr>
              <w:spacing w:after="0" w:line="125" w:lineRule="exact"/>
              <w:rPr>
                <w:sz w:val="20"/>
                <w:szCs w:val="20"/>
                <w:color w:val="auto"/>
              </w:rPr>
            </w:pPr>
            <w:r>
              <w:rPr>
                <w:rFonts w:ascii="Arial" w:cs="Arial" w:eastAsia="Arial" w:hAnsi="Arial"/>
                <w:sz w:val="14"/>
                <w:szCs w:val="14"/>
                <w:color w:val="auto"/>
              </w:rPr>
              <w:t>Private pension fund administrator,</w:t>
            </w:r>
          </w:p>
        </w:tc>
        <w:tc>
          <w:tcPr>
            <w:tcW w:w="5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1"/>
        </w:trPr>
        <w:tc>
          <w:tcPr>
            <w:tcW w:w="920" w:type="dxa"/>
            <w:vAlign w:val="bottom"/>
            <w:gridSpan w:val="2"/>
          </w:tcPr>
          <w:p>
            <w:pPr>
              <w:spacing w:after="0"/>
              <w:rPr>
                <w:sz w:val="20"/>
                <w:szCs w:val="20"/>
                <w:color w:val="auto"/>
              </w:rPr>
            </w:pPr>
            <w:r>
              <w:rPr>
                <w:rFonts w:ascii="Arial" w:cs="Arial" w:eastAsia="Arial" w:hAnsi="Arial"/>
                <w:sz w:val="14"/>
                <w:szCs w:val="14"/>
                <w:color w:val="auto"/>
              </w:rPr>
              <w:t>S.A. (vii)</w:t>
            </w:r>
          </w:p>
        </w:tc>
        <w:tc>
          <w:tcPr>
            <w:tcW w:w="2300" w:type="dxa"/>
            <w:vAlign w:val="bottom"/>
            <w:gridSpan w:val="2"/>
          </w:tcPr>
          <w:p>
            <w:pPr>
              <w:spacing w:after="0"/>
              <w:rPr>
                <w:sz w:val="20"/>
                <w:szCs w:val="20"/>
                <w:color w:val="auto"/>
              </w:rPr>
            </w:pPr>
            <w:r>
              <w:rPr>
                <w:rFonts w:ascii="Arial" w:cs="Arial" w:eastAsia="Arial" w:hAnsi="Arial"/>
                <w:sz w:val="14"/>
                <w:szCs w:val="14"/>
                <w:color w:val="auto"/>
              </w:rPr>
              <w:t>Peru</w:t>
            </w:r>
          </w:p>
        </w:tc>
        <w:tc>
          <w:tcPr>
            <w:tcW w:w="680" w:type="dxa"/>
            <w:vAlign w:val="bottom"/>
            <w:gridSpan w:val="2"/>
          </w:tcPr>
          <w:p>
            <w:pPr>
              <w:jc w:val="right"/>
              <w:ind w:right="180"/>
              <w:spacing w:after="0"/>
              <w:rPr>
                <w:sz w:val="20"/>
                <w:szCs w:val="20"/>
                <w:color w:val="auto"/>
              </w:rPr>
            </w:pPr>
            <w:r>
              <w:rPr>
                <w:rFonts w:ascii="Arial" w:cs="Arial" w:eastAsia="Arial" w:hAnsi="Arial"/>
                <w:sz w:val="14"/>
                <w:szCs w:val="14"/>
                <w:color w:val="auto"/>
              </w:rPr>
              <w:t>100.00</w:t>
            </w:r>
          </w:p>
        </w:tc>
        <w:tc>
          <w:tcPr>
            <w:tcW w:w="700" w:type="dxa"/>
            <w:vAlign w:val="bottom"/>
            <w:gridSpan w:val="2"/>
          </w:tcPr>
          <w:p>
            <w:pPr>
              <w:jc w:val="right"/>
              <w:ind w:right="120"/>
              <w:spacing w:after="0"/>
              <w:rPr>
                <w:sz w:val="20"/>
                <w:szCs w:val="20"/>
                <w:color w:val="auto"/>
              </w:rPr>
            </w:pPr>
            <w:r>
              <w:rPr>
                <w:rFonts w:ascii="Arial" w:cs="Arial" w:eastAsia="Arial" w:hAnsi="Arial"/>
                <w:sz w:val="14"/>
                <w:szCs w:val="14"/>
                <w:color w:val="auto"/>
              </w:rPr>
              <w:t>100.00</w:t>
            </w: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882,917</w:t>
            </w: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883,893</w:t>
            </w: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263,717</w:t>
            </w: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277,899</w:t>
            </w: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619,200</w:t>
            </w: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605,994</w:t>
            </w: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auto"/>
              </w:rPr>
              <w:t>140,082</w:t>
            </w:r>
          </w:p>
        </w:tc>
        <w:tc>
          <w:tcPr>
            <w:tcW w:w="720" w:type="dxa"/>
            <w:vAlign w:val="bottom"/>
            <w:gridSpan w:val="2"/>
          </w:tcPr>
          <w:p>
            <w:pPr>
              <w:jc w:val="right"/>
              <w:ind w:right="80"/>
              <w:spacing w:after="0"/>
              <w:rPr>
                <w:sz w:val="20"/>
                <w:szCs w:val="20"/>
                <w:color w:val="auto"/>
              </w:rPr>
            </w:pPr>
            <w:r>
              <w:rPr>
                <w:rFonts w:ascii="Arial" w:cs="Arial" w:eastAsia="Arial" w:hAnsi="Arial"/>
                <w:sz w:val="14"/>
                <w:szCs w:val="14"/>
                <w:color w:val="auto"/>
              </w:rPr>
              <w:t>155,813</w:t>
            </w:r>
          </w:p>
        </w:tc>
        <w:tc>
          <w:tcPr>
            <w:tcW w:w="0" w:type="dxa"/>
            <w:vAlign w:val="bottom"/>
          </w:tcPr>
          <w:p>
            <w:pPr>
              <w:spacing w:after="0"/>
              <w:rPr>
                <w:sz w:val="1"/>
                <w:szCs w:val="1"/>
                <w:color w:val="auto"/>
              </w:rPr>
            </w:pPr>
          </w:p>
        </w:tc>
      </w:tr>
      <w:tr>
        <w:trPr>
          <w:trHeight w:val="124"/>
        </w:trPr>
        <w:tc>
          <w:tcPr>
            <w:tcW w:w="920" w:type="dxa"/>
            <w:vAlign w:val="bottom"/>
            <w:gridSpan w:val="2"/>
            <w:shd w:val="clear" w:color="auto" w:fill="CCEEFF"/>
          </w:tcPr>
          <w:p>
            <w:pPr>
              <w:spacing w:after="0" w:line="125" w:lineRule="exact"/>
              <w:rPr>
                <w:sz w:val="20"/>
                <w:szCs w:val="20"/>
                <w:color w:val="auto"/>
              </w:rPr>
            </w:pPr>
            <w:r>
              <w:rPr>
                <w:rFonts w:ascii="Arial" w:cs="Arial" w:eastAsia="Arial" w:hAnsi="Arial"/>
                <w:sz w:val="14"/>
                <w:szCs w:val="14"/>
                <w:color w:val="auto"/>
              </w:rPr>
              <w:t>Grupo Crédito</w:t>
            </w:r>
          </w:p>
        </w:tc>
        <w:tc>
          <w:tcPr>
            <w:tcW w:w="2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1"/>
        </w:trPr>
        <w:tc>
          <w:tcPr>
            <w:tcW w:w="9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S.A (viii)</w:t>
            </w:r>
          </w:p>
        </w:tc>
        <w:tc>
          <w:tcPr>
            <w:tcW w:w="23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Holding, Peru</w:t>
            </w: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100.00</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100.00</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208,049</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167,397</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241,237</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534,552</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(33,188)</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(367,155)</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(31,089)</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(15,575)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- 22 -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15875</wp:posOffset>
            </wp:positionV>
            <wp:extent cx="725170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1700" cy="8255"/>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28" w:name="page29"/>
    <w:bookmarkEnd w:id="28"/>
    <w:p>
      <w:pPr>
        <w:ind w:left="304" w:right="40" w:hanging="304"/>
        <w:spacing w:after="0" w:line="285" w:lineRule="auto"/>
        <w:tabs>
          <w:tab w:leader="none" w:pos="304" w:val="left"/>
        </w:tabs>
        <w:numPr>
          <w:ilvl w:val="0"/>
          <w:numId w:val="17"/>
        </w:numPr>
        <w:rPr>
          <w:rFonts w:ascii="Arial" w:cs="Arial" w:eastAsia="Arial" w:hAnsi="Arial"/>
          <w:sz w:val="17"/>
          <w:szCs w:val="17"/>
          <w:color w:val="auto"/>
        </w:rPr>
      </w:pPr>
      <w:r>
        <w:rPr>
          <w:rFonts w:ascii="Arial" w:cs="Arial" w:eastAsia="Arial" w:hAnsi="Arial"/>
          <w:sz w:val="17"/>
          <w:szCs w:val="17"/>
          <w:color w:val="auto"/>
        </w:rPr>
        <w:t>BCP was incorporated in 1889 and its activities are regulated by the Superintendence of Banking, Insurance and AFP (the Peruvian banking, insurance and AFP regulator, hereinafter “the SBS” for its Spanish acronym).</w:t>
      </w:r>
    </w:p>
    <w:p>
      <w:pPr>
        <w:spacing w:after="0" w:line="159" w:lineRule="exact"/>
        <w:rPr>
          <w:rFonts w:ascii="Arial" w:cs="Arial" w:eastAsia="Arial" w:hAnsi="Arial"/>
          <w:sz w:val="17"/>
          <w:szCs w:val="17"/>
          <w:color w:val="auto"/>
        </w:rPr>
      </w:pPr>
    </w:p>
    <w:p>
      <w:pPr>
        <w:ind w:left="304"/>
        <w:spacing w:after="0" w:line="265" w:lineRule="auto"/>
        <w:rPr>
          <w:rFonts w:ascii="Arial" w:cs="Arial" w:eastAsia="Arial" w:hAnsi="Arial"/>
          <w:sz w:val="17"/>
          <w:szCs w:val="17"/>
          <w:color w:val="auto"/>
        </w:rPr>
      </w:pPr>
      <w:r>
        <w:rPr>
          <w:rFonts w:ascii="Arial" w:cs="Arial" w:eastAsia="Arial" w:hAnsi="Arial"/>
          <w:sz w:val="17"/>
          <w:szCs w:val="17"/>
          <w:color w:val="auto"/>
        </w:rPr>
        <w:t>At December 31, 2017, and 2016, its main Subsidiary is Mibanco, Banco de la Microempresa S.A. (hereinafter “Mibanco”), a banking entity in Peru oriented towards the micro and small business sector. At December 31, 2017, the assets, liabilities, equity and net income of Mibanco amount to approximately S/12,363.0 million, S/10,666.5 million, S/1,696.5 million and S/399.1 million, respectively (S/11,234.9 million, S/9,658.3 million, S/1,576.6 million, and S/336.0 million, respectively at December 31, 2016).</w:t>
      </w:r>
    </w:p>
    <w:p>
      <w:pPr>
        <w:spacing w:after="0" w:line="176" w:lineRule="exact"/>
        <w:rPr>
          <w:rFonts w:ascii="Arial" w:cs="Arial" w:eastAsia="Arial" w:hAnsi="Arial"/>
          <w:sz w:val="17"/>
          <w:szCs w:val="17"/>
          <w:color w:val="auto"/>
        </w:rPr>
      </w:pPr>
    </w:p>
    <w:p>
      <w:pPr>
        <w:ind w:left="304" w:right="740" w:hanging="304"/>
        <w:spacing w:after="0" w:line="285" w:lineRule="auto"/>
        <w:tabs>
          <w:tab w:leader="none" w:pos="304" w:val="left"/>
        </w:tabs>
        <w:numPr>
          <w:ilvl w:val="0"/>
          <w:numId w:val="17"/>
        </w:numPr>
        <w:rPr>
          <w:rFonts w:ascii="Arial" w:cs="Arial" w:eastAsia="Arial" w:hAnsi="Arial"/>
          <w:sz w:val="17"/>
          <w:szCs w:val="17"/>
          <w:color w:val="auto"/>
        </w:rPr>
      </w:pPr>
      <w:r>
        <w:rPr>
          <w:rFonts w:ascii="Arial" w:cs="Arial" w:eastAsia="Arial" w:hAnsi="Arial"/>
          <w:sz w:val="17"/>
          <w:szCs w:val="17"/>
          <w:color w:val="auto"/>
        </w:rPr>
        <w:t>Pacífico Seguros is an entity regulated by the SBS and its activities comprise the contracting and management of all types of general risk and life insurance, reinsurance and property investment and financial operations.</w:t>
      </w:r>
    </w:p>
    <w:p>
      <w:pPr>
        <w:spacing w:after="0" w:line="159" w:lineRule="exact"/>
        <w:rPr>
          <w:rFonts w:ascii="Arial" w:cs="Arial" w:eastAsia="Arial" w:hAnsi="Arial"/>
          <w:sz w:val="17"/>
          <w:szCs w:val="17"/>
          <w:color w:val="auto"/>
        </w:rPr>
      </w:pPr>
    </w:p>
    <w:p>
      <w:pPr>
        <w:ind w:left="304" w:right="520"/>
        <w:spacing w:after="0" w:line="285" w:lineRule="auto"/>
        <w:rPr>
          <w:rFonts w:ascii="Arial" w:cs="Arial" w:eastAsia="Arial" w:hAnsi="Arial"/>
          <w:sz w:val="17"/>
          <w:szCs w:val="17"/>
          <w:color w:val="auto"/>
        </w:rPr>
      </w:pPr>
      <w:r>
        <w:rPr>
          <w:rFonts w:ascii="Arial" w:cs="Arial" w:eastAsia="Arial" w:hAnsi="Arial"/>
          <w:sz w:val="17"/>
          <w:szCs w:val="17"/>
          <w:color w:val="auto"/>
        </w:rPr>
        <w:t>Its Subsidiaries are Crediseguro Seguros Personales and Crediseguro Seguros Generales, and it has Pacífico EPS as an associate, which are dynamic participants in the business of multiple and health insurance, respectively.</w:t>
      </w:r>
    </w:p>
    <w:p>
      <w:pPr>
        <w:spacing w:after="0" w:line="159" w:lineRule="exact"/>
        <w:rPr>
          <w:rFonts w:ascii="Arial" w:cs="Arial" w:eastAsia="Arial" w:hAnsi="Arial"/>
          <w:sz w:val="17"/>
          <w:szCs w:val="17"/>
          <w:color w:val="auto"/>
        </w:rPr>
      </w:pPr>
    </w:p>
    <w:p>
      <w:pPr>
        <w:ind w:left="304" w:right="200" w:hanging="304"/>
        <w:spacing w:after="0" w:line="265" w:lineRule="auto"/>
        <w:tabs>
          <w:tab w:leader="none" w:pos="304" w:val="left"/>
        </w:tabs>
        <w:numPr>
          <w:ilvl w:val="0"/>
          <w:numId w:val="17"/>
        </w:numPr>
        <w:rPr>
          <w:rFonts w:ascii="Arial" w:cs="Arial" w:eastAsia="Arial" w:hAnsi="Arial"/>
          <w:sz w:val="17"/>
          <w:szCs w:val="17"/>
          <w:color w:val="auto"/>
        </w:rPr>
      </w:pPr>
      <w:r>
        <w:rPr>
          <w:rFonts w:ascii="Arial" w:cs="Arial" w:eastAsia="Arial" w:hAnsi="Arial"/>
          <w:sz w:val="17"/>
          <w:szCs w:val="17"/>
          <w:color w:val="auto"/>
        </w:rPr>
        <w:t>ICBSA was established in February 2013 and its objective is to make capital investments for its own account or for account of third parties in companies and other entities providing financial services, exercising or determining the management, administration, control and representation thereof, both nationally and abroad, for which it can invest in capital markets, insurance, asset management, pension funds and other related financial and/or stock exchange products.</w:t>
      </w:r>
    </w:p>
    <w:p>
      <w:pPr>
        <w:spacing w:after="0" w:line="176" w:lineRule="exact"/>
        <w:rPr>
          <w:rFonts w:ascii="Arial" w:cs="Arial" w:eastAsia="Arial" w:hAnsi="Arial"/>
          <w:sz w:val="17"/>
          <w:szCs w:val="17"/>
          <w:color w:val="auto"/>
        </w:rPr>
      </w:pPr>
    </w:p>
    <w:p>
      <w:pPr>
        <w:ind w:left="304" w:right="620"/>
        <w:spacing w:after="0" w:line="270" w:lineRule="auto"/>
        <w:rPr>
          <w:rFonts w:ascii="Arial" w:cs="Arial" w:eastAsia="Arial" w:hAnsi="Arial"/>
          <w:sz w:val="17"/>
          <w:szCs w:val="17"/>
          <w:color w:val="auto"/>
        </w:rPr>
      </w:pPr>
      <w:r>
        <w:rPr>
          <w:rFonts w:ascii="Arial" w:cs="Arial" w:eastAsia="Arial" w:hAnsi="Arial"/>
          <w:sz w:val="17"/>
          <w:szCs w:val="17"/>
          <w:color w:val="auto"/>
        </w:rPr>
        <w:t>At December 31, 2017 and 2016, its principal Subsidiary is BCB, a commercial bank which operates in Bolivia. At December 31, 2017, the assets, liabilities, equity and net profit of BCB were approximately S/9,118.4 million, S/8,481.7 million, S/636.7 million and S/75.4 million, respectively (S/7,949.2 million, S/7,238.5 million, S/620.7 million and S/80.7 million, respectively at December 31, 2016).</w:t>
      </w:r>
    </w:p>
    <w:p>
      <w:pPr>
        <w:spacing w:after="0" w:line="171" w:lineRule="exact"/>
        <w:rPr>
          <w:rFonts w:ascii="Arial" w:cs="Arial" w:eastAsia="Arial" w:hAnsi="Arial"/>
          <w:sz w:val="17"/>
          <w:szCs w:val="17"/>
          <w:color w:val="auto"/>
        </w:rPr>
      </w:pPr>
    </w:p>
    <w:p>
      <w:pPr>
        <w:jc w:val="both"/>
        <w:ind w:left="304" w:right="140" w:hanging="304"/>
        <w:spacing w:after="0" w:line="270" w:lineRule="auto"/>
        <w:tabs>
          <w:tab w:leader="none" w:pos="304" w:val="left"/>
        </w:tabs>
        <w:numPr>
          <w:ilvl w:val="0"/>
          <w:numId w:val="17"/>
        </w:numPr>
        <w:rPr>
          <w:rFonts w:ascii="Arial" w:cs="Arial" w:eastAsia="Arial" w:hAnsi="Arial"/>
          <w:sz w:val="17"/>
          <w:szCs w:val="17"/>
          <w:color w:val="auto"/>
        </w:rPr>
      </w:pPr>
      <w:r>
        <w:rPr>
          <w:rFonts w:ascii="Arial" w:cs="Arial" w:eastAsia="Arial" w:hAnsi="Arial"/>
          <w:sz w:val="17"/>
          <w:szCs w:val="17"/>
          <w:color w:val="auto"/>
        </w:rPr>
        <w:t>Its most important Subsidiary is Atlantic Security Bank (ASB), which is incorporated in the Cayman Islands and operates through branches and offices in Grand Cayman and the Republic of Panama; its main activities are private and institutional banking services and trustee administration, mainly for BCP’s Peruvian customers</w:t>
      </w:r>
    </w:p>
    <w:p>
      <w:pPr>
        <w:spacing w:after="0" w:line="171" w:lineRule="exact"/>
        <w:rPr>
          <w:rFonts w:ascii="Arial" w:cs="Arial" w:eastAsia="Arial" w:hAnsi="Arial"/>
          <w:sz w:val="17"/>
          <w:szCs w:val="17"/>
          <w:color w:val="auto"/>
        </w:rPr>
      </w:pPr>
    </w:p>
    <w:p>
      <w:pPr>
        <w:ind w:left="304" w:right="80" w:hanging="304"/>
        <w:spacing w:after="0" w:line="270" w:lineRule="auto"/>
        <w:tabs>
          <w:tab w:leader="none" w:pos="304" w:val="left"/>
        </w:tabs>
        <w:numPr>
          <w:ilvl w:val="0"/>
          <w:numId w:val="17"/>
        </w:numPr>
        <w:rPr>
          <w:rFonts w:ascii="Arial" w:cs="Arial" w:eastAsia="Arial" w:hAnsi="Arial"/>
          <w:sz w:val="17"/>
          <w:szCs w:val="17"/>
          <w:color w:val="auto"/>
        </w:rPr>
      </w:pPr>
      <w:r>
        <w:rPr>
          <w:rFonts w:ascii="Arial" w:cs="Arial" w:eastAsia="Arial" w:hAnsi="Arial"/>
          <w:sz w:val="17"/>
          <w:szCs w:val="17"/>
          <w:color w:val="auto"/>
        </w:rPr>
        <w:t>Credicorp Capital Ltd. was formed in 2012, and its main subsidiaries are Credicorp Capital Holding Chile (owner of Inversiones IMT), Credicorp Capital Holding Colombia (owner of Credicorp Capital Colombia), and Credicorp Capital Holding Peru (owner of Credicorp Capital Peru S.A.A.), which develop their activities in Chile, Colombia and Peru, respectively.</w:t>
      </w:r>
    </w:p>
    <w:p>
      <w:pPr>
        <w:spacing w:after="0" w:line="171" w:lineRule="exact"/>
        <w:rPr>
          <w:rFonts w:ascii="Arial" w:cs="Arial" w:eastAsia="Arial" w:hAnsi="Arial"/>
          <w:sz w:val="17"/>
          <w:szCs w:val="17"/>
          <w:color w:val="auto"/>
        </w:rPr>
      </w:pPr>
    </w:p>
    <w:p>
      <w:pPr>
        <w:ind w:left="304" w:right="40"/>
        <w:spacing w:after="0" w:line="283" w:lineRule="auto"/>
        <w:rPr>
          <w:rFonts w:ascii="Arial" w:cs="Arial" w:eastAsia="Arial" w:hAnsi="Arial"/>
          <w:sz w:val="17"/>
          <w:szCs w:val="17"/>
          <w:color w:val="auto"/>
        </w:rPr>
      </w:pPr>
      <w:r>
        <w:rPr>
          <w:rFonts w:ascii="Arial" w:cs="Arial" w:eastAsia="Arial" w:hAnsi="Arial"/>
          <w:sz w:val="16"/>
          <w:szCs w:val="16"/>
          <w:color w:val="auto"/>
        </w:rPr>
        <w:t>At December 31, 2017 and 2016, Credicorp Capital Ltd. directly and indirectly holds 100.00 percent of the share capital of Inversiones IMT and Credicorp Capital Colombia. At December 31, 2017, the assets, liabilities, equity and net profit of Inversiones IMT total approximately S/1,123.4 million, S/964.8 million, S/158.6 million and S/20.8 million, respectively (S/987.5 million, S/840.4 million, S/147.1 million and S/23.7 million, respectively at December 31, 2016); and those of Credicorp Capital Colombia total approximately S/1,667.0 million, S/1,522.2 million, S/144.8 million and S/18.8 million, respectively (S/1,496.5 million, S/1,346.2 million, S/150.3 million and S/24.2 million, respectively at December 31, 2016).</w:t>
      </w:r>
    </w:p>
    <w:p>
      <w:pPr>
        <w:spacing w:after="0" w:line="162" w:lineRule="exact"/>
        <w:rPr>
          <w:rFonts w:ascii="Arial" w:cs="Arial" w:eastAsia="Arial" w:hAnsi="Arial"/>
          <w:sz w:val="17"/>
          <w:szCs w:val="17"/>
          <w:color w:val="auto"/>
        </w:rPr>
      </w:pPr>
    </w:p>
    <w:p>
      <w:pPr>
        <w:ind w:left="304" w:right="100"/>
        <w:spacing w:after="0" w:line="265" w:lineRule="auto"/>
        <w:rPr>
          <w:rFonts w:ascii="Arial" w:cs="Arial" w:eastAsia="Arial" w:hAnsi="Arial"/>
          <w:sz w:val="17"/>
          <w:szCs w:val="17"/>
          <w:color w:val="auto"/>
        </w:rPr>
      </w:pPr>
      <w:r>
        <w:rPr>
          <w:rFonts w:ascii="Arial" w:cs="Arial" w:eastAsia="Arial" w:hAnsi="Arial"/>
          <w:sz w:val="17"/>
          <w:szCs w:val="17"/>
          <w:color w:val="auto"/>
        </w:rPr>
        <w:t>At December 31, 2017 and 2016, Credicorp Capital Ltd. directly holds 100.0 percent of the share capital of Credicorp Capital Holding Perú. At December 31, 2017, the assets, liabilities, equity and net profit of Credicorp Capital Holding Perú and Subsidiaries total approximately S/303.1 million, S/121.3 million, S/181.8 million and S/28.6 million, respectively (S/236.0 million, S/56.5 million, S/179.5 million and S/19.3 million, respectively, at December 31, 2016).</w:t>
      </w:r>
    </w:p>
    <w:p>
      <w:pPr>
        <w:spacing w:after="0" w:line="383" w:lineRule="exact"/>
        <w:rPr>
          <w:rFonts w:ascii="Arial" w:cs="Arial" w:eastAsia="Arial" w:hAnsi="Arial"/>
          <w:sz w:val="17"/>
          <w:szCs w:val="17"/>
          <w:color w:val="auto"/>
        </w:rPr>
      </w:pPr>
    </w:p>
    <w:p>
      <w:pPr>
        <w:ind w:left="5324" w:hanging="107"/>
        <w:spacing w:after="0"/>
        <w:tabs>
          <w:tab w:leader="none" w:pos="5324" w:val="left"/>
        </w:tabs>
        <w:numPr>
          <w:ilvl w:val="1"/>
          <w:numId w:val="17"/>
        </w:numPr>
        <w:rPr>
          <w:rFonts w:ascii="Arial" w:cs="Arial" w:eastAsia="Arial" w:hAnsi="Arial"/>
          <w:sz w:val="17"/>
          <w:szCs w:val="17"/>
          <w:color w:val="auto"/>
        </w:rPr>
      </w:pPr>
      <w:r>
        <w:rPr>
          <w:rFonts w:ascii="Arial" w:cs="Arial" w:eastAsia="Arial" w:hAnsi="Arial"/>
          <w:sz w:val="17"/>
          <w:szCs w:val="17"/>
          <w:color w:val="auto"/>
        </w:rPr>
        <w:t>23 -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-197485</wp:posOffset>
            </wp:positionH>
            <wp:positionV relativeFrom="paragraph">
              <wp:posOffset>15875</wp:posOffset>
            </wp:positionV>
            <wp:extent cx="725170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1700" cy="8255"/>
                    </a:xfrm>
                    <a:prstGeom prst="rect">
                      <a:avLst/>
                    </a:prstGeom>
                    <a:noFill/>
                  </pic:spPr>
                </pic:pic>
              </a:graphicData>
            </a:graphic>
          </wp:anchor>
        </w:drawing>
      </w:r>
    </w:p>
    <w:p>
      <w:pPr>
        <w:sectPr>
          <w:pgSz w:w="11900" w:h="16838" w:orient="portrait"/>
          <w:cols w:equalWidth="0" w:num="1">
            <w:col w:w="11104"/>
          </w:cols>
          <w:pgMar w:left="556" w:top="881" w:right="239" w:bottom="1440" w:gutter="0" w:footer="0" w:header="0"/>
        </w:sectPr>
      </w:pPr>
    </w:p>
    <w:bookmarkStart w:id="29" w:name="page30"/>
    <w:bookmarkEnd w:id="29"/>
    <w:p>
      <w:pPr>
        <w:ind w:left="616" w:right="240"/>
        <w:spacing w:after="0" w:line="286" w:lineRule="auto"/>
        <w:rPr>
          <w:sz w:val="20"/>
          <w:szCs w:val="20"/>
          <w:color w:val="auto"/>
        </w:rPr>
      </w:pPr>
      <w:r>
        <w:rPr>
          <w:rFonts w:ascii="Arial" w:cs="Arial" w:eastAsia="Arial" w:hAnsi="Arial"/>
          <w:sz w:val="16"/>
          <w:szCs w:val="16"/>
          <w:color w:val="auto"/>
        </w:rPr>
        <w:t>Credicorp Capital Perú has the principal function of a holding company of shares, participations, and securities in general, provision of financial and corporate advisory services, and property investment. At December 31, 2017 and 2016, respectively, Credicorp Capital Peru holds as Subsidiaries, Credicorp Capital Sociedad Agente de Bolsa S.A., Credicorp Capital S.A. Sociedad Administradora de Fondos, Credicorp Capital Servicios Financieros S.A. and Credicorp Capital Sociedad Titulizadora S.A., member companies of the Investment Banking Group in Peru.</w:t>
      </w:r>
    </w:p>
    <w:p>
      <w:pPr>
        <w:spacing w:after="0" w:line="162" w:lineRule="exact"/>
        <w:rPr>
          <w:sz w:val="20"/>
          <w:szCs w:val="20"/>
          <w:color w:val="auto"/>
        </w:rPr>
      </w:pPr>
    </w:p>
    <w:p>
      <w:pPr>
        <w:jc w:val="both"/>
        <w:ind w:left="616" w:right="180" w:hanging="304"/>
        <w:spacing w:after="0" w:line="265" w:lineRule="auto"/>
        <w:tabs>
          <w:tab w:leader="none" w:pos="616" w:val="left"/>
        </w:tabs>
        <w:numPr>
          <w:ilvl w:val="0"/>
          <w:numId w:val="18"/>
        </w:numPr>
        <w:rPr>
          <w:rFonts w:ascii="Arial" w:cs="Arial" w:eastAsia="Arial" w:hAnsi="Arial"/>
          <w:sz w:val="17"/>
          <w:szCs w:val="17"/>
          <w:color w:val="auto"/>
        </w:rPr>
      </w:pPr>
      <w:r>
        <w:rPr>
          <w:rFonts w:ascii="Arial" w:cs="Arial" w:eastAsia="Arial" w:hAnsi="Arial"/>
          <w:sz w:val="17"/>
          <w:szCs w:val="17"/>
          <w:color w:val="auto"/>
        </w:rPr>
        <w:t>CCR Inc. was incorporated in 2000, its main activity is to manage loans granted to BCP by foreign financial entities, See Note 16(a)(iii). These loans are collateralized by transactions performed by BCP. At December 31, 2017 and 2016, the negative equity balance consists mainly of an accumulated loss of S/17.0 million and a profit for the period of S/14.0 million (an accumulated loss of S/17.0 million and an unrealized loss of S/2.3 million from cash flow hedge derivatives, at December 31, 2016).</w:t>
      </w:r>
    </w:p>
    <w:p>
      <w:pPr>
        <w:spacing w:after="0" w:line="176" w:lineRule="exact"/>
        <w:rPr>
          <w:sz w:val="20"/>
          <w:szCs w:val="20"/>
          <w:color w:val="auto"/>
        </w:rPr>
      </w:pPr>
    </w:p>
    <w:p>
      <w:pPr>
        <w:ind w:left="316"/>
        <w:spacing w:after="0"/>
        <w:rPr>
          <w:sz w:val="20"/>
          <w:szCs w:val="20"/>
          <w:color w:val="auto"/>
        </w:rPr>
      </w:pPr>
      <w:r>
        <w:rPr>
          <w:rFonts w:ascii="Arial" w:cs="Arial" w:eastAsia="Arial" w:hAnsi="Arial"/>
          <w:sz w:val="17"/>
          <w:szCs w:val="17"/>
          <w:color w:val="auto"/>
        </w:rPr>
        <w:t>(vii)Prima AFP is a private pension fund and its activities are regulated by the SBS.</w:t>
      </w:r>
    </w:p>
    <w:p>
      <w:pPr>
        <w:spacing w:after="0" w:line="220" w:lineRule="exact"/>
        <w:rPr>
          <w:sz w:val="20"/>
          <w:szCs w:val="20"/>
          <w:color w:val="auto"/>
        </w:rPr>
      </w:pPr>
    </w:p>
    <w:p>
      <w:pPr>
        <w:jc w:val="center"/>
        <w:ind w:left="360" w:right="200"/>
        <w:spacing w:after="0" w:line="318" w:lineRule="auto"/>
        <w:rPr>
          <w:sz w:val="20"/>
          <w:szCs w:val="20"/>
          <w:color w:val="auto"/>
        </w:rPr>
      </w:pPr>
      <w:r>
        <w:rPr>
          <w:rFonts w:ascii="Arial" w:cs="Arial" w:eastAsia="Arial" w:hAnsi="Arial"/>
          <w:sz w:val="16"/>
          <w:szCs w:val="16"/>
          <w:color w:val="auto"/>
        </w:rPr>
        <w:t>(viii)Grupo Crédito is a company mainly engaged in shares listed in Peru and unlisted shares of Peruvian companies. It also holds the Group’s shares in BCP, and Inversiones Credicorp Bolivia, Prima AFP and Pacífico Seguros. Grupo Crédito’s balances are presented net of its investments in said entities.</w:t>
      </w:r>
    </w:p>
    <w:p>
      <w:pPr>
        <w:spacing w:after="0" w:line="136" w:lineRule="exact"/>
        <w:rPr>
          <w:sz w:val="20"/>
          <w:szCs w:val="20"/>
          <w:color w:val="auto"/>
        </w:rPr>
      </w:pPr>
    </w:p>
    <w:p>
      <w:pPr>
        <w:ind w:left="316" w:hanging="316"/>
        <w:spacing w:after="0"/>
        <w:tabs>
          <w:tab w:leader="none" w:pos="316" w:val="left"/>
        </w:tabs>
        <w:numPr>
          <w:ilvl w:val="0"/>
          <w:numId w:val="19"/>
        </w:numPr>
        <w:rPr>
          <w:rFonts w:ascii="Arial" w:cs="Arial" w:eastAsia="Arial" w:hAnsi="Arial"/>
          <w:sz w:val="17"/>
          <w:szCs w:val="17"/>
          <w:color w:val="auto"/>
        </w:rPr>
      </w:pPr>
      <w:r>
        <w:rPr>
          <w:rFonts w:ascii="Arial" w:cs="Arial" w:eastAsia="Arial" w:hAnsi="Arial"/>
          <w:sz w:val="17"/>
          <w:szCs w:val="17"/>
          <w:color w:val="auto"/>
        </w:rPr>
        <w:t>Foreign exchange -</w:t>
      </w:r>
    </w:p>
    <w:p>
      <w:pPr>
        <w:spacing w:after="0" w:line="220" w:lineRule="exact"/>
        <w:rPr>
          <w:rFonts w:ascii="Arial" w:cs="Arial" w:eastAsia="Arial" w:hAnsi="Arial"/>
          <w:sz w:val="17"/>
          <w:szCs w:val="17"/>
          <w:color w:val="auto"/>
        </w:rPr>
      </w:pPr>
    </w:p>
    <w:p>
      <w:pPr>
        <w:ind w:left="616" w:hanging="304"/>
        <w:spacing w:after="0"/>
        <w:tabs>
          <w:tab w:leader="none" w:pos="616" w:val="left"/>
        </w:tabs>
        <w:numPr>
          <w:ilvl w:val="1"/>
          <w:numId w:val="19"/>
        </w:numPr>
        <w:rPr>
          <w:rFonts w:ascii="Arial" w:cs="Arial" w:eastAsia="Arial" w:hAnsi="Arial"/>
          <w:sz w:val="17"/>
          <w:szCs w:val="17"/>
          <w:color w:val="auto"/>
        </w:rPr>
      </w:pPr>
      <w:r>
        <w:rPr>
          <w:rFonts w:ascii="Arial" w:cs="Arial" w:eastAsia="Arial" w:hAnsi="Arial"/>
          <w:sz w:val="17"/>
          <w:szCs w:val="17"/>
          <w:color w:val="auto"/>
        </w:rPr>
        <w:t>Functional and presentation currency -</w:t>
      </w:r>
    </w:p>
    <w:p>
      <w:pPr>
        <w:spacing w:after="0" w:line="220" w:lineRule="exact"/>
        <w:rPr>
          <w:rFonts w:ascii="Arial" w:cs="Arial" w:eastAsia="Arial" w:hAnsi="Arial"/>
          <w:sz w:val="17"/>
          <w:szCs w:val="17"/>
          <w:color w:val="auto"/>
        </w:rPr>
      </w:pPr>
    </w:p>
    <w:p>
      <w:pPr>
        <w:ind w:left="616" w:right="240"/>
        <w:spacing w:after="0" w:line="270" w:lineRule="auto"/>
        <w:rPr>
          <w:rFonts w:ascii="Arial" w:cs="Arial" w:eastAsia="Arial" w:hAnsi="Arial"/>
          <w:sz w:val="17"/>
          <w:szCs w:val="17"/>
          <w:color w:val="auto"/>
        </w:rPr>
      </w:pPr>
      <w:r>
        <w:rPr>
          <w:rFonts w:ascii="Arial" w:cs="Arial" w:eastAsia="Arial" w:hAnsi="Arial"/>
          <w:sz w:val="17"/>
          <w:szCs w:val="17"/>
          <w:color w:val="auto"/>
        </w:rPr>
        <w:t>Credicorp and its Subsidiaries which operate in Peru consider the sol as their functional and presentation currency since it reflects the nature of the economic events and relevant circumstances given the fact their major transactions and/operations, such as: lending, borrowing, finance income, finance costs and a significant percentage of their purchases are agreed in soles.</w:t>
      </w:r>
    </w:p>
    <w:p>
      <w:pPr>
        <w:spacing w:after="0" w:line="171" w:lineRule="exact"/>
        <w:rPr>
          <w:rFonts w:ascii="Arial" w:cs="Arial" w:eastAsia="Arial" w:hAnsi="Arial"/>
          <w:sz w:val="17"/>
          <w:szCs w:val="17"/>
          <w:color w:val="auto"/>
        </w:rPr>
      </w:pPr>
    </w:p>
    <w:p>
      <w:pPr>
        <w:ind w:left="616" w:hanging="304"/>
        <w:spacing w:after="0"/>
        <w:tabs>
          <w:tab w:leader="none" w:pos="616" w:val="left"/>
        </w:tabs>
        <w:numPr>
          <w:ilvl w:val="1"/>
          <w:numId w:val="19"/>
        </w:numPr>
        <w:rPr>
          <w:rFonts w:ascii="Arial" w:cs="Arial" w:eastAsia="Arial" w:hAnsi="Arial"/>
          <w:sz w:val="17"/>
          <w:szCs w:val="17"/>
          <w:color w:val="auto"/>
        </w:rPr>
      </w:pPr>
      <w:r>
        <w:rPr>
          <w:rFonts w:ascii="Arial" w:cs="Arial" w:eastAsia="Arial" w:hAnsi="Arial"/>
          <w:sz w:val="17"/>
          <w:szCs w:val="17"/>
          <w:color w:val="auto"/>
        </w:rPr>
        <w:t>Transactions and balances in foreign currency -</w:t>
      </w:r>
    </w:p>
    <w:p>
      <w:pPr>
        <w:spacing w:after="0" w:line="220" w:lineRule="exact"/>
        <w:rPr>
          <w:rFonts w:ascii="Arial" w:cs="Arial" w:eastAsia="Arial" w:hAnsi="Arial"/>
          <w:sz w:val="17"/>
          <w:szCs w:val="17"/>
          <w:color w:val="auto"/>
        </w:rPr>
      </w:pPr>
    </w:p>
    <w:p>
      <w:pPr>
        <w:ind w:left="616" w:right="380"/>
        <w:spacing w:after="0" w:line="270" w:lineRule="auto"/>
        <w:rPr>
          <w:rFonts w:ascii="Arial" w:cs="Arial" w:eastAsia="Arial" w:hAnsi="Arial"/>
          <w:sz w:val="17"/>
          <w:szCs w:val="17"/>
          <w:color w:val="auto"/>
        </w:rPr>
      </w:pPr>
      <w:r>
        <w:rPr>
          <w:rFonts w:ascii="Arial" w:cs="Arial" w:eastAsia="Arial" w:hAnsi="Arial"/>
          <w:sz w:val="17"/>
          <w:szCs w:val="17"/>
          <w:color w:val="auto"/>
        </w:rPr>
        <w:t>Foreign currency transactions are those entered into in currencies other than the functional currency. These transactions are initially stated by Group entities at the exchange rates of their functional currencies at the transaction dates. Monetary assets and liabilities denominated in foreign currency are adjusted at the exchange rate of the functional currency prevailing at the date of the statement of financial position.</w:t>
      </w:r>
    </w:p>
    <w:p>
      <w:pPr>
        <w:spacing w:after="0" w:line="171" w:lineRule="exact"/>
        <w:rPr>
          <w:rFonts w:ascii="Arial" w:cs="Arial" w:eastAsia="Arial" w:hAnsi="Arial"/>
          <w:sz w:val="17"/>
          <w:szCs w:val="17"/>
          <w:color w:val="auto"/>
        </w:rPr>
      </w:pPr>
    </w:p>
    <w:p>
      <w:pPr>
        <w:ind w:left="616"/>
        <w:spacing w:after="0" w:line="265" w:lineRule="auto"/>
        <w:rPr>
          <w:rFonts w:ascii="Arial" w:cs="Arial" w:eastAsia="Arial" w:hAnsi="Arial"/>
          <w:sz w:val="17"/>
          <w:szCs w:val="17"/>
          <w:color w:val="auto"/>
        </w:rPr>
      </w:pPr>
      <w:r>
        <w:rPr>
          <w:rFonts w:ascii="Arial" w:cs="Arial" w:eastAsia="Arial" w:hAnsi="Arial"/>
          <w:sz w:val="17"/>
          <w:szCs w:val="17"/>
          <w:color w:val="auto"/>
        </w:rPr>
        <w:t>The differences arising from the exchange rate prevailing at the date of each consolidated statement of financial position presented and the exchange rate initially used in recording transactions are recognized in the consolidated statement of income in the period in which they occur, in “Exchange differences”. Non-monetary assets and liabilities acquired in foreign currency are stated at the exchange rate prevailing at the initial transaction date and are not subsequently adjusted.</w:t>
      </w:r>
    </w:p>
    <w:p>
      <w:pPr>
        <w:spacing w:after="0" w:line="176" w:lineRule="exact"/>
        <w:rPr>
          <w:rFonts w:ascii="Arial" w:cs="Arial" w:eastAsia="Arial" w:hAnsi="Arial"/>
          <w:sz w:val="17"/>
          <w:szCs w:val="17"/>
          <w:color w:val="auto"/>
        </w:rPr>
      </w:pPr>
    </w:p>
    <w:p>
      <w:pPr>
        <w:ind w:left="616" w:hanging="304"/>
        <w:spacing w:after="0"/>
        <w:tabs>
          <w:tab w:leader="none" w:pos="616" w:val="left"/>
        </w:tabs>
        <w:numPr>
          <w:ilvl w:val="1"/>
          <w:numId w:val="19"/>
        </w:numPr>
        <w:rPr>
          <w:rFonts w:ascii="Arial" w:cs="Arial" w:eastAsia="Arial" w:hAnsi="Arial"/>
          <w:sz w:val="17"/>
          <w:szCs w:val="17"/>
          <w:color w:val="auto"/>
        </w:rPr>
      </w:pPr>
      <w:r>
        <w:rPr>
          <w:rFonts w:ascii="Arial" w:cs="Arial" w:eastAsia="Arial" w:hAnsi="Arial"/>
          <w:sz w:val="17"/>
          <w:szCs w:val="17"/>
          <w:color w:val="auto"/>
        </w:rPr>
        <w:t>Group entities with functional currency other than the presentation currency -</w:t>
      </w:r>
    </w:p>
    <w:p>
      <w:pPr>
        <w:spacing w:after="0" w:line="220" w:lineRule="exact"/>
        <w:rPr>
          <w:rFonts w:ascii="Arial" w:cs="Arial" w:eastAsia="Arial" w:hAnsi="Arial"/>
          <w:sz w:val="17"/>
          <w:szCs w:val="17"/>
          <w:color w:val="auto"/>
        </w:rPr>
      </w:pPr>
    </w:p>
    <w:p>
      <w:pPr>
        <w:ind w:left="616" w:right="520"/>
        <w:spacing w:after="0" w:line="355" w:lineRule="auto"/>
        <w:rPr>
          <w:rFonts w:ascii="Arial" w:cs="Arial" w:eastAsia="Arial" w:hAnsi="Arial"/>
          <w:sz w:val="17"/>
          <w:szCs w:val="17"/>
          <w:color w:val="auto"/>
        </w:rPr>
      </w:pPr>
      <w:r>
        <w:rPr>
          <w:rFonts w:ascii="Arial" w:cs="Arial" w:eastAsia="Arial" w:hAnsi="Arial"/>
          <w:sz w:val="15"/>
          <w:szCs w:val="15"/>
          <w:color w:val="auto"/>
        </w:rPr>
        <w:t>Given that the Group’s entities in Colombia, Chile, Cayman, Panama and Bolivia have a functional currency different from Soles, the balances were translated into Soles for consolidation purposes in accordance with IAS 21, “The Effects of Changes in Foreign Exchange Rates” as follows:</w:t>
      </w:r>
    </w:p>
    <w:p>
      <w:pPr>
        <w:spacing w:after="0" w:line="113" w:lineRule="exact"/>
        <w:rPr>
          <w:rFonts w:ascii="Arial" w:cs="Arial" w:eastAsia="Arial" w:hAnsi="Arial"/>
          <w:sz w:val="17"/>
          <w:szCs w:val="17"/>
          <w:color w:val="auto"/>
        </w:rPr>
      </w:pPr>
    </w:p>
    <w:p>
      <w:pPr>
        <w:ind w:left="936" w:hanging="312"/>
        <w:spacing w:after="0"/>
        <w:tabs>
          <w:tab w:leader="none" w:pos="936" w:val="left"/>
        </w:tabs>
        <w:numPr>
          <w:ilvl w:val="2"/>
          <w:numId w:val="19"/>
        </w:numPr>
        <w:rPr>
          <w:rFonts w:ascii="Arial" w:cs="Arial" w:eastAsia="Arial" w:hAnsi="Arial"/>
          <w:sz w:val="17"/>
          <w:szCs w:val="17"/>
          <w:color w:val="auto"/>
        </w:rPr>
      </w:pPr>
      <w:r>
        <w:rPr>
          <w:rFonts w:ascii="Arial" w:cs="Arial" w:eastAsia="Arial" w:hAnsi="Arial"/>
          <w:sz w:val="17"/>
          <w:szCs w:val="17"/>
          <w:color w:val="auto"/>
        </w:rPr>
        <w:t>Assets and liabilities, at the closing rate prevailing at the date of each consolidated statement of financial position.</w:t>
      </w:r>
    </w:p>
    <w:p>
      <w:pPr>
        <w:spacing w:after="0" w:line="24" w:lineRule="exact"/>
        <w:rPr>
          <w:rFonts w:ascii="Arial" w:cs="Arial" w:eastAsia="Arial" w:hAnsi="Arial"/>
          <w:sz w:val="17"/>
          <w:szCs w:val="17"/>
          <w:color w:val="auto"/>
        </w:rPr>
      </w:pPr>
    </w:p>
    <w:p>
      <w:pPr>
        <w:ind w:left="936" w:hanging="312"/>
        <w:spacing w:after="0"/>
        <w:tabs>
          <w:tab w:leader="none" w:pos="936" w:val="left"/>
        </w:tabs>
        <w:numPr>
          <w:ilvl w:val="2"/>
          <w:numId w:val="19"/>
        </w:numPr>
        <w:rPr>
          <w:rFonts w:ascii="Arial" w:cs="Arial" w:eastAsia="Arial" w:hAnsi="Arial"/>
          <w:sz w:val="17"/>
          <w:szCs w:val="17"/>
          <w:color w:val="auto"/>
        </w:rPr>
      </w:pPr>
      <w:r>
        <w:rPr>
          <w:rFonts w:ascii="Arial" w:cs="Arial" w:eastAsia="Arial" w:hAnsi="Arial"/>
          <w:sz w:val="17"/>
          <w:szCs w:val="17"/>
          <w:color w:val="auto"/>
        </w:rPr>
        <w:t>Income and expense, at the average exchange rate for each month of the year.</w:t>
      </w:r>
    </w:p>
    <w:p>
      <w:pPr>
        <w:spacing w:after="0" w:line="208" w:lineRule="exact"/>
        <w:rPr>
          <w:sz w:val="20"/>
          <w:szCs w:val="20"/>
          <w:color w:val="auto"/>
        </w:rPr>
      </w:pPr>
    </w:p>
    <w:p>
      <w:pPr>
        <w:ind w:left="616"/>
        <w:spacing w:after="0"/>
        <w:rPr>
          <w:sz w:val="20"/>
          <w:szCs w:val="20"/>
          <w:color w:val="auto"/>
        </w:rPr>
      </w:pPr>
      <w:r>
        <w:rPr>
          <w:rFonts w:ascii="Arial" w:cs="Arial" w:eastAsia="Arial" w:hAnsi="Arial"/>
          <w:sz w:val="17"/>
          <w:szCs w:val="17"/>
          <w:color w:val="auto"/>
        </w:rPr>
        <w:t>All resulting exchange differences were recognized within “Exchange differences” in the consolidated statement of comprehensive income.</w:t>
      </w:r>
    </w:p>
    <w:p>
      <w:pPr>
        <w:spacing w:after="0" w:line="200" w:lineRule="exact"/>
        <w:rPr>
          <w:sz w:val="20"/>
          <w:szCs w:val="20"/>
          <w:color w:val="auto"/>
        </w:rPr>
      </w:pPr>
    </w:p>
    <w:p>
      <w:pPr>
        <w:spacing w:after="0" w:line="228" w:lineRule="exact"/>
        <w:rPr>
          <w:sz w:val="20"/>
          <w:szCs w:val="20"/>
          <w:color w:val="auto"/>
        </w:rPr>
      </w:pPr>
    </w:p>
    <w:p>
      <w:pPr>
        <w:jc w:val="center"/>
        <w:ind w:right="-15"/>
        <w:spacing w:after="0"/>
        <w:rPr>
          <w:sz w:val="20"/>
          <w:szCs w:val="20"/>
          <w:color w:val="auto"/>
        </w:rPr>
      </w:pPr>
      <w:r>
        <w:rPr>
          <w:rFonts w:ascii="Arial" w:cs="Arial" w:eastAsia="Arial" w:hAnsi="Arial"/>
          <w:sz w:val="17"/>
          <w:szCs w:val="17"/>
          <w:color w:val="auto"/>
        </w:rPr>
        <w:t>- 24 -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15875</wp:posOffset>
            </wp:positionV>
            <wp:extent cx="725170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1700" cy="8255"/>
                    </a:xfrm>
                    <a:prstGeom prst="rect">
                      <a:avLst/>
                    </a:prstGeom>
                    <a:noFill/>
                  </pic:spPr>
                </pic:pic>
              </a:graphicData>
            </a:graphic>
          </wp:anchor>
        </w:drawing>
      </w:r>
    </w:p>
    <w:p>
      <w:pPr>
        <w:sectPr>
          <w:pgSz w:w="11900" w:h="16838" w:orient="portrait"/>
          <w:cols w:equalWidth="0" w:num="1">
            <w:col w:w="11416"/>
          </w:cols>
          <w:pgMar w:left="244" w:top="881" w:right="239" w:bottom="1440" w:gutter="0" w:footer="0" w:header="0"/>
        </w:sectPr>
      </w:pPr>
    </w:p>
    <w:bookmarkStart w:id="30" w:name="page31"/>
    <w:bookmarkEnd w:id="30"/>
    <w:p>
      <w:pPr>
        <w:ind w:left="316" w:hanging="316"/>
        <w:spacing w:after="0"/>
        <w:tabs>
          <w:tab w:leader="none" w:pos="316" w:val="left"/>
        </w:tabs>
        <w:numPr>
          <w:ilvl w:val="0"/>
          <w:numId w:val="20"/>
        </w:numPr>
        <w:rPr>
          <w:rFonts w:ascii="Arial" w:cs="Arial" w:eastAsia="Arial" w:hAnsi="Arial"/>
          <w:sz w:val="17"/>
          <w:szCs w:val="17"/>
          <w:color w:val="auto"/>
        </w:rPr>
      </w:pPr>
      <w:r>
        <w:rPr>
          <w:rFonts w:ascii="Arial" w:cs="Arial" w:eastAsia="Arial" w:hAnsi="Arial"/>
          <w:sz w:val="17"/>
          <w:szCs w:val="17"/>
          <w:color w:val="auto"/>
        </w:rPr>
        <w:t>Recognition of income and expenses from banking activities -</w:t>
      </w:r>
    </w:p>
    <w:p>
      <w:pPr>
        <w:spacing w:after="0" w:line="220" w:lineRule="exact"/>
        <w:rPr>
          <w:rFonts w:ascii="Arial" w:cs="Arial" w:eastAsia="Arial" w:hAnsi="Arial"/>
          <w:sz w:val="17"/>
          <w:szCs w:val="17"/>
          <w:color w:val="auto"/>
        </w:rPr>
      </w:pPr>
    </w:p>
    <w:p>
      <w:pPr>
        <w:jc w:val="both"/>
        <w:ind w:left="316" w:right="460"/>
        <w:spacing w:after="0" w:line="311" w:lineRule="auto"/>
        <w:rPr>
          <w:rFonts w:ascii="Arial" w:cs="Arial" w:eastAsia="Arial" w:hAnsi="Arial"/>
          <w:sz w:val="17"/>
          <w:szCs w:val="17"/>
          <w:color w:val="auto"/>
        </w:rPr>
      </w:pPr>
      <w:r>
        <w:rPr>
          <w:rFonts w:ascii="Arial" w:cs="Arial" w:eastAsia="Arial" w:hAnsi="Arial"/>
          <w:sz w:val="15"/>
          <w:szCs w:val="15"/>
          <w:color w:val="auto"/>
        </w:rPr>
        <w:t>Interest income and expense for all interest-bearing financial instruments, including those related to financial instruments classified as held for trading or designated at fair value through profit or loss, are recognized within “Interest and similar income” and “Interest and similar expenses” in the consolidated statement of income using the Effective Interest Rate (EIR) method, which is the rate that discounts estimated future cash payments or receipts during the expected life of the financial instrument or a shorter period, where appropriate, to the net carrying amount of the financial asset or financial liability.</w:t>
      </w:r>
    </w:p>
    <w:p>
      <w:pPr>
        <w:spacing w:after="0" w:line="145" w:lineRule="exact"/>
        <w:rPr>
          <w:rFonts w:ascii="Arial" w:cs="Arial" w:eastAsia="Arial" w:hAnsi="Arial"/>
          <w:sz w:val="17"/>
          <w:szCs w:val="17"/>
          <w:color w:val="auto"/>
        </w:rPr>
      </w:pPr>
    </w:p>
    <w:p>
      <w:pPr>
        <w:ind w:left="316" w:right="140"/>
        <w:spacing w:after="0" w:line="285" w:lineRule="auto"/>
        <w:rPr>
          <w:rFonts w:ascii="Arial" w:cs="Arial" w:eastAsia="Arial" w:hAnsi="Arial"/>
          <w:sz w:val="17"/>
          <w:szCs w:val="17"/>
          <w:color w:val="auto"/>
        </w:rPr>
      </w:pPr>
      <w:r>
        <w:rPr>
          <w:rFonts w:ascii="Arial" w:cs="Arial" w:eastAsia="Arial" w:hAnsi="Arial"/>
          <w:sz w:val="17"/>
          <w:szCs w:val="17"/>
          <w:color w:val="auto"/>
        </w:rPr>
        <w:t>Interest income includes coupons earned on fixed income investment and trading securities and the discount and premium on financial instruments. Dividends are recognized as income when they are declared.</w:t>
      </w:r>
    </w:p>
    <w:p>
      <w:pPr>
        <w:spacing w:after="0" w:line="159" w:lineRule="exact"/>
        <w:rPr>
          <w:rFonts w:ascii="Arial" w:cs="Arial" w:eastAsia="Arial" w:hAnsi="Arial"/>
          <w:sz w:val="17"/>
          <w:szCs w:val="17"/>
          <w:color w:val="auto"/>
        </w:rPr>
      </w:pPr>
    </w:p>
    <w:p>
      <w:pPr>
        <w:ind w:left="316" w:right="120"/>
        <w:spacing w:after="0" w:line="318" w:lineRule="auto"/>
        <w:rPr>
          <w:rFonts w:ascii="Arial" w:cs="Arial" w:eastAsia="Arial" w:hAnsi="Arial"/>
          <w:sz w:val="17"/>
          <w:szCs w:val="17"/>
          <w:color w:val="auto"/>
        </w:rPr>
      </w:pPr>
      <w:r>
        <w:rPr>
          <w:rFonts w:ascii="Arial" w:cs="Arial" w:eastAsia="Arial" w:hAnsi="Arial"/>
          <w:sz w:val="16"/>
          <w:szCs w:val="16"/>
          <w:color w:val="auto"/>
        </w:rPr>
        <w:t>Fees and commission income are recognized on an accrual basis. Contingent credit fees for loans that are likely to be drawn down and other credit related fees are deferred (together with any direct incremental costs) and recognized as an adjustment to the effective interest rate on the loan.</w:t>
      </w:r>
    </w:p>
    <w:p>
      <w:pPr>
        <w:spacing w:after="0" w:line="136" w:lineRule="exact"/>
        <w:rPr>
          <w:rFonts w:ascii="Arial" w:cs="Arial" w:eastAsia="Arial" w:hAnsi="Arial"/>
          <w:sz w:val="17"/>
          <w:szCs w:val="17"/>
          <w:color w:val="auto"/>
        </w:rPr>
      </w:pPr>
    </w:p>
    <w:p>
      <w:pPr>
        <w:ind w:left="316"/>
        <w:spacing w:after="0"/>
        <w:rPr>
          <w:rFonts w:ascii="Arial" w:cs="Arial" w:eastAsia="Arial" w:hAnsi="Arial"/>
          <w:sz w:val="17"/>
          <w:szCs w:val="17"/>
          <w:color w:val="auto"/>
        </w:rPr>
      </w:pPr>
      <w:r>
        <w:rPr>
          <w:rFonts w:ascii="Arial" w:cs="Arial" w:eastAsia="Arial" w:hAnsi="Arial"/>
          <w:sz w:val="17"/>
          <w:szCs w:val="17"/>
          <w:color w:val="auto"/>
        </w:rPr>
        <w:t>All other revenues and expenses are recognized on an accrual basis.</w:t>
      </w:r>
    </w:p>
    <w:p>
      <w:pPr>
        <w:spacing w:after="0" w:line="220" w:lineRule="exact"/>
        <w:rPr>
          <w:rFonts w:ascii="Arial" w:cs="Arial" w:eastAsia="Arial" w:hAnsi="Arial"/>
          <w:sz w:val="17"/>
          <w:szCs w:val="17"/>
          <w:color w:val="auto"/>
        </w:rPr>
      </w:pPr>
    </w:p>
    <w:p>
      <w:pPr>
        <w:ind w:left="316" w:right="9560" w:hanging="316"/>
        <w:spacing w:after="0" w:line="578" w:lineRule="auto"/>
        <w:tabs>
          <w:tab w:leader="none" w:pos="316" w:val="left"/>
        </w:tabs>
        <w:numPr>
          <w:ilvl w:val="0"/>
          <w:numId w:val="20"/>
        </w:numPr>
        <w:rPr>
          <w:rFonts w:ascii="Arial" w:cs="Arial" w:eastAsia="Arial" w:hAnsi="Arial"/>
          <w:sz w:val="15"/>
          <w:szCs w:val="15"/>
          <w:color w:val="auto"/>
        </w:rPr>
      </w:pPr>
      <w:r>
        <w:rPr>
          <w:rFonts w:ascii="Arial" w:cs="Arial" w:eastAsia="Arial" w:hAnsi="Arial"/>
          <w:sz w:val="15"/>
          <w:szCs w:val="15"/>
          <w:color w:val="auto"/>
        </w:rPr>
        <w:t>Insurance activities - Product classification:</w:t>
      </w:r>
    </w:p>
    <w:p>
      <w:pPr>
        <w:ind w:left="316" w:right="60"/>
        <w:spacing w:after="0" w:line="270" w:lineRule="auto"/>
        <w:rPr>
          <w:rFonts w:ascii="Arial" w:cs="Arial" w:eastAsia="Arial" w:hAnsi="Arial"/>
          <w:sz w:val="15"/>
          <w:szCs w:val="15"/>
          <w:color w:val="auto"/>
        </w:rPr>
      </w:pPr>
      <w:r>
        <w:rPr>
          <w:rFonts w:ascii="Arial" w:cs="Arial" w:eastAsia="Arial" w:hAnsi="Arial"/>
          <w:sz w:val="17"/>
          <w:szCs w:val="17"/>
          <w:color w:val="auto"/>
        </w:rPr>
        <w:t>Insurance contracts are those contracts when the Group (the insurer) has accepted a significant insurance risk from another party (the policyholder) by agreeing to compensate the policyholder if a specified uncertain future event (the insured event) adversely affects the policyholder. This definition also includes reinsurance contracts that the Group holds.</w:t>
      </w:r>
    </w:p>
    <w:p>
      <w:pPr>
        <w:spacing w:after="0" w:line="171" w:lineRule="exact"/>
        <w:rPr>
          <w:rFonts w:ascii="Arial" w:cs="Arial" w:eastAsia="Arial" w:hAnsi="Arial"/>
          <w:sz w:val="15"/>
          <w:szCs w:val="15"/>
          <w:color w:val="auto"/>
        </w:rPr>
      </w:pPr>
    </w:p>
    <w:p>
      <w:pPr>
        <w:ind w:left="316" w:right="60"/>
        <w:spacing w:after="0" w:line="285" w:lineRule="auto"/>
        <w:rPr>
          <w:rFonts w:ascii="Arial" w:cs="Arial" w:eastAsia="Arial" w:hAnsi="Arial"/>
          <w:sz w:val="15"/>
          <w:szCs w:val="15"/>
          <w:color w:val="auto"/>
        </w:rPr>
      </w:pPr>
      <w:r>
        <w:rPr>
          <w:rFonts w:ascii="Arial" w:cs="Arial" w:eastAsia="Arial" w:hAnsi="Arial"/>
          <w:sz w:val="17"/>
          <w:szCs w:val="17"/>
          <w:color w:val="auto"/>
        </w:rPr>
        <w:t>Once a contract has been classified as an insurance contract, it remains an insurance contract for the remainder of its lifetime, even if the insurance risk reduces significantly during this period, unless all rights and obligations are extinguished or expire.</w:t>
      </w:r>
    </w:p>
    <w:p>
      <w:pPr>
        <w:spacing w:after="0" w:line="159" w:lineRule="exact"/>
        <w:rPr>
          <w:rFonts w:ascii="Arial" w:cs="Arial" w:eastAsia="Arial" w:hAnsi="Arial"/>
          <w:sz w:val="15"/>
          <w:szCs w:val="15"/>
          <w:color w:val="auto"/>
        </w:rPr>
      </w:pPr>
    </w:p>
    <w:p>
      <w:pPr>
        <w:ind w:left="316"/>
        <w:spacing w:after="0" w:line="355" w:lineRule="auto"/>
        <w:rPr>
          <w:rFonts w:ascii="Arial" w:cs="Arial" w:eastAsia="Arial" w:hAnsi="Arial"/>
          <w:sz w:val="15"/>
          <w:szCs w:val="15"/>
          <w:color w:val="auto"/>
        </w:rPr>
      </w:pPr>
      <w:r>
        <w:rPr>
          <w:rFonts w:ascii="Arial" w:cs="Arial" w:eastAsia="Arial" w:hAnsi="Arial"/>
          <w:sz w:val="15"/>
          <w:szCs w:val="15"/>
          <w:color w:val="auto"/>
        </w:rPr>
        <w:t>Life insurance contracts offered by the Group include retirement, disability and survival insurance, annuities and individual life which includes Investment Link insurance contracts. The non-life insurance contracts issued by the Group mainly include automobile, fire and allied lines, technical branches and healthcare.</w:t>
      </w:r>
    </w:p>
    <w:p>
      <w:pPr>
        <w:spacing w:after="0" w:line="113" w:lineRule="exact"/>
        <w:rPr>
          <w:rFonts w:ascii="Arial" w:cs="Arial" w:eastAsia="Arial" w:hAnsi="Arial"/>
          <w:sz w:val="15"/>
          <w:szCs w:val="15"/>
          <w:color w:val="auto"/>
        </w:rPr>
      </w:pPr>
    </w:p>
    <w:p>
      <w:pPr>
        <w:ind w:left="316"/>
        <w:spacing w:after="0"/>
        <w:rPr>
          <w:rFonts w:ascii="Arial" w:cs="Arial" w:eastAsia="Arial" w:hAnsi="Arial"/>
          <w:sz w:val="15"/>
          <w:szCs w:val="15"/>
          <w:color w:val="auto"/>
        </w:rPr>
      </w:pPr>
      <w:r>
        <w:rPr>
          <w:rFonts w:ascii="Arial" w:cs="Arial" w:eastAsia="Arial" w:hAnsi="Arial"/>
          <w:sz w:val="17"/>
          <w:szCs w:val="17"/>
          <w:color w:val="auto"/>
        </w:rPr>
        <w:t>Reinsurance:</w:t>
      </w:r>
    </w:p>
    <w:p>
      <w:pPr>
        <w:spacing w:after="0" w:line="220" w:lineRule="exact"/>
        <w:rPr>
          <w:rFonts w:ascii="Arial" w:cs="Arial" w:eastAsia="Arial" w:hAnsi="Arial"/>
          <w:sz w:val="15"/>
          <w:szCs w:val="15"/>
          <w:color w:val="auto"/>
        </w:rPr>
      </w:pPr>
    </w:p>
    <w:p>
      <w:pPr>
        <w:ind w:left="316" w:right="280"/>
        <w:spacing w:after="0" w:line="285" w:lineRule="auto"/>
        <w:rPr>
          <w:rFonts w:ascii="Arial" w:cs="Arial" w:eastAsia="Arial" w:hAnsi="Arial"/>
          <w:sz w:val="15"/>
          <w:szCs w:val="15"/>
          <w:color w:val="auto"/>
        </w:rPr>
      </w:pPr>
      <w:r>
        <w:rPr>
          <w:rFonts w:ascii="Arial" w:cs="Arial" w:eastAsia="Arial" w:hAnsi="Arial"/>
          <w:sz w:val="17"/>
          <w:szCs w:val="17"/>
          <w:color w:val="auto"/>
        </w:rPr>
        <w:t>The Group cedes insurance risk in the normal course of its operations for most of its businesses. Reinsurance assets represent balances due from reinsurance companies. Reinsurance ceded is placed on both a proportional and non-proportional basis.</w:t>
      </w:r>
    </w:p>
    <w:p>
      <w:pPr>
        <w:spacing w:after="0" w:line="159" w:lineRule="exact"/>
        <w:rPr>
          <w:rFonts w:ascii="Arial" w:cs="Arial" w:eastAsia="Arial" w:hAnsi="Arial"/>
          <w:sz w:val="15"/>
          <w:szCs w:val="15"/>
          <w:color w:val="auto"/>
        </w:rPr>
      </w:pPr>
    </w:p>
    <w:p>
      <w:pPr>
        <w:ind w:left="316" w:right="40"/>
        <w:spacing w:after="0" w:line="285" w:lineRule="auto"/>
        <w:rPr>
          <w:rFonts w:ascii="Arial" w:cs="Arial" w:eastAsia="Arial" w:hAnsi="Arial"/>
          <w:sz w:val="15"/>
          <w:szCs w:val="15"/>
          <w:color w:val="auto"/>
        </w:rPr>
      </w:pPr>
      <w:r>
        <w:rPr>
          <w:rFonts w:ascii="Arial" w:cs="Arial" w:eastAsia="Arial" w:hAnsi="Arial"/>
          <w:sz w:val="17"/>
          <w:szCs w:val="17"/>
          <w:color w:val="auto"/>
        </w:rPr>
        <w:t>Amounts recoverable from reinsurers are estimated in a manner consistent with the outstanding claims reserve or settled claims and ceded premiums associated with the ceded policies and are in accordance with the related reinsurance contracts.</w:t>
      </w:r>
    </w:p>
    <w:p>
      <w:pPr>
        <w:spacing w:after="0" w:line="159" w:lineRule="exact"/>
        <w:rPr>
          <w:rFonts w:ascii="Arial" w:cs="Arial" w:eastAsia="Arial" w:hAnsi="Arial"/>
          <w:sz w:val="15"/>
          <w:szCs w:val="15"/>
          <w:color w:val="auto"/>
        </w:rPr>
      </w:pPr>
    </w:p>
    <w:p>
      <w:pPr>
        <w:ind w:left="316" w:right="40"/>
        <w:spacing w:after="0" w:line="311" w:lineRule="auto"/>
        <w:rPr>
          <w:rFonts w:ascii="Arial" w:cs="Arial" w:eastAsia="Arial" w:hAnsi="Arial"/>
          <w:sz w:val="15"/>
          <w:szCs w:val="15"/>
          <w:color w:val="auto"/>
        </w:rPr>
      </w:pPr>
      <w:r>
        <w:rPr>
          <w:rFonts w:ascii="Arial" w:cs="Arial" w:eastAsia="Arial" w:hAnsi="Arial"/>
          <w:sz w:val="15"/>
          <w:szCs w:val="15"/>
          <w:color w:val="auto"/>
        </w:rPr>
        <w:t>Reinsurance assets are reviewed for impairment at each reporting date of the consolidated statement of financial position or more frequently when an indication of impairment arises during the reporting year. Impairment occurs when there is objective evidence as a result of an event that occurred after initial recognition of the reinsurance asset that the Group may not receive all outstanding amounts due under the terms of the contract and the event has a reliably measurable impact on the amounts that the Group will receive from the reinsurer. The impairment loss is recorded in the consolidated statement of income.</w:t>
      </w:r>
    </w:p>
    <w:p>
      <w:pPr>
        <w:spacing w:after="0" w:line="145" w:lineRule="exact"/>
        <w:rPr>
          <w:rFonts w:ascii="Arial" w:cs="Arial" w:eastAsia="Arial" w:hAnsi="Arial"/>
          <w:sz w:val="15"/>
          <w:szCs w:val="15"/>
          <w:color w:val="auto"/>
        </w:rPr>
      </w:pPr>
    </w:p>
    <w:p>
      <w:pPr>
        <w:ind w:left="316"/>
        <w:spacing w:after="0"/>
        <w:rPr>
          <w:rFonts w:ascii="Arial" w:cs="Arial" w:eastAsia="Arial" w:hAnsi="Arial"/>
          <w:sz w:val="15"/>
          <w:szCs w:val="15"/>
          <w:color w:val="auto"/>
        </w:rPr>
      </w:pPr>
      <w:r>
        <w:rPr>
          <w:rFonts w:ascii="Arial" w:cs="Arial" w:eastAsia="Arial" w:hAnsi="Arial"/>
          <w:sz w:val="17"/>
          <w:szCs w:val="17"/>
          <w:color w:val="auto"/>
        </w:rPr>
        <w:t>Ceded reinsurance arrangements do not relieve the Group from its obligations to policyholders.</w:t>
      </w:r>
    </w:p>
    <w:p>
      <w:pPr>
        <w:spacing w:after="0" w:line="200" w:lineRule="exact"/>
        <w:rPr>
          <w:rFonts w:ascii="Arial" w:cs="Arial" w:eastAsia="Arial" w:hAnsi="Arial"/>
          <w:sz w:val="15"/>
          <w:szCs w:val="15"/>
          <w:color w:val="auto"/>
        </w:rPr>
      </w:pPr>
    </w:p>
    <w:p>
      <w:pPr>
        <w:spacing w:after="0" w:line="228" w:lineRule="exact"/>
        <w:rPr>
          <w:rFonts w:ascii="Arial" w:cs="Arial" w:eastAsia="Arial" w:hAnsi="Arial"/>
          <w:sz w:val="15"/>
          <w:szCs w:val="15"/>
          <w:color w:val="auto"/>
        </w:rPr>
      </w:pPr>
    </w:p>
    <w:p>
      <w:pPr>
        <w:ind w:left="5636" w:hanging="107"/>
        <w:spacing w:after="0"/>
        <w:tabs>
          <w:tab w:leader="none" w:pos="5636" w:val="left"/>
        </w:tabs>
        <w:numPr>
          <w:ilvl w:val="1"/>
          <w:numId w:val="20"/>
        </w:numPr>
        <w:rPr>
          <w:rFonts w:ascii="Arial" w:cs="Arial" w:eastAsia="Arial" w:hAnsi="Arial"/>
          <w:sz w:val="17"/>
          <w:szCs w:val="17"/>
          <w:color w:val="auto"/>
        </w:rPr>
      </w:pPr>
      <w:r>
        <w:rPr>
          <w:rFonts w:ascii="Arial" w:cs="Arial" w:eastAsia="Arial" w:hAnsi="Arial"/>
          <w:sz w:val="17"/>
          <w:szCs w:val="17"/>
          <w:color w:val="auto"/>
        </w:rPr>
        <w:t>25 -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15875</wp:posOffset>
            </wp:positionV>
            <wp:extent cx="725170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1700" cy="8255"/>
                    </a:xfrm>
                    <a:prstGeom prst="rect">
                      <a:avLst/>
                    </a:prstGeom>
                    <a:noFill/>
                  </pic:spPr>
                </pic:pic>
              </a:graphicData>
            </a:graphic>
          </wp:anchor>
        </w:drawing>
      </w:r>
    </w:p>
    <w:p>
      <w:pPr>
        <w:sectPr>
          <w:pgSz w:w="11900" w:h="16838" w:orient="portrait"/>
          <w:cols w:equalWidth="0" w:num="1">
            <w:col w:w="11416"/>
          </w:cols>
          <w:pgMar w:left="244" w:top="881" w:right="239" w:bottom="1440" w:gutter="0" w:footer="0" w:header="0"/>
        </w:sectPr>
      </w:pPr>
    </w:p>
    <w:bookmarkStart w:id="31" w:name="page32"/>
    <w:bookmarkEnd w:id="31"/>
    <w:p>
      <w:pPr>
        <w:jc w:val="both"/>
        <w:ind w:right="20"/>
        <w:spacing w:after="0" w:line="270" w:lineRule="auto"/>
        <w:rPr>
          <w:sz w:val="20"/>
          <w:szCs w:val="20"/>
          <w:color w:val="auto"/>
        </w:rPr>
      </w:pPr>
      <w:r>
        <w:rPr>
          <w:rFonts w:ascii="Arial" w:cs="Arial" w:eastAsia="Arial" w:hAnsi="Arial"/>
          <w:sz w:val="17"/>
          <w:szCs w:val="17"/>
          <w:color w:val="auto"/>
        </w:rPr>
        <w:t>The Group also assumes reinsurance risk in the normal course of business for non-life insurance contracts when applicable. Premiums and claims on assumed reinsurance are recognized as revenue or expenses in the same manner as they would be if the reinsurance were considered direct business, taking into account the classification of the reinsured insurance contract.</w:t>
      </w:r>
    </w:p>
    <w:p>
      <w:pPr>
        <w:spacing w:after="0" w:line="172" w:lineRule="exact"/>
        <w:rPr>
          <w:sz w:val="20"/>
          <w:szCs w:val="20"/>
          <w:color w:val="auto"/>
        </w:rPr>
      </w:pPr>
    </w:p>
    <w:p>
      <w:pPr>
        <w:ind w:right="240"/>
        <w:spacing w:after="0" w:line="285" w:lineRule="auto"/>
        <w:rPr>
          <w:sz w:val="20"/>
          <w:szCs w:val="20"/>
          <w:color w:val="auto"/>
        </w:rPr>
      </w:pPr>
      <w:r>
        <w:rPr>
          <w:rFonts w:ascii="Arial" w:cs="Arial" w:eastAsia="Arial" w:hAnsi="Arial"/>
          <w:sz w:val="17"/>
          <w:szCs w:val="17"/>
          <w:color w:val="auto"/>
        </w:rPr>
        <w:t>Reinsurance liabilities represent balances due to reinsurance companies. Amounts payable are estimated in a manner consistent with the related reinsurance contract.</w:t>
      </w:r>
    </w:p>
    <w:p>
      <w:pPr>
        <w:spacing w:after="0" w:line="159" w:lineRule="exact"/>
        <w:rPr>
          <w:sz w:val="20"/>
          <w:szCs w:val="20"/>
          <w:color w:val="auto"/>
        </w:rPr>
      </w:pPr>
    </w:p>
    <w:p>
      <w:pPr>
        <w:ind w:right="400"/>
        <w:spacing w:after="0" w:line="270" w:lineRule="auto"/>
        <w:rPr>
          <w:sz w:val="20"/>
          <w:szCs w:val="20"/>
          <w:color w:val="auto"/>
        </w:rPr>
      </w:pPr>
      <w:r>
        <w:rPr>
          <w:rFonts w:ascii="Arial" w:cs="Arial" w:eastAsia="Arial" w:hAnsi="Arial"/>
          <w:sz w:val="17"/>
          <w:szCs w:val="17"/>
          <w:color w:val="auto"/>
        </w:rPr>
        <w:t>Premiums and claims are presented on a gross basis for both ceded and assumed reinsurance, see Notes 23 and 24. Reinsurance assets or liabilities are derecognized when the contractual rights are extinguished or expire or when the contract is transferred to another party. Reinsurance contracts that do not transfer significant insurance risk are not material to the insurance segment.</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color w:val="auto"/>
        </w:rPr>
        <w:t>Insurance receivables:</w:t>
      </w:r>
    </w:p>
    <w:p>
      <w:pPr>
        <w:spacing w:after="0" w:line="220" w:lineRule="exact"/>
        <w:rPr>
          <w:sz w:val="20"/>
          <w:szCs w:val="20"/>
          <w:color w:val="auto"/>
        </w:rPr>
      </w:pPr>
    </w:p>
    <w:p>
      <w:pPr>
        <w:jc w:val="both"/>
        <w:ind w:right="60"/>
        <w:spacing w:after="0" w:line="283" w:lineRule="auto"/>
        <w:rPr>
          <w:sz w:val="20"/>
          <w:szCs w:val="20"/>
          <w:color w:val="auto"/>
        </w:rPr>
      </w:pPr>
      <w:r>
        <w:rPr>
          <w:rFonts w:ascii="Arial" w:cs="Arial" w:eastAsia="Arial" w:hAnsi="Arial"/>
          <w:sz w:val="16"/>
          <w:szCs w:val="16"/>
          <w:color w:val="auto"/>
        </w:rPr>
        <w:t>Insurance receivables are recognized when due and measured on initial recognition at the fair value of the consideration received or receivable. Subsequent to initial recognition, insurance receivables are measured at amortized cost. As of December 31, 2017 and 2016 the carrying amount of the insurance receivables is similar to their fair value due to their short term. The carrying value of insurance receivables is reviewed for impairment whenever events or circumstances indicate that the carrying amount may not be recoverable. The impairment loss is recorded in the consolidated statement of income. Insurance receivables are derecognized when the de-recognition criteria for financial assets, as described in Note 3(g), have been met.</w:t>
      </w:r>
    </w:p>
    <w:p>
      <w:pPr>
        <w:spacing w:after="0" w:line="163" w:lineRule="exact"/>
        <w:rPr>
          <w:sz w:val="20"/>
          <w:szCs w:val="20"/>
          <w:color w:val="auto"/>
        </w:rPr>
      </w:pPr>
    </w:p>
    <w:p>
      <w:pPr>
        <w:spacing w:after="0"/>
        <w:rPr>
          <w:sz w:val="20"/>
          <w:szCs w:val="20"/>
          <w:color w:val="auto"/>
        </w:rPr>
      </w:pPr>
      <w:r>
        <w:rPr>
          <w:rFonts w:ascii="Arial" w:cs="Arial" w:eastAsia="Arial" w:hAnsi="Arial"/>
          <w:sz w:val="17"/>
          <w:szCs w:val="17"/>
          <w:color w:val="auto"/>
        </w:rPr>
        <w:t>“Investment Link” assets:</w:t>
      </w:r>
    </w:p>
    <w:p>
      <w:pPr>
        <w:spacing w:after="0" w:line="220" w:lineRule="exact"/>
        <w:rPr>
          <w:sz w:val="20"/>
          <w:szCs w:val="20"/>
          <w:color w:val="auto"/>
        </w:rPr>
      </w:pPr>
    </w:p>
    <w:p>
      <w:pPr>
        <w:spacing w:after="0" w:line="311" w:lineRule="auto"/>
        <w:rPr>
          <w:sz w:val="20"/>
          <w:szCs w:val="20"/>
          <w:color w:val="auto"/>
        </w:rPr>
      </w:pPr>
      <w:r>
        <w:rPr>
          <w:rFonts w:ascii="Arial" w:cs="Arial" w:eastAsia="Arial" w:hAnsi="Arial"/>
          <w:sz w:val="15"/>
          <w:szCs w:val="15"/>
          <w:color w:val="auto"/>
        </w:rPr>
        <w:t>“Investment Link” assets represent financial instruments held for purposes of funding a group of life insurance contracts and for which investment gains and losses accrue directly to the policyholders who bear the investment and reinvestment risk. Each account has specific characteristics and the assets are carried at fair value. The balances of each account are legally segregated and are not subject to claims that arise out of any other business of the Group. The liabilities linked to these accounts are equal to the account assets, net of the commissions that the Group charges for the management of these contracts.</w:t>
      </w:r>
    </w:p>
    <w:p>
      <w:pPr>
        <w:spacing w:after="0" w:line="145" w:lineRule="exact"/>
        <w:rPr>
          <w:sz w:val="20"/>
          <w:szCs w:val="20"/>
          <w:color w:val="auto"/>
        </w:rPr>
      </w:pPr>
    </w:p>
    <w:p>
      <w:pPr>
        <w:spacing w:after="0"/>
        <w:rPr>
          <w:sz w:val="20"/>
          <w:szCs w:val="20"/>
          <w:color w:val="auto"/>
        </w:rPr>
      </w:pPr>
      <w:r>
        <w:rPr>
          <w:rFonts w:ascii="Arial" w:cs="Arial" w:eastAsia="Arial" w:hAnsi="Arial"/>
          <w:sz w:val="17"/>
          <w:szCs w:val="17"/>
          <w:color w:val="auto"/>
        </w:rPr>
        <w:t>Deferred acquisition costs (DAC):</w:t>
      </w:r>
    </w:p>
    <w:p>
      <w:pPr>
        <w:spacing w:after="0" w:line="220" w:lineRule="exact"/>
        <w:rPr>
          <w:sz w:val="20"/>
          <w:szCs w:val="20"/>
          <w:color w:val="auto"/>
        </w:rPr>
      </w:pPr>
    </w:p>
    <w:p>
      <w:pPr>
        <w:ind w:right="360"/>
        <w:spacing w:after="0" w:line="270" w:lineRule="auto"/>
        <w:rPr>
          <w:sz w:val="20"/>
          <w:szCs w:val="20"/>
          <w:color w:val="auto"/>
        </w:rPr>
      </w:pPr>
      <w:r>
        <w:rPr>
          <w:rFonts w:ascii="Arial" w:cs="Arial" w:eastAsia="Arial" w:hAnsi="Arial"/>
          <w:sz w:val="17"/>
          <w:szCs w:val="17"/>
          <w:color w:val="auto"/>
        </w:rPr>
        <w:t>These comprise the direct costs that originate with and are related to traditional life and Investment Link insurance contracts, which are deferred; all other acquisition costs are recognized as an expense when incurred. The direct acquisition costs comprise primarily agent commissions corresponding to the underwriting and policy issuance costs.</w:t>
      </w:r>
    </w:p>
    <w:p>
      <w:pPr>
        <w:spacing w:after="0" w:line="172" w:lineRule="exact"/>
        <w:rPr>
          <w:sz w:val="20"/>
          <w:szCs w:val="20"/>
          <w:color w:val="auto"/>
        </w:rPr>
      </w:pPr>
    </w:p>
    <w:p>
      <w:pPr>
        <w:spacing w:after="0"/>
        <w:rPr>
          <w:sz w:val="20"/>
          <w:szCs w:val="20"/>
          <w:color w:val="auto"/>
        </w:rPr>
      </w:pPr>
      <w:r>
        <w:rPr>
          <w:rFonts w:ascii="Arial" w:cs="Arial" w:eastAsia="Arial" w:hAnsi="Arial"/>
          <w:sz w:val="15"/>
          <w:szCs w:val="15"/>
          <w:color w:val="auto"/>
        </w:rPr>
        <w:t>Subsequent to initial recognition, these costs are amortized on a straight line basis based on the average expiration period of the related insurance contracts.</w:t>
      </w:r>
    </w:p>
    <w:p>
      <w:pPr>
        <w:spacing w:after="0" w:line="48" w:lineRule="exact"/>
        <w:rPr>
          <w:sz w:val="20"/>
          <w:szCs w:val="20"/>
          <w:color w:val="auto"/>
        </w:rPr>
      </w:pPr>
    </w:p>
    <w:p>
      <w:pPr>
        <w:spacing w:after="0"/>
        <w:rPr>
          <w:sz w:val="20"/>
          <w:szCs w:val="20"/>
          <w:color w:val="auto"/>
        </w:rPr>
      </w:pPr>
      <w:r>
        <w:rPr>
          <w:rFonts w:ascii="Arial" w:cs="Arial" w:eastAsia="Arial" w:hAnsi="Arial"/>
          <w:sz w:val="17"/>
          <w:szCs w:val="17"/>
          <w:color w:val="auto"/>
        </w:rPr>
        <w:t>Amortization is recorded in the consolidated statement of income.</w:t>
      </w:r>
    </w:p>
    <w:p>
      <w:pPr>
        <w:spacing w:after="0" w:line="208" w:lineRule="exact"/>
        <w:rPr>
          <w:sz w:val="20"/>
          <w:szCs w:val="20"/>
          <w:color w:val="auto"/>
        </w:rPr>
      </w:pPr>
    </w:p>
    <w:p>
      <w:pPr>
        <w:spacing w:after="0"/>
        <w:rPr>
          <w:sz w:val="20"/>
          <w:szCs w:val="20"/>
          <w:color w:val="auto"/>
        </w:rPr>
      </w:pPr>
      <w:r>
        <w:rPr>
          <w:rFonts w:ascii="Arial" w:cs="Arial" w:eastAsia="Arial" w:hAnsi="Arial"/>
          <w:sz w:val="17"/>
          <w:szCs w:val="17"/>
          <w:color w:val="auto"/>
        </w:rPr>
        <w:t>DAC for general insurance and health products are amortized over the period in which the related revenues are earned.</w:t>
      </w:r>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color w:val="auto"/>
        </w:rPr>
        <w:t>DAC are derecognized when the related contracts are either settled or disposed of.</w:t>
      </w:r>
    </w:p>
    <w:p>
      <w:pPr>
        <w:spacing w:after="0" w:line="220"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An impairment review is performed at the date of the consolidated statement of financial position or more frequently when an indication of impairment arises. When the recoverable amounts are less than the carrying value an impairment loss is recognized in the consolidated statement of income. DAC is also considered in the liability adequacy test for each reporting period.</w:t>
      </w:r>
    </w:p>
    <w:p>
      <w:pPr>
        <w:spacing w:after="0" w:line="380" w:lineRule="exact"/>
        <w:rPr>
          <w:sz w:val="20"/>
          <w:szCs w:val="20"/>
          <w:color w:val="auto"/>
        </w:rPr>
      </w:pPr>
    </w:p>
    <w:p>
      <w:pPr>
        <w:jc w:val="center"/>
        <w:ind w:right="220"/>
        <w:spacing w:after="0"/>
        <w:rPr>
          <w:sz w:val="20"/>
          <w:szCs w:val="20"/>
          <w:color w:val="auto"/>
        </w:rPr>
      </w:pPr>
      <w:r>
        <w:rPr>
          <w:rFonts w:ascii="Arial" w:cs="Arial" w:eastAsia="Arial" w:hAnsi="Arial"/>
          <w:sz w:val="17"/>
          <w:szCs w:val="17"/>
          <w:color w:val="auto"/>
        </w:rPr>
        <w:t>- 26 -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-200025</wp:posOffset>
            </wp:positionH>
            <wp:positionV relativeFrom="paragraph">
              <wp:posOffset>15875</wp:posOffset>
            </wp:positionV>
            <wp:extent cx="725170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1700" cy="8255"/>
                    </a:xfrm>
                    <a:prstGeom prst="rect">
                      <a:avLst/>
                    </a:prstGeom>
                    <a:noFill/>
                  </pic:spPr>
                </pic:pic>
              </a:graphicData>
            </a:graphic>
          </wp:anchor>
        </w:drawing>
      </w:r>
    </w:p>
    <w:p>
      <w:pPr>
        <w:sectPr>
          <w:pgSz w:w="11900" w:h="16838" w:orient="portrait"/>
          <w:cols w:equalWidth="0" w:num="1">
            <w:col w:w="11020"/>
          </w:cols>
          <w:pgMar w:left="560" w:top="881" w:right="319" w:bottom="1440" w:gutter="0" w:footer="0" w:header="0"/>
        </w:sectPr>
      </w:pPr>
    </w:p>
    <w:bookmarkStart w:id="32" w:name="page33"/>
    <w:bookmarkEnd w:id="32"/>
    <w:p>
      <w:pPr>
        <w:ind w:left="4"/>
        <w:spacing w:after="0"/>
        <w:rPr>
          <w:sz w:val="20"/>
          <w:szCs w:val="20"/>
          <w:color w:val="auto"/>
        </w:rPr>
      </w:pPr>
      <w:r>
        <w:rPr>
          <w:rFonts w:ascii="Arial" w:cs="Arial" w:eastAsia="Arial" w:hAnsi="Arial"/>
          <w:sz w:val="17"/>
          <w:szCs w:val="17"/>
          <w:color w:val="auto"/>
        </w:rPr>
        <w:t>Reinsurance commissions:</w:t>
      </w:r>
    </w:p>
    <w:p>
      <w:pPr>
        <w:spacing w:after="0" w:line="220" w:lineRule="exact"/>
        <w:rPr>
          <w:sz w:val="20"/>
          <w:szCs w:val="20"/>
          <w:color w:val="auto"/>
        </w:rPr>
      </w:pPr>
    </w:p>
    <w:p>
      <w:pPr>
        <w:ind w:left="4"/>
        <w:spacing w:after="0"/>
        <w:rPr>
          <w:sz w:val="20"/>
          <w:szCs w:val="20"/>
          <w:color w:val="auto"/>
        </w:rPr>
      </w:pPr>
      <w:r>
        <w:rPr>
          <w:rFonts w:ascii="Arial" w:cs="Arial" w:eastAsia="Arial" w:hAnsi="Arial"/>
          <w:sz w:val="15"/>
          <w:szCs w:val="15"/>
          <w:color w:val="auto"/>
        </w:rPr>
        <w:t>Commissions on reinsurance contracts for ceded premiums are amortized on a straight line basis over the term of the coverage of the related insurance contract.</w:t>
      </w:r>
    </w:p>
    <w:p>
      <w:pPr>
        <w:spacing w:after="0" w:line="243" w:lineRule="exact"/>
        <w:rPr>
          <w:sz w:val="20"/>
          <w:szCs w:val="20"/>
          <w:color w:val="auto"/>
        </w:rPr>
      </w:pPr>
    </w:p>
    <w:p>
      <w:pPr>
        <w:ind w:left="4"/>
        <w:spacing w:after="0"/>
        <w:rPr>
          <w:sz w:val="20"/>
          <w:szCs w:val="20"/>
          <w:color w:val="auto"/>
        </w:rPr>
      </w:pPr>
      <w:r>
        <w:rPr>
          <w:rFonts w:ascii="Arial" w:cs="Arial" w:eastAsia="Arial" w:hAnsi="Arial"/>
          <w:sz w:val="17"/>
          <w:szCs w:val="17"/>
          <w:color w:val="auto"/>
        </w:rPr>
        <w:t>Insurance contract liabilities:</w:t>
      </w:r>
    </w:p>
    <w:p>
      <w:pPr>
        <w:spacing w:after="0" w:line="220" w:lineRule="exact"/>
        <w:rPr>
          <w:sz w:val="20"/>
          <w:szCs w:val="20"/>
          <w:color w:val="auto"/>
        </w:rPr>
      </w:pPr>
    </w:p>
    <w:p>
      <w:pPr>
        <w:ind w:left="304" w:hanging="304"/>
        <w:spacing w:after="0"/>
        <w:tabs>
          <w:tab w:leader="none" w:pos="304" w:val="left"/>
        </w:tabs>
        <w:numPr>
          <w:ilvl w:val="0"/>
          <w:numId w:val="21"/>
        </w:numPr>
        <w:rPr>
          <w:rFonts w:ascii="Arial" w:cs="Arial" w:eastAsia="Arial" w:hAnsi="Arial"/>
          <w:sz w:val="17"/>
          <w:szCs w:val="17"/>
          <w:color w:val="auto"/>
        </w:rPr>
      </w:pPr>
      <w:r>
        <w:rPr>
          <w:rFonts w:ascii="Arial" w:cs="Arial" w:eastAsia="Arial" w:hAnsi="Arial"/>
          <w:sz w:val="17"/>
          <w:szCs w:val="17"/>
          <w:color w:val="auto"/>
        </w:rPr>
        <w:t>Life insurance contract liabilities -</w:t>
      </w:r>
    </w:p>
    <w:p>
      <w:pPr>
        <w:spacing w:after="0" w:line="220" w:lineRule="exact"/>
        <w:rPr>
          <w:rFonts w:ascii="Arial" w:cs="Arial" w:eastAsia="Arial" w:hAnsi="Arial"/>
          <w:sz w:val="17"/>
          <w:szCs w:val="17"/>
          <w:color w:val="auto"/>
        </w:rPr>
      </w:pPr>
    </w:p>
    <w:p>
      <w:pPr>
        <w:ind w:left="304"/>
        <w:spacing w:after="0"/>
        <w:rPr>
          <w:rFonts w:ascii="Arial" w:cs="Arial" w:eastAsia="Arial" w:hAnsi="Arial"/>
          <w:sz w:val="17"/>
          <w:szCs w:val="17"/>
          <w:color w:val="auto"/>
        </w:rPr>
      </w:pPr>
      <w:r>
        <w:rPr>
          <w:rFonts w:ascii="Arial" w:cs="Arial" w:eastAsia="Arial" w:hAnsi="Arial"/>
          <w:sz w:val="17"/>
          <w:szCs w:val="17"/>
          <w:color w:val="auto"/>
        </w:rPr>
        <w:t>Life insurance liabilities are recognized when contracts are entered into.</w:t>
      </w:r>
    </w:p>
    <w:p>
      <w:pPr>
        <w:spacing w:after="0" w:line="220" w:lineRule="exact"/>
        <w:rPr>
          <w:rFonts w:ascii="Arial" w:cs="Arial" w:eastAsia="Arial" w:hAnsi="Arial"/>
          <w:sz w:val="17"/>
          <w:szCs w:val="17"/>
          <w:color w:val="auto"/>
        </w:rPr>
      </w:pPr>
    </w:p>
    <w:p>
      <w:pPr>
        <w:jc w:val="both"/>
        <w:ind w:left="304" w:right="220"/>
        <w:spacing w:after="0" w:line="270" w:lineRule="auto"/>
        <w:rPr>
          <w:rFonts w:ascii="Arial" w:cs="Arial" w:eastAsia="Arial" w:hAnsi="Arial"/>
          <w:sz w:val="17"/>
          <w:szCs w:val="17"/>
          <w:color w:val="auto"/>
        </w:rPr>
      </w:pPr>
      <w:r>
        <w:rPr>
          <w:rFonts w:ascii="Arial" w:cs="Arial" w:eastAsia="Arial" w:hAnsi="Arial"/>
          <w:sz w:val="17"/>
          <w:szCs w:val="17"/>
          <w:color w:val="auto"/>
        </w:rPr>
        <w:t>The technical reserves maintained by the Group include the reserves of all of the business lines, comprising both the mathematical reserves and those of ongoing risk, as well as the reserves for outstanding claims, settled claims, claim settlement costs, claims incurred but not reported, as applicable to each line.</w:t>
      </w:r>
    </w:p>
    <w:p>
      <w:pPr>
        <w:spacing w:after="0" w:line="171" w:lineRule="exact"/>
        <w:rPr>
          <w:rFonts w:ascii="Arial" w:cs="Arial" w:eastAsia="Arial" w:hAnsi="Arial"/>
          <w:sz w:val="17"/>
          <w:szCs w:val="17"/>
          <w:color w:val="auto"/>
        </w:rPr>
      </w:pPr>
    </w:p>
    <w:p>
      <w:pPr>
        <w:ind w:left="304" w:right="20"/>
        <w:spacing w:after="0" w:line="305" w:lineRule="auto"/>
        <w:rPr>
          <w:rFonts w:ascii="Arial" w:cs="Arial" w:eastAsia="Arial" w:hAnsi="Arial"/>
          <w:sz w:val="17"/>
          <w:szCs w:val="17"/>
          <w:color w:val="auto"/>
        </w:rPr>
      </w:pPr>
      <w:r>
        <w:rPr>
          <w:rFonts w:ascii="Arial" w:cs="Arial" w:eastAsia="Arial" w:hAnsi="Arial"/>
          <w:sz w:val="15"/>
          <w:szCs w:val="15"/>
          <w:color w:val="auto"/>
        </w:rPr>
        <w:t>Due to the nature of the business, the mathematical reserves of the pension lines represent the main part of the Group’s reserves, with the line of Life Annuities as the major source of reserves due to the important volume of premiums and as a result of having only single premiums. In order to determine the reserves of this business, the discounted present value of the expected future pensions, to be paid in a guaranteed and non-guaranteed period is taken into account, calculated on the basis of mortality tables and interest rates. Those are based on the asset portfolio which supports the liabilities. Additionally, the constituted reserves include the amount required to cover the maintenance expenses related to the administration of the payment of future pensions.</w:t>
      </w:r>
    </w:p>
    <w:p>
      <w:pPr>
        <w:spacing w:after="0" w:line="151" w:lineRule="exact"/>
        <w:rPr>
          <w:rFonts w:ascii="Arial" w:cs="Arial" w:eastAsia="Arial" w:hAnsi="Arial"/>
          <w:sz w:val="17"/>
          <w:szCs w:val="17"/>
          <w:color w:val="auto"/>
        </w:rPr>
      </w:pPr>
    </w:p>
    <w:p>
      <w:pPr>
        <w:ind w:left="304"/>
        <w:spacing w:after="0" w:line="305" w:lineRule="auto"/>
        <w:rPr>
          <w:rFonts w:ascii="Arial" w:cs="Arial" w:eastAsia="Arial" w:hAnsi="Arial"/>
          <w:sz w:val="17"/>
          <w:szCs w:val="17"/>
          <w:color w:val="auto"/>
        </w:rPr>
      </w:pPr>
      <w:r>
        <w:rPr>
          <w:rFonts w:ascii="Arial" w:cs="Arial" w:eastAsia="Arial" w:hAnsi="Arial"/>
          <w:sz w:val="15"/>
          <w:szCs w:val="15"/>
          <w:color w:val="auto"/>
        </w:rPr>
        <w:t>On the other hand, in the Individual Life business the Group offers some products which are only risk related and others of risk and savings, the latter being those which comprise the highest percentage of reserves of the line. Risk and savings products can be differentiated between those with a guaranteed interest rate and others without guaranteed interest, the reserve for the first group being equal to the balance of the policy accounts plus the unaccredited surplus interest, and for the second group it is equal to the balance of the policy accounts. Said accounts are established with the premiums collected, tax deductions, expenses and costs of insurance and the accreditation of interest based on the yield of the portfolio which supports said reserves.</w:t>
      </w:r>
    </w:p>
    <w:p>
      <w:pPr>
        <w:spacing w:after="0" w:line="151" w:lineRule="exact"/>
        <w:rPr>
          <w:rFonts w:ascii="Arial" w:cs="Arial" w:eastAsia="Arial" w:hAnsi="Arial"/>
          <w:sz w:val="17"/>
          <w:szCs w:val="17"/>
          <w:color w:val="auto"/>
        </w:rPr>
      </w:pPr>
    </w:p>
    <w:p>
      <w:pPr>
        <w:ind w:left="304" w:right="80"/>
        <w:spacing w:after="0" w:line="283" w:lineRule="auto"/>
        <w:rPr>
          <w:rFonts w:ascii="Arial" w:cs="Arial" w:eastAsia="Arial" w:hAnsi="Arial"/>
          <w:sz w:val="17"/>
          <w:szCs w:val="17"/>
          <w:color w:val="auto"/>
        </w:rPr>
      </w:pPr>
      <w:r>
        <w:rPr>
          <w:rFonts w:ascii="Arial" w:cs="Arial" w:eastAsia="Arial" w:hAnsi="Arial"/>
          <w:sz w:val="16"/>
          <w:szCs w:val="16"/>
          <w:color w:val="auto"/>
        </w:rPr>
        <w:t>Life insurance claims reserves include reserves for reported claims and the estimates of the incurred claims that have not been reported to the Group. At December 31, 2017 and 2016, reserves for claims occurred and not reported were determined on the basis of the Chain Ladder methodology (a generally accepted actuarial method), whereby the weighted average of past claim development is projected into the future; this projection is based on the ratios of occurrence of accumulated past claims. Adjustments to the liabilities at each reporting date of the consolidated statement of financial position are recorded in the consolidated statement of income. The liability is derecognized when the contract expires, is discharged or is cancelled.</w:t>
      </w:r>
    </w:p>
    <w:p>
      <w:pPr>
        <w:spacing w:after="0" w:line="162" w:lineRule="exact"/>
        <w:rPr>
          <w:rFonts w:ascii="Arial" w:cs="Arial" w:eastAsia="Arial" w:hAnsi="Arial"/>
          <w:sz w:val="17"/>
          <w:szCs w:val="17"/>
          <w:color w:val="auto"/>
        </w:rPr>
      </w:pPr>
    </w:p>
    <w:p>
      <w:pPr>
        <w:ind w:left="304" w:right="180"/>
        <w:spacing w:after="0" w:line="270" w:lineRule="auto"/>
        <w:rPr>
          <w:rFonts w:ascii="Arial" w:cs="Arial" w:eastAsia="Arial" w:hAnsi="Arial"/>
          <w:sz w:val="17"/>
          <w:szCs w:val="17"/>
          <w:color w:val="auto"/>
        </w:rPr>
      </w:pPr>
      <w:r>
        <w:rPr>
          <w:rFonts w:ascii="Arial" w:cs="Arial" w:eastAsia="Arial" w:hAnsi="Arial"/>
          <w:sz w:val="17"/>
          <w:szCs w:val="17"/>
          <w:color w:val="auto"/>
        </w:rPr>
        <w:t>At each reporting date, an evaluation is carried out as to whether the life insurance liabilities are adequate, net of the related DAC, by means of a liability adequacy test as established by IFRS 4. At December 31, of 2017 and 2016, the Group’s Management concluded that the liabilities are sufficient and, therefore, they have not recognized any additional liability for life insurance contracts.</w:t>
      </w:r>
    </w:p>
    <w:p>
      <w:pPr>
        <w:spacing w:after="0" w:line="171" w:lineRule="exact"/>
        <w:rPr>
          <w:rFonts w:ascii="Arial" w:cs="Arial" w:eastAsia="Arial" w:hAnsi="Arial"/>
          <w:sz w:val="17"/>
          <w:szCs w:val="17"/>
          <w:color w:val="auto"/>
        </w:rPr>
      </w:pPr>
    </w:p>
    <w:p>
      <w:pPr>
        <w:ind w:left="304" w:right="4540" w:hanging="304"/>
        <w:spacing w:after="0" w:line="542" w:lineRule="auto"/>
        <w:tabs>
          <w:tab w:leader="none" w:pos="304" w:val="left"/>
        </w:tabs>
        <w:numPr>
          <w:ilvl w:val="0"/>
          <w:numId w:val="21"/>
        </w:numPr>
        <w:rPr>
          <w:rFonts w:ascii="Arial" w:cs="Arial" w:eastAsia="Arial" w:hAnsi="Arial"/>
          <w:sz w:val="16"/>
          <w:szCs w:val="16"/>
          <w:color w:val="auto"/>
        </w:rPr>
      </w:pPr>
      <w:r>
        <w:rPr>
          <w:rFonts w:ascii="Arial" w:cs="Arial" w:eastAsia="Arial" w:hAnsi="Arial"/>
          <w:sz w:val="16"/>
          <w:szCs w:val="16"/>
          <w:color w:val="auto"/>
        </w:rPr>
        <w:t>Non-life insurance contract liabilities (which comprise general and healthcare insurance) - Non-life insurance contract liabilities are recognized when contracts are entered into.</w:t>
      </w:r>
    </w:p>
    <w:p>
      <w:pPr>
        <w:ind w:left="304" w:right="360"/>
        <w:spacing w:after="0" w:line="318" w:lineRule="auto"/>
        <w:rPr>
          <w:rFonts w:ascii="Arial" w:cs="Arial" w:eastAsia="Arial" w:hAnsi="Arial"/>
          <w:sz w:val="16"/>
          <w:szCs w:val="16"/>
          <w:color w:val="auto"/>
        </w:rPr>
      </w:pPr>
      <w:r>
        <w:rPr>
          <w:rFonts w:ascii="Arial" w:cs="Arial" w:eastAsia="Arial" w:hAnsi="Arial"/>
          <w:sz w:val="16"/>
          <w:szCs w:val="16"/>
          <w:color w:val="auto"/>
        </w:rPr>
        <w:t>Claims reserves are based on the last estimated cost of all claims incurred but not settled at the date of the consolidated statement of financial position, whether reported or not, together with related claim handling costs and the expected reduction in value of salvage and other recoveries.</w:t>
      </w:r>
    </w:p>
    <w:p>
      <w:pPr>
        <w:spacing w:after="0" w:line="343" w:lineRule="exact"/>
        <w:rPr>
          <w:rFonts w:ascii="Arial" w:cs="Arial" w:eastAsia="Arial" w:hAnsi="Arial"/>
          <w:sz w:val="16"/>
          <w:szCs w:val="16"/>
          <w:color w:val="auto"/>
        </w:rPr>
      </w:pPr>
    </w:p>
    <w:p>
      <w:pPr>
        <w:ind w:left="5324" w:hanging="107"/>
        <w:spacing w:after="0"/>
        <w:tabs>
          <w:tab w:leader="none" w:pos="5324" w:val="left"/>
        </w:tabs>
        <w:numPr>
          <w:ilvl w:val="1"/>
          <w:numId w:val="21"/>
        </w:numPr>
        <w:rPr>
          <w:rFonts w:ascii="Arial" w:cs="Arial" w:eastAsia="Arial" w:hAnsi="Arial"/>
          <w:sz w:val="17"/>
          <w:szCs w:val="17"/>
          <w:color w:val="auto"/>
        </w:rPr>
      </w:pPr>
      <w:r>
        <w:rPr>
          <w:rFonts w:ascii="Arial" w:cs="Arial" w:eastAsia="Arial" w:hAnsi="Arial"/>
          <w:sz w:val="17"/>
          <w:szCs w:val="17"/>
          <w:color w:val="auto"/>
        </w:rPr>
        <w:t>27 -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-197485</wp:posOffset>
            </wp:positionH>
            <wp:positionV relativeFrom="paragraph">
              <wp:posOffset>15875</wp:posOffset>
            </wp:positionV>
            <wp:extent cx="725170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1700" cy="8255"/>
                    </a:xfrm>
                    <a:prstGeom prst="rect">
                      <a:avLst/>
                    </a:prstGeom>
                    <a:noFill/>
                  </pic:spPr>
                </pic:pic>
              </a:graphicData>
            </a:graphic>
          </wp:anchor>
        </w:drawing>
      </w:r>
    </w:p>
    <w:p>
      <w:pPr>
        <w:sectPr>
          <w:pgSz w:w="11900" w:h="16838" w:orient="portrait"/>
          <w:cols w:equalWidth="0" w:num="1">
            <w:col w:w="11104"/>
          </w:cols>
          <w:pgMar w:left="556" w:top="881" w:right="239" w:bottom="1440" w:gutter="0" w:footer="0" w:header="0"/>
        </w:sectPr>
      </w:pPr>
    </w:p>
    <w:bookmarkStart w:id="33" w:name="page34"/>
    <w:bookmarkEnd w:id="33"/>
    <w:p>
      <w:pPr>
        <w:ind w:left="304" w:right="60"/>
        <w:spacing w:after="0" w:line="261" w:lineRule="auto"/>
        <w:rPr>
          <w:sz w:val="20"/>
          <w:szCs w:val="20"/>
          <w:color w:val="auto"/>
        </w:rPr>
      </w:pPr>
      <w:r>
        <w:rPr>
          <w:rFonts w:ascii="Arial" w:cs="Arial" w:eastAsia="Arial" w:hAnsi="Arial"/>
          <w:sz w:val="17"/>
          <w:szCs w:val="17"/>
          <w:color w:val="auto"/>
        </w:rPr>
        <w:t>Delays can be experienced in the notification and settlement of certain types of claims, therefore their ultimate cost cannot be known with certainty at the date of the consolidated statement of financial position. Claims occurred but not reported are estimated and included in the provision (liabilities). IBNR reserves are determined on the basis of the Bornhuetter - Ferguson methodology - BF (a generally accepted actuarial method), which considers a statistical analysis of the recorded loss history, the use of projection methods and, when appropriate, qualitative factors that reflect present conditions or trends that could affect the historical data. No provision for equalization or catastrophe reserves is recognized. The liabilities are derecognized when the contract expires, is discharged or is cancelled.</w:t>
      </w:r>
    </w:p>
    <w:p>
      <w:pPr>
        <w:spacing w:after="0" w:line="180" w:lineRule="exact"/>
        <w:rPr>
          <w:sz w:val="20"/>
          <w:szCs w:val="20"/>
          <w:color w:val="auto"/>
        </w:rPr>
      </w:pPr>
    </w:p>
    <w:p>
      <w:pPr>
        <w:ind w:left="304" w:right="120"/>
        <w:spacing w:after="0" w:line="285" w:lineRule="auto"/>
        <w:rPr>
          <w:sz w:val="20"/>
          <w:szCs w:val="20"/>
          <w:color w:val="auto"/>
        </w:rPr>
      </w:pPr>
      <w:r>
        <w:rPr>
          <w:rFonts w:ascii="Arial" w:cs="Arial" w:eastAsia="Arial" w:hAnsi="Arial"/>
          <w:sz w:val="17"/>
          <w:szCs w:val="17"/>
          <w:color w:val="auto"/>
        </w:rPr>
        <w:t>Technical reserves for non-life insurance contracts comprise the provision for unearned premiums which represents premiums received for risks that have not yet expired. Generally, the reserve is liberated during the term of the contract and is recognized as premium income.</w:t>
      </w:r>
    </w:p>
    <w:p>
      <w:pPr>
        <w:spacing w:after="0" w:line="159" w:lineRule="exact"/>
        <w:rPr>
          <w:sz w:val="20"/>
          <w:szCs w:val="20"/>
          <w:color w:val="auto"/>
        </w:rPr>
      </w:pPr>
    </w:p>
    <w:p>
      <w:pPr>
        <w:ind w:left="304"/>
        <w:spacing w:after="0" w:line="262" w:lineRule="auto"/>
        <w:rPr>
          <w:sz w:val="20"/>
          <w:szCs w:val="20"/>
          <w:color w:val="auto"/>
        </w:rPr>
      </w:pPr>
      <w:r>
        <w:rPr>
          <w:rFonts w:ascii="Arial" w:cs="Arial" w:eastAsia="Arial" w:hAnsi="Arial"/>
          <w:sz w:val="17"/>
          <w:szCs w:val="17"/>
          <w:color w:val="auto"/>
        </w:rPr>
        <w:t>At each reporting date the Group reviews the risk from outstanding claims and an existing liability adequacy test as laid out under IFRS 4, to determine whether there is any overall excess of expected claims over unearned premiums. If these estimates show that the carrying amount of the unearned premiums is inadequate, the deficiency is recognized in the consolidated statement of income by setting up a provision for liability adequacy. As of December 31, 2017 and 2016, Management determined that the liabilities were adequate; therefore, it has not recorded any additional liabilities for non-life insurance contracts.</w:t>
      </w:r>
    </w:p>
    <w:p>
      <w:pPr>
        <w:spacing w:after="0" w:line="180" w:lineRule="exact"/>
        <w:rPr>
          <w:sz w:val="20"/>
          <w:szCs w:val="20"/>
          <w:color w:val="auto"/>
        </w:rPr>
      </w:pPr>
    </w:p>
    <w:p>
      <w:pPr>
        <w:ind w:left="4"/>
        <w:spacing w:after="0"/>
        <w:rPr>
          <w:sz w:val="20"/>
          <w:szCs w:val="20"/>
          <w:color w:val="auto"/>
        </w:rPr>
      </w:pPr>
      <w:r>
        <w:rPr>
          <w:rFonts w:ascii="Arial" w:cs="Arial" w:eastAsia="Arial" w:hAnsi="Arial"/>
          <w:sz w:val="17"/>
          <w:szCs w:val="17"/>
          <w:color w:val="auto"/>
        </w:rPr>
        <w:t>Income recognition:</w:t>
      </w:r>
    </w:p>
    <w:p>
      <w:pPr>
        <w:spacing w:after="0" w:line="220" w:lineRule="exact"/>
        <w:rPr>
          <w:sz w:val="20"/>
          <w:szCs w:val="20"/>
          <w:color w:val="auto"/>
        </w:rPr>
      </w:pPr>
    </w:p>
    <w:p>
      <w:pPr>
        <w:ind w:left="304" w:hanging="304"/>
        <w:spacing w:after="0"/>
        <w:tabs>
          <w:tab w:leader="none" w:pos="304" w:val="left"/>
        </w:tabs>
        <w:numPr>
          <w:ilvl w:val="0"/>
          <w:numId w:val="22"/>
        </w:numPr>
        <w:rPr>
          <w:rFonts w:ascii="Arial" w:cs="Arial" w:eastAsia="Arial" w:hAnsi="Arial"/>
          <w:sz w:val="17"/>
          <w:szCs w:val="17"/>
          <w:color w:val="auto"/>
        </w:rPr>
      </w:pPr>
      <w:r>
        <w:rPr>
          <w:rFonts w:ascii="Arial" w:cs="Arial" w:eastAsia="Arial" w:hAnsi="Arial"/>
          <w:sz w:val="17"/>
          <w:szCs w:val="17"/>
          <w:color w:val="auto"/>
        </w:rPr>
        <w:t>Gross premiums -</w:t>
      </w:r>
    </w:p>
    <w:p>
      <w:pPr>
        <w:spacing w:after="0" w:line="220" w:lineRule="exact"/>
        <w:rPr>
          <w:rFonts w:ascii="Arial" w:cs="Arial" w:eastAsia="Arial" w:hAnsi="Arial"/>
          <w:sz w:val="17"/>
          <w:szCs w:val="17"/>
          <w:color w:val="auto"/>
        </w:rPr>
      </w:pPr>
    </w:p>
    <w:p>
      <w:pPr>
        <w:ind w:left="304"/>
        <w:spacing w:after="0"/>
        <w:rPr>
          <w:rFonts w:ascii="Arial" w:cs="Arial" w:eastAsia="Arial" w:hAnsi="Arial"/>
          <w:sz w:val="17"/>
          <w:szCs w:val="17"/>
          <w:color w:val="auto"/>
        </w:rPr>
      </w:pPr>
      <w:r>
        <w:rPr>
          <w:rFonts w:ascii="Arial" w:cs="Arial" w:eastAsia="Arial" w:hAnsi="Arial"/>
          <w:sz w:val="17"/>
          <w:szCs w:val="17"/>
          <w:color w:val="auto"/>
        </w:rPr>
        <w:t>Life insurance contracts -</w:t>
      </w:r>
    </w:p>
    <w:p>
      <w:pPr>
        <w:spacing w:after="0" w:line="220" w:lineRule="exact"/>
        <w:rPr>
          <w:rFonts w:ascii="Arial" w:cs="Arial" w:eastAsia="Arial" w:hAnsi="Arial"/>
          <w:sz w:val="17"/>
          <w:szCs w:val="17"/>
          <w:color w:val="auto"/>
        </w:rPr>
      </w:pPr>
    </w:p>
    <w:p>
      <w:pPr>
        <w:ind w:left="304" w:right="240"/>
        <w:spacing w:after="0" w:line="285" w:lineRule="auto"/>
        <w:rPr>
          <w:rFonts w:ascii="Arial" w:cs="Arial" w:eastAsia="Arial" w:hAnsi="Arial"/>
          <w:sz w:val="17"/>
          <w:szCs w:val="17"/>
          <w:color w:val="auto"/>
        </w:rPr>
      </w:pPr>
      <w:r>
        <w:rPr>
          <w:rFonts w:ascii="Arial" w:cs="Arial" w:eastAsia="Arial" w:hAnsi="Arial"/>
          <w:sz w:val="17"/>
          <w:szCs w:val="17"/>
          <w:color w:val="auto"/>
        </w:rPr>
        <w:t>Gross premiums on life contracts are recognized as revenue when due from the policyholder. For single premium business, revenue is recognized on the date on which the policy is effective.</w:t>
      </w:r>
    </w:p>
    <w:p>
      <w:pPr>
        <w:spacing w:after="0" w:line="159" w:lineRule="exact"/>
        <w:rPr>
          <w:rFonts w:ascii="Arial" w:cs="Arial" w:eastAsia="Arial" w:hAnsi="Arial"/>
          <w:sz w:val="17"/>
          <w:szCs w:val="17"/>
          <w:color w:val="auto"/>
        </w:rPr>
      </w:pPr>
    </w:p>
    <w:p>
      <w:pPr>
        <w:ind w:left="304"/>
        <w:spacing w:after="0"/>
        <w:rPr>
          <w:rFonts w:ascii="Arial" w:cs="Arial" w:eastAsia="Arial" w:hAnsi="Arial"/>
          <w:sz w:val="17"/>
          <w:szCs w:val="17"/>
          <w:color w:val="auto"/>
        </w:rPr>
      </w:pPr>
      <w:r>
        <w:rPr>
          <w:rFonts w:ascii="Arial" w:cs="Arial" w:eastAsia="Arial" w:hAnsi="Arial"/>
          <w:sz w:val="17"/>
          <w:szCs w:val="17"/>
          <w:color w:val="auto"/>
        </w:rPr>
        <w:t>Non-life insurance contracts -</w:t>
      </w:r>
    </w:p>
    <w:p>
      <w:pPr>
        <w:spacing w:after="0" w:line="220" w:lineRule="exact"/>
        <w:rPr>
          <w:rFonts w:ascii="Arial" w:cs="Arial" w:eastAsia="Arial" w:hAnsi="Arial"/>
          <w:sz w:val="17"/>
          <w:szCs w:val="17"/>
          <w:color w:val="auto"/>
        </w:rPr>
      </w:pPr>
    </w:p>
    <w:p>
      <w:pPr>
        <w:ind w:left="304" w:right="460"/>
        <w:spacing w:after="0" w:line="270" w:lineRule="auto"/>
        <w:rPr>
          <w:rFonts w:ascii="Arial" w:cs="Arial" w:eastAsia="Arial" w:hAnsi="Arial"/>
          <w:sz w:val="17"/>
          <w:szCs w:val="17"/>
          <w:color w:val="auto"/>
        </w:rPr>
      </w:pPr>
      <w:r>
        <w:rPr>
          <w:rFonts w:ascii="Arial" w:cs="Arial" w:eastAsia="Arial" w:hAnsi="Arial"/>
          <w:sz w:val="17"/>
          <w:szCs w:val="17"/>
          <w:color w:val="auto"/>
        </w:rPr>
        <w:t>Gross non-life insurance direct and assumed premiums comprise the total premiums written and are recognized on the date of issue of the policy as a receivable. At the same time, a reserve is recorded for unearned premiums which represent premiums for risks that have not yet expired. Unearned premiums are recognized as income over the contract period which is also the coverage and risk period.</w:t>
      </w:r>
    </w:p>
    <w:p>
      <w:pPr>
        <w:spacing w:after="0" w:line="171" w:lineRule="exact"/>
        <w:rPr>
          <w:rFonts w:ascii="Arial" w:cs="Arial" w:eastAsia="Arial" w:hAnsi="Arial"/>
          <w:sz w:val="17"/>
          <w:szCs w:val="17"/>
          <w:color w:val="auto"/>
        </w:rPr>
      </w:pPr>
    </w:p>
    <w:p>
      <w:pPr>
        <w:ind w:left="304" w:hanging="304"/>
        <w:spacing w:after="0"/>
        <w:tabs>
          <w:tab w:leader="none" w:pos="304" w:val="left"/>
        </w:tabs>
        <w:numPr>
          <w:ilvl w:val="0"/>
          <w:numId w:val="22"/>
        </w:numPr>
        <w:rPr>
          <w:rFonts w:ascii="Arial" w:cs="Arial" w:eastAsia="Arial" w:hAnsi="Arial"/>
          <w:sz w:val="17"/>
          <w:szCs w:val="17"/>
          <w:color w:val="auto"/>
        </w:rPr>
      </w:pPr>
      <w:r>
        <w:rPr>
          <w:rFonts w:ascii="Arial" w:cs="Arial" w:eastAsia="Arial" w:hAnsi="Arial"/>
          <w:sz w:val="17"/>
          <w:szCs w:val="17"/>
          <w:color w:val="auto"/>
        </w:rPr>
        <w:t>Fees and commission income -</w:t>
      </w:r>
    </w:p>
    <w:p>
      <w:pPr>
        <w:spacing w:after="0" w:line="220" w:lineRule="exact"/>
        <w:rPr>
          <w:rFonts w:ascii="Arial" w:cs="Arial" w:eastAsia="Arial" w:hAnsi="Arial"/>
          <w:sz w:val="17"/>
          <w:szCs w:val="17"/>
          <w:color w:val="auto"/>
        </w:rPr>
      </w:pPr>
    </w:p>
    <w:p>
      <w:pPr>
        <w:ind w:left="304" w:right="220"/>
        <w:spacing w:after="0" w:line="355" w:lineRule="auto"/>
        <w:rPr>
          <w:rFonts w:ascii="Arial" w:cs="Arial" w:eastAsia="Arial" w:hAnsi="Arial"/>
          <w:sz w:val="17"/>
          <w:szCs w:val="17"/>
          <w:color w:val="auto"/>
        </w:rPr>
      </w:pPr>
      <w:r>
        <w:rPr>
          <w:rFonts w:ascii="Arial" w:cs="Arial" w:eastAsia="Arial" w:hAnsi="Arial"/>
          <w:sz w:val="15"/>
          <w:szCs w:val="15"/>
          <w:color w:val="auto"/>
        </w:rPr>
        <w:t>Investment Link insurance contract policyholders remunerate the Group for policy administration services, investment management services, surrenders and other contract fees. These fees are recognized as revenue in the consolidated statement of income in the period in which the services are provided.</w:t>
      </w:r>
    </w:p>
    <w:p>
      <w:pPr>
        <w:spacing w:after="0" w:line="113" w:lineRule="exact"/>
        <w:rPr>
          <w:sz w:val="20"/>
          <w:szCs w:val="20"/>
          <w:color w:val="auto"/>
        </w:rPr>
      </w:pPr>
    </w:p>
    <w:p>
      <w:pPr>
        <w:ind w:left="4"/>
        <w:spacing w:after="0"/>
        <w:rPr>
          <w:sz w:val="20"/>
          <w:szCs w:val="20"/>
          <w:color w:val="auto"/>
        </w:rPr>
      </w:pPr>
      <w:r>
        <w:rPr>
          <w:rFonts w:ascii="Arial" w:cs="Arial" w:eastAsia="Arial" w:hAnsi="Arial"/>
          <w:sz w:val="17"/>
          <w:szCs w:val="17"/>
          <w:color w:val="auto"/>
        </w:rPr>
        <w:t>Recognition of benefits, claims and expenses:</w:t>
      </w:r>
    </w:p>
    <w:p>
      <w:pPr>
        <w:spacing w:after="0" w:line="220" w:lineRule="exact"/>
        <w:rPr>
          <w:sz w:val="20"/>
          <w:szCs w:val="20"/>
          <w:color w:val="auto"/>
        </w:rPr>
      </w:pPr>
    </w:p>
    <w:p>
      <w:pPr>
        <w:ind w:left="304" w:hanging="304"/>
        <w:spacing w:after="0"/>
        <w:tabs>
          <w:tab w:leader="none" w:pos="304" w:val="left"/>
        </w:tabs>
        <w:numPr>
          <w:ilvl w:val="0"/>
          <w:numId w:val="23"/>
        </w:numPr>
        <w:rPr>
          <w:rFonts w:ascii="Arial" w:cs="Arial" w:eastAsia="Arial" w:hAnsi="Arial"/>
          <w:sz w:val="17"/>
          <w:szCs w:val="17"/>
          <w:color w:val="auto"/>
        </w:rPr>
      </w:pPr>
      <w:r>
        <w:rPr>
          <w:rFonts w:ascii="Arial" w:cs="Arial" w:eastAsia="Arial" w:hAnsi="Arial"/>
          <w:sz w:val="17"/>
          <w:szCs w:val="17"/>
          <w:color w:val="auto"/>
        </w:rPr>
        <w:t>Benefits and claims -</w:t>
      </w:r>
    </w:p>
    <w:p>
      <w:pPr>
        <w:spacing w:after="0" w:line="220" w:lineRule="exact"/>
        <w:rPr>
          <w:rFonts w:ascii="Arial" w:cs="Arial" w:eastAsia="Arial" w:hAnsi="Arial"/>
          <w:sz w:val="17"/>
          <w:szCs w:val="17"/>
          <w:color w:val="auto"/>
        </w:rPr>
      </w:pPr>
    </w:p>
    <w:p>
      <w:pPr>
        <w:jc w:val="both"/>
        <w:ind w:left="304" w:right="360"/>
        <w:spacing w:after="0" w:line="270" w:lineRule="auto"/>
        <w:rPr>
          <w:rFonts w:ascii="Arial" w:cs="Arial" w:eastAsia="Arial" w:hAnsi="Arial"/>
          <w:sz w:val="17"/>
          <w:szCs w:val="17"/>
          <w:color w:val="auto"/>
        </w:rPr>
      </w:pPr>
      <w:r>
        <w:rPr>
          <w:rFonts w:ascii="Arial" w:cs="Arial" w:eastAsia="Arial" w:hAnsi="Arial"/>
          <w:sz w:val="17"/>
          <w:szCs w:val="17"/>
          <w:color w:val="auto"/>
        </w:rPr>
        <w:t>The benefits and claims for life insurance contracts include the cost of all claims arising during the year including internal and external claim handling costs that are directly related to the processing and settlement of claims. Death, survival and disability claims are recorded on the basis of notifications received. Pension payments are recorded when they accrue.</w:t>
      </w:r>
    </w:p>
    <w:p>
      <w:pPr>
        <w:spacing w:after="0" w:line="379" w:lineRule="exact"/>
        <w:rPr>
          <w:rFonts w:ascii="Arial" w:cs="Arial" w:eastAsia="Arial" w:hAnsi="Arial"/>
          <w:sz w:val="17"/>
          <w:szCs w:val="17"/>
          <w:color w:val="auto"/>
        </w:rPr>
      </w:pPr>
    </w:p>
    <w:p>
      <w:pPr>
        <w:ind w:left="5324" w:hanging="107"/>
        <w:spacing w:after="0"/>
        <w:tabs>
          <w:tab w:leader="none" w:pos="5324" w:val="left"/>
        </w:tabs>
        <w:numPr>
          <w:ilvl w:val="1"/>
          <w:numId w:val="23"/>
        </w:numPr>
        <w:rPr>
          <w:rFonts w:ascii="Arial" w:cs="Arial" w:eastAsia="Arial" w:hAnsi="Arial"/>
          <w:sz w:val="17"/>
          <w:szCs w:val="17"/>
          <w:color w:val="auto"/>
        </w:rPr>
      </w:pPr>
      <w:r>
        <w:rPr>
          <w:rFonts w:ascii="Arial" w:cs="Arial" w:eastAsia="Arial" w:hAnsi="Arial"/>
          <w:sz w:val="17"/>
          <w:szCs w:val="17"/>
          <w:color w:val="auto"/>
        </w:rPr>
        <w:t>28 -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-197485</wp:posOffset>
            </wp:positionH>
            <wp:positionV relativeFrom="paragraph">
              <wp:posOffset>15875</wp:posOffset>
            </wp:positionV>
            <wp:extent cx="725170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1700" cy="8255"/>
                    </a:xfrm>
                    <a:prstGeom prst="rect">
                      <a:avLst/>
                    </a:prstGeom>
                    <a:noFill/>
                  </pic:spPr>
                </pic:pic>
              </a:graphicData>
            </a:graphic>
          </wp:anchor>
        </w:drawing>
      </w:r>
    </w:p>
    <w:p>
      <w:pPr>
        <w:sectPr>
          <w:pgSz w:w="11900" w:h="16838" w:orient="portrait"/>
          <w:cols w:equalWidth="0" w:num="1">
            <w:col w:w="11084"/>
          </w:cols>
          <w:pgMar w:left="556" w:top="881" w:right="259" w:bottom="1440" w:gutter="0" w:footer="0" w:header="0"/>
        </w:sectPr>
      </w:pPr>
    </w:p>
    <w:bookmarkStart w:id="34" w:name="page35"/>
    <w:bookmarkEnd w:id="34"/>
    <w:p>
      <w:pPr>
        <w:ind w:left="616" w:right="240"/>
        <w:spacing w:after="0" w:line="270" w:lineRule="auto"/>
        <w:rPr>
          <w:sz w:val="20"/>
          <w:szCs w:val="20"/>
          <w:color w:val="auto"/>
        </w:rPr>
      </w:pPr>
      <w:r>
        <w:rPr>
          <w:rFonts w:ascii="Arial" w:cs="Arial" w:eastAsia="Arial" w:hAnsi="Arial"/>
          <w:sz w:val="17"/>
          <w:szCs w:val="17"/>
          <w:color w:val="auto"/>
        </w:rPr>
        <w:t>General and health insurance claims include all claims occurring during the year, whether reported or not, internal and external claim handling costs that are directly related to the processing and settlement of claims, a reduction for the value of salvage and other recoveries, and any adjustment to claims outstanding from previous years.</w:t>
      </w:r>
    </w:p>
    <w:p>
      <w:pPr>
        <w:spacing w:after="0" w:line="172" w:lineRule="exact"/>
        <w:rPr>
          <w:sz w:val="20"/>
          <w:szCs w:val="20"/>
          <w:color w:val="auto"/>
        </w:rPr>
      </w:pPr>
    </w:p>
    <w:p>
      <w:pPr>
        <w:ind w:left="616" w:hanging="304"/>
        <w:spacing w:after="0"/>
        <w:tabs>
          <w:tab w:leader="none" w:pos="616" w:val="left"/>
        </w:tabs>
        <w:numPr>
          <w:ilvl w:val="1"/>
          <w:numId w:val="24"/>
        </w:numPr>
        <w:rPr>
          <w:rFonts w:ascii="Arial" w:cs="Arial" w:eastAsia="Arial" w:hAnsi="Arial"/>
          <w:sz w:val="17"/>
          <w:szCs w:val="17"/>
          <w:color w:val="auto"/>
        </w:rPr>
      </w:pPr>
      <w:r>
        <w:rPr>
          <w:rFonts w:ascii="Arial" w:cs="Arial" w:eastAsia="Arial" w:hAnsi="Arial"/>
          <w:sz w:val="17"/>
          <w:szCs w:val="17"/>
          <w:color w:val="auto"/>
        </w:rPr>
        <w:t>Reinsurance premiums -</w:t>
      </w:r>
    </w:p>
    <w:p>
      <w:pPr>
        <w:spacing w:after="0" w:line="220" w:lineRule="exact"/>
        <w:rPr>
          <w:rFonts w:ascii="Arial" w:cs="Arial" w:eastAsia="Arial" w:hAnsi="Arial"/>
          <w:sz w:val="17"/>
          <w:szCs w:val="17"/>
          <w:color w:val="auto"/>
        </w:rPr>
      </w:pPr>
    </w:p>
    <w:p>
      <w:pPr>
        <w:ind w:left="616" w:right="400"/>
        <w:spacing w:after="0" w:line="285" w:lineRule="auto"/>
        <w:rPr>
          <w:rFonts w:ascii="Arial" w:cs="Arial" w:eastAsia="Arial" w:hAnsi="Arial"/>
          <w:sz w:val="17"/>
          <w:szCs w:val="17"/>
          <w:color w:val="auto"/>
        </w:rPr>
      </w:pPr>
      <w:r>
        <w:rPr>
          <w:rFonts w:ascii="Arial" w:cs="Arial" w:eastAsia="Arial" w:hAnsi="Arial"/>
          <w:sz w:val="17"/>
          <w:szCs w:val="17"/>
          <w:color w:val="auto"/>
        </w:rPr>
        <w:t>Comprise the total premiums payable for the coverage of the insurance contracts and are recognized on the date on which the validity of the insurance policy commences. Unearned ceded premiums are deferred over the term of the underlying insurance contract.</w:t>
      </w:r>
    </w:p>
    <w:p>
      <w:pPr>
        <w:spacing w:after="0" w:line="159" w:lineRule="exact"/>
        <w:rPr>
          <w:rFonts w:ascii="Arial" w:cs="Arial" w:eastAsia="Arial" w:hAnsi="Arial"/>
          <w:sz w:val="17"/>
          <w:szCs w:val="17"/>
          <w:color w:val="auto"/>
        </w:rPr>
      </w:pPr>
    </w:p>
    <w:p>
      <w:pPr>
        <w:ind w:left="616" w:hanging="304"/>
        <w:spacing w:after="0"/>
        <w:tabs>
          <w:tab w:leader="none" w:pos="616" w:val="left"/>
        </w:tabs>
        <w:numPr>
          <w:ilvl w:val="1"/>
          <w:numId w:val="24"/>
        </w:numPr>
        <w:rPr>
          <w:rFonts w:ascii="Arial" w:cs="Arial" w:eastAsia="Arial" w:hAnsi="Arial"/>
          <w:sz w:val="17"/>
          <w:szCs w:val="17"/>
          <w:color w:val="auto"/>
        </w:rPr>
      </w:pPr>
      <w:r>
        <w:rPr>
          <w:rFonts w:ascii="Arial" w:cs="Arial" w:eastAsia="Arial" w:hAnsi="Arial"/>
          <w:sz w:val="17"/>
          <w:szCs w:val="17"/>
          <w:color w:val="auto"/>
        </w:rPr>
        <w:t>Reinsurance claims -</w:t>
      </w:r>
    </w:p>
    <w:p>
      <w:pPr>
        <w:spacing w:after="0" w:line="220" w:lineRule="exact"/>
        <w:rPr>
          <w:rFonts w:ascii="Arial" w:cs="Arial" w:eastAsia="Arial" w:hAnsi="Arial"/>
          <w:sz w:val="17"/>
          <w:szCs w:val="17"/>
          <w:color w:val="auto"/>
        </w:rPr>
      </w:pPr>
    </w:p>
    <w:p>
      <w:pPr>
        <w:ind w:left="616"/>
        <w:spacing w:after="0"/>
        <w:rPr>
          <w:rFonts w:ascii="Arial" w:cs="Arial" w:eastAsia="Arial" w:hAnsi="Arial"/>
          <w:sz w:val="17"/>
          <w:szCs w:val="17"/>
          <w:color w:val="auto"/>
        </w:rPr>
      </w:pPr>
      <w:r>
        <w:rPr>
          <w:rFonts w:ascii="Arial" w:cs="Arial" w:eastAsia="Arial" w:hAnsi="Arial"/>
          <w:sz w:val="17"/>
          <w:szCs w:val="17"/>
          <w:color w:val="auto"/>
        </w:rPr>
        <w:t>Reinsurance claims are recognized when the related gross insurance claim is recognized according to the terms of the relevant contract.</w:t>
      </w:r>
    </w:p>
    <w:p>
      <w:pPr>
        <w:spacing w:after="0" w:line="220" w:lineRule="exact"/>
        <w:rPr>
          <w:rFonts w:ascii="Arial" w:cs="Arial" w:eastAsia="Arial" w:hAnsi="Arial"/>
          <w:sz w:val="17"/>
          <w:szCs w:val="17"/>
          <w:color w:val="auto"/>
        </w:rPr>
      </w:pPr>
    </w:p>
    <w:p>
      <w:pPr>
        <w:ind w:left="316" w:hanging="316"/>
        <w:spacing w:after="0"/>
        <w:tabs>
          <w:tab w:leader="none" w:pos="316" w:val="left"/>
        </w:tabs>
        <w:numPr>
          <w:ilvl w:val="0"/>
          <w:numId w:val="25"/>
        </w:numPr>
        <w:rPr>
          <w:rFonts w:ascii="Arial" w:cs="Arial" w:eastAsia="Arial" w:hAnsi="Arial"/>
          <w:sz w:val="17"/>
          <w:szCs w:val="17"/>
          <w:color w:val="auto"/>
        </w:rPr>
      </w:pPr>
      <w:r>
        <w:rPr>
          <w:rFonts w:ascii="Arial" w:cs="Arial" w:eastAsia="Arial" w:hAnsi="Arial"/>
          <w:sz w:val="17"/>
          <w:szCs w:val="17"/>
          <w:color w:val="auto"/>
        </w:rPr>
        <w:t>Financial Instruments: Initial recognition and subsequent measurement -</w:t>
      </w:r>
    </w:p>
    <w:p>
      <w:pPr>
        <w:spacing w:after="0" w:line="220" w:lineRule="exact"/>
        <w:rPr>
          <w:rFonts w:ascii="Arial" w:cs="Arial" w:eastAsia="Arial" w:hAnsi="Arial"/>
          <w:sz w:val="17"/>
          <w:szCs w:val="17"/>
          <w:color w:val="auto"/>
        </w:rPr>
      </w:pPr>
    </w:p>
    <w:p>
      <w:pPr>
        <w:ind w:left="316"/>
        <w:spacing w:after="0"/>
        <w:rPr>
          <w:rFonts w:ascii="Arial" w:cs="Arial" w:eastAsia="Arial" w:hAnsi="Arial"/>
          <w:sz w:val="17"/>
          <w:szCs w:val="17"/>
          <w:color w:val="auto"/>
        </w:rPr>
      </w:pPr>
      <w:r>
        <w:rPr>
          <w:rFonts w:ascii="Arial" w:cs="Arial" w:eastAsia="Arial" w:hAnsi="Arial"/>
          <w:sz w:val="17"/>
          <w:szCs w:val="17"/>
          <w:color w:val="auto"/>
        </w:rPr>
        <w:t>A financial instrument is any contract that gives rise to a financial asset of one entity and a financial liability or equity instrument or another entity.</w:t>
      </w:r>
    </w:p>
    <w:p>
      <w:pPr>
        <w:spacing w:after="0" w:line="220" w:lineRule="exact"/>
        <w:rPr>
          <w:rFonts w:ascii="Arial" w:cs="Arial" w:eastAsia="Arial" w:hAnsi="Arial"/>
          <w:sz w:val="17"/>
          <w:szCs w:val="17"/>
          <w:color w:val="auto"/>
        </w:rPr>
      </w:pPr>
    </w:p>
    <w:p>
      <w:pPr>
        <w:ind w:left="316" w:right="20"/>
        <w:spacing w:after="0" w:line="270" w:lineRule="auto"/>
        <w:rPr>
          <w:rFonts w:ascii="Arial" w:cs="Arial" w:eastAsia="Arial" w:hAnsi="Arial"/>
          <w:sz w:val="17"/>
          <w:szCs w:val="17"/>
          <w:color w:val="auto"/>
        </w:rPr>
      </w:pPr>
      <w:r>
        <w:rPr>
          <w:rFonts w:ascii="Arial" w:cs="Arial" w:eastAsia="Arial" w:hAnsi="Arial"/>
          <w:sz w:val="17"/>
          <w:szCs w:val="17"/>
          <w:color w:val="auto"/>
        </w:rPr>
        <w:t>The Group classifies its financial instruments in one of the categories defined by IAS 39: financial assets and financial liabilities at fair value through profit or loss; loans and receivables; available-for-sale financial investments; held-to-maturity financial investments and other financial liabilities. The Group determines the classification of its financial instruments at initial recognition.</w:t>
      </w:r>
    </w:p>
    <w:p>
      <w:pPr>
        <w:spacing w:after="0" w:line="171" w:lineRule="exact"/>
        <w:rPr>
          <w:rFonts w:ascii="Arial" w:cs="Arial" w:eastAsia="Arial" w:hAnsi="Arial"/>
          <w:sz w:val="17"/>
          <w:szCs w:val="17"/>
          <w:color w:val="auto"/>
        </w:rPr>
      </w:pPr>
    </w:p>
    <w:p>
      <w:pPr>
        <w:ind w:left="316" w:right="60"/>
        <w:spacing w:after="0" w:line="265" w:lineRule="auto"/>
        <w:rPr>
          <w:rFonts w:ascii="Arial" w:cs="Arial" w:eastAsia="Arial" w:hAnsi="Arial"/>
          <w:sz w:val="17"/>
          <w:szCs w:val="17"/>
          <w:color w:val="auto"/>
        </w:rPr>
      </w:pPr>
      <w:r>
        <w:rPr>
          <w:rFonts w:ascii="Arial" w:cs="Arial" w:eastAsia="Arial" w:hAnsi="Arial"/>
          <w:sz w:val="17"/>
          <w:szCs w:val="17"/>
          <w:color w:val="auto"/>
        </w:rPr>
        <w:t>The classification of financial instruments at initial recognition depends on the purpose and the Management intention for which the financial instruments were acquired and their characteristics. All financial instruments are measured initially at their fair value plus the incremental costs related to the transaction which are directly attributable to the acquisition or issue of the instrument, except in the case of financial assets and financial liabilities recorded at fair value through profit or loss.</w:t>
      </w:r>
    </w:p>
    <w:p>
      <w:pPr>
        <w:spacing w:after="0" w:line="176" w:lineRule="exact"/>
        <w:rPr>
          <w:rFonts w:ascii="Arial" w:cs="Arial" w:eastAsia="Arial" w:hAnsi="Arial"/>
          <w:sz w:val="17"/>
          <w:szCs w:val="17"/>
          <w:color w:val="auto"/>
        </w:rPr>
      </w:pPr>
    </w:p>
    <w:p>
      <w:pPr>
        <w:ind w:left="316" w:right="60"/>
        <w:spacing w:after="0" w:line="270" w:lineRule="auto"/>
        <w:rPr>
          <w:rFonts w:ascii="Arial" w:cs="Arial" w:eastAsia="Arial" w:hAnsi="Arial"/>
          <w:sz w:val="17"/>
          <w:szCs w:val="17"/>
          <w:color w:val="auto"/>
        </w:rPr>
      </w:pPr>
      <w:r>
        <w:rPr>
          <w:rFonts w:ascii="Arial" w:cs="Arial" w:eastAsia="Arial" w:hAnsi="Arial"/>
          <w:sz w:val="17"/>
          <w:szCs w:val="17"/>
          <w:color w:val="auto"/>
        </w:rPr>
        <w:t>Purchases or sales of financial assets that require delivery of assets within a time frame established according to market regulations or conventions (regular market trades) are recognized on the trade date, that is, the date on which the Group commits to purchase or sell the asset. Derivatives are recognized on a trade date basis.</w:t>
      </w:r>
    </w:p>
    <w:p>
      <w:pPr>
        <w:spacing w:after="0" w:line="171" w:lineRule="exact"/>
        <w:rPr>
          <w:rFonts w:ascii="Arial" w:cs="Arial" w:eastAsia="Arial" w:hAnsi="Arial"/>
          <w:sz w:val="17"/>
          <w:szCs w:val="17"/>
          <w:color w:val="auto"/>
        </w:rPr>
      </w:pPr>
    </w:p>
    <w:p>
      <w:pPr>
        <w:ind w:left="616" w:hanging="304"/>
        <w:spacing w:after="0"/>
        <w:tabs>
          <w:tab w:leader="none" w:pos="616" w:val="left"/>
        </w:tabs>
        <w:numPr>
          <w:ilvl w:val="1"/>
          <w:numId w:val="25"/>
        </w:numPr>
        <w:rPr>
          <w:rFonts w:ascii="Arial" w:cs="Arial" w:eastAsia="Arial" w:hAnsi="Arial"/>
          <w:sz w:val="17"/>
          <w:szCs w:val="17"/>
          <w:color w:val="auto"/>
        </w:rPr>
      </w:pPr>
      <w:r>
        <w:rPr>
          <w:rFonts w:ascii="Arial" w:cs="Arial" w:eastAsia="Arial" w:hAnsi="Arial"/>
          <w:sz w:val="17"/>
          <w:szCs w:val="17"/>
          <w:color w:val="auto"/>
        </w:rPr>
        <w:t>Financial assets and liabilities at fair value through profit or loss -</w:t>
      </w:r>
    </w:p>
    <w:p>
      <w:pPr>
        <w:spacing w:after="0" w:line="220" w:lineRule="exact"/>
        <w:rPr>
          <w:rFonts w:ascii="Arial" w:cs="Arial" w:eastAsia="Arial" w:hAnsi="Arial"/>
          <w:sz w:val="17"/>
          <w:szCs w:val="17"/>
          <w:color w:val="auto"/>
        </w:rPr>
      </w:pPr>
    </w:p>
    <w:p>
      <w:pPr>
        <w:ind w:left="616" w:right="220"/>
        <w:spacing w:after="0" w:line="294" w:lineRule="auto"/>
        <w:rPr>
          <w:rFonts w:ascii="Arial" w:cs="Arial" w:eastAsia="Arial" w:hAnsi="Arial"/>
          <w:sz w:val="17"/>
          <w:szCs w:val="17"/>
          <w:color w:val="auto"/>
        </w:rPr>
      </w:pPr>
      <w:r>
        <w:rPr>
          <w:rFonts w:ascii="Arial" w:cs="Arial" w:eastAsia="Arial" w:hAnsi="Arial"/>
          <w:sz w:val="16"/>
          <w:szCs w:val="16"/>
          <w:color w:val="auto"/>
        </w:rPr>
        <w:t>Financial assets and liabilities at fair value through profit or loss include financial assets and liabilities held for trading and financial assets and liabilities designated at fair value through profit or loss, the designation of which is upon initial recognition and on an instrument by instrument basis. Derivative financial instruments are also categorized as held for trading unless they are designated as hedging instruments.</w:t>
      </w:r>
    </w:p>
    <w:p>
      <w:pPr>
        <w:spacing w:after="0" w:line="155" w:lineRule="exact"/>
        <w:rPr>
          <w:rFonts w:ascii="Arial" w:cs="Arial" w:eastAsia="Arial" w:hAnsi="Arial"/>
          <w:sz w:val="17"/>
          <w:szCs w:val="17"/>
          <w:color w:val="auto"/>
        </w:rPr>
      </w:pPr>
    </w:p>
    <w:p>
      <w:pPr>
        <w:ind w:left="616"/>
        <w:spacing w:after="0" w:line="285" w:lineRule="auto"/>
        <w:rPr>
          <w:rFonts w:ascii="Arial" w:cs="Arial" w:eastAsia="Arial" w:hAnsi="Arial"/>
          <w:sz w:val="17"/>
          <w:szCs w:val="17"/>
          <w:color w:val="auto"/>
        </w:rPr>
      </w:pPr>
      <w:r>
        <w:rPr>
          <w:rFonts w:ascii="Arial" w:cs="Arial" w:eastAsia="Arial" w:hAnsi="Arial"/>
          <w:sz w:val="17"/>
          <w:szCs w:val="17"/>
          <w:color w:val="auto"/>
        </w:rPr>
        <w:t>A financial asset or liability is classified as held for trading if it is acquired for the purpose of selling or repurchasing it in the short term, and is presented in “Trading securities” or “Financial liabilities at fair value through profit or loss” in the consolidated statement of financial position.</w:t>
      </w:r>
    </w:p>
    <w:p>
      <w:pPr>
        <w:spacing w:after="0" w:line="159" w:lineRule="exact"/>
        <w:rPr>
          <w:rFonts w:ascii="Arial" w:cs="Arial" w:eastAsia="Arial" w:hAnsi="Arial"/>
          <w:sz w:val="17"/>
          <w:szCs w:val="17"/>
          <w:color w:val="auto"/>
        </w:rPr>
      </w:pPr>
    </w:p>
    <w:p>
      <w:pPr>
        <w:ind w:left="616"/>
        <w:spacing w:after="0"/>
        <w:rPr>
          <w:rFonts w:ascii="Arial" w:cs="Arial" w:eastAsia="Arial" w:hAnsi="Arial"/>
          <w:sz w:val="17"/>
          <w:szCs w:val="17"/>
          <w:color w:val="auto"/>
        </w:rPr>
      </w:pPr>
      <w:r>
        <w:rPr>
          <w:rFonts w:ascii="Arial" w:cs="Arial" w:eastAsia="Arial" w:hAnsi="Arial"/>
          <w:sz w:val="17"/>
          <w:szCs w:val="17"/>
          <w:color w:val="auto"/>
        </w:rPr>
        <w:t>Management may only designate an instrument at fair value through profit or loss upon initial recognition when the following criteria are met:</w:t>
      </w:r>
    </w:p>
    <w:p>
      <w:pPr>
        <w:spacing w:after="0" w:line="220" w:lineRule="exact"/>
        <w:rPr>
          <w:rFonts w:ascii="Arial" w:cs="Arial" w:eastAsia="Arial" w:hAnsi="Arial"/>
          <w:sz w:val="17"/>
          <w:szCs w:val="17"/>
          <w:color w:val="auto"/>
        </w:rPr>
      </w:pPr>
    </w:p>
    <w:p>
      <w:pPr>
        <w:ind w:left="936" w:right="600" w:hanging="312"/>
        <w:spacing w:after="0" w:line="285" w:lineRule="auto"/>
        <w:tabs>
          <w:tab w:leader="none" w:pos="936" w:val="left"/>
        </w:tabs>
        <w:numPr>
          <w:ilvl w:val="2"/>
          <w:numId w:val="25"/>
        </w:numPr>
        <w:rPr>
          <w:rFonts w:ascii="Arial" w:cs="Arial" w:eastAsia="Arial" w:hAnsi="Arial"/>
          <w:sz w:val="17"/>
          <w:szCs w:val="17"/>
          <w:color w:val="auto"/>
        </w:rPr>
      </w:pPr>
      <w:r>
        <w:rPr>
          <w:rFonts w:ascii="Arial" w:cs="Arial" w:eastAsia="Arial" w:hAnsi="Arial"/>
          <w:sz w:val="17"/>
          <w:szCs w:val="17"/>
          <w:color w:val="auto"/>
        </w:rPr>
        <w:t>The designation eliminates or significantly reduces the inconsistent treatment that would otherwise arise from measuring assets or liabilities or recognizing gains or losses generated by them on a different basis; or</w:t>
      </w:r>
    </w:p>
    <w:p>
      <w:pPr>
        <w:spacing w:after="0" w:line="367" w:lineRule="exact"/>
        <w:rPr>
          <w:rFonts w:ascii="Arial" w:cs="Arial" w:eastAsia="Arial" w:hAnsi="Arial"/>
          <w:sz w:val="17"/>
          <w:szCs w:val="17"/>
          <w:color w:val="auto"/>
        </w:rPr>
      </w:pPr>
    </w:p>
    <w:p>
      <w:pPr>
        <w:ind w:left="5636" w:hanging="107"/>
        <w:spacing w:after="0"/>
        <w:tabs>
          <w:tab w:leader="none" w:pos="5636" w:val="left"/>
        </w:tabs>
        <w:numPr>
          <w:ilvl w:val="3"/>
          <w:numId w:val="25"/>
        </w:numPr>
        <w:rPr>
          <w:rFonts w:ascii="Arial" w:cs="Arial" w:eastAsia="Arial" w:hAnsi="Arial"/>
          <w:sz w:val="17"/>
          <w:szCs w:val="17"/>
          <w:color w:val="auto"/>
        </w:rPr>
      </w:pPr>
      <w:r>
        <w:rPr>
          <w:rFonts w:ascii="Arial" w:cs="Arial" w:eastAsia="Arial" w:hAnsi="Arial"/>
          <w:sz w:val="17"/>
          <w:szCs w:val="17"/>
          <w:color w:val="auto"/>
        </w:rPr>
        <w:t>29 -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15875</wp:posOffset>
            </wp:positionV>
            <wp:extent cx="725170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1700" cy="8255"/>
                    </a:xfrm>
                    <a:prstGeom prst="rect">
                      <a:avLst/>
                    </a:prstGeom>
                    <a:noFill/>
                  </pic:spPr>
                </pic:pic>
              </a:graphicData>
            </a:graphic>
          </wp:anchor>
        </w:drawing>
      </w:r>
    </w:p>
    <w:p>
      <w:pPr>
        <w:sectPr>
          <w:pgSz w:w="11900" w:h="16838" w:orient="portrait"/>
          <w:cols w:equalWidth="0" w:num="1">
            <w:col w:w="11416"/>
          </w:cols>
          <w:pgMar w:left="244" w:top="881" w:right="239" w:bottom="1440" w:gutter="0" w:footer="0" w:header="0"/>
        </w:sectPr>
      </w:pPr>
    </w:p>
    <w:bookmarkStart w:id="35" w:name="page36"/>
    <w:bookmarkEnd w:id="35"/>
    <w:p>
      <w:pPr>
        <w:ind w:left="624" w:right="360" w:hanging="312"/>
        <w:spacing w:after="0" w:line="285" w:lineRule="auto"/>
        <w:tabs>
          <w:tab w:leader="none" w:pos="624"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assets and liabilities are part of a group of financial assets, financial liabilities or both which are managed and evaluated based on the yield on their fair value, in accordance with a documented risk management or investment strategy; or</w:t>
      </w:r>
    </w:p>
    <w:p>
      <w:pPr>
        <w:spacing w:after="0" w:line="159" w:lineRule="exact"/>
        <w:rPr>
          <w:rFonts w:ascii="Arial" w:cs="Arial" w:eastAsia="Arial" w:hAnsi="Arial"/>
          <w:sz w:val="17"/>
          <w:szCs w:val="17"/>
          <w:color w:val="auto"/>
        </w:rPr>
      </w:pPr>
    </w:p>
    <w:p>
      <w:pPr>
        <w:ind w:left="624" w:right="100" w:hanging="312"/>
        <w:spacing w:after="0" w:line="318" w:lineRule="auto"/>
        <w:tabs>
          <w:tab w:leader="none" w:pos="624" w:val="left"/>
        </w:tabs>
        <w:numPr>
          <w:ilvl w:val="0"/>
          <w:numId w:val="26"/>
        </w:numPr>
        <w:rPr>
          <w:rFonts w:ascii="Arial" w:cs="Arial" w:eastAsia="Arial" w:hAnsi="Arial"/>
          <w:sz w:val="16"/>
          <w:szCs w:val="16"/>
          <w:color w:val="auto"/>
        </w:rPr>
      </w:pPr>
      <w:r>
        <w:rPr>
          <w:rFonts w:ascii="Arial" w:cs="Arial" w:eastAsia="Arial" w:hAnsi="Arial"/>
          <w:sz w:val="16"/>
          <w:szCs w:val="16"/>
          <w:color w:val="auto"/>
        </w:rPr>
        <w:t>A contract contains one or more embedded derivatives which can significantly modify the cash flows that might otherwise be required by the contract and their separation is not prohibited by IAS 39. In this case, the entire contract is designated at fair value through profit or loss.</w:t>
      </w:r>
    </w:p>
    <w:p>
      <w:pPr>
        <w:spacing w:after="0" w:line="136" w:lineRule="exact"/>
        <w:rPr>
          <w:sz w:val="20"/>
          <w:szCs w:val="20"/>
          <w:color w:val="auto"/>
        </w:rPr>
      </w:pPr>
    </w:p>
    <w:p>
      <w:pPr>
        <w:ind w:left="304" w:right="40"/>
        <w:spacing w:after="0" w:line="265" w:lineRule="auto"/>
        <w:rPr>
          <w:sz w:val="20"/>
          <w:szCs w:val="20"/>
          <w:color w:val="auto"/>
        </w:rPr>
      </w:pPr>
      <w:r>
        <w:rPr>
          <w:rFonts w:ascii="Arial" w:cs="Arial" w:eastAsia="Arial" w:hAnsi="Arial"/>
          <w:sz w:val="17"/>
          <w:szCs w:val="17"/>
          <w:color w:val="auto"/>
        </w:rPr>
        <w:t>Changes in fair value of a designated financial asset and liability through profit or loss are recorded in “Net gain (loss) on financial assets designated at fair value through profit or loss” of the consolidated statement of income. Interest earned or incurred is accrued in the consolidated statement of income in “Interest and similar income” or “interest and similar expenses”, according to the terms of the contract. Dividend income is recorded when the right to payment has been established.</w:t>
      </w:r>
    </w:p>
    <w:p>
      <w:pPr>
        <w:spacing w:after="0" w:line="176" w:lineRule="exact"/>
        <w:rPr>
          <w:sz w:val="20"/>
          <w:szCs w:val="20"/>
          <w:color w:val="auto"/>
        </w:rPr>
      </w:pPr>
    </w:p>
    <w:p>
      <w:pPr>
        <w:ind w:left="304" w:hanging="304"/>
        <w:spacing w:after="0"/>
        <w:tabs>
          <w:tab w:leader="none" w:pos="304" w:val="left"/>
        </w:tabs>
        <w:numPr>
          <w:ilvl w:val="0"/>
          <w:numId w:val="27"/>
        </w:numPr>
        <w:rPr>
          <w:rFonts w:ascii="Arial" w:cs="Arial" w:eastAsia="Arial" w:hAnsi="Arial"/>
          <w:sz w:val="17"/>
          <w:szCs w:val="17"/>
          <w:color w:val="auto"/>
        </w:rPr>
      </w:pPr>
      <w:r>
        <w:rPr>
          <w:rFonts w:ascii="Arial" w:cs="Arial" w:eastAsia="Arial" w:hAnsi="Arial"/>
          <w:sz w:val="17"/>
          <w:szCs w:val="17"/>
          <w:color w:val="auto"/>
        </w:rPr>
        <w:t>Loans and receivables -</w:t>
      </w:r>
    </w:p>
    <w:p>
      <w:pPr>
        <w:spacing w:after="0" w:line="220" w:lineRule="exact"/>
        <w:rPr>
          <w:rFonts w:ascii="Arial" w:cs="Arial" w:eastAsia="Arial" w:hAnsi="Arial"/>
          <w:sz w:val="17"/>
          <w:szCs w:val="17"/>
          <w:color w:val="auto"/>
        </w:rPr>
      </w:pPr>
    </w:p>
    <w:p>
      <w:pPr>
        <w:ind w:left="304"/>
        <w:spacing w:after="0"/>
        <w:rPr>
          <w:rFonts w:ascii="Arial" w:cs="Arial" w:eastAsia="Arial" w:hAnsi="Arial"/>
          <w:sz w:val="17"/>
          <w:szCs w:val="17"/>
          <w:color w:val="auto"/>
        </w:rPr>
      </w:pPr>
      <w:r>
        <w:rPr>
          <w:rFonts w:ascii="Arial" w:cs="Arial" w:eastAsia="Arial" w:hAnsi="Arial"/>
          <w:sz w:val="17"/>
          <w:szCs w:val="17"/>
          <w:color w:val="auto"/>
        </w:rPr>
        <w:t>Loans and receivables are non-derivative financial assets with fixed or determinable payments that are not quoted in an active market.</w:t>
      </w:r>
    </w:p>
    <w:p>
      <w:pPr>
        <w:spacing w:after="0" w:line="220" w:lineRule="exact"/>
        <w:rPr>
          <w:rFonts w:ascii="Arial" w:cs="Arial" w:eastAsia="Arial" w:hAnsi="Arial"/>
          <w:sz w:val="17"/>
          <w:szCs w:val="17"/>
          <w:color w:val="auto"/>
        </w:rPr>
      </w:pPr>
    </w:p>
    <w:p>
      <w:pPr>
        <w:ind w:left="304" w:right="180"/>
        <w:spacing w:after="0" w:line="286" w:lineRule="auto"/>
        <w:rPr>
          <w:rFonts w:ascii="Arial" w:cs="Arial" w:eastAsia="Arial" w:hAnsi="Arial"/>
          <w:sz w:val="17"/>
          <w:szCs w:val="17"/>
          <w:color w:val="auto"/>
        </w:rPr>
      </w:pPr>
      <w:r>
        <w:rPr>
          <w:rFonts w:ascii="Arial" w:cs="Arial" w:eastAsia="Arial" w:hAnsi="Arial"/>
          <w:sz w:val="16"/>
          <w:szCs w:val="16"/>
          <w:color w:val="auto"/>
        </w:rPr>
        <w:t>After initial recognition, loans and receivables are measured at amortized cost using the effective interest rate method, less any provision for impairment. Amortized cost is calculated by taking into account any discount or premium on acquisition and fees or costs that are an integral part of the effective interest rate. The effective interest rate amortization is recognized in the consolidated statement of income in “Interest and similar income”. Losses from impairment are recognized in the consolidated statement of income in “Provision for loan losses, net of recoveries”.</w:t>
      </w:r>
    </w:p>
    <w:p>
      <w:pPr>
        <w:spacing w:after="0" w:line="162" w:lineRule="exact"/>
        <w:rPr>
          <w:rFonts w:ascii="Arial" w:cs="Arial" w:eastAsia="Arial" w:hAnsi="Arial"/>
          <w:sz w:val="17"/>
          <w:szCs w:val="17"/>
          <w:color w:val="auto"/>
        </w:rPr>
      </w:pPr>
    </w:p>
    <w:p>
      <w:pPr>
        <w:ind w:left="304" w:right="80"/>
        <w:spacing w:after="0" w:line="270" w:lineRule="auto"/>
        <w:rPr>
          <w:rFonts w:ascii="Arial" w:cs="Arial" w:eastAsia="Arial" w:hAnsi="Arial"/>
          <w:sz w:val="17"/>
          <w:szCs w:val="17"/>
          <w:color w:val="auto"/>
        </w:rPr>
      </w:pPr>
      <w:r>
        <w:rPr>
          <w:rFonts w:ascii="Arial" w:cs="Arial" w:eastAsia="Arial" w:hAnsi="Arial"/>
          <w:sz w:val="17"/>
          <w:szCs w:val="17"/>
          <w:color w:val="auto"/>
        </w:rPr>
        <w:t>Direct loans are recorded when disbursement of funds to the clients are made. Indirect (off-balance sheet) loans are recorded when documents supporting such facilities are issued. Likewise, Credicorp considers as refinanced or restructured those loans that change their payment schedules due to difficulties in the debtor’s ability to repay the loan.</w:t>
      </w:r>
    </w:p>
    <w:p>
      <w:pPr>
        <w:spacing w:after="0" w:line="171" w:lineRule="exact"/>
        <w:rPr>
          <w:rFonts w:ascii="Arial" w:cs="Arial" w:eastAsia="Arial" w:hAnsi="Arial"/>
          <w:sz w:val="17"/>
          <w:szCs w:val="17"/>
          <w:color w:val="auto"/>
        </w:rPr>
      </w:pPr>
    </w:p>
    <w:p>
      <w:pPr>
        <w:ind w:left="304" w:right="200"/>
        <w:spacing w:after="0" w:line="270" w:lineRule="auto"/>
        <w:rPr>
          <w:rFonts w:ascii="Arial" w:cs="Arial" w:eastAsia="Arial" w:hAnsi="Arial"/>
          <w:sz w:val="17"/>
          <w:szCs w:val="17"/>
          <w:color w:val="auto"/>
        </w:rPr>
      </w:pPr>
      <w:r>
        <w:rPr>
          <w:rFonts w:ascii="Arial" w:cs="Arial" w:eastAsia="Arial" w:hAnsi="Arial"/>
          <w:sz w:val="17"/>
          <w:szCs w:val="17"/>
          <w:color w:val="auto"/>
        </w:rPr>
        <w:t>A provision for loan losses is established if there is objective evidence that the Group will not be able to collect all amounts due according to the original contractual terms of the loans. The provision for loan losses is established based on an internal risk classification and considering any guarantees and collaterals received, Note 3 (i) and 32.1.</w:t>
      </w:r>
    </w:p>
    <w:p>
      <w:pPr>
        <w:spacing w:after="0" w:line="171" w:lineRule="exact"/>
        <w:rPr>
          <w:rFonts w:ascii="Arial" w:cs="Arial" w:eastAsia="Arial" w:hAnsi="Arial"/>
          <w:sz w:val="17"/>
          <w:szCs w:val="17"/>
          <w:color w:val="auto"/>
        </w:rPr>
      </w:pPr>
    </w:p>
    <w:p>
      <w:pPr>
        <w:ind w:left="304" w:hanging="304"/>
        <w:spacing w:after="0"/>
        <w:tabs>
          <w:tab w:leader="none" w:pos="304" w:val="left"/>
        </w:tabs>
        <w:numPr>
          <w:ilvl w:val="0"/>
          <w:numId w:val="27"/>
        </w:numPr>
        <w:rPr>
          <w:rFonts w:ascii="Arial" w:cs="Arial" w:eastAsia="Arial" w:hAnsi="Arial"/>
          <w:sz w:val="17"/>
          <w:szCs w:val="17"/>
          <w:color w:val="auto"/>
        </w:rPr>
      </w:pPr>
      <w:r>
        <w:rPr>
          <w:rFonts w:ascii="Arial" w:cs="Arial" w:eastAsia="Arial" w:hAnsi="Arial"/>
          <w:sz w:val="17"/>
          <w:szCs w:val="17"/>
          <w:color w:val="auto"/>
        </w:rPr>
        <w:t>Available-for-sale financial investments -</w:t>
      </w:r>
    </w:p>
    <w:p>
      <w:pPr>
        <w:spacing w:after="0" w:line="220" w:lineRule="exact"/>
        <w:rPr>
          <w:rFonts w:ascii="Arial" w:cs="Arial" w:eastAsia="Arial" w:hAnsi="Arial"/>
          <w:sz w:val="17"/>
          <w:szCs w:val="17"/>
          <w:color w:val="auto"/>
        </w:rPr>
      </w:pPr>
    </w:p>
    <w:p>
      <w:pPr>
        <w:ind w:left="304" w:right="20"/>
        <w:spacing w:after="0" w:line="294" w:lineRule="auto"/>
        <w:rPr>
          <w:rFonts w:ascii="Arial" w:cs="Arial" w:eastAsia="Arial" w:hAnsi="Arial"/>
          <w:sz w:val="17"/>
          <w:szCs w:val="17"/>
          <w:color w:val="auto"/>
        </w:rPr>
      </w:pPr>
      <w:r>
        <w:rPr>
          <w:rFonts w:ascii="Arial" w:cs="Arial" w:eastAsia="Arial" w:hAnsi="Arial"/>
          <w:sz w:val="16"/>
          <w:szCs w:val="16"/>
          <w:color w:val="auto"/>
        </w:rPr>
        <w:t>Available-for-sale financial investments include equity investments and debt securities. Equity investments classified as available-for-sale are those that are neither classified as held for trading nor designated at fair value through profit or loss. Debt instruments in this category are those that are intended to be held for an indefinite period of time and that may be sold in response to needs for liquidity or in response to changes in market conditions.</w:t>
      </w:r>
    </w:p>
    <w:p>
      <w:pPr>
        <w:spacing w:after="0" w:line="155" w:lineRule="exact"/>
        <w:rPr>
          <w:rFonts w:ascii="Arial" w:cs="Arial" w:eastAsia="Arial" w:hAnsi="Arial"/>
          <w:sz w:val="17"/>
          <w:szCs w:val="17"/>
          <w:color w:val="auto"/>
        </w:rPr>
      </w:pPr>
    </w:p>
    <w:p>
      <w:pPr>
        <w:ind w:left="304"/>
        <w:spacing w:after="0" w:line="262" w:lineRule="auto"/>
        <w:rPr>
          <w:rFonts w:ascii="Arial" w:cs="Arial" w:eastAsia="Arial" w:hAnsi="Arial"/>
          <w:sz w:val="17"/>
          <w:szCs w:val="17"/>
          <w:color w:val="auto"/>
        </w:rPr>
      </w:pPr>
      <w:r>
        <w:rPr>
          <w:rFonts w:ascii="Arial" w:cs="Arial" w:eastAsia="Arial" w:hAnsi="Arial"/>
          <w:sz w:val="17"/>
          <w:szCs w:val="17"/>
          <w:color w:val="auto"/>
        </w:rPr>
        <w:t>After initial recognition, available-for-sale financial investments are subsequently measured at fair value with unrealized gains or losses recognized as other comprehensive income in the available-for-sale reserve, net of the corresponding deferred tax and non-controlling interest, until the investment is derecognized, at which time the cumulative gain or loss is recognized in the consolidated statement of income in “Net gain on the sale of securities”, or is determined to be impaired, at which time the impaired amount is recognized in the consolidated statement of income in “Impairment loss on available–for– sale investments” and removed from the reserve of investments available-for-sale.</w:t>
      </w:r>
    </w:p>
    <w:p>
      <w:pPr>
        <w:spacing w:after="0" w:line="388" w:lineRule="exact"/>
        <w:rPr>
          <w:rFonts w:ascii="Arial" w:cs="Arial" w:eastAsia="Arial" w:hAnsi="Arial"/>
          <w:sz w:val="17"/>
          <w:szCs w:val="17"/>
          <w:color w:val="auto"/>
        </w:rPr>
      </w:pPr>
    </w:p>
    <w:p>
      <w:pPr>
        <w:ind w:left="5324" w:hanging="107"/>
        <w:spacing w:after="0"/>
        <w:tabs>
          <w:tab w:leader="none" w:pos="5324" w:val="left"/>
        </w:tabs>
        <w:numPr>
          <w:ilvl w:val="1"/>
          <w:numId w:val="27"/>
        </w:numPr>
        <w:rPr>
          <w:rFonts w:ascii="Arial" w:cs="Arial" w:eastAsia="Arial" w:hAnsi="Arial"/>
          <w:sz w:val="17"/>
          <w:szCs w:val="17"/>
          <w:color w:val="auto"/>
        </w:rPr>
      </w:pPr>
      <w:r>
        <w:rPr>
          <w:rFonts w:ascii="Arial" w:cs="Arial" w:eastAsia="Arial" w:hAnsi="Arial"/>
          <w:sz w:val="17"/>
          <w:szCs w:val="17"/>
          <w:color w:val="auto"/>
        </w:rPr>
        <w:t>30 -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-197485</wp:posOffset>
            </wp:positionH>
            <wp:positionV relativeFrom="paragraph">
              <wp:posOffset>15875</wp:posOffset>
            </wp:positionV>
            <wp:extent cx="725170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1700" cy="8255"/>
                    </a:xfrm>
                    <a:prstGeom prst="rect">
                      <a:avLst/>
                    </a:prstGeom>
                    <a:noFill/>
                  </pic:spPr>
                </pic:pic>
              </a:graphicData>
            </a:graphic>
          </wp:anchor>
        </w:drawing>
      </w:r>
    </w:p>
    <w:p>
      <w:pPr>
        <w:sectPr>
          <w:pgSz w:w="11900" w:h="16838" w:orient="portrait"/>
          <w:cols w:equalWidth="0" w:num="1">
            <w:col w:w="11104"/>
          </w:cols>
          <w:pgMar w:left="556" w:top="881" w:right="239" w:bottom="1440" w:gutter="0" w:footer="0" w:header="0"/>
        </w:sectPr>
      </w:pPr>
    </w:p>
    <w:bookmarkStart w:id="36" w:name="page37"/>
    <w:bookmarkEnd w:id="36"/>
    <w:p>
      <w:pPr>
        <w:ind w:left="304" w:right="180"/>
        <w:spacing w:after="0" w:line="318" w:lineRule="auto"/>
        <w:rPr>
          <w:sz w:val="20"/>
          <w:szCs w:val="20"/>
          <w:color w:val="auto"/>
        </w:rPr>
      </w:pPr>
      <w:r>
        <w:rPr>
          <w:rFonts w:ascii="Arial" w:cs="Arial" w:eastAsia="Arial" w:hAnsi="Arial"/>
          <w:sz w:val="16"/>
          <w:szCs w:val="16"/>
          <w:color w:val="auto"/>
        </w:rPr>
        <w:t>Interest and similar income earned are recognized in the consolidated statement of income in “Interest and similar income”. Interest earned is reported as interest income using the effective interest rate method and dividends earned are recognized when collection rights are established.</w:t>
      </w:r>
    </w:p>
    <w:p>
      <w:pPr>
        <w:spacing w:after="0" w:line="136" w:lineRule="exact"/>
        <w:rPr>
          <w:sz w:val="20"/>
          <w:szCs w:val="20"/>
          <w:color w:val="auto"/>
        </w:rPr>
      </w:pPr>
    </w:p>
    <w:p>
      <w:pPr>
        <w:ind w:left="304" w:right="100"/>
        <w:spacing w:after="0" w:line="285" w:lineRule="auto"/>
        <w:rPr>
          <w:sz w:val="20"/>
          <w:szCs w:val="20"/>
          <w:color w:val="auto"/>
        </w:rPr>
      </w:pPr>
      <w:r>
        <w:rPr>
          <w:rFonts w:ascii="Arial" w:cs="Arial" w:eastAsia="Arial" w:hAnsi="Arial"/>
          <w:sz w:val="17"/>
          <w:szCs w:val="17"/>
          <w:color w:val="auto"/>
        </w:rPr>
        <w:t>Estimated fair values are based primarily on quoted prices or, if quoted market prices are not available, discounted expected cash flows using market rates commensurate with the credit quality and maturity of the investment.</w:t>
      </w:r>
    </w:p>
    <w:p>
      <w:pPr>
        <w:spacing w:after="0" w:line="159" w:lineRule="exact"/>
        <w:rPr>
          <w:sz w:val="20"/>
          <w:szCs w:val="20"/>
          <w:color w:val="auto"/>
        </w:rPr>
      </w:pPr>
    </w:p>
    <w:p>
      <w:pPr>
        <w:jc w:val="both"/>
        <w:ind w:left="304" w:right="600"/>
        <w:spacing w:after="0" w:line="294" w:lineRule="auto"/>
        <w:rPr>
          <w:sz w:val="20"/>
          <w:szCs w:val="20"/>
          <w:color w:val="auto"/>
        </w:rPr>
      </w:pPr>
      <w:r>
        <w:rPr>
          <w:rFonts w:ascii="Arial" w:cs="Arial" w:eastAsia="Arial" w:hAnsi="Arial"/>
          <w:sz w:val="16"/>
          <w:szCs w:val="16"/>
          <w:color w:val="auto"/>
        </w:rPr>
        <w:t>The Group evaluates whether its ability and intention to sell its available-for-sale financial assets in the near term is still appropriate. When, in rare circumstances, the Group is unable to trade these financial assets due to inactive markets, the Group may elect to reclassify these financial assets if Management has the ability and intention to hold such assets for the foreseeable future or until maturity.</w:t>
      </w:r>
    </w:p>
    <w:p>
      <w:pPr>
        <w:spacing w:after="0" w:line="155" w:lineRule="exact"/>
        <w:rPr>
          <w:sz w:val="20"/>
          <w:szCs w:val="20"/>
          <w:color w:val="auto"/>
        </w:rPr>
      </w:pPr>
    </w:p>
    <w:p>
      <w:pPr>
        <w:ind w:left="304" w:right="360"/>
        <w:spacing w:after="0" w:line="270" w:lineRule="auto"/>
        <w:rPr>
          <w:sz w:val="20"/>
          <w:szCs w:val="20"/>
          <w:color w:val="auto"/>
        </w:rPr>
      </w:pPr>
      <w:r>
        <w:rPr>
          <w:rFonts w:ascii="Arial" w:cs="Arial" w:eastAsia="Arial" w:hAnsi="Arial"/>
          <w:sz w:val="17"/>
          <w:szCs w:val="17"/>
          <w:color w:val="auto"/>
        </w:rPr>
        <w:t>For a financial asset reclassified from the available-for-sale category, the fair value carrying amount at the date of reclassification becomes its new amortized cost and any previous gain or loss on the asset that has been recognized in equity is amortized to profit or loss over the remaining life of the investment using the effective interest rate.</w:t>
      </w:r>
    </w:p>
    <w:p>
      <w:pPr>
        <w:spacing w:after="0" w:line="172" w:lineRule="exact"/>
        <w:rPr>
          <w:sz w:val="20"/>
          <w:szCs w:val="20"/>
          <w:color w:val="auto"/>
        </w:rPr>
      </w:pPr>
    </w:p>
    <w:p>
      <w:pPr>
        <w:ind w:left="304" w:hanging="304"/>
        <w:spacing w:after="0"/>
        <w:tabs>
          <w:tab w:leader="none" w:pos="304" w:val="left"/>
        </w:tabs>
        <w:numPr>
          <w:ilvl w:val="0"/>
          <w:numId w:val="28"/>
        </w:numPr>
        <w:rPr>
          <w:rFonts w:ascii="Arial" w:cs="Arial" w:eastAsia="Arial" w:hAnsi="Arial"/>
          <w:sz w:val="17"/>
          <w:szCs w:val="17"/>
          <w:color w:val="auto"/>
        </w:rPr>
      </w:pPr>
      <w:r>
        <w:rPr>
          <w:rFonts w:ascii="Arial" w:cs="Arial" w:eastAsia="Arial" w:hAnsi="Arial"/>
          <w:sz w:val="17"/>
          <w:szCs w:val="17"/>
          <w:color w:val="auto"/>
        </w:rPr>
        <w:t>Held-to-maturity financial investments -</w:t>
      </w:r>
    </w:p>
    <w:p>
      <w:pPr>
        <w:spacing w:after="0" w:line="220" w:lineRule="exact"/>
        <w:rPr>
          <w:rFonts w:ascii="Arial" w:cs="Arial" w:eastAsia="Arial" w:hAnsi="Arial"/>
          <w:sz w:val="17"/>
          <w:szCs w:val="17"/>
          <w:color w:val="auto"/>
        </w:rPr>
      </w:pPr>
    </w:p>
    <w:p>
      <w:pPr>
        <w:ind w:left="304" w:right="20"/>
        <w:spacing w:after="0" w:line="283" w:lineRule="auto"/>
        <w:rPr>
          <w:rFonts w:ascii="Arial" w:cs="Arial" w:eastAsia="Arial" w:hAnsi="Arial"/>
          <w:sz w:val="17"/>
          <w:szCs w:val="17"/>
          <w:color w:val="auto"/>
        </w:rPr>
      </w:pPr>
      <w:r>
        <w:rPr>
          <w:rFonts w:ascii="Arial" w:cs="Arial" w:eastAsia="Arial" w:hAnsi="Arial"/>
          <w:sz w:val="16"/>
          <w:szCs w:val="16"/>
          <w:color w:val="auto"/>
        </w:rPr>
        <w:t>Held-to-maturity financial investments are non–derivative financial assets with fixed or determinable payments and fixed maturities, which Credicorp has the intention and ability to hold to maturity. After initial measurement, held-to-maturity financial investments are subsequently measured at amortized cost using the effective interest rate less impairment. Amortized cost is calculated by taking into account any discount or premium on acquisition and fees that are an integral part of the effective interest rate. The amortization is included in “Interest and similar income” of the consolidated statement of income. The losses arising from impairment of these investments are recognized in the consolidated statement of income.</w:t>
      </w:r>
    </w:p>
    <w:p>
      <w:pPr>
        <w:spacing w:after="0" w:line="162" w:lineRule="exact"/>
        <w:rPr>
          <w:rFonts w:ascii="Arial" w:cs="Arial" w:eastAsia="Arial" w:hAnsi="Arial"/>
          <w:sz w:val="17"/>
          <w:szCs w:val="17"/>
          <w:color w:val="auto"/>
        </w:rPr>
      </w:pPr>
    </w:p>
    <w:p>
      <w:pPr>
        <w:ind w:left="304" w:right="60"/>
        <w:spacing w:after="0" w:line="285" w:lineRule="auto"/>
        <w:rPr>
          <w:rFonts w:ascii="Arial" w:cs="Arial" w:eastAsia="Arial" w:hAnsi="Arial"/>
          <w:sz w:val="17"/>
          <w:szCs w:val="17"/>
          <w:color w:val="auto"/>
        </w:rPr>
      </w:pPr>
      <w:r>
        <w:rPr>
          <w:rFonts w:ascii="Arial" w:cs="Arial" w:eastAsia="Arial" w:hAnsi="Arial"/>
          <w:sz w:val="17"/>
          <w:szCs w:val="17"/>
          <w:color w:val="auto"/>
        </w:rPr>
        <w:t>At December 31, 2017 and 2016 the Group has not recognized any impairment loss on held-to-maturity investments, see policy of impairment of financial assets carried at amortized cost in Note 3(i)(i).</w:t>
      </w:r>
    </w:p>
    <w:p>
      <w:pPr>
        <w:spacing w:after="0" w:line="159" w:lineRule="exact"/>
        <w:rPr>
          <w:rFonts w:ascii="Arial" w:cs="Arial" w:eastAsia="Arial" w:hAnsi="Arial"/>
          <w:sz w:val="17"/>
          <w:szCs w:val="17"/>
          <w:color w:val="auto"/>
        </w:rPr>
      </w:pPr>
    </w:p>
    <w:p>
      <w:pPr>
        <w:ind w:left="304" w:right="200"/>
        <w:spacing w:after="0" w:line="270" w:lineRule="auto"/>
        <w:rPr>
          <w:rFonts w:ascii="Arial" w:cs="Arial" w:eastAsia="Arial" w:hAnsi="Arial"/>
          <w:sz w:val="17"/>
          <w:szCs w:val="17"/>
          <w:color w:val="auto"/>
        </w:rPr>
      </w:pPr>
      <w:r>
        <w:rPr>
          <w:rFonts w:ascii="Arial" w:cs="Arial" w:eastAsia="Arial" w:hAnsi="Arial"/>
          <w:sz w:val="17"/>
          <w:szCs w:val="17"/>
          <w:color w:val="auto"/>
        </w:rPr>
        <w:t>If the Group were to sell or reclassify a more than insignificant amount of held-to-maturity investments before maturity (other than in certain specific circumstances), the entire category would be tainted and would have to be reclassified as available-for-sale. Furthermore, the Group would be prohibited from classifying any financial asset as held-to-maturity during the following two (2) years.</w:t>
      </w:r>
    </w:p>
    <w:p>
      <w:pPr>
        <w:spacing w:after="0" w:line="171" w:lineRule="exact"/>
        <w:rPr>
          <w:rFonts w:ascii="Arial" w:cs="Arial" w:eastAsia="Arial" w:hAnsi="Arial"/>
          <w:sz w:val="17"/>
          <w:szCs w:val="17"/>
          <w:color w:val="auto"/>
        </w:rPr>
      </w:pPr>
    </w:p>
    <w:p>
      <w:pPr>
        <w:ind w:left="304"/>
        <w:spacing w:after="0"/>
        <w:rPr>
          <w:rFonts w:ascii="Arial" w:cs="Arial" w:eastAsia="Arial" w:hAnsi="Arial"/>
          <w:sz w:val="17"/>
          <w:szCs w:val="17"/>
          <w:color w:val="auto"/>
        </w:rPr>
      </w:pPr>
      <w:r>
        <w:rPr>
          <w:rFonts w:ascii="Arial" w:cs="Arial" w:eastAsia="Arial" w:hAnsi="Arial"/>
          <w:sz w:val="17"/>
          <w:szCs w:val="17"/>
          <w:color w:val="auto"/>
        </w:rPr>
        <w:t>At December 31, 2017 and 2016 the Group did not sell or reclassify any of its held-to-maturity investments.</w:t>
      </w:r>
    </w:p>
    <w:p>
      <w:pPr>
        <w:spacing w:after="0" w:line="220" w:lineRule="exact"/>
        <w:rPr>
          <w:rFonts w:ascii="Arial" w:cs="Arial" w:eastAsia="Arial" w:hAnsi="Arial"/>
          <w:sz w:val="17"/>
          <w:szCs w:val="17"/>
          <w:color w:val="auto"/>
        </w:rPr>
      </w:pPr>
    </w:p>
    <w:p>
      <w:pPr>
        <w:ind w:left="304" w:hanging="304"/>
        <w:spacing w:after="0"/>
        <w:tabs>
          <w:tab w:leader="none" w:pos="304" w:val="left"/>
        </w:tabs>
        <w:numPr>
          <w:ilvl w:val="0"/>
          <w:numId w:val="28"/>
        </w:numPr>
        <w:rPr>
          <w:rFonts w:ascii="Arial" w:cs="Arial" w:eastAsia="Arial" w:hAnsi="Arial"/>
          <w:sz w:val="17"/>
          <w:szCs w:val="17"/>
          <w:color w:val="auto"/>
        </w:rPr>
      </w:pPr>
      <w:r>
        <w:rPr>
          <w:rFonts w:ascii="Arial" w:cs="Arial" w:eastAsia="Arial" w:hAnsi="Arial"/>
          <w:sz w:val="17"/>
          <w:szCs w:val="17"/>
          <w:color w:val="auto"/>
        </w:rPr>
        <w:t>Repurchase and reverse repurchase agreements and security lending and borrowing transactions -</w:t>
      </w:r>
    </w:p>
    <w:p>
      <w:pPr>
        <w:spacing w:after="0" w:line="220" w:lineRule="exact"/>
        <w:rPr>
          <w:rFonts w:ascii="Arial" w:cs="Arial" w:eastAsia="Arial" w:hAnsi="Arial"/>
          <w:sz w:val="17"/>
          <w:szCs w:val="17"/>
          <w:color w:val="auto"/>
        </w:rPr>
      </w:pPr>
    </w:p>
    <w:p>
      <w:pPr>
        <w:ind w:left="304"/>
        <w:spacing w:after="0" w:line="283" w:lineRule="auto"/>
        <w:rPr>
          <w:rFonts w:ascii="Arial" w:cs="Arial" w:eastAsia="Arial" w:hAnsi="Arial"/>
          <w:sz w:val="17"/>
          <w:szCs w:val="17"/>
          <w:color w:val="auto"/>
        </w:rPr>
      </w:pPr>
      <w:r>
        <w:rPr>
          <w:rFonts w:ascii="Arial" w:cs="Arial" w:eastAsia="Arial" w:hAnsi="Arial"/>
          <w:sz w:val="16"/>
          <w:szCs w:val="16"/>
          <w:color w:val="auto"/>
        </w:rPr>
        <w:t>Securities sold under agreements to repurchase at a specified future date are not derecognized from the consolidated statement of financial position as the Group retains substantially all of the risks and rewards of ownership. The cash received is recognized as an asset with a corresponding obligation to return it, including accrued interest, as a liability in “Payables from repurchase agreements and security lendings”, reflecting the transaction’s economic substance as a loan to the Group. The difference between the sale and repurchase price is treated as interest expense and is accrued over the life of the agreement using the effective interest rate and is recognized in “Interest and similar expenses” of the consolidated statement of income.</w:t>
      </w:r>
    </w:p>
    <w:p>
      <w:pPr>
        <w:spacing w:after="0" w:line="370" w:lineRule="exact"/>
        <w:rPr>
          <w:rFonts w:ascii="Arial" w:cs="Arial" w:eastAsia="Arial" w:hAnsi="Arial"/>
          <w:sz w:val="17"/>
          <w:szCs w:val="17"/>
          <w:color w:val="auto"/>
        </w:rPr>
      </w:pPr>
    </w:p>
    <w:p>
      <w:pPr>
        <w:ind w:left="5324" w:hanging="107"/>
        <w:spacing w:after="0"/>
        <w:tabs>
          <w:tab w:leader="none" w:pos="5324" w:val="left"/>
        </w:tabs>
        <w:numPr>
          <w:ilvl w:val="1"/>
          <w:numId w:val="28"/>
        </w:numPr>
        <w:rPr>
          <w:rFonts w:ascii="Arial" w:cs="Arial" w:eastAsia="Arial" w:hAnsi="Arial"/>
          <w:sz w:val="17"/>
          <w:szCs w:val="17"/>
          <w:color w:val="auto"/>
        </w:rPr>
      </w:pPr>
      <w:r>
        <w:rPr>
          <w:rFonts w:ascii="Arial" w:cs="Arial" w:eastAsia="Arial" w:hAnsi="Arial"/>
          <w:sz w:val="17"/>
          <w:szCs w:val="17"/>
          <w:color w:val="auto"/>
        </w:rPr>
        <w:t>31 -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-197485</wp:posOffset>
            </wp:positionH>
            <wp:positionV relativeFrom="paragraph">
              <wp:posOffset>15875</wp:posOffset>
            </wp:positionV>
            <wp:extent cx="725170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1700" cy="8255"/>
                    </a:xfrm>
                    <a:prstGeom prst="rect">
                      <a:avLst/>
                    </a:prstGeom>
                    <a:noFill/>
                  </pic:spPr>
                </pic:pic>
              </a:graphicData>
            </a:graphic>
          </wp:anchor>
        </w:drawing>
      </w:r>
    </w:p>
    <w:p>
      <w:pPr>
        <w:sectPr>
          <w:pgSz w:w="11900" w:h="16838" w:orient="portrait"/>
          <w:cols w:equalWidth="0" w:num="1">
            <w:col w:w="11084"/>
          </w:cols>
          <w:pgMar w:left="556" w:top="881" w:right="259" w:bottom="1440" w:gutter="0" w:footer="0" w:header="0"/>
        </w:sectPr>
      </w:pPr>
    </w:p>
    <w:bookmarkStart w:id="37" w:name="page38"/>
    <w:bookmarkEnd w:id="37"/>
    <w:p>
      <w:pPr>
        <w:ind w:left="616" w:right="140"/>
        <w:spacing w:after="0" w:line="283" w:lineRule="auto"/>
        <w:rPr>
          <w:sz w:val="20"/>
          <w:szCs w:val="20"/>
          <w:color w:val="auto"/>
        </w:rPr>
      </w:pPr>
      <w:r>
        <w:rPr>
          <w:rFonts w:ascii="Arial" w:cs="Arial" w:eastAsia="Arial" w:hAnsi="Arial"/>
          <w:sz w:val="16"/>
          <w:szCs w:val="16"/>
          <w:color w:val="auto"/>
        </w:rPr>
        <w:t>As part of this transaction the Group grants assets as collateral. When the counterparty receives securities and has the right to sell or re-pledge, the Group reclassifies those securities in “Available-for-sale investments pledged as collateral” or “Held-to-maturity investments pledged as collateral”, as appropriate, of the consolidated statement of financial position. Also, when the counterparty receives cash as collateral that will be restricted until the maturity of the contract, the Group reclassifies the cash in Cash collateral, reverse repurchase agreements and security borrowings” in the consolidated statement of financial position, which includes accrued interest that is calculated according to the method of the effective interest rate.</w:t>
      </w:r>
    </w:p>
    <w:p>
      <w:pPr>
        <w:spacing w:after="0" w:line="163" w:lineRule="exact"/>
        <w:rPr>
          <w:sz w:val="20"/>
          <w:szCs w:val="20"/>
          <w:color w:val="auto"/>
        </w:rPr>
      </w:pPr>
    </w:p>
    <w:p>
      <w:pPr>
        <w:ind w:left="616"/>
        <w:spacing w:after="0" w:line="262" w:lineRule="auto"/>
        <w:rPr>
          <w:sz w:val="20"/>
          <w:szCs w:val="20"/>
          <w:color w:val="auto"/>
        </w:rPr>
      </w:pPr>
      <w:r>
        <w:rPr>
          <w:rFonts w:ascii="Arial" w:cs="Arial" w:eastAsia="Arial" w:hAnsi="Arial"/>
          <w:sz w:val="17"/>
          <w:szCs w:val="17"/>
          <w:color w:val="auto"/>
        </w:rPr>
        <w:t>Conversely, securities purchased under agreements to resell at a specified future date are not recognized in the consolidated statement of financial position. The consideration paid, including accrued interest, is recorded in “Receivables from reverse repurchase agreements and security borrowings” of the consolidated statement of financial position, reflecting the transaction’s economic substance as a loan by the Group. The difference between the purchase and resale price is recorded in “Interest and similar income” of the consolidated statement of income and is accrued over the life of the agreement using the effective interest rate.</w:t>
      </w:r>
    </w:p>
    <w:p>
      <w:pPr>
        <w:spacing w:after="0" w:line="180" w:lineRule="exact"/>
        <w:rPr>
          <w:sz w:val="20"/>
          <w:szCs w:val="20"/>
          <w:color w:val="auto"/>
        </w:rPr>
      </w:pPr>
    </w:p>
    <w:p>
      <w:pPr>
        <w:ind w:left="616"/>
        <w:spacing w:after="0" w:line="270" w:lineRule="auto"/>
        <w:rPr>
          <w:sz w:val="20"/>
          <w:szCs w:val="20"/>
          <w:color w:val="auto"/>
        </w:rPr>
      </w:pPr>
      <w:r>
        <w:rPr>
          <w:rFonts w:ascii="Arial" w:cs="Arial" w:eastAsia="Arial" w:hAnsi="Arial"/>
          <w:sz w:val="17"/>
          <w:szCs w:val="17"/>
          <w:color w:val="auto"/>
        </w:rPr>
        <w:t>If securities purchased under agreement to resell are subsequently sold to third parties, the obligation to return the securities is recorded as a short sale in the consolidated statement of financial position heading “Financial liabilities at fair value through profit or loss” and measured at fair value, with any gains or losses included in the consolidated statement of income caption “Net gain on sale of securities”.</w:t>
      </w:r>
    </w:p>
    <w:p>
      <w:pPr>
        <w:spacing w:after="0" w:line="172" w:lineRule="exact"/>
        <w:rPr>
          <w:sz w:val="20"/>
          <w:szCs w:val="20"/>
          <w:color w:val="auto"/>
        </w:rPr>
      </w:pPr>
    </w:p>
    <w:p>
      <w:pPr>
        <w:ind w:left="616" w:right="140"/>
        <w:spacing w:after="0" w:line="285" w:lineRule="auto"/>
        <w:rPr>
          <w:sz w:val="20"/>
          <w:szCs w:val="20"/>
          <w:color w:val="auto"/>
        </w:rPr>
      </w:pPr>
      <w:r>
        <w:rPr>
          <w:rFonts w:ascii="Arial" w:cs="Arial" w:eastAsia="Arial" w:hAnsi="Arial"/>
          <w:sz w:val="17"/>
          <w:szCs w:val="17"/>
          <w:color w:val="auto"/>
        </w:rPr>
        <w:t>Security lending and borrowing transactions are usually collateralized by securities. The transfer of the securities to counterparties is only reflected in the consolidated statement of financial position if the risks and rewards of ownership are also transferred.</w:t>
      </w:r>
    </w:p>
    <w:p>
      <w:pPr>
        <w:spacing w:after="0" w:line="159" w:lineRule="exact"/>
        <w:rPr>
          <w:sz w:val="20"/>
          <w:szCs w:val="20"/>
          <w:color w:val="auto"/>
        </w:rPr>
      </w:pPr>
    </w:p>
    <w:p>
      <w:pPr>
        <w:ind w:left="616" w:hanging="304"/>
        <w:spacing w:after="0"/>
        <w:tabs>
          <w:tab w:leader="none" w:pos="616" w:val="left"/>
        </w:tabs>
        <w:numPr>
          <w:ilvl w:val="1"/>
          <w:numId w:val="29"/>
        </w:numPr>
        <w:rPr>
          <w:rFonts w:ascii="Arial" w:cs="Arial" w:eastAsia="Arial" w:hAnsi="Arial"/>
          <w:sz w:val="17"/>
          <w:szCs w:val="17"/>
          <w:color w:val="auto"/>
        </w:rPr>
      </w:pPr>
      <w:r>
        <w:rPr>
          <w:rFonts w:ascii="Arial" w:cs="Arial" w:eastAsia="Arial" w:hAnsi="Arial"/>
          <w:sz w:val="17"/>
          <w:szCs w:val="17"/>
          <w:color w:val="auto"/>
        </w:rPr>
        <w:t>Other financial liabilities -</w:t>
      </w:r>
    </w:p>
    <w:p>
      <w:pPr>
        <w:spacing w:after="0" w:line="220" w:lineRule="exact"/>
        <w:rPr>
          <w:rFonts w:ascii="Arial" w:cs="Arial" w:eastAsia="Arial" w:hAnsi="Arial"/>
          <w:sz w:val="17"/>
          <w:szCs w:val="17"/>
          <w:color w:val="auto"/>
        </w:rPr>
      </w:pPr>
    </w:p>
    <w:p>
      <w:pPr>
        <w:ind w:left="616" w:right="220"/>
        <w:spacing w:after="0" w:line="318" w:lineRule="auto"/>
        <w:rPr>
          <w:rFonts w:ascii="Arial" w:cs="Arial" w:eastAsia="Arial" w:hAnsi="Arial"/>
          <w:sz w:val="17"/>
          <w:szCs w:val="17"/>
          <w:color w:val="auto"/>
        </w:rPr>
      </w:pPr>
      <w:r>
        <w:rPr>
          <w:rFonts w:ascii="Arial" w:cs="Arial" w:eastAsia="Arial" w:hAnsi="Arial"/>
          <w:sz w:val="16"/>
          <w:szCs w:val="16"/>
          <w:color w:val="auto"/>
        </w:rPr>
        <w:t>After initial measurement other financial liabilities are subsequently measured at amortized cost using the effective interest rate method. Amortized cost includes any issuance discount or premium and directly attributable transaction costs that are an integral part of the effective interest rate.</w:t>
      </w:r>
    </w:p>
    <w:p>
      <w:pPr>
        <w:spacing w:after="0" w:line="136" w:lineRule="exact"/>
        <w:rPr>
          <w:rFonts w:ascii="Arial" w:cs="Arial" w:eastAsia="Arial" w:hAnsi="Arial"/>
          <w:sz w:val="17"/>
          <w:szCs w:val="17"/>
          <w:color w:val="auto"/>
        </w:rPr>
      </w:pPr>
    </w:p>
    <w:p>
      <w:pPr>
        <w:ind w:left="316" w:right="7660" w:hanging="316"/>
        <w:spacing w:after="0" w:line="510" w:lineRule="auto"/>
        <w:tabs>
          <w:tab w:leader="none" w:pos="316" w:val="left"/>
        </w:tabs>
        <w:numPr>
          <w:ilvl w:val="0"/>
          <w:numId w:val="30"/>
        </w:numPr>
        <w:rPr>
          <w:rFonts w:ascii="Arial" w:cs="Arial" w:eastAsia="Arial" w:hAnsi="Arial"/>
          <w:sz w:val="17"/>
          <w:szCs w:val="17"/>
          <w:color w:val="auto"/>
        </w:rPr>
      </w:pPr>
      <w:r>
        <w:rPr>
          <w:rFonts w:ascii="Arial" w:cs="Arial" w:eastAsia="Arial" w:hAnsi="Arial"/>
          <w:sz w:val="17"/>
          <w:szCs w:val="17"/>
          <w:color w:val="auto"/>
        </w:rPr>
        <w:t>De-recognition of financial assets and liabilities - Financial assets:</w:t>
      </w:r>
    </w:p>
    <w:p>
      <w:pPr>
        <w:ind w:left="316" w:right="20"/>
        <w:spacing w:after="0" w:line="262" w:lineRule="auto"/>
        <w:rPr>
          <w:rFonts w:ascii="Arial" w:cs="Arial" w:eastAsia="Arial" w:hAnsi="Arial"/>
          <w:sz w:val="17"/>
          <w:szCs w:val="17"/>
          <w:color w:val="auto"/>
        </w:rPr>
      </w:pPr>
      <w:r>
        <w:rPr>
          <w:rFonts w:ascii="Arial" w:cs="Arial" w:eastAsia="Arial" w:hAnsi="Arial"/>
          <w:sz w:val="17"/>
          <w:szCs w:val="17"/>
          <w:color w:val="auto"/>
        </w:rPr>
        <w:t>A financial asset (or, where applicable a part of a financial asset or a part of a group of similar financial assets) is derecognized when: (i) the rights to receive cash flows from the asset have expired; or (ii) the Group has transferred its rights to receive cash flows from the asset or has assumed an obligation to pay the received cash flows in full without material delay to a third party under a “pass-through” arrangement; and either the Group has transferred substantially all the risks and rewards of the asset, or the Group has neither transferred nor retained substantially all the risks and rewards of the asset, but has transferred control of the asset.</w:t>
      </w:r>
    </w:p>
    <w:p>
      <w:pPr>
        <w:spacing w:after="0" w:line="180" w:lineRule="exact"/>
        <w:rPr>
          <w:rFonts w:ascii="Arial" w:cs="Arial" w:eastAsia="Arial" w:hAnsi="Arial"/>
          <w:sz w:val="17"/>
          <w:szCs w:val="17"/>
          <w:color w:val="auto"/>
        </w:rPr>
      </w:pPr>
    </w:p>
    <w:p>
      <w:pPr>
        <w:ind w:left="316" w:right="20"/>
        <w:spacing w:after="0" w:line="262" w:lineRule="auto"/>
        <w:rPr>
          <w:rFonts w:ascii="Arial" w:cs="Arial" w:eastAsia="Arial" w:hAnsi="Arial"/>
          <w:sz w:val="17"/>
          <w:szCs w:val="17"/>
          <w:color w:val="auto"/>
        </w:rPr>
      </w:pPr>
      <w:r>
        <w:rPr>
          <w:rFonts w:ascii="Arial" w:cs="Arial" w:eastAsia="Arial" w:hAnsi="Arial"/>
          <w:sz w:val="17"/>
          <w:szCs w:val="17"/>
          <w:color w:val="auto"/>
        </w:rPr>
        <w:t>When the Group has transferred its right to receive cash flows from an asset or has entered into a pass-through arrangement, it evaluates if and to what extent it has retained the risks and rewards of ownership. When it has neither transferred nor retained substantially all of the risks and rewards of the asset, nor transferred control of the asset, the Group continues to recognize the transferred asset to the extent of the Group’s continuing involvement. In that case, the Group also recognizes the associated liability. The transferred asset and the associated liability are measured on a basis that reflects the rights and obligations that the Group has retained.</w:t>
      </w:r>
    </w:p>
    <w:p>
      <w:pPr>
        <w:spacing w:after="0" w:line="388" w:lineRule="exact"/>
        <w:rPr>
          <w:rFonts w:ascii="Arial" w:cs="Arial" w:eastAsia="Arial" w:hAnsi="Arial"/>
          <w:sz w:val="17"/>
          <w:szCs w:val="17"/>
          <w:color w:val="auto"/>
        </w:rPr>
      </w:pPr>
    </w:p>
    <w:p>
      <w:pPr>
        <w:ind w:left="5636" w:hanging="107"/>
        <w:spacing w:after="0"/>
        <w:tabs>
          <w:tab w:leader="none" w:pos="5636" w:val="left"/>
        </w:tabs>
        <w:numPr>
          <w:ilvl w:val="2"/>
          <w:numId w:val="30"/>
        </w:numPr>
        <w:rPr>
          <w:rFonts w:ascii="Arial" w:cs="Arial" w:eastAsia="Arial" w:hAnsi="Arial"/>
          <w:sz w:val="17"/>
          <w:szCs w:val="17"/>
          <w:color w:val="auto"/>
        </w:rPr>
      </w:pPr>
      <w:r>
        <w:rPr>
          <w:rFonts w:ascii="Arial" w:cs="Arial" w:eastAsia="Arial" w:hAnsi="Arial"/>
          <w:sz w:val="17"/>
          <w:szCs w:val="17"/>
          <w:color w:val="auto"/>
        </w:rPr>
        <w:t>32 -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15875</wp:posOffset>
            </wp:positionV>
            <wp:extent cx="725170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1700" cy="8255"/>
                    </a:xfrm>
                    <a:prstGeom prst="rect">
                      <a:avLst/>
                    </a:prstGeom>
                    <a:noFill/>
                  </pic:spPr>
                </pic:pic>
              </a:graphicData>
            </a:graphic>
          </wp:anchor>
        </w:drawing>
      </w:r>
    </w:p>
    <w:p>
      <w:pPr>
        <w:sectPr>
          <w:pgSz w:w="11900" w:h="16838" w:orient="portrait"/>
          <w:cols w:equalWidth="0" w:num="1">
            <w:col w:w="11376"/>
          </w:cols>
          <w:pgMar w:left="244" w:top="881" w:right="279" w:bottom="1440" w:gutter="0" w:footer="0" w:header="0"/>
        </w:sectPr>
      </w:pPr>
    </w:p>
    <w:bookmarkStart w:id="38" w:name="page39"/>
    <w:bookmarkEnd w:id="38"/>
    <w:p>
      <w:pPr>
        <w:ind w:left="316" w:right="280"/>
        <w:spacing w:after="0" w:line="285" w:lineRule="auto"/>
        <w:rPr>
          <w:sz w:val="20"/>
          <w:szCs w:val="20"/>
          <w:color w:val="auto"/>
        </w:rPr>
      </w:pPr>
      <w:r>
        <w:rPr>
          <w:rFonts w:ascii="Arial" w:cs="Arial" w:eastAsia="Arial" w:hAnsi="Arial"/>
          <w:sz w:val="17"/>
          <w:szCs w:val="17"/>
          <w:color w:val="auto"/>
        </w:rPr>
        <w:t>Continuing involvement that takes the form of a guarantee over the transferred asset is measured at the lower of (i) the original carrying amount of the asset, and (ii) the maximum amount of consideration that the Group could be required to repay.</w:t>
      </w:r>
    </w:p>
    <w:p>
      <w:pPr>
        <w:spacing w:after="0" w:line="159" w:lineRule="exact"/>
        <w:rPr>
          <w:sz w:val="20"/>
          <w:szCs w:val="20"/>
          <w:color w:val="auto"/>
        </w:rPr>
      </w:pPr>
    </w:p>
    <w:p>
      <w:pPr>
        <w:ind w:left="316"/>
        <w:spacing w:after="0"/>
        <w:rPr>
          <w:sz w:val="20"/>
          <w:szCs w:val="20"/>
          <w:color w:val="auto"/>
        </w:rPr>
      </w:pPr>
      <w:r>
        <w:rPr>
          <w:rFonts w:ascii="Arial" w:cs="Arial" w:eastAsia="Arial" w:hAnsi="Arial"/>
          <w:sz w:val="17"/>
          <w:szCs w:val="17"/>
          <w:color w:val="auto"/>
        </w:rPr>
        <w:t>Financial liabilities:</w:t>
      </w:r>
    </w:p>
    <w:p>
      <w:pPr>
        <w:spacing w:after="0" w:line="220" w:lineRule="exact"/>
        <w:rPr>
          <w:sz w:val="20"/>
          <w:szCs w:val="20"/>
          <w:color w:val="auto"/>
        </w:rPr>
      </w:pPr>
    </w:p>
    <w:p>
      <w:pPr>
        <w:jc w:val="both"/>
        <w:ind w:left="316" w:right="120"/>
        <w:spacing w:after="0" w:line="265" w:lineRule="auto"/>
        <w:rPr>
          <w:sz w:val="20"/>
          <w:szCs w:val="20"/>
          <w:color w:val="auto"/>
        </w:rPr>
      </w:pPr>
      <w:r>
        <w:rPr>
          <w:rFonts w:ascii="Arial" w:cs="Arial" w:eastAsia="Arial" w:hAnsi="Arial"/>
          <w:sz w:val="17"/>
          <w:szCs w:val="17"/>
          <w:color w:val="auto"/>
        </w:rPr>
        <w:t>A financial liability is derecognized when the obligation under the liability is discharged, cancelled or expires. When an existing financial liability is replaced by another from the same lender on substantially different terms, or the terms of an existing liability are substantially modified, such exchange or modification is treated as a de-recognition of the original liability and the recognition of a new liability; the difference between the carrying amount of the original financial liability and the consideration paid is recognized in the consolidated statement of income.</w:t>
      </w:r>
    </w:p>
    <w:p>
      <w:pPr>
        <w:spacing w:after="0" w:line="176" w:lineRule="exact"/>
        <w:rPr>
          <w:sz w:val="20"/>
          <w:szCs w:val="20"/>
          <w:color w:val="auto"/>
        </w:rPr>
      </w:pPr>
    </w:p>
    <w:p>
      <w:pPr>
        <w:ind w:left="316" w:hanging="316"/>
        <w:spacing w:after="0"/>
        <w:tabs>
          <w:tab w:leader="none" w:pos="316" w:val="left"/>
        </w:tabs>
        <w:numPr>
          <w:ilvl w:val="0"/>
          <w:numId w:val="31"/>
        </w:numPr>
        <w:rPr>
          <w:rFonts w:ascii="Arial" w:cs="Arial" w:eastAsia="Arial" w:hAnsi="Arial"/>
          <w:sz w:val="17"/>
          <w:szCs w:val="17"/>
          <w:color w:val="auto"/>
        </w:rPr>
      </w:pPr>
      <w:r>
        <w:rPr>
          <w:rFonts w:ascii="Arial" w:cs="Arial" w:eastAsia="Arial" w:hAnsi="Arial"/>
          <w:sz w:val="17"/>
          <w:szCs w:val="17"/>
          <w:color w:val="auto"/>
        </w:rPr>
        <w:t>Offsetting financial instruments -</w:t>
      </w:r>
    </w:p>
    <w:p>
      <w:pPr>
        <w:spacing w:after="0" w:line="220" w:lineRule="exact"/>
        <w:rPr>
          <w:rFonts w:ascii="Arial" w:cs="Arial" w:eastAsia="Arial" w:hAnsi="Arial"/>
          <w:sz w:val="17"/>
          <w:szCs w:val="17"/>
          <w:color w:val="auto"/>
        </w:rPr>
      </w:pPr>
    </w:p>
    <w:p>
      <w:pPr>
        <w:ind w:left="316" w:right="240"/>
        <w:spacing w:after="0" w:line="355" w:lineRule="auto"/>
        <w:rPr>
          <w:rFonts w:ascii="Arial" w:cs="Arial" w:eastAsia="Arial" w:hAnsi="Arial"/>
          <w:sz w:val="17"/>
          <w:szCs w:val="17"/>
          <w:color w:val="auto"/>
        </w:rPr>
      </w:pPr>
      <w:r>
        <w:rPr>
          <w:rFonts w:ascii="Arial" w:cs="Arial" w:eastAsia="Arial" w:hAnsi="Arial"/>
          <w:sz w:val="15"/>
          <w:szCs w:val="15"/>
          <w:color w:val="auto"/>
        </w:rPr>
        <w:t>Financial assets and liabilities are offset and the net amount is reported in the consolidated statement of financial position when there is a legally enforceable right to offset the recognized amounts and Management has the intention to settle on a net basis, or realize the assets and settle the liability simultaneously.</w:t>
      </w:r>
    </w:p>
    <w:p>
      <w:pPr>
        <w:spacing w:after="0" w:line="113" w:lineRule="exact"/>
        <w:rPr>
          <w:rFonts w:ascii="Arial" w:cs="Arial" w:eastAsia="Arial" w:hAnsi="Arial"/>
          <w:sz w:val="17"/>
          <w:szCs w:val="17"/>
          <w:color w:val="auto"/>
        </w:rPr>
      </w:pPr>
    </w:p>
    <w:p>
      <w:pPr>
        <w:ind w:left="316" w:hanging="316"/>
        <w:spacing w:after="0"/>
        <w:tabs>
          <w:tab w:leader="none" w:pos="316" w:val="left"/>
        </w:tabs>
        <w:numPr>
          <w:ilvl w:val="0"/>
          <w:numId w:val="31"/>
        </w:numPr>
        <w:rPr>
          <w:rFonts w:ascii="Arial" w:cs="Arial" w:eastAsia="Arial" w:hAnsi="Arial"/>
          <w:sz w:val="17"/>
          <w:szCs w:val="17"/>
          <w:color w:val="auto"/>
        </w:rPr>
      </w:pPr>
      <w:r>
        <w:rPr>
          <w:rFonts w:ascii="Arial" w:cs="Arial" w:eastAsia="Arial" w:hAnsi="Arial"/>
          <w:sz w:val="17"/>
          <w:szCs w:val="17"/>
          <w:color w:val="auto"/>
        </w:rPr>
        <w:t>Impairment of financial assets -</w:t>
      </w:r>
    </w:p>
    <w:p>
      <w:pPr>
        <w:spacing w:after="0" w:line="220" w:lineRule="exact"/>
        <w:rPr>
          <w:rFonts w:ascii="Arial" w:cs="Arial" w:eastAsia="Arial" w:hAnsi="Arial"/>
          <w:sz w:val="17"/>
          <w:szCs w:val="17"/>
          <w:color w:val="auto"/>
        </w:rPr>
      </w:pPr>
    </w:p>
    <w:p>
      <w:pPr>
        <w:ind w:left="316"/>
        <w:spacing w:after="0" w:line="280" w:lineRule="auto"/>
        <w:rPr>
          <w:rFonts w:ascii="Arial" w:cs="Arial" w:eastAsia="Arial" w:hAnsi="Arial"/>
          <w:sz w:val="17"/>
          <w:szCs w:val="17"/>
          <w:color w:val="auto"/>
        </w:rPr>
      </w:pPr>
      <w:r>
        <w:rPr>
          <w:rFonts w:ascii="Arial" w:cs="Arial" w:eastAsia="Arial" w:hAnsi="Arial"/>
          <w:sz w:val="16"/>
          <w:szCs w:val="16"/>
          <w:color w:val="auto"/>
        </w:rPr>
        <w:t>The Group assesses at the date of each consolidated statement of financial position whether there is any objective evidence that a financial asset or a group of financial assets is impaired. An impairment exists if one or more events that has occurred since the initial recognition of the asset (an incurred “loss event”), has an impact on the estimated future cash flows of the financial asset or the group of financial assets that can be reliably estimated. Evidence of impairment may include indications that the borrower or a group of borrowers is experiencing significant financial difficulty, default or delinquency in interest or principal payments, the probability that they will go bankrupt or other legal financial reorganization process and where observable data indicate that there is a measurable decrease in the estimated future cash flows, such as changes in arrears or economic conditions that correlate with defaults.</w:t>
      </w:r>
    </w:p>
    <w:p>
      <w:pPr>
        <w:spacing w:after="0" w:line="167" w:lineRule="exact"/>
        <w:rPr>
          <w:rFonts w:ascii="Arial" w:cs="Arial" w:eastAsia="Arial" w:hAnsi="Arial"/>
          <w:sz w:val="17"/>
          <w:szCs w:val="17"/>
          <w:color w:val="auto"/>
        </w:rPr>
      </w:pPr>
    </w:p>
    <w:p>
      <w:pPr>
        <w:ind w:left="316"/>
        <w:spacing w:after="0"/>
        <w:rPr>
          <w:rFonts w:ascii="Arial" w:cs="Arial" w:eastAsia="Arial" w:hAnsi="Arial"/>
          <w:sz w:val="17"/>
          <w:szCs w:val="17"/>
          <w:color w:val="auto"/>
        </w:rPr>
      </w:pPr>
      <w:r>
        <w:rPr>
          <w:rFonts w:ascii="Arial" w:cs="Arial" w:eastAsia="Arial" w:hAnsi="Arial"/>
          <w:sz w:val="17"/>
          <w:szCs w:val="17"/>
          <w:color w:val="auto"/>
        </w:rPr>
        <w:t>The criterion used for each category of financial assets is as follows:</w:t>
      </w:r>
    </w:p>
    <w:p>
      <w:pPr>
        <w:spacing w:after="0" w:line="220" w:lineRule="exact"/>
        <w:rPr>
          <w:rFonts w:ascii="Arial" w:cs="Arial" w:eastAsia="Arial" w:hAnsi="Arial"/>
          <w:sz w:val="17"/>
          <w:szCs w:val="17"/>
          <w:color w:val="auto"/>
        </w:rPr>
      </w:pPr>
    </w:p>
    <w:p>
      <w:pPr>
        <w:ind w:left="616" w:hanging="304"/>
        <w:spacing w:after="0"/>
        <w:tabs>
          <w:tab w:leader="none" w:pos="616" w:val="left"/>
        </w:tabs>
        <w:numPr>
          <w:ilvl w:val="1"/>
          <w:numId w:val="31"/>
        </w:numPr>
        <w:rPr>
          <w:rFonts w:ascii="Arial" w:cs="Arial" w:eastAsia="Arial" w:hAnsi="Arial"/>
          <w:sz w:val="17"/>
          <w:szCs w:val="17"/>
          <w:color w:val="auto"/>
        </w:rPr>
      </w:pPr>
      <w:r>
        <w:rPr>
          <w:rFonts w:ascii="Arial" w:cs="Arial" w:eastAsia="Arial" w:hAnsi="Arial"/>
          <w:sz w:val="17"/>
          <w:szCs w:val="17"/>
          <w:color w:val="auto"/>
        </w:rPr>
        <w:t>Financial assets carried at amortized cost -</w:t>
      </w:r>
    </w:p>
    <w:p>
      <w:pPr>
        <w:spacing w:after="0" w:line="220" w:lineRule="exact"/>
        <w:rPr>
          <w:rFonts w:ascii="Arial" w:cs="Arial" w:eastAsia="Arial" w:hAnsi="Arial"/>
          <w:sz w:val="17"/>
          <w:szCs w:val="17"/>
          <w:color w:val="auto"/>
        </w:rPr>
      </w:pPr>
    </w:p>
    <w:p>
      <w:pPr>
        <w:ind w:left="616" w:right="100"/>
        <w:spacing w:after="0" w:line="283" w:lineRule="auto"/>
        <w:rPr>
          <w:rFonts w:ascii="Arial" w:cs="Arial" w:eastAsia="Arial" w:hAnsi="Arial"/>
          <w:sz w:val="17"/>
          <w:szCs w:val="17"/>
          <w:color w:val="auto"/>
        </w:rPr>
      </w:pPr>
      <w:r>
        <w:rPr>
          <w:rFonts w:ascii="Arial" w:cs="Arial" w:eastAsia="Arial" w:hAnsi="Arial"/>
          <w:sz w:val="16"/>
          <w:szCs w:val="16"/>
          <w:color w:val="auto"/>
        </w:rPr>
        <w:t>For loans, receivables and held-to-maturity investments that are carried at amortized cost, the Group first assesses whether impairment exists individually for financial assets that are individually significant, or collectively for financial assets that are not individually significant. If the Group determines that no objective evidence of impairment exists for an individually assessed financial asset, whether significant or not, it includes that asset in a group of financial assets with similar credit risk characteristics and collectively assesses them for impairment. Assets that are individually assessed for impairment and for which an impairment loss is, or continues to be, recognized are not included in a collective assessment of impairment.</w:t>
      </w:r>
    </w:p>
    <w:p>
      <w:pPr>
        <w:spacing w:after="0" w:line="162" w:lineRule="exact"/>
        <w:rPr>
          <w:rFonts w:ascii="Arial" w:cs="Arial" w:eastAsia="Arial" w:hAnsi="Arial"/>
          <w:sz w:val="17"/>
          <w:szCs w:val="17"/>
          <w:color w:val="auto"/>
        </w:rPr>
      </w:pPr>
    </w:p>
    <w:p>
      <w:pPr>
        <w:ind w:left="616" w:right="160"/>
        <w:spacing w:after="0" w:line="285" w:lineRule="auto"/>
        <w:rPr>
          <w:rFonts w:ascii="Arial" w:cs="Arial" w:eastAsia="Arial" w:hAnsi="Arial"/>
          <w:sz w:val="17"/>
          <w:szCs w:val="17"/>
          <w:color w:val="auto"/>
        </w:rPr>
      </w:pPr>
      <w:r>
        <w:rPr>
          <w:rFonts w:ascii="Arial" w:cs="Arial" w:eastAsia="Arial" w:hAnsi="Arial"/>
          <w:sz w:val="17"/>
          <w:szCs w:val="17"/>
          <w:color w:val="auto"/>
        </w:rPr>
        <w:t>The amount of any impairment loss identified is measured as the difference between the asset’s carrying amount and the present value of estimated future cash flows (excluding future expected credit losses that have not yet been incurred).</w:t>
      </w:r>
    </w:p>
    <w:p>
      <w:pPr>
        <w:spacing w:after="0" w:line="159" w:lineRule="exact"/>
        <w:rPr>
          <w:rFonts w:ascii="Arial" w:cs="Arial" w:eastAsia="Arial" w:hAnsi="Arial"/>
          <w:sz w:val="17"/>
          <w:szCs w:val="17"/>
          <w:color w:val="auto"/>
        </w:rPr>
      </w:pPr>
    </w:p>
    <w:p>
      <w:pPr>
        <w:ind w:left="616"/>
        <w:spacing w:after="0" w:line="265" w:lineRule="auto"/>
        <w:rPr>
          <w:rFonts w:ascii="Arial" w:cs="Arial" w:eastAsia="Arial" w:hAnsi="Arial"/>
          <w:sz w:val="17"/>
          <w:szCs w:val="17"/>
          <w:color w:val="auto"/>
        </w:rPr>
      </w:pPr>
      <w:r>
        <w:rPr>
          <w:rFonts w:ascii="Arial" w:cs="Arial" w:eastAsia="Arial" w:hAnsi="Arial"/>
          <w:sz w:val="17"/>
          <w:szCs w:val="17"/>
          <w:color w:val="auto"/>
        </w:rPr>
        <w:t>The carrying amount of the asset is reduced through the use of a provision account and the amount of the loss is recognized in the consolidated statement of income. A loan, together with the respective associated provision, is written off when classified as a loss and is fully provisioned and there is real and verifiable evidence that the loan is irrecoverable and collection efforts concluded without success, the impossibility of foreclosures or all collateral has been realized or has been transferred to the Group.</w:t>
      </w:r>
    </w:p>
    <w:p>
      <w:pPr>
        <w:spacing w:after="0" w:line="383" w:lineRule="exact"/>
        <w:rPr>
          <w:rFonts w:ascii="Arial" w:cs="Arial" w:eastAsia="Arial" w:hAnsi="Arial"/>
          <w:sz w:val="17"/>
          <w:szCs w:val="17"/>
          <w:color w:val="auto"/>
        </w:rPr>
      </w:pPr>
    </w:p>
    <w:p>
      <w:pPr>
        <w:ind w:left="5636" w:hanging="107"/>
        <w:spacing w:after="0"/>
        <w:tabs>
          <w:tab w:leader="none" w:pos="5636" w:val="left"/>
        </w:tabs>
        <w:numPr>
          <w:ilvl w:val="2"/>
          <w:numId w:val="31"/>
        </w:numPr>
        <w:rPr>
          <w:rFonts w:ascii="Arial" w:cs="Arial" w:eastAsia="Arial" w:hAnsi="Arial"/>
          <w:sz w:val="17"/>
          <w:szCs w:val="17"/>
          <w:color w:val="auto"/>
        </w:rPr>
      </w:pPr>
      <w:r>
        <w:rPr>
          <w:rFonts w:ascii="Arial" w:cs="Arial" w:eastAsia="Arial" w:hAnsi="Arial"/>
          <w:sz w:val="17"/>
          <w:szCs w:val="17"/>
          <w:color w:val="auto"/>
        </w:rPr>
        <w:t>33 -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15875</wp:posOffset>
            </wp:positionV>
            <wp:extent cx="725170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1700" cy="8255"/>
                    </a:xfrm>
                    <a:prstGeom prst="rect">
                      <a:avLst/>
                    </a:prstGeom>
                    <a:noFill/>
                  </pic:spPr>
                </pic:pic>
              </a:graphicData>
            </a:graphic>
          </wp:anchor>
        </w:drawing>
      </w:r>
    </w:p>
    <w:p>
      <w:pPr>
        <w:sectPr>
          <w:pgSz w:w="11900" w:h="16838" w:orient="portrait"/>
          <w:cols w:equalWidth="0" w:num="1">
            <w:col w:w="11416"/>
          </w:cols>
          <w:pgMar w:left="244" w:top="881" w:right="239" w:bottom="1440" w:gutter="0" w:footer="0" w:header="0"/>
        </w:sectPr>
      </w:pPr>
    </w:p>
    <w:bookmarkStart w:id="39" w:name="page40"/>
    <w:bookmarkEnd w:id="39"/>
    <w:p>
      <w:pPr>
        <w:ind w:left="304" w:right="60"/>
        <w:spacing w:after="0" w:line="294" w:lineRule="auto"/>
        <w:rPr>
          <w:sz w:val="20"/>
          <w:szCs w:val="20"/>
          <w:color w:val="auto"/>
        </w:rPr>
      </w:pPr>
      <w:r>
        <w:rPr>
          <w:rFonts w:ascii="Arial" w:cs="Arial" w:eastAsia="Arial" w:hAnsi="Arial"/>
          <w:sz w:val="16"/>
          <w:szCs w:val="16"/>
          <w:color w:val="auto"/>
        </w:rPr>
        <w:t>If in any subsequent year, the amount of the estimated impairment loss increases or decreases because of an event occurring after the impairment was recognized, the previously recognized impairment loss is increased or reduced by adjusting the provision account. If in the future a written-off loan is later recovered, the recovery is recognized in the consolidated statement of income, as a credit to “Provision for loan losses, net of recoveries”.</w:t>
      </w:r>
    </w:p>
    <w:p>
      <w:pPr>
        <w:spacing w:after="0" w:line="155" w:lineRule="exact"/>
        <w:rPr>
          <w:sz w:val="20"/>
          <w:szCs w:val="20"/>
          <w:color w:val="auto"/>
        </w:rPr>
      </w:pPr>
    </w:p>
    <w:p>
      <w:pPr>
        <w:ind w:left="304"/>
        <w:spacing w:after="0" w:line="285" w:lineRule="auto"/>
        <w:rPr>
          <w:sz w:val="20"/>
          <w:szCs w:val="20"/>
          <w:color w:val="auto"/>
        </w:rPr>
      </w:pPr>
      <w:r>
        <w:rPr>
          <w:rFonts w:ascii="Arial" w:cs="Arial" w:eastAsia="Arial" w:hAnsi="Arial"/>
          <w:sz w:val="17"/>
          <w:szCs w:val="17"/>
          <w:color w:val="auto"/>
        </w:rPr>
        <w:t>The present value of the estimated future cash flows is discounted at the financial asset’s original effective interest rate. If a loan has a variable interest rate, the discount rate for measuring any impairment loss will be the current effective interest rate.</w:t>
      </w:r>
    </w:p>
    <w:p>
      <w:pPr>
        <w:spacing w:after="0" w:line="159" w:lineRule="exact"/>
        <w:rPr>
          <w:sz w:val="20"/>
          <w:szCs w:val="20"/>
          <w:color w:val="auto"/>
        </w:rPr>
      </w:pPr>
    </w:p>
    <w:p>
      <w:pPr>
        <w:ind w:left="304" w:right="560"/>
        <w:spacing w:after="0" w:line="285" w:lineRule="auto"/>
        <w:rPr>
          <w:sz w:val="20"/>
          <w:szCs w:val="20"/>
          <w:color w:val="auto"/>
        </w:rPr>
      </w:pPr>
      <w:r>
        <w:rPr>
          <w:rFonts w:ascii="Arial" w:cs="Arial" w:eastAsia="Arial" w:hAnsi="Arial"/>
          <w:sz w:val="17"/>
          <w:szCs w:val="17"/>
          <w:color w:val="auto"/>
        </w:rPr>
        <w:t>The calculation of the present value of the estimated future cash flows of a collateralized financial asset reflects the cash flows that may result from foreclosure less costs for obtaining and selling the collateral, whether or not foreclosure is probable.</w:t>
      </w:r>
    </w:p>
    <w:p>
      <w:pPr>
        <w:spacing w:after="0" w:line="159" w:lineRule="exact"/>
        <w:rPr>
          <w:sz w:val="20"/>
          <w:szCs w:val="20"/>
          <w:color w:val="auto"/>
        </w:rPr>
      </w:pPr>
    </w:p>
    <w:p>
      <w:pPr>
        <w:ind w:left="304" w:right="200"/>
        <w:spacing w:after="0" w:line="318" w:lineRule="auto"/>
        <w:rPr>
          <w:sz w:val="20"/>
          <w:szCs w:val="20"/>
          <w:color w:val="auto"/>
        </w:rPr>
      </w:pPr>
      <w:r>
        <w:rPr>
          <w:rFonts w:ascii="Arial" w:cs="Arial" w:eastAsia="Arial" w:hAnsi="Arial"/>
          <w:sz w:val="16"/>
          <w:szCs w:val="16"/>
          <w:color w:val="auto"/>
        </w:rPr>
        <w:t>For collective assessment of impairment, financial assets are grouped considering the Group’s internal credit grading system, which considers credit risk characteristics; for example: asset type, industry, geographical location, collateral type and past-due status and other relevant factors.</w:t>
      </w:r>
    </w:p>
    <w:p>
      <w:pPr>
        <w:spacing w:after="0" w:line="136" w:lineRule="exact"/>
        <w:rPr>
          <w:sz w:val="20"/>
          <w:szCs w:val="20"/>
          <w:color w:val="auto"/>
        </w:rPr>
      </w:pPr>
    </w:p>
    <w:p>
      <w:pPr>
        <w:ind w:left="304" w:right="60"/>
        <w:spacing w:after="0" w:line="262" w:lineRule="auto"/>
        <w:rPr>
          <w:sz w:val="20"/>
          <w:szCs w:val="20"/>
          <w:color w:val="auto"/>
        </w:rPr>
      </w:pPr>
      <w:r>
        <w:rPr>
          <w:rFonts w:ascii="Arial" w:cs="Arial" w:eastAsia="Arial" w:hAnsi="Arial"/>
          <w:sz w:val="17"/>
          <w:szCs w:val="17"/>
          <w:color w:val="auto"/>
        </w:rPr>
        <w:t>Future cash flows from a group of financial assets that are collectively evaluated for impairment are estimated on the basis of historical loss experience for assets with similar credit risk characteristics to those in the group. Historical loss experience is adjusted on the basis of current observable data to reflect the effects of current conditions that did not affect the years on which the historical loss experience is based and to remove the effects of conditions in the historical period that do not currently exist. The methodology and assumptions used are reviewed regularly to reduce any differences between loss estimates and actual loss experience.</w:t>
      </w:r>
    </w:p>
    <w:p>
      <w:pPr>
        <w:spacing w:after="0" w:line="180" w:lineRule="exact"/>
        <w:rPr>
          <w:sz w:val="20"/>
          <w:szCs w:val="20"/>
          <w:color w:val="auto"/>
        </w:rPr>
      </w:pPr>
    </w:p>
    <w:p>
      <w:pPr>
        <w:ind w:left="304" w:hanging="304"/>
        <w:spacing w:after="0"/>
        <w:tabs>
          <w:tab w:leader="none" w:pos="304" w:val="left"/>
        </w:tabs>
        <w:numPr>
          <w:ilvl w:val="0"/>
          <w:numId w:val="32"/>
        </w:numPr>
        <w:rPr>
          <w:rFonts w:ascii="Arial" w:cs="Arial" w:eastAsia="Arial" w:hAnsi="Arial"/>
          <w:sz w:val="17"/>
          <w:szCs w:val="17"/>
          <w:color w:val="auto"/>
        </w:rPr>
      </w:pPr>
      <w:r>
        <w:rPr>
          <w:rFonts w:ascii="Arial" w:cs="Arial" w:eastAsia="Arial" w:hAnsi="Arial"/>
          <w:sz w:val="17"/>
          <w:szCs w:val="17"/>
          <w:color w:val="auto"/>
        </w:rPr>
        <w:t>Available-for-sale financial investments -</w:t>
      </w:r>
    </w:p>
    <w:p>
      <w:pPr>
        <w:spacing w:after="0" w:line="220" w:lineRule="exact"/>
        <w:rPr>
          <w:rFonts w:ascii="Arial" w:cs="Arial" w:eastAsia="Arial" w:hAnsi="Arial"/>
          <w:sz w:val="17"/>
          <w:szCs w:val="17"/>
          <w:color w:val="auto"/>
        </w:rPr>
      </w:pPr>
    </w:p>
    <w:p>
      <w:pPr>
        <w:ind w:left="304" w:right="180"/>
        <w:spacing w:after="0" w:line="285" w:lineRule="auto"/>
        <w:rPr>
          <w:rFonts w:ascii="Arial" w:cs="Arial" w:eastAsia="Arial" w:hAnsi="Arial"/>
          <w:sz w:val="17"/>
          <w:szCs w:val="17"/>
          <w:color w:val="auto"/>
        </w:rPr>
      </w:pPr>
      <w:r>
        <w:rPr>
          <w:rFonts w:ascii="Arial" w:cs="Arial" w:eastAsia="Arial" w:hAnsi="Arial"/>
          <w:sz w:val="17"/>
          <w:szCs w:val="17"/>
          <w:color w:val="auto"/>
        </w:rPr>
        <w:t>For available-for-sale financial investments, the Group assesses at each date of the consolidated statement of financial position whether there is objective evidence that an investment or a group of investments is impaired.</w:t>
      </w:r>
    </w:p>
    <w:p>
      <w:pPr>
        <w:spacing w:after="0" w:line="159" w:lineRule="exact"/>
        <w:rPr>
          <w:rFonts w:ascii="Arial" w:cs="Arial" w:eastAsia="Arial" w:hAnsi="Arial"/>
          <w:sz w:val="17"/>
          <w:szCs w:val="17"/>
          <w:color w:val="auto"/>
        </w:rPr>
      </w:pPr>
    </w:p>
    <w:p>
      <w:pPr>
        <w:ind w:left="304" w:right="120"/>
        <w:spacing w:after="0" w:line="265" w:lineRule="auto"/>
        <w:rPr>
          <w:rFonts w:ascii="Arial" w:cs="Arial" w:eastAsia="Arial" w:hAnsi="Arial"/>
          <w:sz w:val="17"/>
          <w:szCs w:val="17"/>
          <w:color w:val="auto"/>
        </w:rPr>
      </w:pPr>
      <w:r>
        <w:rPr>
          <w:rFonts w:ascii="Arial" w:cs="Arial" w:eastAsia="Arial" w:hAnsi="Arial"/>
          <w:sz w:val="17"/>
          <w:szCs w:val="17"/>
          <w:color w:val="auto"/>
        </w:rPr>
        <w:t>In the case of equity investments, objective evidence would include a significant or prolonged decline in their fair value below cost. “Significant” is to be evaluated against the original cost of the investment and “prolonged” against the period in which the fair value has been below its original cost. The determination of what is “significant” or “prolonged” requires judgment. In making this judgment, the Group evaluates, among other factors, the duration or extent to which the fair value of an investment is less than its cost.</w:t>
      </w:r>
    </w:p>
    <w:p>
      <w:pPr>
        <w:spacing w:after="0" w:line="176" w:lineRule="exact"/>
        <w:rPr>
          <w:rFonts w:ascii="Arial" w:cs="Arial" w:eastAsia="Arial" w:hAnsi="Arial"/>
          <w:sz w:val="17"/>
          <w:szCs w:val="17"/>
          <w:color w:val="auto"/>
        </w:rPr>
      </w:pPr>
    </w:p>
    <w:p>
      <w:pPr>
        <w:ind w:left="304" w:right="320"/>
        <w:spacing w:after="0" w:line="286" w:lineRule="auto"/>
        <w:rPr>
          <w:rFonts w:ascii="Arial" w:cs="Arial" w:eastAsia="Arial" w:hAnsi="Arial"/>
          <w:sz w:val="17"/>
          <w:szCs w:val="17"/>
          <w:color w:val="auto"/>
        </w:rPr>
      </w:pPr>
      <w:r>
        <w:rPr>
          <w:rFonts w:ascii="Arial" w:cs="Arial" w:eastAsia="Arial" w:hAnsi="Arial"/>
          <w:sz w:val="16"/>
          <w:szCs w:val="16"/>
          <w:color w:val="auto"/>
        </w:rPr>
        <w:t>When there is evidence of impairment, the cumulative loss (measured as the difference between the acquisition cost and the current fair value, less any previously recognized impairment loss) is removed from available-for-sale investments reserve of the consolidated statement of changes in equity and recognized in the consolidated statement of income. Impairment losses on equity investments are not reversed through the consolidated statement of income; increases in their fair value after impairment are recognized directly in the consolidated statement of comprehensive income.</w:t>
      </w:r>
    </w:p>
    <w:p>
      <w:pPr>
        <w:spacing w:after="0" w:line="370" w:lineRule="exact"/>
        <w:rPr>
          <w:rFonts w:ascii="Arial" w:cs="Arial" w:eastAsia="Arial" w:hAnsi="Arial"/>
          <w:sz w:val="17"/>
          <w:szCs w:val="17"/>
          <w:color w:val="auto"/>
        </w:rPr>
      </w:pPr>
    </w:p>
    <w:p>
      <w:pPr>
        <w:ind w:left="5324" w:hanging="107"/>
        <w:spacing w:after="0"/>
        <w:tabs>
          <w:tab w:leader="none" w:pos="5324" w:val="left"/>
        </w:tabs>
        <w:numPr>
          <w:ilvl w:val="1"/>
          <w:numId w:val="32"/>
        </w:numPr>
        <w:rPr>
          <w:rFonts w:ascii="Arial" w:cs="Arial" w:eastAsia="Arial" w:hAnsi="Arial"/>
          <w:sz w:val="17"/>
          <w:szCs w:val="17"/>
          <w:color w:val="auto"/>
        </w:rPr>
      </w:pPr>
      <w:r>
        <w:rPr>
          <w:rFonts w:ascii="Arial" w:cs="Arial" w:eastAsia="Arial" w:hAnsi="Arial"/>
          <w:sz w:val="17"/>
          <w:szCs w:val="17"/>
          <w:color w:val="auto"/>
        </w:rPr>
        <w:t>34 -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-197485</wp:posOffset>
            </wp:positionH>
            <wp:positionV relativeFrom="paragraph">
              <wp:posOffset>15875</wp:posOffset>
            </wp:positionV>
            <wp:extent cx="725170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1700" cy="8255"/>
                    </a:xfrm>
                    <a:prstGeom prst="rect">
                      <a:avLst/>
                    </a:prstGeom>
                    <a:noFill/>
                  </pic:spPr>
                </pic:pic>
              </a:graphicData>
            </a:graphic>
          </wp:anchor>
        </w:drawing>
      </w:r>
    </w:p>
    <w:p>
      <w:pPr>
        <w:sectPr>
          <w:pgSz w:w="11900" w:h="16838" w:orient="portrait"/>
          <w:cols w:equalWidth="0" w:num="1">
            <w:col w:w="11084"/>
          </w:cols>
          <w:pgMar w:left="556" w:top="881" w:right="259" w:bottom="1440" w:gutter="0" w:footer="0" w:header="0"/>
        </w:sectPr>
      </w:pPr>
    </w:p>
    <w:bookmarkStart w:id="40" w:name="page41"/>
    <w:bookmarkEnd w:id="40"/>
    <w:p>
      <w:pPr>
        <w:ind w:left="616"/>
        <w:spacing w:after="0" w:line="260" w:lineRule="auto"/>
        <w:rPr>
          <w:sz w:val="20"/>
          <w:szCs w:val="20"/>
          <w:color w:val="auto"/>
        </w:rPr>
      </w:pPr>
      <w:r>
        <w:rPr>
          <w:rFonts w:ascii="Arial" w:cs="Arial" w:eastAsia="Arial" w:hAnsi="Arial"/>
          <w:sz w:val="17"/>
          <w:szCs w:val="17"/>
          <w:color w:val="auto"/>
        </w:rPr>
        <w:t>In the case of debt instruments, impairment is assessed based on the same criteria as financial assets carried at amortized cost. However, the amount recorded for impairment is the cumulative loss measured as the difference between the amortized cost and the current fair value, less any impairment loss on that investment previously recognized in the consolidated statement of income. Future interest income is based on the reduced carrying amount and is accrued using the interest rate used to discount the future cash flows for the purpose of measuring the impairment loss. Interest income is recorded as part of “Interest and similar income” of the consolidated statement of income. If in a subsequent year, the fair value of a debt instrument increases and the increase can be objectively related to an event occurring after the impairment loss was recognized in the consolidated statements of income, the impairment loss is reversed through the consolidated statement of income.</w:t>
      </w:r>
    </w:p>
    <w:p>
      <w:pPr>
        <w:spacing w:after="0" w:line="181" w:lineRule="exact"/>
        <w:rPr>
          <w:sz w:val="20"/>
          <w:szCs w:val="20"/>
          <w:color w:val="auto"/>
        </w:rPr>
      </w:pPr>
    </w:p>
    <w:p>
      <w:pPr>
        <w:ind w:left="616" w:hanging="304"/>
        <w:spacing w:after="0"/>
        <w:tabs>
          <w:tab w:leader="none" w:pos="616" w:val="left"/>
        </w:tabs>
        <w:numPr>
          <w:ilvl w:val="1"/>
          <w:numId w:val="33"/>
        </w:numPr>
        <w:rPr>
          <w:rFonts w:ascii="Arial" w:cs="Arial" w:eastAsia="Arial" w:hAnsi="Arial"/>
          <w:sz w:val="17"/>
          <w:szCs w:val="17"/>
          <w:color w:val="auto"/>
        </w:rPr>
      </w:pPr>
      <w:r>
        <w:rPr>
          <w:rFonts w:ascii="Arial" w:cs="Arial" w:eastAsia="Arial" w:hAnsi="Arial"/>
          <w:sz w:val="17"/>
          <w:szCs w:val="17"/>
          <w:color w:val="auto"/>
        </w:rPr>
        <w:t>Renegotiated loans -</w:t>
      </w:r>
    </w:p>
    <w:p>
      <w:pPr>
        <w:spacing w:after="0" w:line="220" w:lineRule="exact"/>
        <w:rPr>
          <w:rFonts w:ascii="Arial" w:cs="Arial" w:eastAsia="Arial" w:hAnsi="Arial"/>
          <w:sz w:val="17"/>
          <w:szCs w:val="17"/>
          <w:color w:val="auto"/>
        </w:rPr>
      </w:pPr>
    </w:p>
    <w:p>
      <w:pPr>
        <w:ind w:left="616" w:right="40"/>
        <w:spacing w:after="0" w:line="265" w:lineRule="auto"/>
        <w:rPr>
          <w:rFonts w:ascii="Arial" w:cs="Arial" w:eastAsia="Arial" w:hAnsi="Arial"/>
          <w:sz w:val="17"/>
          <w:szCs w:val="17"/>
          <w:color w:val="auto"/>
        </w:rPr>
      </w:pPr>
      <w:r>
        <w:rPr>
          <w:rFonts w:ascii="Arial" w:cs="Arial" w:eastAsia="Arial" w:hAnsi="Arial"/>
          <w:sz w:val="17"/>
          <w:szCs w:val="17"/>
          <w:color w:val="auto"/>
        </w:rPr>
        <w:t>When a loan is modified, it is not considered as past due but it maintains its previous classification as impaired or not impaired. If the debtor complies with the new agreement during the following six months, and an analysis of its payment capacity supports a new improved risk classification, the loan is classified as not impaired. If, subsequent to the loan modification, the debtor fails to comply with the new agreement, it is considered as impaired and past due.</w:t>
      </w:r>
    </w:p>
    <w:p>
      <w:pPr>
        <w:spacing w:after="0" w:line="176" w:lineRule="exact"/>
        <w:rPr>
          <w:rFonts w:ascii="Arial" w:cs="Arial" w:eastAsia="Arial" w:hAnsi="Arial"/>
          <w:sz w:val="17"/>
          <w:szCs w:val="17"/>
          <w:color w:val="auto"/>
        </w:rPr>
      </w:pPr>
    </w:p>
    <w:p>
      <w:pPr>
        <w:ind w:left="316" w:hanging="316"/>
        <w:spacing w:after="0"/>
        <w:tabs>
          <w:tab w:leader="none" w:pos="316" w:val="left"/>
        </w:tabs>
        <w:numPr>
          <w:ilvl w:val="0"/>
          <w:numId w:val="34"/>
        </w:numPr>
        <w:rPr>
          <w:rFonts w:ascii="Arial" w:cs="Arial" w:eastAsia="Arial" w:hAnsi="Arial"/>
          <w:sz w:val="17"/>
          <w:szCs w:val="17"/>
          <w:color w:val="auto"/>
        </w:rPr>
      </w:pPr>
      <w:r>
        <w:rPr>
          <w:rFonts w:ascii="Arial" w:cs="Arial" w:eastAsia="Arial" w:hAnsi="Arial"/>
          <w:sz w:val="17"/>
          <w:szCs w:val="17"/>
          <w:color w:val="auto"/>
        </w:rPr>
        <w:t>Leases -</w:t>
      </w:r>
    </w:p>
    <w:p>
      <w:pPr>
        <w:spacing w:after="0" w:line="220" w:lineRule="exact"/>
        <w:rPr>
          <w:rFonts w:ascii="Arial" w:cs="Arial" w:eastAsia="Arial" w:hAnsi="Arial"/>
          <w:sz w:val="17"/>
          <w:szCs w:val="17"/>
          <w:color w:val="auto"/>
        </w:rPr>
      </w:pPr>
    </w:p>
    <w:p>
      <w:pPr>
        <w:ind w:left="316" w:right="200"/>
        <w:spacing w:after="0" w:line="270" w:lineRule="auto"/>
        <w:rPr>
          <w:rFonts w:ascii="Arial" w:cs="Arial" w:eastAsia="Arial" w:hAnsi="Arial"/>
          <w:sz w:val="17"/>
          <w:szCs w:val="17"/>
          <w:color w:val="auto"/>
        </w:rPr>
      </w:pPr>
      <w:r>
        <w:rPr>
          <w:rFonts w:ascii="Arial" w:cs="Arial" w:eastAsia="Arial" w:hAnsi="Arial"/>
          <w:sz w:val="17"/>
          <w:szCs w:val="17"/>
          <w:color w:val="auto"/>
        </w:rPr>
        <w:t>The determination of whether an arrangement is, or contains, a lease is based in the substance of the arrangement at the inception date: whether fulfillment of the arrangement is dependent on the use of a specific asset or assets and on whether the arrangement conveys a right to use the asset even if that right is not explicitly specified in an arrangement.</w:t>
      </w:r>
    </w:p>
    <w:p>
      <w:pPr>
        <w:spacing w:after="0" w:line="171" w:lineRule="exact"/>
        <w:rPr>
          <w:rFonts w:ascii="Arial" w:cs="Arial" w:eastAsia="Arial" w:hAnsi="Arial"/>
          <w:sz w:val="17"/>
          <w:szCs w:val="17"/>
          <w:color w:val="auto"/>
        </w:rPr>
      </w:pPr>
    </w:p>
    <w:p>
      <w:pPr>
        <w:ind w:left="316"/>
        <w:spacing w:after="0"/>
        <w:rPr>
          <w:rFonts w:ascii="Arial" w:cs="Arial" w:eastAsia="Arial" w:hAnsi="Arial"/>
          <w:sz w:val="17"/>
          <w:szCs w:val="17"/>
          <w:color w:val="auto"/>
        </w:rPr>
      </w:pPr>
      <w:r>
        <w:rPr>
          <w:rFonts w:ascii="Arial" w:cs="Arial" w:eastAsia="Arial" w:hAnsi="Arial"/>
          <w:sz w:val="17"/>
          <w:szCs w:val="17"/>
          <w:color w:val="auto"/>
        </w:rPr>
        <w:t>Operating leases:</w:t>
      </w:r>
    </w:p>
    <w:p>
      <w:pPr>
        <w:spacing w:after="0" w:line="220" w:lineRule="exact"/>
        <w:rPr>
          <w:rFonts w:ascii="Arial" w:cs="Arial" w:eastAsia="Arial" w:hAnsi="Arial"/>
          <w:sz w:val="17"/>
          <w:szCs w:val="17"/>
          <w:color w:val="auto"/>
        </w:rPr>
      </w:pPr>
    </w:p>
    <w:p>
      <w:pPr>
        <w:ind w:left="316" w:right="80"/>
        <w:spacing w:after="0" w:line="285" w:lineRule="auto"/>
        <w:rPr>
          <w:rFonts w:ascii="Arial" w:cs="Arial" w:eastAsia="Arial" w:hAnsi="Arial"/>
          <w:sz w:val="17"/>
          <w:szCs w:val="17"/>
          <w:color w:val="auto"/>
        </w:rPr>
      </w:pPr>
      <w:r>
        <w:rPr>
          <w:rFonts w:ascii="Arial" w:cs="Arial" w:eastAsia="Arial" w:hAnsi="Arial"/>
          <w:sz w:val="17"/>
          <w:szCs w:val="17"/>
          <w:color w:val="auto"/>
        </w:rPr>
        <w:t>Leases in which a significant portion of the risks and benefits of the asset are held by the lessor are classified as operating leases. Under this concept the Group has mainly leased premises used as offices and agencies of the Group’s subsidiaries.</w:t>
      </w:r>
    </w:p>
    <w:p>
      <w:pPr>
        <w:spacing w:after="0" w:line="159" w:lineRule="exact"/>
        <w:rPr>
          <w:rFonts w:ascii="Arial" w:cs="Arial" w:eastAsia="Arial" w:hAnsi="Arial"/>
          <w:sz w:val="17"/>
          <w:szCs w:val="17"/>
          <w:color w:val="auto"/>
        </w:rPr>
      </w:pPr>
    </w:p>
    <w:p>
      <w:pPr>
        <w:ind w:left="316" w:right="80"/>
        <w:spacing w:after="0" w:line="285" w:lineRule="auto"/>
        <w:rPr>
          <w:rFonts w:ascii="Arial" w:cs="Arial" w:eastAsia="Arial" w:hAnsi="Arial"/>
          <w:sz w:val="17"/>
          <w:szCs w:val="17"/>
          <w:color w:val="auto"/>
        </w:rPr>
      </w:pPr>
      <w:r>
        <w:rPr>
          <w:rFonts w:ascii="Arial" w:cs="Arial" w:eastAsia="Arial" w:hAnsi="Arial"/>
          <w:sz w:val="17"/>
          <w:szCs w:val="17"/>
          <w:color w:val="auto"/>
        </w:rPr>
        <w:t>When an operating lease is terminated before the lease period has expired, any penalty payment to the lessor is recognized as an expense in the period in which termination takes place.</w:t>
      </w:r>
    </w:p>
    <w:p>
      <w:pPr>
        <w:spacing w:after="0" w:line="159" w:lineRule="exact"/>
        <w:rPr>
          <w:rFonts w:ascii="Arial" w:cs="Arial" w:eastAsia="Arial" w:hAnsi="Arial"/>
          <w:sz w:val="17"/>
          <w:szCs w:val="17"/>
          <w:color w:val="auto"/>
        </w:rPr>
      </w:pPr>
    </w:p>
    <w:p>
      <w:pPr>
        <w:ind w:left="316"/>
        <w:spacing w:after="0"/>
        <w:rPr>
          <w:rFonts w:ascii="Arial" w:cs="Arial" w:eastAsia="Arial" w:hAnsi="Arial"/>
          <w:sz w:val="17"/>
          <w:szCs w:val="17"/>
          <w:color w:val="auto"/>
        </w:rPr>
      </w:pPr>
      <w:r>
        <w:rPr>
          <w:rFonts w:ascii="Arial" w:cs="Arial" w:eastAsia="Arial" w:hAnsi="Arial"/>
          <w:sz w:val="17"/>
          <w:szCs w:val="17"/>
          <w:color w:val="auto"/>
        </w:rPr>
        <w:t>Finance leases:</w:t>
      </w:r>
    </w:p>
    <w:p>
      <w:pPr>
        <w:spacing w:after="0" w:line="220" w:lineRule="exact"/>
        <w:rPr>
          <w:rFonts w:ascii="Arial" w:cs="Arial" w:eastAsia="Arial" w:hAnsi="Arial"/>
          <w:sz w:val="17"/>
          <w:szCs w:val="17"/>
          <w:color w:val="auto"/>
        </w:rPr>
      </w:pPr>
    </w:p>
    <w:p>
      <w:pPr>
        <w:ind w:left="316" w:right="160"/>
        <w:spacing w:after="0" w:line="270" w:lineRule="auto"/>
        <w:rPr>
          <w:rFonts w:ascii="Arial" w:cs="Arial" w:eastAsia="Arial" w:hAnsi="Arial"/>
          <w:sz w:val="17"/>
          <w:szCs w:val="17"/>
          <w:color w:val="auto"/>
        </w:rPr>
      </w:pPr>
      <w:r>
        <w:rPr>
          <w:rFonts w:ascii="Arial" w:cs="Arial" w:eastAsia="Arial" w:hAnsi="Arial"/>
          <w:sz w:val="17"/>
          <w:szCs w:val="17"/>
          <w:color w:val="auto"/>
        </w:rPr>
        <w:t>Finance leases are recognized as granted loans at the present value of the future lease collections. The difference between the gross receivable amount and the present value of the loan is recognized as unearned interest. Lease income is recognized over the term of the lease agreement using the effective interest rate method, which reflects a constant periodic rate of return.</w:t>
      </w:r>
    </w:p>
    <w:p>
      <w:pPr>
        <w:spacing w:after="0" w:line="171" w:lineRule="exact"/>
        <w:rPr>
          <w:rFonts w:ascii="Arial" w:cs="Arial" w:eastAsia="Arial" w:hAnsi="Arial"/>
          <w:sz w:val="17"/>
          <w:szCs w:val="17"/>
          <w:color w:val="auto"/>
        </w:rPr>
      </w:pPr>
    </w:p>
    <w:p>
      <w:pPr>
        <w:ind w:left="316" w:hanging="316"/>
        <w:spacing w:after="0"/>
        <w:tabs>
          <w:tab w:leader="none" w:pos="316" w:val="left"/>
        </w:tabs>
        <w:numPr>
          <w:ilvl w:val="0"/>
          <w:numId w:val="34"/>
        </w:numPr>
        <w:rPr>
          <w:rFonts w:ascii="Arial" w:cs="Arial" w:eastAsia="Arial" w:hAnsi="Arial"/>
          <w:sz w:val="17"/>
          <w:szCs w:val="17"/>
          <w:color w:val="auto"/>
        </w:rPr>
      </w:pPr>
      <w:r>
        <w:rPr>
          <w:rFonts w:ascii="Arial" w:cs="Arial" w:eastAsia="Arial" w:hAnsi="Arial"/>
          <w:sz w:val="17"/>
          <w:szCs w:val="17"/>
          <w:color w:val="auto"/>
        </w:rPr>
        <w:t>Property, furniture and equipment -</w:t>
      </w:r>
    </w:p>
    <w:p>
      <w:pPr>
        <w:spacing w:after="0" w:line="220" w:lineRule="exact"/>
        <w:rPr>
          <w:rFonts w:ascii="Arial" w:cs="Arial" w:eastAsia="Arial" w:hAnsi="Arial"/>
          <w:sz w:val="17"/>
          <w:szCs w:val="17"/>
          <w:color w:val="auto"/>
        </w:rPr>
      </w:pPr>
    </w:p>
    <w:p>
      <w:pPr>
        <w:ind w:left="316" w:right="40"/>
        <w:spacing w:after="0" w:line="286" w:lineRule="auto"/>
        <w:rPr>
          <w:rFonts w:ascii="Arial" w:cs="Arial" w:eastAsia="Arial" w:hAnsi="Arial"/>
          <w:sz w:val="17"/>
          <w:szCs w:val="17"/>
          <w:color w:val="auto"/>
        </w:rPr>
      </w:pPr>
      <w:r>
        <w:rPr>
          <w:rFonts w:ascii="Arial" w:cs="Arial" w:eastAsia="Arial" w:hAnsi="Arial"/>
          <w:sz w:val="16"/>
          <w:szCs w:val="16"/>
          <w:color w:val="auto"/>
        </w:rPr>
        <w:t>Property, furniture and equipment are stated at historical acquisition cost less accumulated depreciation and impairment losses, if applicable. Historical acquisition costs include expenditures that are directly attributable to the acquired property, furniture or equipment. Maintenance and repair costs are charged to the consolidated statement of income; significant renewals and improvements are capitalized when it is probable that future economic benefits, in excess of the originally assessed standard of performance, will flow from the use of the acquired property, furniture or equipment.</w:t>
      </w:r>
    </w:p>
    <w:p>
      <w:pPr>
        <w:spacing w:after="0" w:line="370" w:lineRule="exact"/>
        <w:rPr>
          <w:rFonts w:ascii="Arial" w:cs="Arial" w:eastAsia="Arial" w:hAnsi="Arial"/>
          <w:sz w:val="17"/>
          <w:szCs w:val="17"/>
          <w:color w:val="auto"/>
        </w:rPr>
      </w:pPr>
    </w:p>
    <w:p>
      <w:pPr>
        <w:ind w:left="5636" w:hanging="107"/>
        <w:spacing w:after="0"/>
        <w:tabs>
          <w:tab w:leader="none" w:pos="5636" w:val="left"/>
        </w:tabs>
        <w:numPr>
          <w:ilvl w:val="2"/>
          <w:numId w:val="34"/>
        </w:numPr>
        <w:rPr>
          <w:rFonts w:ascii="Arial" w:cs="Arial" w:eastAsia="Arial" w:hAnsi="Arial"/>
          <w:sz w:val="17"/>
          <w:szCs w:val="17"/>
          <w:color w:val="auto"/>
        </w:rPr>
      </w:pPr>
      <w:r>
        <w:rPr>
          <w:rFonts w:ascii="Arial" w:cs="Arial" w:eastAsia="Arial" w:hAnsi="Arial"/>
          <w:sz w:val="17"/>
          <w:szCs w:val="17"/>
          <w:color w:val="auto"/>
        </w:rPr>
        <w:t>35 -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15875</wp:posOffset>
            </wp:positionV>
            <wp:extent cx="725170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1700" cy="8255"/>
                    </a:xfrm>
                    <a:prstGeom prst="rect">
                      <a:avLst/>
                    </a:prstGeom>
                    <a:noFill/>
                  </pic:spPr>
                </pic:pic>
              </a:graphicData>
            </a:graphic>
          </wp:anchor>
        </w:drawing>
      </w:r>
    </w:p>
    <w:p>
      <w:pPr>
        <w:sectPr>
          <w:pgSz w:w="11900" w:h="16838" w:orient="portrait"/>
          <w:cols w:equalWidth="0" w:num="1">
            <w:col w:w="11416"/>
          </w:cols>
          <w:pgMar w:left="244" w:top="881" w:right="239" w:bottom="1440" w:gutter="0" w:footer="0" w:header="0"/>
        </w:sectPr>
      </w:pPr>
    </w:p>
    <w:bookmarkStart w:id="41" w:name="page42"/>
    <w:bookmarkEnd w:id="41"/>
    <w:p>
      <w:pPr>
        <w:ind w:left="316"/>
        <w:spacing w:after="0"/>
        <w:rPr>
          <w:sz w:val="20"/>
          <w:szCs w:val="20"/>
          <w:color w:val="auto"/>
        </w:rPr>
      </w:pPr>
      <w:r>
        <w:rPr>
          <w:rFonts w:ascii="Arial" w:cs="Arial" w:eastAsia="Arial" w:hAnsi="Arial"/>
          <w:sz w:val="17"/>
          <w:szCs w:val="17"/>
          <w:color w:val="auto"/>
        </w:rPr>
        <w:t>Land is not depreciated. Depreciation is calculated using the straight-line method over the estimated useful lives, which are as follows:</w:t>
      </w:r>
    </w:p>
    <w:p>
      <w:pPr>
        <w:spacing w:after="0" w:line="214" w:lineRule="exact"/>
        <w:rPr>
          <w:sz w:val="20"/>
          <w:szCs w:val="20"/>
          <w:color w:val="auto"/>
        </w:rPr>
      </w:pPr>
    </w:p>
    <w:tbl>
      <w:tblPr>
        <w:tblLayout w:type="fixed"/>
        <w:tblInd w:w="316" w:type="dxa"/>
        <w:tblCellMar>
          <w:top w:w="0" w:type="dxa"/>
          <w:left w:w="0" w:type="dxa"/>
          <w:bottom w:w="0" w:type="dxa"/>
          <w:right w:w="0" w:type="dxa"/>
        </w:tblCellMar>
      </w:tblPr>
      <w:tr>
        <w:trPr>
          <w:trHeight w:val="226"/>
        </w:trPr>
        <w:tc>
          <w:tcPr>
            <w:tcW w:w="6540" w:type="dxa"/>
            <w:vAlign w:val="bottom"/>
          </w:tcPr>
          <w:p>
            <w:pPr>
              <w:spacing w:after="0"/>
              <w:rPr>
                <w:sz w:val="19"/>
                <w:szCs w:val="19"/>
                <w:color w:val="auto"/>
              </w:rPr>
            </w:pPr>
          </w:p>
        </w:tc>
        <w:tc>
          <w:tcPr>
            <w:tcW w:w="880" w:type="dxa"/>
            <w:vAlign w:val="bottom"/>
            <w:tcBorders>
              <w:bottom w:val="single" w:sz="8" w:color="auto"/>
            </w:tcBorders>
          </w:tcPr>
          <w:p>
            <w:pPr>
              <w:jc w:val="right"/>
              <w:ind w:right="153"/>
              <w:spacing w:after="0"/>
              <w:rPr>
                <w:sz w:val="20"/>
                <w:szCs w:val="20"/>
                <w:color w:val="auto"/>
              </w:rPr>
            </w:pPr>
            <w:r>
              <w:rPr>
                <w:rFonts w:ascii="Arial" w:cs="Arial" w:eastAsia="Arial" w:hAnsi="Arial"/>
                <w:sz w:val="17"/>
                <w:szCs w:val="17"/>
                <w:b w:val="1"/>
                <w:bCs w:val="1"/>
                <w:color w:val="auto"/>
              </w:rPr>
              <w:t>Years</w:t>
            </w:r>
          </w:p>
        </w:tc>
      </w:tr>
      <w:tr>
        <w:trPr>
          <w:trHeight w:val="396"/>
        </w:trPr>
        <w:tc>
          <w:tcPr>
            <w:tcW w:w="6540" w:type="dxa"/>
            <w:vAlign w:val="bottom"/>
          </w:tcPr>
          <w:p>
            <w:pPr>
              <w:spacing w:after="0"/>
              <w:rPr>
                <w:sz w:val="20"/>
                <w:szCs w:val="20"/>
                <w:color w:val="auto"/>
              </w:rPr>
            </w:pPr>
            <w:r>
              <w:rPr>
                <w:rFonts w:ascii="Arial" w:cs="Arial" w:eastAsia="Arial" w:hAnsi="Arial"/>
                <w:sz w:val="17"/>
                <w:szCs w:val="17"/>
                <w:color w:val="auto"/>
              </w:rPr>
              <w:t>Buildings and other construction</w:t>
            </w:r>
          </w:p>
        </w:tc>
        <w:tc>
          <w:tcPr>
            <w:tcW w:w="880" w:type="dxa"/>
            <w:vAlign w:val="bottom"/>
          </w:tcPr>
          <w:p>
            <w:pPr>
              <w:jc w:val="right"/>
              <w:spacing w:after="0"/>
              <w:rPr>
                <w:sz w:val="20"/>
                <w:szCs w:val="20"/>
                <w:color w:val="auto"/>
              </w:rPr>
            </w:pPr>
            <w:r>
              <w:rPr>
                <w:rFonts w:ascii="Arial" w:cs="Arial" w:eastAsia="Arial" w:hAnsi="Arial"/>
                <w:sz w:val="17"/>
                <w:szCs w:val="17"/>
                <w:color w:val="auto"/>
              </w:rPr>
              <w:t>33</w:t>
            </w:r>
          </w:p>
        </w:tc>
      </w:tr>
      <w:tr>
        <w:trPr>
          <w:trHeight w:val="208"/>
        </w:trPr>
        <w:tc>
          <w:tcPr>
            <w:tcW w:w="6540" w:type="dxa"/>
            <w:vAlign w:val="bottom"/>
          </w:tcPr>
          <w:p>
            <w:pPr>
              <w:spacing w:after="0"/>
              <w:rPr>
                <w:sz w:val="20"/>
                <w:szCs w:val="20"/>
                <w:color w:val="auto"/>
              </w:rPr>
            </w:pPr>
            <w:r>
              <w:rPr>
                <w:rFonts w:ascii="Arial" w:cs="Arial" w:eastAsia="Arial" w:hAnsi="Arial"/>
                <w:sz w:val="17"/>
                <w:szCs w:val="17"/>
                <w:color w:val="auto"/>
              </w:rPr>
              <w:t>Installations</w:t>
            </w:r>
          </w:p>
        </w:tc>
        <w:tc>
          <w:tcPr>
            <w:tcW w:w="880" w:type="dxa"/>
            <w:vAlign w:val="bottom"/>
          </w:tcPr>
          <w:p>
            <w:pPr>
              <w:jc w:val="right"/>
              <w:spacing w:after="0"/>
              <w:rPr>
                <w:sz w:val="20"/>
                <w:szCs w:val="20"/>
                <w:color w:val="auto"/>
              </w:rPr>
            </w:pPr>
            <w:r>
              <w:rPr>
                <w:rFonts w:ascii="Arial" w:cs="Arial" w:eastAsia="Arial" w:hAnsi="Arial"/>
                <w:sz w:val="17"/>
                <w:szCs w:val="17"/>
                <w:color w:val="auto"/>
              </w:rPr>
              <w:t>10</w:t>
            </w:r>
          </w:p>
        </w:tc>
      </w:tr>
      <w:tr>
        <w:trPr>
          <w:trHeight w:val="208"/>
        </w:trPr>
        <w:tc>
          <w:tcPr>
            <w:tcW w:w="6540" w:type="dxa"/>
            <w:vAlign w:val="bottom"/>
          </w:tcPr>
          <w:p>
            <w:pPr>
              <w:spacing w:after="0"/>
              <w:rPr>
                <w:sz w:val="20"/>
                <w:szCs w:val="20"/>
                <w:color w:val="auto"/>
              </w:rPr>
            </w:pPr>
            <w:r>
              <w:rPr>
                <w:rFonts w:ascii="Arial" w:cs="Arial" w:eastAsia="Arial" w:hAnsi="Arial"/>
                <w:sz w:val="17"/>
                <w:szCs w:val="17"/>
                <w:color w:val="auto"/>
              </w:rPr>
              <w:t>Furniture and fixtures</w:t>
            </w:r>
          </w:p>
        </w:tc>
        <w:tc>
          <w:tcPr>
            <w:tcW w:w="880" w:type="dxa"/>
            <w:vAlign w:val="bottom"/>
          </w:tcPr>
          <w:p>
            <w:pPr>
              <w:jc w:val="right"/>
              <w:spacing w:after="0"/>
              <w:rPr>
                <w:sz w:val="20"/>
                <w:szCs w:val="20"/>
                <w:color w:val="auto"/>
              </w:rPr>
            </w:pPr>
            <w:r>
              <w:rPr>
                <w:rFonts w:ascii="Arial" w:cs="Arial" w:eastAsia="Arial" w:hAnsi="Arial"/>
                <w:sz w:val="17"/>
                <w:szCs w:val="17"/>
                <w:color w:val="auto"/>
              </w:rPr>
              <w:t>10</w:t>
            </w:r>
          </w:p>
        </w:tc>
      </w:tr>
      <w:tr>
        <w:trPr>
          <w:trHeight w:val="208"/>
        </w:trPr>
        <w:tc>
          <w:tcPr>
            <w:tcW w:w="6540" w:type="dxa"/>
            <w:vAlign w:val="bottom"/>
          </w:tcPr>
          <w:p>
            <w:pPr>
              <w:spacing w:after="0"/>
              <w:rPr>
                <w:sz w:val="20"/>
                <w:szCs w:val="20"/>
                <w:color w:val="auto"/>
              </w:rPr>
            </w:pPr>
            <w:r>
              <w:rPr>
                <w:rFonts w:ascii="Arial" w:cs="Arial" w:eastAsia="Arial" w:hAnsi="Arial"/>
                <w:sz w:val="17"/>
                <w:szCs w:val="17"/>
                <w:color w:val="auto"/>
              </w:rPr>
              <w:t>Vehicles and equipment</w:t>
            </w:r>
          </w:p>
        </w:tc>
        <w:tc>
          <w:tcPr>
            <w:tcW w:w="880" w:type="dxa"/>
            <w:vAlign w:val="bottom"/>
          </w:tcPr>
          <w:p>
            <w:pPr>
              <w:jc w:val="right"/>
              <w:spacing w:after="0"/>
              <w:rPr>
                <w:sz w:val="20"/>
                <w:szCs w:val="20"/>
                <w:color w:val="auto"/>
              </w:rPr>
            </w:pPr>
            <w:r>
              <w:rPr>
                <w:rFonts w:ascii="Arial" w:cs="Arial" w:eastAsia="Arial" w:hAnsi="Arial"/>
                <w:sz w:val="17"/>
                <w:szCs w:val="17"/>
                <w:color w:val="auto"/>
              </w:rPr>
              <w:t>5</w:t>
            </w:r>
          </w:p>
        </w:tc>
      </w:tr>
      <w:tr>
        <w:trPr>
          <w:trHeight w:val="220"/>
        </w:trPr>
        <w:tc>
          <w:tcPr>
            <w:tcW w:w="6540" w:type="dxa"/>
            <w:vAlign w:val="bottom"/>
          </w:tcPr>
          <w:p>
            <w:pPr>
              <w:spacing w:after="0"/>
              <w:rPr>
                <w:sz w:val="20"/>
                <w:szCs w:val="20"/>
                <w:color w:val="auto"/>
              </w:rPr>
            </w:pPr>
            <w:r>
              <w:rPr>
                <w:rFonts w:ascii="Arial" w:cs="Arial" w:eastAsia="Arial" w:hAnsi="Arial"/>
                <w:sz w:val="17"/>
                <w:szCs w:val="17"/>
                <w:color w:val="auto"/>
              </w:rPr>
              <w:t>Computer hardware</w:t>
            </w:r>
          </w:p>
        </w:tc>
        <w:tc>
          <w:tcPr>
            <w:tcW w:w="880" w:type="dxa"/>
            <w:vAlign w:val="bottom"/>
          </w:tcPr>
          <w:p>
            <w:pPr>
              <w:jc w:val="right"/>
              <w:spacing w:after="0"/>
              <w:rPr>
                <w:sz w:val="20"/>
                <w:szCs w:val="20"/>
                <w:color w:val="auto"/>
              </w:rPr>
            </w:pPr>
            <w:r>
              <w:rPr>
                <w:rFonts w:ascii="Arial" w:cs="Arial" w:eastAsia="Arial" w:hAnsi="Arial"/>
                <w:sz w:val="17"/>
                <w:szCs w:val="17"/>
                <w:color w:val="auto"/>
              </w:rPr>
              <w:t>4</w:t>
            </w:r>
          </w:p>
        </w:tc>
      </w:tr>
    </w:tbl>
    <w:p>
      <w:pPr>
        <w:spacing w:after="0" w:line="195" w:lineRule="exact"/>
        <w:rPr>
          <w:sz w:val="20"/>
          <w:szCs w:val="20"/>
          <w:color w:val="auto"/>
        </w:rPr>
      </w:pPr>
    </w:p>
    <w:p>
      <w:pPr>
        <w:ind w:left="316"/>
        <w:spacing w:after="0" w:line="270" w:lineRule="auto"/>
        <w:rPr>
          <w:sz w:val="20"/>
          <w:szCs w:val="20"/>
          <w:color w:val="auto"/>
        </w:rPr>
      </w:pPr>
      <w:r>
        <w:rPr>
          <w:rFonts w:ascii="Arial" w:cs="Arial" w:eastAsia="Arial" w:hAnsi="Arial"/>
          <w:sz w:val="17"/>
          <w:szCs w:val="17"/>
          <w:color w:val="auto"/>
        </w:rPr>
        <w:t>An item of property, furniture and equipment and any significant part initially recognized is derecognized upon disposal or when no future economic benefits are expected from its use or disposal. Any gain or loss arising on de-recognition of the asset (calculated as the difference between the net disposal proceeds and the carrying amount of the asset) is included in the consolidated statement of income.</w:t>
      </w:r>
    </w:p>
    <w:p>
      <w:pPr>
        <w:spacing w:after="0" w:line="172" w:lineRule="exact"/>
        <w:rPr>
          <w:sz w:val="20"/>
          <w:szCs w:val="20"/>
          <w:color w:val="auto"/>
        </w:rPr>
      </w:pPr>
    </w:p>
    <w:p>
      <w:pPr>
        <w:ind w:left="316" w:right="720"/>
        <w:spacing w:after="0" w:line="285" w:lineRule="auto"/>
        <w:rPr>
          <w:sz w:val="20"/>
          <w:szCs w:val="20"/>
          <w:color w:val="auto"/>
        </w:rPr>
      </w:pPr>
      <w:r>
        <w:rPr>
          <w:rFonts w:ascii="Arial" w:cs="Arial" w:eastAsia="Arial" w:hAnsi="Arial"/>
          <w:sz w:val="17"/>
          <w:szCs w:val="17"/>
          <w:color w:val="auto"/>
        </w:rPr>
        <w:t>Assets’ residual value, and the selected useful life are periodically reviewed to ensure that they are consistent with current economic benefits and life expectancy.</w:t>
      </w:r>
    </w:p>
    <w:p>
      <w:pPr>
        <w:spacing w:after="0" w:line="159" w:lineRule="exact"/>
        <w:rPr>
          <w:sz w:val="20"/>
          <w:szCs w:val="20"/>
          <w:color w:val="auto"/>
        </w:rPr>
      </w:pPr>
    </w:p>
    <w:p>
      <w:pPr>
        <w:ind w:left="316" w:hanging="316"/>
        <w:spacing w:after="0"/>
        <w:tabs>
          <w:tab w:leader="none" w:pos="316" w:val="left"/>
        </w:tabs>
        <w:numPr>
          <w:ilvl w:val="0"/>
          <w:numId w:val="35"/>
        </w:numPr>
        <w:rPr>
          <w:rFonts w:ascii="Arial" w:cs="Arial" w:eastAsia="Arial" w:hAnsi="Arial"/>
          <w:sz w:val="17"/>
          <w:szCs w:val="17"/>
          <w:color w:val="auto"/>
        </w:rPr>
      </w:pPr>
      <w:r>
        <w:rPr>
          <w:rFonts w:ascii="Arial" w:cs="Arial" w:eastAsia="Arial" w:hAnsi="Arial"/>
          <w:sz w:val="17"/>
          <w:szCs w:val="17"/>
          <w:color w:val="auto"/>
        </w:rPr>
        <w:t>Investment properties -</w:t>
      </w:r>
    </w:p>
    <w:p>
      <w:pPr>
        <w:spacing w:after="0" w:line="220" w:lineRule="exact"/>
        <w:rPr>
          <w:rFonts w:ascii="Arial" w:cs="Arial" w:eastAsia="Arial" w:hAnsi="Arial"/>
          <w:sz w:val="17"/>
          <w:szCs w:val="17"/>
          <w:color w:val="auto"/>
        </w:rPr>
      </w:pPr>
    </w:p>
    <w:p>
      <w:pPr>
        <w:jc w:val="both"/>
        <w:ind w:left="316" w:right="120"/>
        <w:spacing w:after="0" w:line="270" w:lineRule="auto"/>
        <w:rPr>
          <w:rFonts w:ascii="Arial" w:cs="Arial" w:eastAsia="Arial" w:hAnsi="Arial"/>
          <w:sz w:val="17"/>
          <w:szCs w:val="17"/>
          <w:color w:val="auto"/>
        </w:rPr>
      </w:pPr>
      <w:r>
        <w:rPr>
          <w:rFonts w:ascii="Arial" w:cs="Arial" w:eastAsia="Arial" w:hAnsi="Arial"/>
          <w:sz w:val="17"/>
          <w:szCs w:val="17"/>
          <w:color w:val="auto"/>
        </w:rPr>
        <w:t>Investment properties are held to earn rentals or for capital appreciation or both rather than for: (a) use in the production or supply or goods or services or for administrative purposes; or (b) sale in the ordinary course of business. Property that is being constructed or developed for future use as investment property is recognized at cost before completion.</w:t>
      </w:r>
    </w:p>
    <w:p>
      <w:pPr>
        <w:spacing w:after="0" w:line="171" w:lineRule="exact"/>
        <w:rPr>
          <w:rFonts w:ascii="Arial" w:cs="Arial" w:eastAsia="Arial" w:hAnsi="Arial"/>
          <w:sz w:val="17"/>
          <w:szCs w:val="17"/>
          <w:color w:val="auto"/>
        </w:rPr>
      </w:pPr>
    </w:p>
    <w:p>
      <w:pPr>
        <w:ind w:left="316" w:right="80"/>
        <w:spacing w:after="0" w:line="285" w:lineRule="auto"/>
        <w:rPr>
          <w:rFonts w:ascii="Arial" w:cs="Arial" w:eastAsia="Arial" w:hAnsi="Arial"/>
          <w:sz w:val="17"/>
          <w:szCs w:val="17"/>
          <w:color w:val="auto"/>
        </w:rPr>
      </w:pPr>
      <w:r>
        <w:rPr>
          <w:rFonts w:ascii="Arial" w:cs="Arial" w:eastAsia="Arial" w:hAnsi="Arial"/>
          <w:sz w:val="17"/>
          <w:szCs w:val="17"/>
          <w:color w:val="auto"/>
        </w:rPr>
        <w:t>Investment properties are initially measured at fair value, which is the purchase transaction price, unless otherwise indicated. Transaction costs are included in the initial measurement, which includes the purchase price and any other cost directly attributable to the transaction.</w:t>
      </w:r>
    </w:p>
    <w:p>
      <w:pPr>
        <w:spacing w:after="0" w:line="159" w:lineRule="exact"/>
        <w:rPr>
          <w:rFonts w:ascii="Arial" w:cs="Arial" w:eastAsia="Arial" w:hAnsi="Arial"/>
          <w:sz w:val="17"/>
          <w:szCs w:val="17"/>
          <w:color w:val="auto"/>
        </w:rPr>
      </w:pPr>
    </w:p>
    <w:p>
      <w:pPr>
        <w:ind w:left="316" w:right="140"/>
        <w:spacing w:after="0" w:line="294" w:lineRule="auto"/>
        <w:rPr>
          <w:rFonts w:ascii="Arial" w:cs="Arial" w:eastAsia="Arial" w:hAnsi="Arial"/>
          <w:sz w:val="17"/>
          <w:szCs w:val="17"/>
          <w:color w:val="auto"/>
        </w:rPr>
      </w:pPr>
      <w:r>
        <w:rPr>
          <w:rFonts w:ascii="Arial" w:cs="Arial" w:eastAsia="Arial" w:hAnsi="Arial"/>
          <w:sz w:val="16"/>
          <w:szCs w:val="16"/>
          <w:color w:val="auto"/>
        </w:rPr>
        <w:t>For subsequent recognition, an entity shall choose as its accounting policy either the fair value model or the cost model and shall apply that policy to all its investment property. At the date of the consolidated financial statements, the Group has opted for keeping the cost model. Accordingly, investment properties are accounted for at their acquisition cost less accumulated depreciation and the accumulated impairment losses, if any.</w:t>
      </w:r>
    </w:p>
    <w:p>
      <w:pPr>
        <w:spacing w:after="0" w:line="155" w:lineRule="exact"/>
        <w:rPr>
          <w:rFonts w:ascii="Arial" w:cs="Arial" w:eastAsia="Arial" w:hAnsi="Arial"/>
          <w:sz w:val="17"/>
          <w:szCs w:val="17"/>
          <w:color w:val="auto"/>
        </w:rPr>
      </w:pPr>
    </w:p>
    <w:p>
      <w:pPr>
        <w:ind w:left="316" w:right="440"/>
        <w:spacing w:after="0" w:line="270" w:lineRule="auto"/>
        <w:rPr>
          <w:rFonts w:ascii="Arial" w:cs="Arial" w:eastAsia="Arial" w:hAnsi="Arial"/>
          <w:sz w:val="17"/>
          <w:szCs w:val="17"/>
          <w:color w:val="auto"/>
        </w:rPr>
      </w:pPr>
      <w:r>
        <w:rPr>
          <w:rFonts w:ascii="Arial" w:cs="Arial" w:eastAsia="Arial" w:hAnsi="Arial"/>
          <w:sz w:val="17"/>
          <w:szCs w:val="17"/>
          <w:color w:val="auto"/>
        </w:rPr>
        <w:t>An entity can opt for recognizing and depreciating separately the components of an investment property or as a single unit for recording and depreciation purposes. The Group recognizes as a single unit each of its investment properties and has estimated a useful life of 33 years for purposes of determining depreciation under the straight-line method.</w:t>
      </w:r>
    </w:p>
    <w:p>
      <w:pPr>
        <w:spacing w:after="0" w:line="171" w:lineRule="exact"/>
        <w:rPr>
          <w:rFonts w:ascii="Arial" w:cs="Arial" w:eastAsia="Arial" w:hAnsi="Arial"/>
          <w:sz w:val="17"/>
          <w:szCs w:val="17"/>
          <w:color w:val="auto"/>
        </w:rPr>
      </w:pPr>
    </w:p>
    <w:p>
      <w:pPr>
        <w:ind w:left="316" w:right="360"/>
        <w:spacing w:after="0" w:line="318" w:lineRule="auto"/>
        <w:rPr>
          <w:rFonts w:ascii="Arial" w:cs="Arial" w:eastAsia="Arial" w:hAnsi="Arial"/>
          <w:sz w:val="17"/>
          <w:szCs w:val="17"/>
          <w:color w:val="auto"/>
        </w:rPr>
      </w:pPr>
      <w:r>
        <w:rPr>
          <w:rFonts w:ascii="Arial" w:cs="Arial" w:eastAsia="Arial" w:hAnsi="Arial"/>
          <w:sz w:val="16"/>
          <w:szCs w:val="16"/>
          <w:color w:val="auto"/>
        </w:rPr>
        <w:t>Rental income is recognized as rents that are accrued under the related rental agreement; depreciation expenses as well as maintenance expenses and other related expenses are accounted for as maintenance of the rented assets, net within “Other income” in the consolidated statement of income.</w:t>
      </w:r>
    </w:p>
    <w:p>
      <w:pPr>
        <w:spacing w:after="0" w:line="136" w:lineRule="exact"/>
        <w:rPr>
          <w:rFonts w:ascii="Arial" w:cs="Arial" w:eastAsia="Arial" w:hAnsi="Arial"/>
          <w:sz w:val="17"/>
          <w:szCs w:val="17"/>
          <w:color w:val="auto"/>
        </w:rPr>
      </w:pPr>
    </w:p>
    <w:p>
      <w:pPr>
        <w:ind w:left="316" w:hanging="316"/>
        <w:spacing w:after="0"/>
        <w:tabs>
          <w:tab w:leader="none" w:pos="316" w:val="left"/>
        </w:tabs>
        <w:numPr>
          <w:ilvl w:val="0"/>
          <w:numId w:val="35"/>
        </w:numPr>
        <w:rPr>
          <w:rFonts w:ascii="Arial" w:cs="Arial" w:eastAsia="Arial" w:hAnsi="Arial"/>
          <w:sz w:val="17"/>
          <w:szCs w:val="17"/>
          <w:color w:val="auto"/>
        </w:rPr>
      </w:pPr>
      <w:r>
        <w:rPr>
          <w:rFonts w:ascii="Arial" w:cs="Arial" w:eastAsia="Arial" w:hAnsi="Arial"/>
          <w:sz w:val="17"/>
          <w:szCs w:val="17"/>
          <w:color w:val="auto"/>
        </w:rPr>
        <w:t>Seized assets -</w:t>
      </w:r>
    </w:p>
    <w:p>
      <w:pPr>
        <w:spacing w:after="0" w:line="220" w:lineRule="exact"/>
        <w:rPr>
          <w:rFonts w:ascii="Arial" w:cs="Arial" w:eastAsia="Arial" w:hAnsi="Arial"/>
          <w:sz w:val="17"/>
          <w:szCs w:val="17"/>
          <w:color w:val="auto"/>
        </w:rPr>
      </w:pPr>
    </w:p>
    <w:p>
      <w:pPr>
        <w:ind w:left="316" w:right="260"/>
        <w:spacing w:after="0" w:line="285" w:lineRule="auto"/>
        <w:rPr>
          <w:rFonts w:ascii="Arial" w:cs="Arial" w:eastAsia="Arial" w:hAnsi="Arial"/>
          <w:sz w:val="17"/>
          <w:szCs w:val="17"/>
          <w:color w:val="auto"/>
        </w:rPr>
      </w:pPr>
      <w:r>
        <w:rPr>
          <w:rFonts w:ascii="Arial" w:cs="Arial" w:eastAsia="Arial" w:hAnsi="Arial"/>
          <w:sz w:val="17"/>
          <w:szCs w:val="17"/>
          <w:color w:val="auto"/>
        </w:rPr>
        <w:t>Seized assets are recorded at the lower of cost or estimated market value, which is obtained from valuations made by independent appraisers. Reductions in book values are recorded in the consolidated statement of income.</w:t>
      </w:r>
    </w:p>
    <w:p>
      <w:pPr>
        <w:spacing w:after="0" w:line="159" w:lineRule="exact"/>
        <w:rPr>
          <w:rFonts w:ascii="Arial" w:cs="Arial" w:eastAsia="Arial" w:hAnsi="Arial"/>
          <w:sz w:val="17"/>
          <w:szCs w:val="17"/>
          <w:color w:val="auto"/>
        </w:rPr>
      </w:pPr>
    </w:p>
    <w:p>
      <w:pPr>
        <w:ind w:left="316" w:hanging="316"/>
        <w:spacing w:after="0"/>
        <w:tabs>
          <w:tab w:leader="none" w:pos="316" w:val="left"/>
        </w:tabs>
        <w:numPr>
          <w:ilvl w:val="0"/>
          <w:numId w:val="35"/>
        </w:numPr>
        <w:rPr>
          <w:rFonts w:ascii="Arial" w:cs="Arial" w:eastAsia="Arial" w:hAnsi="Arial"/>
          <w:sz w:val="17"/>
          <w:szCs w:val="17"/>
          <w:color w:val="auto"/>
        </w:rPr>
      </w:pPr>
      <w:r>
        <w:rPr>
          <w:rFonts w:ascii="Arial" w:cs="Arial" w:eastAsia="Arial" w:hAnsi="Arial"/>
          <w:sz w:val="17"/>
          <w:szCs w:val="17"/>
          <w:color w:val="auto"/>
        </w:rPr>
        <w:t>Business combination -</w:t>
      </w:r>
    </w:p>
    <w:p>
      <w:pPr>
        <w:spacing w:after="0" w:line="220" w:lineRule="exact"/>
        <w:rPr>
          <w:rFonts w:ascii="Arial" w:cs="Arial" w:eastAsia="Arial" w:hAnsi="Arial"/>
          <w:sz w:val="17"/>
          <w:szCs w:val="17"/>
          <w:color w:val="auto"/>
        </w:rPr>
      </w:pPr>
    </w:p>
    <w:p>
      <w:pPr>
        <w:ind w:left="316" w:right="180"/>
        <w:spacing w:after="0" w:line="285" w:lineRule="auto"/>
        <w:rPr>
          <w:rFonts w:ascii="Arial" w:cs="Arial" w:eastAsia="Arial" w:hAnsi="Arial"/>
          <w:sz w:val="17"/>
          <w:szCs w:val="17"/>
          <w:color w:val="auto"/>
        </w:rPr>
      </w:pPr>
      <w:r>
        <w:rPr>
          <w:rFonts w:ascii="Arial" w:cs="Arial" w:eastAsia="Arial" w:hAnsi="Arial"/>
          <w:sz w:val="17"/>
          <w:szCs w:val="17"/>
          <w:color w:val="auto"/>
        </w:rPr>
        <w:t>Business combinations made are accounted for using the acquisition method in accordance with IFRS 3 “Business Combination”, regardless of whether they are equity instruments or other acquired assets.</w:t>
      </w:r>
    </w:p>
    <w:p>
      <w:pPr>
        <w:spacing w:after="0" w:line="367" w:lineRule="exact"/>
        <w:rPr>
          <w:rFonts w:ascii="Arial" w:cs="Arial" w:eastAsia="Arial" w:hAnsi="Arial"/>
          <w:sz w:val="17"/>
          <w:szCs w:val="17"/>
          <w:color w:val="auto"/>
        </w:rPr>
      </w:pPr>
    </w:p>
    <w:p>
      <w:pPr>
        <w:ind w:left="5636" w:hanging="107"/>
        <w:spacing w:after="0"/>
        <w:tabs>
          <w:tab w:leader="none" w:pos="5636" w:val="left"/>
        </w:tabs>
        <w:numPr>
          <w:ilvl w:val="1"/>
          <w:numId w:val="35"/>
        </w:numPr>
        <w:rPr>
          <w:rFonts w:ascii="Arial" w:cs="Arial" w:eastAsia="Arial" w:hAnsi="Arial"/>
          <w:sz w:val="17"/>
          <w:szCs w:val="17"/>
          <w:color w:val="auto"/>
        </w:rPr>
      </w:pPr>
      <w:r>
        <w:rPr>
          <w:rFonts w:ascii="Arial" w:cs="Arial" w:eastAsia="Arial" w:hAnsi="Arial"/>
          <w:sz w:val="17"/>
          <w:szCs w:val="17"/>
          <w:color w:val="auto"/>
        </w:rPr>
        <w:t>36 -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15875</wp:posOffset>
            </wp:positionV>
            <wp:extent cx="725170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1700" cy="8255"/>
                    </a:xfrm>
                    <a:prstGeom prst="rect">
                      <a:avLst/>
                    </a:prstGeom>
                    <a:noFill/>
                  </pic:spPr>
                </pic:pic>
              </a:graphicData>
            </a:graphic>
          </wp:anchor>
        </w:drawing>
      </w:r>
    </w:p>
    <w:p>
      <w:pPr>
        <w:sectPr>
          <w:pgSz w:w="11900" w:h="16838" w:orient="portrait"/>
          <w:cols w:equalWidth="0" w:num="1">
            <w:col w:w="11356"/>
          </w:cols>
          <w:pgMar w:left="244" w:top="881" w:right="299" w:bottom="1440" w:gutter="0" w:footer="0" w:header="0"/>
        </w:sectPr>
      </w:pPr>
    </w:p>
    <w:bookmarkStart w:id="42" w:name="page43"/>
    <w:bookmarkEnd w:id="42"/>
    <w:p>
      <w:pPr>
        <w:jc w:val="both"/>
        <w:ind w:left="316"/>
        <w:spacing w:after="0" w:line="270" w:lineRule="auto"/>
        <w:rPr>
          <w:sz w:val="20"/>
          <w:szCs w:val="20"/>
          <w:color w:val="auto"/>
        </w:rPr>
      </w:pPr>
      <w:r>
        <w:rPr>
          <w:rFonts w:ascii="Arial" w:cs="Arial" w:eastAsia="Arial" w:hAnsi="Arial"/>
          <w:sz w:val="17"/>
          <w:szCs w:val="17"/>
          <w:color w:val="auto"/>
        </w:rPr>
        <w:t>The acquisition cost is the sum of the consideration paid for the acquisition measured at fair value at the acquisition date and the amount of the share in the non-controlling interest acquired. For each business combination the Group decides whether to measure the non-controlling interest in the acquiree at fair value or at the proportional share in the identifiable net assets of the acquiree.</w:t>
      </w:r>
    </w:p>
    <w:p>
      <w:pPr>
        <w:spacing w:after="0" w:line="172" w:lineRule="exact"/>
        <w:rPr>
          <w:sz w:val="20"/>
          <w:szCs w:val="20"/>
          <w:color w:val="auto"/>
        </w:rPr>
      </w:pPr>
    </w:p>
    <w:p>
      <w:pPr>
        <w:ind w:left="316" w:right="40"/>
        <w:spacing w:after="0" w:line="265" w:lineRule="auto"/>
        <w:rPr>
          <w:sz w:val="20"/>
          <w:szCs w:val="20"/>
          <w:color w:val="auto"/>
        </w:rPr>
      </w:pPr>
      <w:r>
        <w:rPr>
          <w:rFonts w:ascii="Arial" w:cs="Arial" w:eastAsia="Arial" w:hAnsi="Arial"/>
          <w:sz w:val="17"/>
          <w:szCs w:val="17"/>
          <w:color w:val="auto"/>
        </w:rPr>
        <w:t>Acquisition-related costs are recognized as expense and are included within “Administrative expenses” in the consolidated statement of income. When the Group acquires a business, it assesses the financial assets and liabilities assumed for its own classification and denomination according to the contractual terms, economic circumstances and prevailing conditions at the date of acquisition. This includes the separation of embedded derivative contracts signed by the acquiree.</w:t>
      </w:r>
    </w:p>
    <w:p>
      <w:pPr>
        <w:spacing w:after="0" w:line="176" w:lineRule="exact"/>
        <w:rPr>
          <w:sz w:val="20"/>
          <w:szCs w:val="20"/>
          <w:color w:val="auto"/>
        </w:rPr>
      </w:pPr>
    </w:p>
    <w:p>
      <w:pPr>
        <w:ind w:left="316" w:right="40"/>
        <w:spacing w:after="0" w:line="262" w:lineRule="auto"/>
        <w:rPr>
          <w:sz w:val="20"/>
          <w:szCs w:val="20"/>
          <w:color w:val="auto"/>
        </w:rPr>
      </w:pPr>
      <w:r>
        <w:rPr>
          <w:rFonts w:ascii="Arial" w:cs="Arial" w:eastAsia="Arial" w:hAnsi="Arial"/>
          <w:sz w:val="17"/>
          <w:szCs w:val="17"/>
          <w:color w:val="auto"/>
        </w:rPr>
        <w:t>Any contingency transferred by the acquirer is recognized at fair value at the acquisition date. The contingency classified as an asset or liability that is a financial instrument and is within the scope of IAS 39 “Financial instruments: Recognition and measurement” is measured at fair value with changes recognized in the consolidated statement of income or consolidated statement of comprehensive income. If the contingency is not within the scope of IAS 39, it is measured in accordance with the applicable IFRS. A contingency that is classified as equity should not be measured again and its subsequent settlement is accounted for within equity.</w:t>
      </w:r>
    </w:p>
    <w:p>
      <w:pPr>
        <w:spacing w:after="0" w:line="180" w:lineRule="exact"/>
        <w:rPr>
          <w:sz w:val="20"/>
          <w:szCs w:val="20"/>
          <w:color w:val="auto"/>
        </w:rPr>
      </w:pPr>
    </w:p>
    <w:p>
      <w:pPr>
        <w:ind w:left="316" w:right="40"/>
        <w:spacing w:after="0" w:line="270" w:lineRule="auto"/>
        <w:rPr>
          <w:sz w:val="20"/>
          <w:szCs w:val="20"/>
          <w:color w:val="auto"/>
        </w:rPr>
      </w:pPr>
      <w:r>
        <w:rPr>
          <w:rFonts w:ascii="Arial" w:cs="Arial" w:eastAsia="Arial" w:hAnsi="Arial"/>
          <w:sz w:val="17"/>
          <w:szCs w:val="17"/>
          <w:color w:val="auto"/>
        </w:rPr>
        <w:t>The acquisition of a non-controlling interest is recorded directly in net equity, any difference between the amount paid and the acquired net assets is recorded as an equity transaction. Accordingly, the Group recognizes no additional goodwill after the acquisition of the non-controlling interest, nor does it recognize any profit or loss from the disposal of the non-controlling interest.</w:t>
      </w:r>
    </w:p>
    <w:p>
      <w:pPr>
        <w:spacing w:after="0" w:line="172" w:lineRule="exact"/>
        <w:rPr>
          <w:sz w:val="20"/>
          <w:szCs w:val="20"/>
          <w:color w:val="auto"/>
        </w:rPr>
      </w:pPr>
    </w:p>
    <w:p>
      <w:pPr>
        <w:ind w:left="316" w:right="700"/>
        <w:spacing w:after="0" w:line="318" w:lineRule="auto"/>
        <w:rPr>
          <w:sz w:val="20"/>
          <w:szCs w:val="20"/>
          <w:color w:val="auto"/>
        </w:rPr>
      </w:pPr>
      <w:r>
        <w:rPr>
          <w:rFonts w:ascii="Arial" w:cs="Arial" w:eastAsia="Arial" w:hAnsi="Arial"/>
          <w:sz w:val="16"/>
          <w:szCs w:val="16"/>
          <w:color w:val="auto"/>
        </w:rPr>
        <w:t>Equity attributable to the non-controlling interest is shown separately in the consolidated statement of financial position. Profit attributable to the non-controlling interest is shown separately in the consolidated statement of income and consolidated statement of comprehensive income.</w:t>
      </w:r>
    </w:p>
    <w:p>
      <w:pPr>
        <w:spacing w:after="0" w:line="136" w:lineRule="exact"/>
        <w:rPr>
          <w:sz w:val="20"/>
          <w:szCs w:val="20"/>
          <w:color w:val="auto"/>
        </w:rPr>
      </w:pPr>
    </w:p>
    <w:p>
      <w:pPr>
        <w:ind w:left="316" w:right="280"/>
        <w:spacing w:after="0" w:line="285" w:lineRule="auto"/>
        <w:rPr>
          <w:sz w:val="20"/>
          <w:szCs w:val="20"/>
          <w:color w:val="auto"/>
        </w:rPr>
      </w:pPr>
      <w:r>
        <w:rPr>
          <w:rFonts w:ascii="Arial" w:cs="Arial" w:eastAsia="Arial" w:hAnsi="Arial"/>
          <w:sz w:val="17"/>
          <w:szCs w:val="17"/>
          <w:color w:val="auto"/>
        </w:rPr>
        <w:t>In a business combination achieved in stages, the acquirer shall re-measure its ´previously held equity interest in the acquiree at fair value at the acquisition-date. The resulting gain or loss is recognized in profit or loss.</w:t>
      </w:r>
    </w:p>
    <w:p>
      <w:pPr>
        <w:spacing w:after="0" w:line="159" w:lineRule="exact"/>
        <w:rPr>
          <w:sz w:val="20"/>
          <w:szCs w:val="20"/>
          <w:color w:val="auto"/>
        </w:rPr>
      </w:pPr>
    </w:p>
    <w:p>
      <w:pPr>
        <w:ind w:left="316" w:hanging="316"/>
        <w:spacing w:after="0"/>
        <w:tabs>
          <w:tab w:leader="none" w:pos="316" w:val="left"/>
        </w:tabs>
        <w:numPr>
          <w:ilvl w:val="0"/>
          <w:numId w:val="36"/>
        </w:numPr>
        <w:rPr>
          <w:rFonts w:ascii="Arial" w:cs="Arial" w:eastAsia="Arial" w:hAnsi="Arial"/>
          <w:sz w:val="17"/>
          <w:szCs w:val="17"/>
          <w:color w:val="auto"/>
        </w:rPr>
      </w:pPr>
      <w:r>
        <w:rPr>
          <w:rFonts w:ascii="Arial" w:cs="Arial" w:eastAsia="Arial" w:hAnsi="Arial"/>
          <w:sz w:val="17"/>
          <w:szCs w:val="17"/>
          <w:color w:val="auto"/>
        </w:rPr>
        <w:t>Intangible assets -</w:t>
      </w:r>
    </w:p>
    <w:p>
      <w:pPr>
        <w:spacing w:after="0" w:line="220" w:lineRule="exact"/>
        <w:rPr>
          <w:rFonts w:ascii="Arial" w:cs="Arial" w:eastAsia="Arial" w:hAnsi="Arial"/>
          <w:sz w:val="17"/>
          <w:szCs w:val="17"/>
          <w:color w:val="auto"/>
        </w:rPr>
      </w:pPr>
    </w:p>
    <w:p>
      <w:pPr>
        <w:ind w:left="316" w:right="40"/>
        <w:spacing w:after="0" w:line="285" w:lineRule="auto"/>
        <w:rPr>
          <w:rFonts w:ascii="Arial" w:cs="Arial" w:eastAsia="Arial" w:hAnsi="Arial"/>
          <w:sz w:val="17"/>
          <w:szCs w:val="17"/>
          <w:color w:val="auto"/>
        </w:rPr>
      </w:pPr>
      <w:r>
        <w:rPr>
          <w:rFonts w:ascii="Arial" w:cs="Arial" w:eastAsia="Arial" w:hAnsi="Arial"/>
          <w:sz w:val="17"/>
          <w:szCs w:val="17"/>
          <w:color w:val="auto"/>
        </w:rPr>
        <w:t>Comprise internally developed and acquired software licenses used by the Group. Acquired software licenses are measured on initial recognition at cost and are amortized using the straight-line method over their estimated useful life (between 3 and 5 years).</w:t>
      </w:r>
    </w:p>
    <w:p>
      <w:pPr>
        <w:spacing w:after="0" w:line="159" w:lineRule="exact"/>
        <w:rPr>
          <w:rFonts w:ascii="Arial" w:cs="Arial" w:eastAsia="Arial" w:hAnsi="Arial"/>
          <w:sz w:val="17"/>
          <w:szCs w:val="17"/>
          <w:color w:val="auto"/>
        </w:rPr>
      </w:pPr>
    </w:p>
    <w:p>
      <w:pPr>
        <w:ind w:left="316" w:right="360"/>
        <w:spacing w:after="0" w:line="318" w:lineRule="auto"/>
        <w:rPr>
          <w:rFonts w:ascii="Arial" w:cs="Arial" w:eastAsia="Arial" w:hAnsi="Arial"/>
          <w:sz w:val="17"/>
          <w:szCs w:val="17"/>
          <w:color w:val="auto"/>
        </w:rPr>
      </w:pPr>
      <w:r>
        <w:rPr>
          <w:rFonts w:ascii="Arial" w:cs="Arial" w:eastAsia="Arial" w:hAnsi="Arial"/>
          <w:sz w:val="16"/>
          <w:szCs w:val="16"/>
          <w:color w:val="auto"/>
        </w:rPr>
        <w:t>Intangible assets identified as a consequence of the acquisition of subsidiaries are recognized in the consolidated statement of financial position at their fair values determined on the acquisition date and are amortized using the straight line method over their estimated useful life as follows:</w:t>
      </w:r>
    </w:p>
    <w:p>
      <w:pPr>
        <w:spacing w:after="0" w:line="343" w:lineRule="exact"/>
        <w:rPr>
          <w:rFonts w:ascii="Arial" w:cs="Arial" w:eastAsia="Arial" w:hAnsi="Arial"/>
          <w:sz w:val="17"/>
          <w:szCs w:val="17"/>
          <w:color w:val="auto"/>
        </w:rPr>
      </w:pPr>
    </w:p>
    <w:p>
      <w:pPr>
        <w:ind w:left="5636" w:hanging="107"/>
        <w:spacing w:after="0"/>
        <w:tabs>
          <w:tab w:leader="none" w:pos="5636" w:val="left"/>
        </w:tabs>
        <w:numPr>
          <w:ilvl w:val="1"/>
          <w:numId w:val="36"/>
        </w:numPr>
        <w:rPr>
          <w:rFonts w:ascii="Arial" w:cs="Arial" w:eastAsia="Arial" w:hAnsi="Arial"/>
          <w:sz w:val="17"/>
          <w:szCs w:val="17"/>
          <w:color w:val="auto"/>
        </w:rPr>
      </w:pPr>
      <w:r>
        <w:rPr>
          <w:rFonts w:ascii="Arial" w:cs="Arial" w:eastAsia="Arial" w:hAnsi="Arial"/>
          <w:sz w:val="17"/>
          <w:szCs w:val="17"/>
          <w:color w:val="auto"/>
        </w:rPr>
        <w:t>37 -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15875</wp:posOffset>
            </wp:positionV>
            <wp:extent cx="725170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1700" cy="8255"/>
                    </a:xfrm>
                    <a:prstGeom prst="rect">
                      <a:avLst/>
                    </a:prstGeom>
                    <a:noFill/>
                  </pic:spPr>
                </pic:pic>
              </a:graphicData>
            </a:graphic>
          </wp:anchor>
        </w:drawing>
      </w:r>
    </w:p>
    <w:p>
      <w:pPr>
        <w:sectPr>
          <w:pgSz w:w="11900" w:h="16838" w:orient="portrait"/>
          <w:cols w:equalWidth="0" w:num="1">
            <w:col w:w="11416"/>
          </w:cols>
          <w:pgMar w:left="244" w:top="881" w:right="239" w:bottom="1440" w:gutter="0" w:footer="0" w:header="0"/>
        </w:sectPr>
      </w:pPr>
    </w:p>
    <w:bookmarkStart w:id="43" w:name="page44"/>
    <w:bookmarkEnd w:id="43"/>
    <w:tbl>
      <w:tblPr>
        <w:tblLayout w:type="fixed"/>
        <w:tblInd w:w="316" w:type="dxa"/>
        <w:tblCellMar>
          <w:top w:w="0" w:type="dxa"/>
          <w:left w:w="0" w:type="dxa"/>
          <w:bottom w:w="0" w:type="dxa"/>
          <w:right w:w="0" w:type="dxa"/>
        </w:tblCellMar>
      </w:tblPr>
      <w:tr>
        <w:trPr>
          <w:trHeight w:val="208"/>
        </w:trPr>
        <w:tc>
          <w:tcPr>
            <w:tcW w:w="8500" w:type="dxa"/>
            <w:vAlign w:val="bottom"/>
          </w:tcPr>
          <w:p>
            <w:pPr>
              <w:spacing w:after="0"/>
              <w:rPr>
                <w:sz w:val="18"/>
                <w:szCs w:val="18"/>
                <w:color w:val="auto"/>
              </w:rPr>
            </w:pPr>
          </w:p>
        </w:tc>
        <w:tc>
          <w:tcPr>
            <w:tcW w:w="2000" w:type="dxa"/>
            <w:vAlign w:val="bottom"/>
          </w:tcPr>
          <w:p>
            <w:pPr>
              <w:jc w:val="right"/>
              <w:ind w:right="293"/>
              <w:spacing w:after="0"/>
              <w:rPr>
                <w:sz w:val="20"/>
                <w:szCs w:val="20"/>
                <w:color w:val="auto"/>
              </w:rPr>
            </w:pPr>
            <w:r>
              <w:rPr>
                <w:rFonts w:ascii="Arial" w:cs="Arial" w:eastAsia="Arial" w:hAnsi="Arial"/>
                <w:sz w:val="17"/>
                <w:szCs w:val="17"/>
                <w:b w:val="1"/>
                <w:bCs w:val="1"/>
                <w:color w:val="auto"/>
              </w:rPr>
              <w:t>Estimated useful</w:t>
            </w:r>
          </w:p>
        </w:tc>
        <w:tc>
          <w:tcPr>
            <w:tcW w:w="0" w:type="dxa"/>
            <w:vAlign w:val="bottom"/>
          </w:tcPr>
          <w:p>
            <w:pPr>
              <w:spacing w:after="0"/>
              <w:rPr>
                <w:sz w:val="1"/>
                <w:szCs w:val="1"/>
                <w:color w:val="auto"/>
              </w:rPr>
            </w:pPr>
          </w:p>
        </w:tc>
      </w:tr>
      <w:tr>
        <w:trPr>
          <w:trHeight w:val="226"/>
        </w:trPr>
        <w:tc>
          <w:tcPr>
            <w:tcW w:w="8500" w:type="dxa"/>
            <w:vAlign w:val="bottom"/>
            <w:vMerge w:val="restart"/>
          </w:tcPr>
          <w:p>
            <w:pPr>
              <w:spacing w:after="0"/>
              <w:rPr>
                <w:sz w:val="20"/>
                <w:szCs w:val="20"/>
                <w:color w:val="auto"/>
              </w:rPr>
            </w:pPr>
            <w:r>
              <w:rPr>
                <w:rFonts w:ascii="Arial" w:cs="Arial" w:eastAsia="Arial" w:hAnsi="Arial"/>
                <w:sz w:val="17"/>
                <w:szCs w:val="17"/>
                <w:color w:val="auto"/>
              </w:rPr>
              <w:t>Client relationship - Prima AFP (AFP Unión Vida)</w:t>
            </w:r>
          </w:p>
        </w:tc>
        <w:tc>
          <w:tcPr>
            <w:tcW w:w="2000" w:type="dxa"/>
            <w:vAlign w:val="bottom"/>
            <w:tcBorders>
              <w:bottom w:val="single" w:sz="8" w:color="auto"/>
            </w:tcBorders>
          </w:tcPr>
          <w:p>
            <w:pPr>
              <w:jc w:val="right"/>
              <w:ind w:right="493"/>
              <w:spacing w:after="0"/>
              <w:rPr>
                <w:sz w:val="20"/>
                <w:szCs w:val="20"/>
                <w:color w:val="auto"/>
              </w:rPr>
            </w:pPr>
            <w:r>
              <w:rPr>
                <w:rFonts w:ascii="Arial" w:cs="Arial" w:eastAsia="Arial" w:hAnsi="Arial"/>
                <w:sz w:val="17"/>
                <w:szCs w:val="17"/>
                <w:b w:val="1"/>
                <w:bCs w:val="1"/>
                <w:color w:val="auto"/>
              </w:rPr>
              <w:t>life in years</w:t>
            </w:r>
          </w:p>
        </w:tc>
        <w:tc>
          <w:tcPr>
            <w:tcW w:w="0" w:type="dxa"/>
            <w:vAlign w:val="bottom"/>
          </w:tcPr>
          <w:p>
            <w:pPr>
              <w:spacing w:after="0"/>
              <w:rPr>
                <w:sz w:val="1"/>
                <w:szCs w:val="1"/>
                <w:color w:val="auto"/>
              </w:rPr>
            </w:pPr>
          </w:p>
        </w:tc>
      </w:tr>
      <w:tr>
        <w:trPr>
          <w:trHeight w:val="188"/>
        </w:trPr>
        <w:tc>
          <w:tcPr>
            <w:tcW w:w="8500" w:type="dxa"/>
            <w:vAlign w:val="bottom"/>
            <w:vMerge w:val="continue"/>
          </w:tcPr>
          <w:p>
            <w:pPr>
              <w:spacing w:after="0"/>
              <w:rPr>
                <w:sz w:val="16"/>
                <w:szCs w:val="16"/>
                <w:color w:val="auto"/>
              </w:rPr>
            </w:pPr>
          </w:p>
        </w:tc>
        <w:tc>
          <w:tcPr>
            <w:tcW w:w="2000" w:type="dxa"/>
            <w:vAlign w:val="bottom"/>
          </w:tcPr>
          <w:p>
            <w:pPr>
              <w:jc w:val="right"/>
              <w:spacing w:after="0" w:line="189" w:lineRule="exact"/>
              <w:rPr>
                <w:sz w:val="20"/>
                <w:szCs w:val="20"/>
                <w:color w:val="auto"/>
              </w:rPr>
            </w:pPr>
            <w:r>
              <w:rPr>
                <w:rFonts w:ascii="Arial" w:cs="Arial" w:eastAsia="Arial" w:hAnsi="Arial"/>
                <w:sz w:val="17"/>
                <w:szCs w:val="17"/>
                <w:color w:val="auto"/>
              </w:rPr>
              <w:t>20</w:t>
            </w:r>
          </w:p>
        </w:tc>
        <w:tc>
          <w:tcPr>
            <w:tcW w:w="0" w:type="dxa"/>
            <w:vAlign w:val="bottom"/>
          </w:tcPr>
          <w:p>
            <w:pPr>
              <w:spacing w:after="0"/>
              <w:rPr>
                <w:sz w:val="1"/>
                <w:szCs w:val="1"/>
                <w:color w:val="auto"/>
              </w:rPr>
            </w:pPr>
          </w:p>
        </w:tc>
      </w:tr>
      <w:tr>
        <w:trPr>
          <w:trHeight w:val="208"/>
        </w:trPr>
        <w:tc>
          <w:tcPr>
            <w:tcW w:w="8500" w:type="dxa"/>
            <w:vAlign w:val="bottom"/>
          </w:tcPr>
          <w:p>
            <w:pPr>
              <w:spacing w:after="0"/>
              <w:rPr>
                <w:sz w:val="20"/>
                <w:szCs w:val="20"/>
                <w:color w:val="auto"/>
              </w:rPr>
            </w:pPr>
            <w:r>
              <w:rPr>
                <w:rFonts w:ascii="Arial" w:cs="Arial" w:eastAsia="Arial" w:hAnsi="Arial"/>
                <w:sz w:val="17"/>
                <w:szCs w:val="17"/>
                <w:color w:val="auto"/>
              </w:rPr>
              <w:t>Client relationship - Inversiones IMT S.A.</w:t>
            </w:r>
          </w:p>
        </w:tc>
        <w:tc>
          <w:tcPr>
            <w:tcW w:w="2000" w:type="dxa"/>
            <w:vAlign w:val="bottom"/>
          </w:tcPr>
          <w:p>
            <w:pPr>
              <w:jc w:val="right"/>
              <w:spacing w:after="0"/>
              <w:rPr>
                <w:sz w:val="20"/>
                <w:szCs w:val="20"/>
                <w:color w:val="auto"/>
              </w:rPr>
            </w:pPr>
            <w:r>
              <w:rPr>
                <w:rFonts w:ascii="Arial" w:cs="Arial" w:eastAsia="Arial" w:hAnsi="Arial"/>
                <w:sz w:val="17"/>
                <w:szCs w:val="17"/>
                <w:color w:val="auto"/>
              </w:rPr>
              <w:t>22</w:t>
            </w:r>
          </w:p>
        </w:tc>
        <w:tc>
          <w:tcPr>
            <w:tcW w:w="0" w:type="dxa"/>
            <w:vAlign w:val="bottom"/>
          </w:tcPr>
          <w:p>
            <w:pPr>
              <w:spacing w:after="0"/>
              <w:rPr>
                <w:sz w:val="1"/>
                <w:szCs w:val="1"/>
                <w:color w:val="auto"/>
              </w:rPr>
            </w:pPr>
          </w:p>
        </w:tc>
      </w:tr>
      <w:tr>
        <w:trPr>
          <w:trHeight w:val="208"/>
        </w:trPr>
        <w:tc>
          <w:tcPr>
            <w:tcW w:w="8500" w:type="dxa"/>
            <w:vAlign w:val="bottom"/>
          </w:tcPr>
          <w:p>
            <w:pPr>
              <w:spacing w:after="0"/>
              <w:rPr>
                <w:sz w:val="20"/>
                <w:szCs w:val="20"/>
                <w:color w:val="auto"/>
              </w:rPr>
            </w:pPr>
            <w:r>
              <w:rPr>
                <w:rFonts w:ascii="Arial" w:cs="Arial" w:eastAsia="Arial" w:hAnsi="Arial"/>
                <w:sz w:val="17"/>
                <w:szCs w:val="17"/>
                <w:color w:val="auto"/>
              </w:rPr>
              <w:t>Client relationship cash, fixed and variable income - Credicorp Capital Colombia</w:t>
            </w:r>
          </w:p>
        </w:tc>
        <w:tc>
          <w:tcPr>
            <w:tcW w:w="2000" w:type="dxa"/>
            <w:vAlign w:val="bottom"/>
          </w:tcPr>
          <w:p>
            <w:pPr>
              <w:jc w:val="right"/>
              <w:spacing w:after="0"/>
              <w:rPr>
                <w:sz w:val="20"/>
                <w:szCs w:val="20"/>
                <w:color w:val="auto"/>
              </w:rPr>
            </w:pPr>
            <w:r>
              <w:rPr>
                <w:rFonts w:ascii="Arial" w:cs="Arial" w:eastAsia="Arial" w:hAnsi="Arial"/>
                <w:sz w:val="17"/>
                <w:szCs w:val="17"/>
                <w:color w:val="auto"/>
              </w:rPr>
              <w:t>5</w:t>
            </w:r>
          </w:p>
        </w:tc>
        <w:tc>
          <w:tcPr>
            <w:tcW w:w="0" w:type="dxa"/>
            <w:vAlign w:val="bottom"/>
          </w:tcPr>
          <w:p>
            <w:pPr>
              <w:spacing w:after="0"/>
              <w:rPr>
                <w:sz w:val="1"/>
                <w:szCs w:val="1"/>
                <w:color w:val="auto"/>
              </w:rPr>
            </w:pPr>
          </w:p>
        </w:tc>
      </w:tr>
      <w:tr>
        <w:trPr>
          <w:trHeight w:val="208"/>
        </w:trPr>
        <w:tc>
          <w:tcPr>
            <w:tcW w:w="8500" w:type="dxa"/>
            <w:vAlign w:val="bottom"/>
          </w:tcPr>
          <w:p>
            <w:pPr>
              <w:spacing w:after="0"/>
              <w:rPr>
                <w:sz w:val="20"/>
                <w:szCs w:val="20"/>
                <w:color w:val="auto"/>
              </w:rPr>
            </w:pPr>
            <w:r>
              <w:rPr>
                <w:rFonts w:ascii="Arial" w:cs="Arial" w:eastAsia="Arial" w:hAnsi="Arial"/>
                <w:sz w:val="17"/>
                <w:szCs w:val="17"/>
                <w:color w:val="auto"/>
              </w:rPr>
              <w:t>Client relationship APT - Credicorp Capital Colombia</w:t>
            </w:r>
          </w:p>
        </w:tc>
        <w:tc>
          <w:tcPr>
            <w:tcW w:w="2000" w:type="dxa"/>
            <w:vAlign w:val="bottom"/>
          </w:tcPr>
          <w:p>
            <w:pPr>
              <w:jc w:val="right"/>
              <w:spacing w:after="0"/>
              <w:rPr>
                <w:sz w:val="20"/>
                <w:szCs w:val="20"/>
                <w:color w:val="auto"/>
              </w:rPr>
            </w:pPr>
            <w:r>
              <w:rPr>
                <w:rFonts w:ascii="Arial" w:cs="Arial" w:eastAsia="Arial" w:hAnsi="Arial"/>
                <w:sz w:val="17"/>
                <w:szCs w:val="17"/>
                <w:color w:val="auto"/>
              </w:rPr>
              <w:t>5</w:t>
            </w:r>
          </w:p>
        </w:tc>
        <w:tc>
          <w:tcPr>
            <w:tcW w:w="0" w:type="dxa"/>
            <w:vAlign w:val="bottom"/>
          </w:tcPr>
          <w:p>
            <w:pPr>
              <w:spacing w:after="0"/>
              <w:rPr>
                <w:sz w:val="1"/>
                <w:szCs w:val="1"/>
                <w:color w:val="auto"/>
              </w:rPr>
            </w:pPr>
          </w:p>
        </w:tc>
      </w:tr>
      <w:tr>
        <w:trPr>
          <w:trHeight w:val="208"/>
        </w:trPr>
        <w:tc>
          <w:tcPr>
            <w:tcW w:w="8500" w:type="dxa"/>
            <w:vAlign w:val="bottom"/>
          </w:tcPr>
          <w:p>
            <w:pPr>
              <w:spacing w:after="0"/>
              <w:rPr>
                <w:sz w:val="20"/>
                <w:szCs w:val="20"/>
                <w:color w:val="auto"/>
              </w:rPr>
            </w:pPr>
            <w:r>
              <w:rPr>
                <w:rFonts w:ascii="Arial" w:cs="Arial" w:eastAsia="Arial" w:hAnsi="Arial"/>
                <w:sz w:val="17"/>
                <w:szCs w:val="17"/>
                <w:color w:val="auto"/>
              </w:rPr>
              <w:t>Client relationship - Edyficar Peru</w:t>
            </w:r>
          </w:p>
        </w:tc>
        <w:tc>
          <w:tcPr>
            <w:tcW w:w="2000" w:type="dxa"/>
            <w:vAlign w:val="bottom"/>
          </w:tcPr>
          <w:p>
            <w:pPr>
              <w:jc w:val="right"/>
              <w:spacing w:after="0"/>
              <w:rPr>
                <w:sz w:val="20"/>
                <w:szCs w:val="20"/>
                <w:color w:val="auto"/>
              </w:rPr>
            </w:pPr>
            <w:r>
              <w:rPr>
                <w:rFonts w:ascii="Arial" w:cs="Arial" w:eastAsia="Arial" w:hAnsi="Arial"/>
                <w:sz w:val="17"/>
                <w:szCs w:val="17"/>
                <w:color w:val="auto"/>
              </w:rPr>
              <w:t>10</w:t>
            </w:r>
          </w:p>
        </w:tc>
        <w:tc>
          <w:tcPr>
            <w:tcW w:w="0" w:type="dxa"/>
            <w:vAlign w:val="bottom"/>
          </w:tcPr>
          <w:p>
            <w:pPr>
              <w:spacing w:after="0"/>
              <w:rPr>
                <w:sz w:val="1"/>
                <w:szCs w:val="1"/>
                <w:color w:val="auto"/>
              </w:rPr>
            </w:pPr>
          </w:p>
        </w:tc>
      </w:tr>
      <w:tr>
        <w:trPr>
          <w:trHeight w:val="208"/>
        </w:trPr>
        <w:tc>
          <w:tcPr>
            <w:tcW w:w="8500" w:type="dxa"/>
            <w:vAlign w:val="bottom"/>
          </w:tcPr>
          <w:p>
            <w:pPr>
              <w:spacing w:after="0"/>
              <w:rPr>
                <w:sz w:val="20"/>
                <w:szCs w:val="20"/>
                <w:color w:val="auto"/>
              </w:rPr>
            </w:pPr>
            <w:r>
              <w:rPr>
                <w:rFonts w:ascii="Arial" w:cs="Arial" w:eastAsia="Arial" w:hAnsi="Arial"/>
                <w:sz w:val="17"/>
                <w:szCs w:val="17"/>
                <w:color w:val="auto"/>
              </w:rPr>
              <w:t>Client relationship – Mibanco</w:t>
            </w:r>
          </w:p>
        </w:tc>
        <w:tc>
          <w:tcPr>
            <w:tcW w:w="2000" w:type="dxa"/>
            <w:vAlign w:val="bottom"/>
          </w:tcPr>
          <w:p>
            <w:pPr>
              <w:jc w:val="right"/>
              <w:spacing w:after="0"/>
              <w:rPr>
                <w:sz w:val="20"/>
                <w:szCs w:val="20"/>
                <w:color w:val="auto"/>
              </w:rPr>
            </w:pPr>
            <w:r>
              <w:rPr>
                <w:rFonts w:ascii="Arial" w:cs="Arial" w:eastAsia="Arial" w:hAnsi="Arial"/>
                <w:sz w:val="17"/>
                <w:szCs w:val="17"/>
                <w:color w:val="auto"/>
              </w:rPr>
              <w:t>7</w:t>
            </w:r>
          </w:p>
        </w:tc>
        <w:tc>
          <w:tcPr>
            <w:tcW w:w="0" w:type="dxa"/>
            <w:vAlign w:val="bottom"/>
          </w:tcPr>
          <w:p>
            <w:pPr>
              <w:spacing w:after="0"/>
              <w:rPr>
                <w:sz w:val="1"/>
                <w:szCs w:val="1"/>
                <w:color w:val="auto"/>
              </w:rPr>
            </w:pPr>
          </w:p>
        </w:tc>
      </w:tr>
      <w:tr>
        <w:trPr>
          <w:trHeight w:val="208"/>
        </w:trPr>
        <w:tc>
          <w:tcPr>
            <w:tcW w:w="8500" w:type="dxa"/>
            <w:vAlign w:val="bottom"/>
          </w:tcPr>
          <w:p>
            <w:pPr>
              <w:spacing w:after="0"/>
              <w:rPr>
                <w:sz w:val="20"/>
                <w:szCs w:val="20"/>
                <w:color w:val="auto"/>
              </w:rPr>
            </w:pPr>
            <w:r>
              <w:rPr>
                <w:rFonts w:ascii="Arial" w:cs="Arial" w:eastAsia="Arial" w:hAnsi="Arial"/>
                <w:sz w:val="17"/>
                <w:szCs w:val="17"/>
                <w:color w:val="auto"/>
              </w:rPr>
              <w:t>Brand - Mibanco</w:t>
            </w:r>
          </w:p>
        </w:tc>
        <w:tc>
          <w:tcPr>
            <w:tcW w:w="2000" w:type="dxa"/>
            <w:vAlign w:val="bottom"/>
          </w:tcPr>
          <w:p>
            <w:pPr>
              <w:jc w:val="right"/>
              <w:spacing w:after="0"/>
              <w:rPr>
                <w:sz w:val="20"/>
                <w:szCs w:val="20"/>
                <w:color w:val="auto"/>
              </w:rPr>
            </w:pPr>
            <w:r>
              <w:rPr>
                <w:rFonts w:ascii="Arial" w:cs="Arial" w:eastAsia="Arial" w:hAnsi="Arial"/>
                <w:sz w:val="17"/>
                <w:szCs w:val="17"/>
                <w:color w:val="auto"/>
              </w:rPr>
              <w:t>25</w:t>
            </w:r>
          </w:p>
        </w:tc>
        <w:tc>
          <w:tcPr>
            <w:tcW w:w="0" w:type="dxa"/>
            <w:vAlign w:val="bottom"/>
          </w:tcPr>
          <w:p>
            <w:pPr>
              <w:spacing w:after="0"/>
              <w:rPr>
                <w:sz w:val="1"/>
                <w:szCs w:val="1"/>
                <w:color w:val="auto"/>
              </w:rPr>
            </w:pPr>
          </w:p>
        </w:tc>
      </w:tr>
      <w:tr>
        <w:trPr>
          <w:trHeight w:val="208"/>
        </w:trPr>
        <w:tc>
          <w:tcPr>
            <w:tcW w:w="8500" w:type="dxa"/>
            <w:vAlign w:val="bottom"/>
          </w:tcPr>
          <w:p>
            <w:pPr>
              <w:spacing w:after="0"/>
              <w:rPr>
                <w:sz w:val="20"/>
                <w:szCs w:val="20"/>
                <w:color w:val="auto"/>
              </w:rPr>
            </w:pPr>
            <w:r>
              <w:rPr>
                <w:rFonts w:ascii="Arial" w:cs="Arial" w:eastAsia="Arial" w:hAnsi="Arial"/>
                <w:sz w:val="17"/>
                <w:szCs w:val="17"/>
                <w:color w:val="auto"/>
              </w:rPr>
              <w:t>Brand - Credicorp Capital Colombia</w:t>
            </w:r>
          </w:p>
        </w:tc>
        <w:tc>
          <w:tcPr>
            <w:tcW w:w="2000" w:type="dxa"/>
            <w:vAlign w:val="bottom"/>
          </w:tcPr>
          <w:p>
            <w:pPr>
              <w:jc w:val="right"/>
              <w:spacing w:after="0"/>
              <w:rPr>
                <w:sz w:val="20"/>
                <w:szCs w:val="20"/>
                <w:color w:val="auto"/>
              </w:rPr>
            </w:pPr>
            <w:r>
              <w:rPr>
                <w:rFonts w:ascii="Arial" w:cs="Arial" w:eastAsia="Arial" w:hAnsi="Arial"/>
                <w:sz w:val="17"/>
                <w:szCs w:val="17"/>
                <w:color w:val="auto"/>
              </w:rPr>
              <w:t>5</w:t>
            </w:r>
          </w:p>
        </w:tc>
        <w:tc>
          <w:tcPr>
            <w:tcW w:w="0" w:type="dxa"/>
            <w:vAlign w:val="bottom"/>
          </w:tcPr>
          <w:p>
            <w:pPr>
              <w:spacing w:after="0"/>
              <w:rPr>
                <w:sz w:val="1"/>
                <w:szCs w:val="1"/>
                <w:color w:val="auto"/>
              </w:rPr>
            </w:pPr>
          </w:p>
        </w:tc>
      </w:tr>
      <w:tr>
        <w:trPr>
          <w:trHeight w:val="208"/>
        </w:trPr>
        <w:tc>
          <w:tcPr>
            <w:tcW w:w="8500" w:type="dxa"/>
            <w:vAlign w:val="bottom"/>
          </w:tcPr>
          <w:p>
            <w:pPr>
              <w:spacing w:after="0"/>
              <w:rPr>
                <w:sz w:val="20"/>
                <w:szCs w:val="20"/>
                <w:color w:val="auto"/>
              </w:rPr>
            </w:pPr>
            <w:r>
              <w:rPr>
                <w:rFonts w:ascii="Arial" w:cs="Arial" w:eastAsia="Arial" w:hAnsi="Arial"/>
                <w:sz w:val="17"/>
                <w:szCs w:val="17"/>
                <w:color w:val="auto"/>
              </w:rPr>
              <w:t>Brand - Inversiones IMT S.A.</w:t>
            </w:r>
          </w:p>
        </w:tc>
        <w:tc>
          <w:tcPr>
            <w:tcW w:w="2000" w:type="dxa"/>
            <w:vAlign w:val="bottom"/>
          </w:tcPr>
          <w:p>
            <w:pPr>
              <w:jc w:val="right"/>
              <w:spacing w:after="0"/>
              <w:rPr>
                <w:sz w:val="20"/>
                <w:szCs w:val="20"/>
                <w:color w:val="auto"/>
              </w:rPr>
            </w:pPr>
            <w:r>
              <w:rPr>
                <w:rFonts w:ascii="Arial" w:cs="Arial" w:eastAsia="Arial" w:hAnsi="Arial"/>
                <w:sz w:val="17"/>
                <w:szCs w:val="17"/>
                <w:color w:val="auto"/>
              </w:rPr>
              <w:t>5</w:t>
            </w:r>
          </w:p>
        </w:tc>
        <w:tc>
          <w:tcPr>
            <w:tcW w:w="0" w:type="dxa"/>
            <w:vAlign w:val="bottom"/>
          </w:tcPr>
          <w:p>
            <w:pPr>
              <w:spacing w:after="0"/>
              <w:rPr>
                <w:sz w:val="1"/>
                <w:szCs w:val="1"/>
                <w:color w:val="auto"/>
              </w:rPr>
            </w:pPr>
          </w:p>
        </w:tc>
      </w:tr>
      <w:tr>
        <w:trPr>
          <w:trHeight w:val="208"/>
        </w:trPr>
        <w:tc>
          <w:tcPr>
            <w:tcW w:w="8500" w:type="dxa"/>
            <w:vAlign w:val="bottom"/>
          </w:tcPr>
          <w:p>
            <w:pPr>
              <w:spacing w:after="0"/>
              <w:rPr>
                <w:sz w:val="20"/>
                <w:szCs w:val="20"/>
                <w:color w:val="auto"/>
              </w:rPr>
            </w:pPr>
            <w:r>
              <w:rPr>
                <w:rFonts w:ascii="Arial" w:cs="Arial" w:eastAsia="Arial" w:hAnsi="Arial"/>
                <w:sz w:val="17"/>
                <w:szCs w:val="17"/>
                <w:color w:val="auto"/>
              </w:rPr>
              <w:t>Fund manager contract - Credicorp Capital Colombia</w:t>
            </w:r>
          </w:p>
        </w:tc>
        <w:tc>
          <w:tcPr>
            <w:tcW w:w="2000" w:type="dxa"/>
            <w:vAlign w:val="bottom"/>
          </w:tcPr>
          <w:p>
            <w:pPr>
              <w:jc w:val="right"/>
              <w:spacing w:after="0"/>
              <w:rPr>
                <w:sz w:val="20"/>
                <w:szCs w:val="20"/>
                <w:color w:val="auto"/>
              </w:rPr>
            </w:pPr>
            <w:r>
              <w:rPr>
                <w:rFonts w:ascii="Arial" w:cs="Arial" w:eastAsia="Arial" w:hAnsi="Arial"/>
                <w:sz w:val="17"/>
                <w:szCs w:val="17"/>
                <w:color w:val="auto"/>
              </w:rPr>
              <w:t>28</w:t>
            </w:r>
          </w:p>
        </w:tc>
        <w:tc>
          <w:tcPr>
            <w:tcW w:w="0" w:type="dxa"/>
            <w:vAlign w:val="bottom"/>
          </w:tcPr>
          <w:p>
            <w:pPr>
              <w:spacing w:after="0"/>
              <w:rPr>
                <w:sz w:val="1"/>
                <w:szCs w:val="1"/>
                <w:color w:val="auto"/>
              </w:rPr>
            </w:pPr>
          </w:p>
        </w:tc>
      </w:tr>
      <w:tr>
        <w:trPr>
          <w:trHeight w:val="208"/>
        </w:trPr>
        <w:tc>
          <w:tcPr>
            <w:tcW w:w="8500" w:type="dxa"/>
            <w:vAlign w:val="bottom"/>
          </w:tcPr>
          <w:p>
            <w:pPr>
              <w:spacing w:after="0"/>
              <w:rPr>
                <w:sz w:val="20"/>
                <w:szCs w:val="20"/>
                <w:color w:val="auto"/>
              </w:rPr>
            </w:pPr>
            <w:r>
              <w:rPr>
                <w:rFonts w:ascii="Arial" w:cs="Arial" w:eastAsia="Arial" w:hAnsi="Arial"/>
                <w:sz w:val="17"/>
                <w:szCs w:val="17"/>
                <w:color w:val="auto"/>
              </w:rPr>
              <w:t>Fund manager contract - Inversiones IMT S.A.</w:t>
            </w:r>
          </w:p>
        </w:tc>
        <w:tc>
          <w:tcPr>
            <w:tcW w:w="2000" w:type="dxa"/>
            <w:vAlign w:val="bottom"/>
          </w:tcPr>
          <w:p>
            <w:pPr>
              <w:jc w:val="right"/>
              <w:spacing w:after="0"/>
              <w:rPr>
                <w:sz w:val="20"/>
                <w:szCs w:val="20"/>
                <w:color w:val="auto"/>
              </w:rPr>
            </w:pPr>
            <w:r>
              <w:rPr>
                <w:rFonts w:ascii="Arial" w:cs="Arial" w:eastAsia="Arial" w:hAnsi="Arial"/>
                <w:sz w:val="17"/>
                <w:szCs w:val="17"/>
                <w:color w:val="auto"/>
              </w:rPr>
              <w:t>11</w:t>
            </w:r>
          </w:p>
        </w:tc>
        <w:tc>
          <w:tcPr>
            <w:tcW w:w="0" w:type="dxa"/>
            <w:vAlign w:val="bottom"/>
          </w:tcPr>
          <w:p>
            <w:pPr>
              <w:spacing w:after="0"/>
              <w:rPr>
                <w:sz w:val="1"/>
                <w:szCs w:val="1"/>
                <w:color w:val="auto"/>
              </w:rPr>
            </w:pPr>
          </w:p>
        </w:tc>
      </w:tr>
      <w:tr>
        <w:trPr>
          <w:trHeight w:val="208"/>
        </w:trPr>
        <w:tc>
          <w:tcPr>
            <w:tcW w:w="8500" w:type="dxa"/>
            <w:vAlign w:val="bottom"/>
          </w:tcPr>
          <w:p>
            <w:pPr>
              <w:spacing w:after="0"/>
              <w:rPr>
                <w:sz w:val="20"/>
                <w:szCs w:val="20"/>
                <w:color w:val="auto"/>
              </w:rPr>
            </w:pPr>
            <w:r>
              <w:rPr>
                <w:rFonts w:ascii="Arial" w:cs="Arial" w:eastAsia="Arial" w:hAnsi="Arial"/>
                <w:sz w:val="17"/>
                <w:szCs w:val="17"/>
                <w:color w:val="auto"/>
              </w:rPr>
              <w:t>Core deposits - Mibanco</w:t>
            </w:r>
          </w:p>
        </w:tc>
        <w:tc>
          <w:tcPr>
            <w:tcW w:w="2000" w:type="dxa"/>
            <w:vAlign w:val="bottom"/>
          </w:tcPr>
          <w:p>
            <w:pPr>
              <w:jc w:val="right"/>
              <w:spacing w:after="0"/>
              <w:rPr>
                <w:sz w:val="20"/>
                <w:szCs w:val="20"/>
                <w:color w:val="auto"/>
              </w:rPr>
            </w:pPr>
            <w:r>
              <w:rPr>
                <w:rFonts w:ascii="Arial" w:cs="Arial" w:eastAsia="Arial" w:hAnsi="Arial"/>
                <w:sz w:val="17"/>
                <w:szCs w:val="17"/>
                <w:color w:val="auto"/>
              </w:rPr>
              <w:t>6</w:t>
            </w:r>
          </w:p>
        </w:tc>
        <w:tc>
          <w:tcPr>
            <w:tcW w:w="0" w:type="dxa"/>
            <w:vAlign w:val="bottom"/>
          </w:tcPr>
          <w:p>
            <w:pPr>
              <w:spacing w:after="0"/>
              <w:rPr>
                <w:sz w:val="1"/>
                <w:szCs w:val="1"/>
                <w:color w:val="auto"/>
              </w:rPr>
            </w:pPr>
          </w:p>
        </w:tc>
      </w:tr>
      <w:tr>
        <w:trPr>
          <w:trHeight w:val="208"/>
        </w:trPr>
        <w:tc>
          <w:tcPr>
            <w:tcW w:w="8500" w:type="dxa"/>
            <w:vAlign w:val="bottom"/>
          </w:tcPr>
          <w:p>
            <w:pPr>
              <w:spacing w:after="0"/>
              <w:rPr>
                <w:sz w:val="20"/>
                <w:szCs w:val="20"/>
                <w:color w:val="auto"/>
              </w:rPr>
            </w:pPr>
            <w:r>
              <w:rPr>
                <w:rFonts w:ascii="Arial" w:cs="Arial" w:eastAsia="Arial" w:hAnsi="Arial"/>
                <w:sz w:val="17"/>
                <w:szCs w:val="17"/>
                <w:color w:val="auto"/>
              </w:rPr>
              <w:t>Right of use - BCP</w:t>
            </w:r>
          </w:p>
        </w:tc>
        <w:tc>
          <w:tcPr>
            <w:tcW w:w="2000" w:type="dxa"/>
            <w:vAlign w:val="bottom"/>
          </w:tcPr>
          <w:p>
            <w:pPr>
              <w:jc w:val="right"/>
              <w:spacing w:after="0"/>
              <w:rPr>
                <w:sz w:val="20"/>
                <w:szCs w:val="20"/>
                <w:color w:val="auto"/>
              </w:rPr>
            </w:pPr>
            <w:r>
              <w:rPr>
                <w:rFonts w:ascii="Arial" w:cs="Arial" w:eastAsia="Arial" w:hAnsi="Arial"/>
                <w:sz w:val="17"/>
                <w:szCs w:val="17"/>
                <w:color w:val="auto"/>
              </w:rPr>
              <w:t>5</w:t>
            </w:r>
          </w:p>
        </w:tc>
        <w:tc>
          <w:tcPr>
            <w:tcW w:w="0" w:type="dxa"/>
            <w:vAlign w:val="bottom"/>
          </w:tcPr>
          <w:p>
            <w:pPr>
              <w:spacing w:after="0"/>
              <w:rPr>
                <w:sz w:val="1"/>
                <w:szCs w:val="1"/>
                <w:color w:val="auto"/>
              </w:rPr>
            </w:pPr>
          </w:p>
        </w:tc>
      </w:tr>
      <w:tr>
        <w:trPr>
          <w:trHeight w:val="220"/>
        </w:trPr>
        <w:tc>
          <w:tcPr>
            <w:tcW w:w="8500" w:type="dxa"/>
            <w:vAlign w:val="bottom"/>
          </w:tcPr>
          <w:p>
            <w:pPr>
              <w:spacing w:after="0"/>
              <w:rPr>
                <w:sz w:val="20"/>
                <w:szCs w:val="20"/>
                <w:color w:val="auto"/>
              </w:rPr>
            </w:pPr>
            <w:r>
              <w:rPr>
                <w:rFonts w:ascii="Arial" w:cs="Arial" w:eastAsia="Arial" w:hAnsi="Arial"/>
                <w:sz w:val="17"/>
                <w:szCs w:val="17"/>
                <w:color w:val="auto"/>
              </w:rPr>
              <w:t>Others</w:t>
            </w:r>
          </w:p>
        </w:tc>
        <w:tc>
          <w:tcPr>
            <w:tcW w:w="2000" w:type="dxa"/>
            <w:vAlign w:val="bottom"/>
          </w:tcPr>
          <w:p>
            <w:pPr>
              <w:jc w:val="right"/>
              <w:spacing w:after="0"/>
              <w:rPr>
                <w:sz w:val="20"/>
                <w:szCs w:val="20"/>
                <w:color w:val="auto"/>
              </w:rPr>
            </w:pPr>
            <w:r>
              <w:rPr>
                <w:rFonts w:ascii="Arial" w:cs="Arial" w:eastAsia="Arial" w:hAnsi="Arial"/>
                <w:sz w:val="17"/>
                <w:szCs w:val="17"/>
                <w:color w:val="auto"/>
              </w:rPr>
              <w:t>5</w:t>
            </w:r>
          </w:p>
        </w:tc>
        <w:tc>
          <w:tcPr>
            <w:tcW w:w="0" w:type="dxa"/>
            <w:vAlign w:val="bottom"/>
          </w:tcPr>
          <w:p>
            <w:pPr>
              <w:spacing w:after="0"/>
              <w:rPr>
                <w:sz w:val="1"/>
                <w:szCs w:val="1"/>
                <w:color w:val="auto"/>
              </w:rPr>
            </w:pPr>
          </w:p>
        </w:tc>
      </w:tr>
    </w:tbl>
    <w:p>
      <w:pPr>
        <w:spacing w:after="0" w:line="195" w:lineRule="exact"/>
        <w:rPr>
          <w:sz w:val="20"/>
          <w:szCs w:val="20"/>
          <w:color w:val="auto"/>
        </w:rPr>
      </w:pPr>
    </w:p>
    <w:p>
      <w:pPr>
        <w:ind w:left="316" w:right="60"/>
        <w:spacing w:after="0" w:line="270" w:lineRule="auto"/>
        <w:rPr>
          <w:sz w:val="20"/>
          <w:szCs w:val="20"/>
          <w:color w:val="auto"/>
        </w:rPr>
      </w:pPr>
      <w:r>
        <w:rPr>
          <w:rFonts w:ascii="Arial" w:cs="Arial" w:eastAsia="Arial" w:hAnsi="Arial"/>
          <w:sz w:val="17"/>
          <w:szCs w:val="17"/>
          <w:color w:val="auto"/>
        </w:rPr>
        <w:t>The period and the amortization method, for intangible assets are reviewed at the end of each period. If the expected useful life differs from previous estimates, the amortization period will be changed to reflect this change. If there has been a change in the expected pattern of conduct of the future economic benefits embodied in the asset, the amortization method shall be amended to reflect these changes.</w:t>
      </w:r>
    </w:p>
    <w:p>
      <w:pPr>
        <w:spacing w:after="0" w:line="172" w:lineRule="exact"/>
        <w:rPr>
          <w:sz w:val="20"/>
          <w:szCs w:val="20"/>
          <w:color w:val="auto"/>
        </w:rPr>
      </w:pPr>
    </w:p>
    <w:p>
      <w:pPr>
        <w:ind w:left="316" w:right="140"/>
        <w:spacing w:after="0" w:line="285" w:lineRule="auto"/>
        <w:rPr>
          <w:sz w:val="20"/>
          <w:szCs w:val="20"/>
          <w:color w:val="auto"/>
        </w:rPr>
      </w:pPr>
      <w:r>
        <w:rPr>
          <w:rFonts w:ascii="Arial" w:cs="Arial" w:eastAsia="Arial" w:hAnsi="Arial"/>
          <w:sz w:val="17"/>
          <w:szCs w:val="17"/>
          <w:color w:val="auto"/>
        </w:rPr>
        <w:t>Gains or losses arising from de-recognition of an intangible asset are measured as the difference between the net disposal proceeds and the carrying amount of the asset and are recognized in the consolidated statement of income when the asset is derecognized.</w:t>
      </w:r>
    </w:p>
    <w:p>
      <w:pPr>
        <w:spacing w:after="0" w:line="159" w:lineRule="exact"/>
        <w:rPr>
          <w:sz w:val="20"/>
          <w:szCs w:val="20"/>
          <w:color w:val="auto"/>
        </w:rPr>
      </w:pPr>
    </w:p>
    <w:p>
      <w:pPr>
        <w:ind w:left="316" w:hanging="316"/>
        <w:spacing w:after="0"/>
        <w:tabs>
          <w:tab w:leader="none" w:pos="316" w:val="left"/>
        </w:tabs>
        <w:numPr>
          <w:ilvl w:val="0"/>
          <w:numId w:val="37"/>
        </w:numPr>
        <w:rPr>
          <w:rFonts w:ascii="Arial" w:cs="Arial" w:eastAsia="Arial" w:hAnsi="Arial"/>
          <w:sz w:val="17"/>
          <w:szCs w:val="17"/>
          <w:color w:val="auto"/>
        </w:rPr>
      </w:pPr>
      <w:r>
        <w:rPr>
          <w:rFonts w:ascii="Arial" w:cs="Arial" w:eastAsia="Arial" w:hAnsi="Arial"/>
          <w:sz w:val="17"/>
          <w:szCs w:val="17"/>
          <w:color w:val="auto"/>
        </w:rPr>
        <w:t>Goodwill -</w:t>
      </w:r>
    </w:p>
    <w:p>
      <w:pPr>
        <w:spacing w:after="0" w:line="220" w:lineRule="exact"/>
        <w:rPr>
          <w:rFonts w:ascii="Arial" w:cs="Arial" w:eastAsia="Arial" w:hAnsi="Arial"/>
          <w:sz w:val="17"/>
          <w:szCs w:val="17"/>
          <w:color w:val="auto"/>
        </w:rPr>
      </w:pPr>
    </w:p>
    <w:p>
      <w:pPr>
        <w:ind w:left="316" w:right="40"/>
        <w:spacing w:after="0" w:line="270" w:lineRule="auto"/>
        <w:rPr>
          <w:rFonts w:ascii="Arial" w:cs="Arial" w:eastAsia="Arial" w:hAnsi="Arial"/>
          <w:sz w:val="17"/>
          <w:szCs w:val="17"/>
          <w:color w:val="auto"/>
        </w:rPr>
      </w:pPr>
      <w:r>
        <w:rPr>
          <w:rFonts w:ascii="Arial" w:cs="Arial" w:eastAsia="Arial" w:hAnsi="Arial"/>
          <w:sz w:val="17"/>
          <w:szCs w:val="17"/>
          <w:color w:val="auto"/>
        </w:rPr>
        <w:t>Goodwill is the excess of the aggregate of the consideration transferred over the fair value recognized for the acquisition of the net value of the identifiable net assets acquired and liabilities assumed. If the fair value of the net assets acquired exceeds the aggregate consideration transferred, then the gain is recognized in the consolidated statement of income.</w:t>
      </w:r>
    </w:p>
    <w:p>
      <w:pPr>
        <w:spacing w:after="0" w:line="171" w:lineRule="exact"/>
        <w:rPr>
          <w:rFonts w:ascii="Arial" w:cs="Arial" w:eastAsia="Arial" w:hAnsi="Arial"/>
          <w:sz w:val="17"/>
          <w:szCs w:val="17"/>
          <w:color w:val="auto"/>
        </w:rPr>
      </w:pPr>
    </w:p>
    <w:p>
      <w:pPr>
        <w:ind w:left="316" w:right="240"/>
        <w:spacing w:after="0" w:line="270" w:lineRule="auto"/>
        <w:rPr>
          <w:rFonts w:ascii="Arial" w:cs="Arial" w:eastAsia="Arial" w:hAnsi="Arial"/>
          <w:sz w:val="17"/>
          <w:szCs w:val="17"/>
          <w:color w:val="auto"/>
        </w:rPr>
      </w:pPr>
      <w:r>
        <w:rPr>
          <w:rFonts w:ascii="Arial" w:cs="Arial" w:eastAsia="Arial" w:hAnsi="Arial"/>
          <w:sz w:val="17"/>
          <w:szCs w:val="17"/>
          <w:color w:val="auto"/>
        </w:rPr>
        <w:t>After initial recognition, goodwill is measured at cost less any accumulated impairment losses. For the purpose of impairment testing, goodwill acquired in a business combination is, from the acquisition date, allocated to each of the Group’s cash-generating units (CGU) that are expected to benefit from the combination, irrespective of whether other assets or liabilities of the acquiree are assigned to these units.</w:t>
      </w:r>
    </w:p>
    <w:p>
      <w:pPr>
        <w:spacing w:after="0" w:line="171" w:lineRule="exact"/>
        <w:rPr>
          <w:rFonts w:ascii="Arial" w:cs="Arial" w:eastAsia="Arial" w:hAnsi="Arial"/>
          <w:sz w:val="17"/>
          <w:szCs w:val="17"/>
          <w:color w:val="auto"/>
        </w:rPr>
      </w:pPr>
    </w:p>
    <w:p>
      <w:pPr>
        <w:ind w:left="316"/>
        <w:spacing w:after="0" w:line="270" w:lineRule="auto"/>
        <w:rPr>
          <w:rFonts w:ascii="Arial" w:cs="Arial" w:eastAsia="Arial" w:hAnsi="Arial"/>
          <w:sz w:val="17"/>
          <w:szCs w:val="17"/>
          <w:color w:val="auto"/>
        </w:rPr>
      </w:pPr>
      <w:r>
        <w:rPr>
          <w:rFonts w:ascii="Arial" w:cs="Arial" w:eastAsia="Arial" w:hAnsi="Arial"/>
          <w:sz w:val="17"/>
          <w:szCs w:val="17"/>
          <w:color w:val="auto"/>
        </w:rPr>
        <w:t>Where goodwill has been allocated to a CGU and part of the operation within that unit is disposed of, the goodwill and the assets disposed of are included in the carrying amount of the operation when determining the gain or loss on disposal. Goodwill disposed of in these circumstances is measured based on the relative values of the disposed operation and the portion of the cash-generating unit retained.</w:t>
      </w:r>
    </w:p>
    <w:p>
      <w:pPr>
        <w:spacing w:after="0" w:line="171" w:lineRule="exact"/>
        <w:rPr>
          <w:rFonts w:ascii="Arial" w:cs="Arial" w:eastAsia="Arial" w:hAnsi="Arial"/>
          <w:sz w:val="17"/>
          <w:szCs w:val="17"/>
          <w:color w:val="auto"/>
        </w:rPr>
      </w:pPr>
    </w:p>
    <w:p>
      <w:pPr>
        <w:ind w:left="316" w:right="40"/>
        <w:spacing w:after="0" w:line="270" w:lineRule="auto"/>
        <w:rPr>
          <w:rFonts w:ascii="Arial" w:cs="Arial" w:eastAsia="Arial" w:hAnsi="Arial"/>
          <w:sz w:val="17"/>
          <w:szCs w:val="17"/>
          <w:color w:val="auto"/>
        </w:rPr>
      </w:pPr>
      <w:r>
        <w:rPr>
          <w:rFonts w:ascii="Arial" w:cs="Arial" w:eastAsia="Arial" w:hAnsi="Arial"/>
          <w:sz w:val="17"/>
          <w:szCs w:val="17"/>
          <w:color w:val="auto"/>
        </w:rPr>
        <w:t>Impairment is determined for goodwill by assessing the recoverable amount of each CGU (or group of CGUs) to which the goodwill relates. Where the recoverable amount of the CGU is less than its carrying amount, an impairment loss is recognized. Impairment losses relating to goodwill cannot be reversed in future periods.</w:t>
      </w:r>
    </w:p>
    <w:p>
      <w:pPr>
        <w:spacing w:after="0" w:line="379" w:lineRule="exact"/>
        <w:rPr>
          <w:rFonts w:ascii="Arial" w:cs="Arial" w:eastAsia="Arial" w:hAnsi="Arial"/>
          <w:sz w:val="17"/>
          <w:szCs w:val="17"/>
          <w:color w:val="auto"/>
        </w:rPr>
      </w:pPr>
    </w:p>
    <w:p>
      <w:pPr>
        <w:ind w:left="5636" w:hanging="107"/>
        <w:spacing w:after="0"/>
        <w:tabs>
          <w:tab w:leader="none" w:pos="5636" w:val="left"/>
        </w:tabs>
        <w:numPr>
          <w:ilvl w:val="1"/>
          <w:numId w:val="37"/>
        </w:numPr>
        <w:rPr>
          <w:rFonts w:ascii="Arial" w:cs="Arial" w:eastAsia="Arial" w:hAnsi="Arial"/>
          <w:sz w:val="17"/>
          <w:szCs w:val="17"/>
          <w:color w:val="auto"/>
        </w:rPr>
      </w:pPr>
      <w:r>
        <w:rPr>
          <w:rFonts w:ascii="Arial" w:cs="Arial" w:eastAsia="Arial" w:hAnsi="Arial"/>
          <w:sz w:val="17"/>
          <w:szCs w:val="17"/>
          <w:color w:val="auto"/>
        </w:rPr>
        <w:t>38 -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15875</wp:posOffset>
            </wp:positionV>
            <wp:extent cx="725170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1700" cy="8255"/>
                    </a:xfrm>
                    <a:prstGeom prst="rect">
                      <a:avLst/>
                    </a:prstGeom>
                    <a:noFill/>
                  </pic:spPr>
                </pic:pic>
              </a:graphicData>
            </a:graphic>
          </wp:anchor>
        </w:drawing>
      </w:r>
    </w:p>
    <w:p>
      <w:pPr>
        <w:sectPr>
          <w:pgSz w:w="11900" w:h="16838" w:orient="portrait"/>
          <w:cols w:equalWidth="0" w:num="1">
            <w:col w:w="11416"/>
          </w:cols>
          <w:pgMar w:left="244" w:top="875" w:right="239" w:bottom="1440" w:gutter="0" w:footer="0" w:header="0"/>
        </w:sectPr>
      </w:pPr>
    </w:p>
    <w:bookmarkStart w:id="44" w:name="page45"/>
    <w:bookmarkEnd w:id="44"/>
    <w:p>
      <w:pPr>
        <w:ind w:left="316" w:hanging="316"/>
        <w:spacing w:after="0"/>
        <w:tabs>
          <w:tab w:leader="none" w:pos="316" w:val="left"/>
        </w:tabs>
        <w:numPr>
          <w:ilvl w:val="0"/>
          <w:numId w:val="38"/>
        </w:numPr>
        <w:rPr>
          <w:rFonts w:ascii="Arial" w:cs="Arial" w:eastAsia="Arial" w:hAnsi="Arial"/>
          <w:sz w:val="17"/>
          <w:szCs w:val="17"/>
          <w:color w:val="auto"/>
        </w:rPr>
      </w:pPr>
      <w:r>
        <w:rPr>
          <w:rFonts w:ascii="Arial" w:cs="Arial" w:eastAsia="Arial" w:hAnsi="Arial"/>
          <w:sz w:val="17"/>
          <w:szCs w:val="17"/>
          <w:color w:val="auto"/>
        </w:rPr>
        <w:t>Impairment of non-financial assets -</w:t>
      </w:r>
    </w:p>
    <w:p>
      <w:pPr>
        <w:spacing w:after="0" w:line="220" w:lineRule="exact"/>
        <w:rPr>
          <w:rFonts w:ascii="Arial" w:cs="Arial" w:eastAsia="Arial" w:hAnsi="Arial"/>
          <w:sz w:val="17"/>
          <w:szCs w:val="17"/>
          <w:color w:val="auto"/>
        </w:rPr>
      </w:pPr>
    </w:p>
    <w:p>
      <w:pPr>
        <w:ind w:left="316" w:right="140"/>
        <w:spacing w:after="0" w:line="265" w:lineRule="auto"/>
        <w:rPr>
          <w:rFonts w:ascii="Arial" w:cs="Arial" w:eastAsia="Arial" w:hAnsi="Arial"/>
          <w:sz w:val="17"/>
          <w:szCs w:val="17"/>
          <w:color w:val="auto"/>
        </w:rPr>
      </w:pPr>
      <w:r>
        <w:rPr>
          <w:rFonts w:ascii="Arial" w:cs="Arial" w:eastAsia="Arial" w:hAnsi="Arial"/>
          <w:sz w:val="17"/>
          <w:szCs w:val="17"/>
          <w:color w:val="auto"/>
        </w:rPr>
        <w:t>The Group assesses, at each reporting date, whether there is an indicator that an asset may be impaired. If any indication exists, or when annual impairment testing for an asset is required, the Group estimates the asset’s recoverable amount. An asset’s recoverable amount is the higher of the value of the asset or the CGU less costs to sell and its value in use and is determined for each individual asset, unless the asset does not generate cash inflows that are largely independent of those from other assets or groups of assets.</w:t>
      </w:r>
    </w:p>
    <w:p>
      <w:pPr>
        <w:spacing w:after="0" w:line="176" w:lineRule="exact"/>
        <w:rPr>
          <w:rFonts w:ascii="Arial" w:cs="Arial" w:eastAsia="Arial" w:hAnsi="Arial"/>
          <w:sz w:val="17"/>
          <w:szCs w:val="17"/>
          <w:color w:val="auto"/>
        </w:rPr>
      </w:pPr>
    </w:p>
    <w:p>
      <w:pPr>
        <w:ind w:left="316" w:right="60"/>
        <w:spacing w:after="0" w:line="262" w:lineRule="auto"/>
        <w:rPr>
          <w:rFonts w:ascii="Arial" w:cs="Arial" w:eastAsia="Arial" w:hAnsi="Arial"/>
          <w:sz w:val="17"/>
          <w:szCs w:val="17"/>
          <w:color w:val="auto"/>
        </w:rPr>
      </w:pPr>
      <w:r>
        <w:rPr>
          <w:rFonts w:ascii="Arial" w:cs="Arial" w:eastAsia="Arial" w:hAnsi="Arial"/>
          <w:sz w:val="17"/>
          <w:szCs w:val="17"/>
          <w:color w:val="auto"/>
        </w:rPr>
        <w:t>When the carrying amount of an asset or CGU exceeds its recoverable amount, the asset is considered impaired and is written down to its recoverable amount. In assessing value in use, the estimated future cash flows are discounted to their present value using a pre-tax discount rate that reflects current market assessments of the time value of money and the risks specific to the asset. In determining fair value less costs to sell, recent market transactions are considered, if any. If this kind of transactions cannot be identified, an appropriate valuation model is used. These calculations are verified against valuation multiples, quoted share prices for publicly traded subsidiaries or other available fair value indicators.</w:t>
      </w:r>
    </w:p>
    <w:p>
      <w:pPr>
        <w:spacing w:after="0" w:line="180" w:lineRule="exact"/>
        <w:rPr>
          <w:rFonts w:ascii="Arial" w:cs="Arial" w:eastAsia="Arial" w:hAnsi="Arial"/>
          <w:sz w:val="17"/>
          <w:szCs w:val="17"/>
          <w:color w:val="auto"/>
        </w:rPr>
      </w:pPr>
    </w:p>
    <w:p>
      <w:pPr>
        <w:ind w:left="316"/>
        <w:spacing w:after="0" w:line="322" w:lineRule="auto"/>
        <w:rPr>
          <w:rFonts w:ascii="Arial" w:cs="Arial" w:eastAsia="Arial" w:hAnsi="Arial"/>
          <w:sz w:val="17"/>
          <w:szCs w:val="17"/>
          <w:color w:val="auto"/>
        </w:rPr>
      </w:pPr>
      <w:r>
        <w:rPr>
          <w:rFonts w:ascii="Arial" w:cs="Arial" w:eastAsia="Arial" w:hAnsi="Arial"/>
          <w:sz w:val="15"/>
          <w:szCs w:val="15"/>
          <w:color w:val="auto"/>
        </w:rPr>
        <w:t>For non-financial assets, excluding goodwill, an assessment is made at each reporting date whether there is an indication that previously recognized impairment losses may no longer exist or may have decreased. If such indication exists, the Group estimates the recoverable amount. A previously recognized impairment loss is reversed only if there has been a change in the estimates used to determine the asset’s recoverable amount since the last impairment loss was recognized.</w:t>
      </w:r>
    </w:p>
    <w:p>
      <w:pPr>
        <w:spacing w:after="0" w:line="137" w:lineRule="exact"/>
        <w:rPr>
          <w:rFonts w:ascii="Arial" w:cs="Arial" w:eastAsia="Arial" w:hAnsi="Arial"/>
          <w:sz w:val="17"/>
          <w:szCs w:val="17"/>
          <w:color w:val="auto"/>
        </w:rPr>
      </w:pPr>
    </w:p>
    <w:p>
      <w:pPr>
        <w:jc w:val="both"/>
        <w:ind w:left="316" w:right="140"/>
        <w:spacing w:after="0" w:line="270" w:lineRule="auto"/>
        <w:rPr>
          <w:rFonts w:ascii="Arial" w:cs="Arial" w:eastAsia="Arial" w:hAnsi="Arial"/>
          <w:sz w:val="17"/>
          <w:szCs w:val="17"/>
          <w:color w:val="auto"/>
        </w:rPr>
      </w:pPr>
      <w:r>
        <w:rPr>
          <w:rFonts w:ascii="Arial" w:cs="Arial" w:eastAsia="Arial" w:hAnsi="Arial"/>
          <w:sz w:val="17"/>
          <w:szCs w:val="17"/>
          <w:color w:val="auto"/>
        </w:rPr>
        <w:t>The reversal is limited so that the carrying amount of the asset does not exceed its recoverable amount, nor exceed the carrying amount that would have been determined, net of depreciation, had no impairment loss been recognized for the asset in prior years. Such reversal is recognized in the consolidated statement of income.</w:t>
      </w:r>
    </w:p>
    <w:p>
      <w:pPr>
        <w:spacing w:after="0" w:line="171" w:lineRule="exact"/>
        <w:rPr>
          <w:rFonts w:ascii="Arial" w:cs="Arial" w:eastAsia="Arial" w:hAnsi="Arial"/>
          <w:sz w:val="17"/>
          <w:szCs w:val="17"/>
          <w:color w:val="auto"/>
        </w:rPr>
      </w:pPr>
    </w:p>
    <w:p>
      <w:pPr>
        <w:ind w:left="316" w:hanging="316"/>
        <w:spacing w:after="0"/>
        <w:tabs>
          <w:tab w:leader="none" w:pos="316" w:val="left"/>
        </w:tabs>
        <w:numPr>
          <w:ilvl w:val="0"/>
          <w:numId w:val="38"/>
        </w:numPr>
        <w:rPr>
          <w:rFonts w:ascii="Arial" w:cs="Arial" w:eastAsia="Arial" w:hAnsi="Arial"/>
          <w:sz w:val="17"/>
          <w:szCs w:val="17"/>
          <w:color w:val="auto"/>
        </w:rPr>
      </w:pPr>
      <w:r>
        <w:rPr>
          <w:rFonts w:ascii="Arial" w:cs="Arial" w:eastAsia="Arial" w:hAnsi="Arial"/>
          <w:sz w:val="17"/>
          <w:szCs w:val="17"/>
          <w:color w:val="auto"/>
        </w:rPr>
        <w:t>Due from customers on acceptances -</w:t>
      </w:r>
    </w:p>
    <w:p>
      <w:pPr>
        <w:spacing w:after="0" w:line="220" w:lineRule="exact"/>
        <w:rPr>
          <w:rFonts w:ascii="Arial" w:cs="Arial" w:eastAsia="Arial" w:hAnsi="Arial"/>
          <w:sz w:val="17"/>
          <w:szCs w:val="17"/>
          <w:color w:val="auto"/>
        </w:rPr>
      </w:pPr>
    </w:p>
    <w:p>
      <w:pPr>
        <w:ind w:left="316" w:right="40"/>
        <w:spacing w:after="0" w:line="285" w:lineRule="auto"/>
        <w:rPr>
          <w:rFonts w:ascii="Arial" w:cs="Arial" w:eastAsia="Arial" w:hAnsi="Arial"/>
          <w:sz w:val="17"/>
          <w:szCs w:val="17"/>
          <w:color w:val="auto"/>
        </w:rPr>
      </w:pPr>
      <w:r>
        <w:rPr>
          <w:rFonts w:ascii="Arial" w:cs="Arial" w:eastAsia="Arial" w:hAnsi="Arial"/>
          <w:sz w:val="17"/>
          <w:szCs w:val="17"/>
          <w:color w:val="auto"/>
        </w:rPr>
        <w:t>Due from customers on acceptances corresponds to accounts payable from customers for import and export transactions, whose obligations have been accepted by the Group. The obligations that must be assumed by the Group for such transactions are recorded as liabilities.</w:t>
      </w:r>
    </w:p>
    <w:p>
      <w:pPr>
        <w:spacing w:after="0" w:line="159" w:lineRule="exact"/>
        <w:rPr>
          <w:rFonts w:ascii="Arial" w:cs="Arial" w:eastAsia="Arial" w:hAnsi="Arial"/>
          <w:sz w:val="17"/>
          <w:szCs w:val="17"/>
          <w:color w:val="auto"/>
        </w:rPr>
      </w:pPr>
    </w:p>
    <w:p>
      <w:pPr>
        <w:ind w:left="316" w:hanging="316"/>
        <w:spacing w:after="0"/>
        <w:tabs>
          <w:tab w:leader="none" w:pos="316" w:val="left"/>
        </w:tabs>
        <w:numPr>
          <w:ilvl w:val="0"/>
          <w:numId w:val="38"/>
        </w:numPr>
        <w:rPr>
          <w:rFonts w:ascii="Arial" w:cs="Arial" w:eastAsia="Arial" w:hAnsi="Arial"/>
          <w:sz w:val="17"/>
          <w:szCs w:val="17"/>
          <w:color w:val="auto"/>
        </w:rPr>
      </w:pPr>
      <w:r>
        <w:rPr>
          <w:rFonts w:ascii="Arial" w:cs="Arial" w:eastAsia="Arial" w:hAnsi="Arial"/>
          <w:sz w:val="17"/>
          <w:szCs w:val="17"/>
          <w:color w:val="auto"/>
        </w:rPr>
        <w:t>Financial guarantees -</w:t>
      </w:r>
    </w:p>
    <w:p>
      <w:pPr>
        <w:spacing w:after="0" w:line="220" w:lineRule="exact"/>
        <w:rPr>
          <w:rFonts w:ascii="Arial" w:cs="Arial" w:eastAsia="Arial" w:hAnsi="Arial"/>
          <w:sz w:val="17"/>
          <w:szCs w:val="17"/>
          <w:color w:val="auto"/>
        </w:rPr>
      </w:pPr>
    </w:p>
    <w:p>
      <w:pPr>
        <w:ind w:left="316" w:right="20"/>
        <w:spacing w:after="0" w:line="262" w:lineRule="auto"/>
        <w:rPr>
          <w:rFonts w:ascii="Arial" w:cs="Arial" w:eastAsia="Arial" w:hAnsi="Arial"/>
          <w:sz w:val="17"/>
          <w:szCs w:val="17"/>
          <w:color w:val="auto"/>
        </w:rPr>
      </w:pPr>
      <w:r>
        <w:rPr>
          <w:rFonts w:ascii="Arial" w:cs="Arial" w:eastAsia="Arial" w:hAnsi="Arial"/>
          <w:sz w:val="17"/>
          <w:szCs w:val="17"/>
          <w:color w:val="auto"/>
        </w:rPr>
        <w:t>In the ordinary course of business, the Group issues financial guarantees, such as letters of credit, guarantees and acceptances. Financial guarantees are initially recognized at fair value (which is equivalent to the commission initially received) in “Other liabilities” of the consolidated statement of financial position. Subsequent to initial recognition, the Group’s liability under each guarantee is measured at the higher of the amount initially recognized less, when appropriate, cumulative amortization recognized in the consolidated statement of income, and the best estimate of expenditure required to settle any financial obligation arising as a result of the financial guarantee.</w:t>
      </w:r>
    </w:p>
    <w:p>
      <w:pPr>
        <w:spacing w:after="0" w:line="180" w:lineRule="exact"/>
        <w:rPr>
          <w:rFonts w:ascii="Arial" w:cs="Arial" w:eastAsia="Arial" w:hAnsi="Arial"/>
          <w:sz w:val="17"/>
          <w:szCs w:val="17"/>
          <w:color w:val="auto"/>
        </w:rPr>
      </w:pPr>
    </w:p>
    <w:p>
      <w:pPr>
        <w:ind w:left="316" w:right="320"/>
        <w:spacing w:after="0" w:line="318" w:lineRule="auto"/>
        <w:rPr>
          <w:rFonts w:ascii="Arial" w:cs="Arial" w:eastAsia="Arial" w:hAnsi="Arial"/>
          <w:sz w:val="17"/>
          <w:szCs w:val="17"/>
          <w:color w:val="auto"/>
        </w:rPr>
      </w:pPr>
      <w:r>
        <w:rPr>
          <w:rFonts w:ascii="Arial" w:cs="Arial" w:eastAsia="Arial" w:hAnsi="Arial"/>
          <w:sz w:val="16"/>
          <w:szCs w:val="16"/>
          <w:color w:val="auto"/>
        </w:rPr>
        <w:t>Any increase in the liability relating to a financial guarantee is included in the consolidated statement of income. The commission received is recognized in “Banking services commissions” of the consolidated statement of income on a straight line basis over the life of the granted financial guarantee.</w:t>
      </w:r>
    </w:p>
    <w:p>
      <w:pPr>
        <w:spacing w:after="0" w:line="136" w:lineRule="exact"/>
        <w:rPr>
          <w:rFonts w:ascii="Arial" w:cs="Arial" w:eastAsia="Arial" w:hAnsi="Arial"/>
          <w:sz w:val="17"/>
          <w:szCs w:val="17"/>
          <w:color w:val="auto"/>
        </w:rPr>
      </w:pPr>
    </w:p>
    <w:p>
      <w:pPr>
        <w:ind w:left="316" w:hanging="316"/>
        <w:spacing w:after="0"/>
        <w:tabs>
          <w:tab w:leader="none" w:pos="316" w:val="left"/>
        </w:tabs>
        <w:numPr>
          <w:ilvl w:val="0"/>
          <w:numId w:val="38"/>
        </w:numPr>
        <w:rPr>
          <w:rFonts w:ascii="Arial" w:cs="Arial" w:eastAsia="Arial" w:hAnsi="Arial"/>
          <w:sz w:val="17"/>
          <w:szCs w:val="17"/>
          <w:color w:val="auto"/>
        </w:rPr>
      </w:pPr>
      <w:r>
        <w:rPr>
          <w:rFonts w:ascii="Arial" w:cs="Arial" w:eastAsia="Arial" w:hAnsi="Arial"/>
          <w:sz w:val="17"/>
          <w:szCs w:val="17"/>
          <w:color w:val="auto"/>
        </w:rPr>
        <w:t>Provisions -</w:t>
      </w:r>
    </w:p>
    <w:p>
      <w:pPr>
        <w:spacing w:after="0" w:line="220" w:lineRule="exact"/>
        <w:rPr>
          <w:rFonts w:ascii="Arial" w:cs="Arial" w:eastAsia="Arial" w:hAnsi="Arial"/>
          <w:sz w:val="17"/>
          <w:szCs w:val="17"/>
          <w:color w:val="auto"/>
        </w:rPr>
      </w:pPr>
    </w:p>
    <w:p>
      <w:pPr>
        <w:ind w:left="316" w:right="140"/>
        <w:spacing w:after="0" w:line="285" w:lineRule="auto"/>
        <w:rPr>
          <w:rFonts w:ascii="Arial" w:cs="Arial" w:eastAsia="Arial" w:hAnsi="Arial"/>
          <w:sz w:val="17"/>
          <w:szCs w:val="17"/>
          <w:color w:val="auto"/>
        </w:rPr>
      </w:pPr>
      <w:r>
        <w:rPr>
          <w:rFonts w:ascii="Arial" w:cs="Arial" w:eastAsia="Arial" w:hAnsi="Arial"/>
          <w:sz w:val="17"/>
          <w:szCs w:val="17"/>
          <w:color w:val="auto"/>
        </w:rPr>
        <w:t>Provisions are recognized when the Group has a present obligation (legal or constructive) as a result of a past event, it is probable that an outflow or resources embodying economic benefits will be required to settle said obligation and a reliable estimate can be made of the amount.</w:t>
      </w:r>
    </w:p>
    <w:p>
      <w:pPr>
        <w:spacing w:after="0" w:line="367" w:lineRule="exact"/>
        <w:rPr>
          <w:rFonts w:ascii="Arial" w:cs="Arial" w:eastAsia="Arial" w:hAnsi="Arial"/>
          <w:sz w:val="17"/>
          <w:szCs w:val="17"/>
          <w:color w:val="auto"/>
        </w:rPr>
      </w:pPr>
    </w:p>
    <w:p>
      <w:pPr>
        <w:ind w:left="5636" w:hanging="107"/>
        <w:spacing w:after="0"/>
        <w:tabs>
          <w:tab w:leader="none" w:pos="5636" w:val="left"/>
        </w:tabs>
        <w:numPr>
          <w:ilvl w:val="1"/>
          <w:numId w:val="38"/>
        </w:numPr>
        <w:rPr>
          <w:rFonts w:ascii="Arial" w:cs="Arial" w:eastAsia="Arial" w:hAnsi="Arial"/>
          <w:sz w:val="17"/>
          <w:szCs w:val="17"/>
          <w:color w:val="auto"/>
        </w:rPr>
      </w:pPr>
      <w:r>
        <w:rPr>
          <w:rFonts w:ascii="Arial" w:cs="Arial" w:eastAsia="Arial" w:hAnsi="Arial"/>
          <w:sz w:val="17"/>
          <w:szCs w:val="17"/>
          <w:color w:val="auto"/>
        </w:rPr>
        <w:t>39 -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15875</wp:posOffset>
            </wp:positionV>
            <wp:extent cx="725170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1700" cy="8255"/>
                    </a:xfrm>
                    <a:prstGeom prst="rect">
                      <a:avLst/>
                    </a:prstGeom>
                    <a:noFill/>
                  </pic:spPr>
                </pic:pic>
              </a:graphicData>
            </a:graphic>
          </wp:anchor>
        </w:drawing>
      </w:r>
    </w:p>
    <w:p>
      <w:pPr>
        <w:sectPr>
          <w:pgSz w:w="11900" w:h="16838" w:orient="portrait"/>
          <w:cols w:equalWidth="0" w:num="1">
            <w:col w:w="11396"/>
          </w:cols>
          <w:pgMar w:left="244" w:top="881" w:right="259" w:bottom="1440" w:gutter="0" w:footer="0" w:header="0"/>
        </w:sectPr>
      </w:pPr>
    </w:p>
    <w:bookmarkStart w:id="45" w:name="page46"/>
    <w:bookmarkEnd w:id="45"/>
    <w:p>
      <w:pPr>
        <w:ind w:left="316" w:right="20"/>
        <w:spacing w:after="0" w:line="270" w:lineRule="auto"/>
        <w:rPr>
          <w:sz w:val="20"/>
          <w:szCs w:val="20"/>
          <w:color w:val="auto"/>
        </w:rPr>
      </w:pPr>
      <w:r>
        <w:rPr>
          <w:rFonts w:ascii="Arial" w:cs="Arial" w:eastAsia="Arial" w:hAnsi="Arial"/>
          <w:sz w:val="17"/>
          <w:szCs w:val="17"/>
          <w:color w:val="auto"/>
        </w:rPr>
        <w:t>The expense relating to any provision is presented in the consolidated statement of income net of any reimbursement. If the effect of the time value of money is material, provisions are discounted using a current pre-tax rate that reflects, where appropriate, the specific risks of the liability. When discounting is used, the increase in the provision due to the passage of time is recognized as a finance cost.</w:t>
      </w:r>
    </w:p>
    <w:p>
      <w:pPr>
        <w:spacing w:after="0" w:line="172" w:lineRule="exact"/>
        <w:rPr>
          <w:sz w:val="20"/>
          <w:szCs w:val="20"/>
          <w:color w:val="auto"/>
        </w:rPr>
      </w:pPr>
    </w:p>
    <w:p>
      <w:pPr>
        <w:ind w:left="316" w:hanging="316"/>
        <w:spacing w:after="0"/>
        <w:tabs>
          <w:tab w:leader="none" w:pos="316" w:val="left"/>
        </w:tabs>
        <w:numPr>
          <w:ilvl w:val="0"/>
          <w:numId w:val="39"/>
        </w:numPr>
        <w:rPr>
          <w:rFonts w:ascii="Arial" w:cs="Arial" w:eastAsia="Arial" w:hAnsi="Arial"/>
          <w:sz w:val="17"/>
          <w:szCs w:val="17"/>
          <w:color w:val="auto"/>
        </w:rPr>
      </w:pPr>
      <w:r>
        <w:rPr>
          <w:rFonts w:ascii="Arial" w:cs="Arial" w:eastAsia="Arial" w:hAnsi="Arial"/>
          <w:sz w:val="17"/>
          <w:szCs w:val="17"/>
          <w:color w:val="auto"/>
        </w:rPr>
        <w:t>Contingencies -</w:t>
      </w:r>
    </w:p>
    <w:p>
      <w:pPr>
        <w:spacing w:after="0" w:line="220" w:lineRule="exact"/>
        <w:rPr>
          <w:rFonts w:ascii="Arial" w:cs="Arial" w:eastAsia="Arial" w:hAnsi="Arial"/>
          <w:sz w:val="17"/>
          <w:szCs w:val="17"/>
          <w:color w:val="auto"/>
        </w:rPr>
      </w:pPr>
    </w:p>
    <w:p>
      <w:pPr>
        <w:ind w:left="316" w:right="180"/>
        <w:spacing w:after="0" w:line="270" w:lineRule="auto"/>
        <w:rPr>
          <w:rFonts w:ascii="Arial" w:cs="Arial" w:eastAsia="Arial" w:hAnsi="Arial"/>
          <w:sz w:val="17"/>
          <w:szCs w:val="17"/>
          <w:color w:val="auto"/>
        </w:rPr>
      </w:pPr>
      <w:r>
        <w:rPr>
          <w:rFonts w:ascii="Arial" w:cs="Arial" w:eastAsia="Arial" w:hAnsi="Arial"/>
          <w:sz w:val="17"/>
          <w:szCs w:val="17"/>
          <w:color w:val="auto"/>
        </w:rPr>
        <w:t>Contingent liabilities are not recognized in the consolidated financial statements. They are disclosed in the Notes, unless the probability of an outflow of resources is remote. Contingent assets are not recorded in the financial statements; they are disclosed if it is probable that an inflow of economic benefits will be realized.</w:t>
      </w:r>
    </w:p>
    <w:p>
      <w:pPr>
        <w:spacing w:after="0" w:line="171" w:lineRule="exact"/>
        <w:rPr>
          <w:rFonts w:ascii="Arial" w:cs="Arial" w:eastAsia="Arial" w:hAnsi="Arial"/>
          <w:sz w:val="17"/>
          <w:szCs w:val="17"/>
          <w:color w:val="auto"/>
        </w:rPr>
      </w:pPr>
    </w:p>
    <w:p>
      <w:pPr>
        <w:ind w:left="316" w:hanging="316"/>
        <w:spacing w:after="0"/>
        <w:tabs>
          <w:tab w:leader="none" w:pos="316" w:val="left"/>
        </w:tabs>
        <w:numPr>
          <w:ilvl w:val="0"/>
          <w:numId w:val="39"/>
        </w:numPr>
        <w:rPr>
          <w:rFonts w:ascii="Arial" w:cs="Arial" w:eastAsia="Arial" w:hAnsi="Arial"/>
          <w:sz w:val="17"/>
          <w:szCs w:val="17"/>
          <w:color w:val="auto"/>
        </w:rPr>
      </w:pPr>
      <w:r>
        <w:rPr>
          <w:rFonts w:ascii="Arial" w:cs="Arial" w:eastAsia="Arial" w:hAnsi="Arial"/>
          <w:sz w:val="17"/>
          <w:szCs w:val="17"/>
          <w:color w:val="auto"/>
        </w:rPr>
        <w:t>Income tax -</w:t>
      </w:r>
    </w:p>
    <w:p>
      <w:pPr>
        <w:spacing w:after="0" w:line="220" w:lineRule="exact"/>
        <w:rPr>
          <w:rFonts w:ascii="Arial" w:cs="Arial" w:eastAsia="Arial" w:hAnsi="Arial"/>
          <w:sz w:val="17"/>
          <w:szCs w:val="17"/>
          <w:color w:val="auto"/>
        </w:rPr>
      </w:pPr>
    </w:p>
    <w:p>
      <w:pPr>
        <w:ind w:left="316"/>
        <w:spacing w:after="0"/>
        <w:rPr>
          <w:rFonts w:ascii="Arial" w:cs="Arial" w:eastAsia="Arial" w:hAnsi="Arial"/>
          <w:sz w:val="17"/>
          <w:szCs w:val="17"/>
          <w:color w:val="auto"/>
        </w:rPr>
      </w:pPr>
      <w:r>
        <w:rPr>
          <w:rFonts w:ascii="Arial" w:cs="Arial" w:eastAsia="Arial" w:hAnsi="Arial"/>
          <w:sz w:val="17"/>
          <w:szCs w:val="17"/>
          <w:color w:val="auto"/>
        </w:rPr>
        <w:t>Income tax is computed based on the individual financial statements of Credicorp and of each of its Subsidiaries.</w:t>
      </w:r>
    </w:p>
    <w:p>
      <w:pPr>
        <w:spacing w:after="0" w:line="220" w:lineRule="exact"/>
        <w:rPr>
          <w:rFonts w:ascii="Arial" w:cs="Arial" w:eastAsia="Arial" w:hAnsi="Arial"/>
          <w:sz w:val="17"/>
          <w:szCs w:val="17"/>
          <w:color w:val="auto"/>
        </w:rPr>
      </w:pPr>
    </w:p>
    <w:p>
      <w:pPr>
        <w:ind w:left="316" w:right="240"/>
        <w:spacing w:after="0" w:line="262" w:lineRule="auto"/>
        <w:rPr>
          <w:rFonts w:ascii="Arial" w:cs="Arial" w:eastAsia="Arial" w:hAnsi="Arial"/>
          <w:sz w:val="17"/>
          <w:szCs w:val="17"/>
          <w:color w:val="auto"/>
        </w:rPr>
      </w:pPr>
      <w:r>
        <w:rPr>
          <w:rFonts w:ascii="Arial" w:cs="Arial" w:eastAsia="Arial" w:hAnsi="Arial"/>
          <w:sz w:val="17"/>
          <w:szCs w:val="17"/>
          <w:color w:val="auto"/>
        </w:rPr>
        <w:t>Deferred income tax reflects the effects of temporary differences between the carrying amounts of assets and liabilities for accounting purposes and the amounts determined for tax purposes. Deferred assets and liabilities are measured using the tax rates expected to be applied to taxable income in the years in which temporary differences are expected to be recovered or eliminated. The measurement of deferred assets and deferred liabilities reflects the tax consequences that arise from the manner in which Credicorp and its Subsidiaries expect, at the date of the consolidated statement of financial position, to recover or settle the carrying amount of its assets and liabilities.</w:t>
      </w:r>
    </w:p>
    <w:p>
      <w:pPr>
        <w:spacing w:after="0" w:line="180" w:lineRule="exact"/>
        <w:rPr>
          <w:rFonts w:ascii="Arial" w:cs="Arial" w:eastAsia="Arial" w:hAnsi="Arial"/>
          <w:sz w:val="17"/>
          <w:szCs w:val="17"/>
          <w:color w:val="auto"/>
        </w:rPr>
      </w:pPr>
    </w:p>
    <w:p>
      <w:pPr>
        <w:ind w:left="316"/>
        <w:spacing w:after="0" w:line="265" w:lineRule="auto"/>
        <w:rPr>
          <w:rFonts w:ascii="Arial" w:cs="Arial" w:eastAsia="Arial" w:hAnsi="Arial"/>
          <w:sz w:val="17"/>
          <w:szCs w:val="17"/>
          <w:color w:val="auto"/>
        </w:rPr>
      </w:pPr>
      <w:r>
        <w:rPr>
          <w:rFonts w:ascii="Arial" w:cs="Arial" w:eastAsia="Arial" w:hAnsi="Arial"/>
          <w:sz w:val="17"/>
          <w:szCs w:val="17"/>
          <w:color w:val="auto"/>
        </w:rPr>
        <w:t>The carrying amount of deferred tax assets and liabilities may change, even though there is no change in the amount of the related temporary differences, due to a change in the income tax rate. In this case, the resulting change in deferred tax, corresponding to the change in rate, will be recognized in profit or loss, except to the extent that it relates to items previously recognized outside of the consolidated income statement (either in other comprehensive income or directly in equity).</w:t>
      </w:r>
    </w:p>
    <w:p>
      <w:pPr>
        <w:spacing w:after="0" w:line="176" w:lineRule="exact"/>
        <w:rPr>
          <w:rFonts w:ascii="Arial" w:cs="Arial" w:eastAsia="Arial" w:hAnsi="Arial"/>
          <w:sz w:val="17"/>
          <w:szCs w:val="17"/>
          <w:color w:val="auto"/>
        </w:rPr>
      </w:pPr>
    </w:p>
    <w:p>
      <w:pPr>
        <w:ind w:left="316"/>
        <w:spacing w:after="0" w:line="294" w:lineRule="auto"/>
        <w:rPr>
          <w:rFonts w:ascii="Arial" w:cs="Arial" w:eastAsia="Arial" w:hAnsi="Arial"/>
          <w:sz w:val="17"/>
          <w:szCs w:val="17"/>
          <w:color w:val="auto"/>
        </w:rPr>
      </w:pPr>
      <w:r>
        <w:rPr>
          <w:rFonts w:ascii="Arial" w:cs="Arial" w:eastAsia="Arial" w:hAnsi="Arial"/>
          <w:sz w:val="16"/>
          <w:szCs w:val="16"/>
          <w:color w:val="auto"/>
        </w:rPr>
        <w:t>Deferred tax assets and liabilities are recognized regardless of when the timing differences are likely to reverse. Deferred tax assets are recognized when it is more likely than not, that future taxable profit will be available against which the temporary difference can be utilized. At the date of the consolidated statement of financial position, Credicorp and its Subsidiaries assess unrecognized deferred assets and the carrying amount of recognized deferred assets.</w:t>
      </w:r>
    </w:p>
    <w:p>
      <w:pPr>
        <w:spacing w:after="0" w:line="155" w:lineRule="exact"/>
        <w:rPr>
          <w:rFonts w:ascii="Arial" w:cs="Arial" w:eastAsia="Arial" w:hAnsi="Arial"/>
          <w:sz w:val="17"/>
          <w:szCs w:val="17"/>
          <w:color w:val="auto"/>
        </w:rPr>
      </w:pPr>
    </w:p>
    <w:p>
      <w:pPr>
        <w:ind w:left="316" w:right="580"/>
        <w:spacing w:after="0" w:line="285" w:lineRule="auto"/>
        <w:rPr>
          <w:rFonts w:ascii="Arial" w:cs="Arial" w:eastAsia="Arial" w:hAnsi="Arial"/>
          <w:sz w:val="17"/>
          <w:szCs w:val="17"/>
          <w:color w:val="auto"/>
        </w:rPr>
      </w:pPr>
      <w:r>
        <w:rPr>
          <w:rFonts w:ascii="Arial" w:cs="Arial" w:eastAsia="Arial" w:hAnsi="Arial"/>
          <w:sz w:val="17"/>
          <w:szCs w:val="17"/>
          <w:color w:val="auto"/>
        </w:rPr>
        <w:t>Credicorp and its Subsidiaries determine their deferred income tax based on the tax rate applicable to their undistributed earnings; any additional tax on dividend distribution is recorded on the date a liability is recognized.</w:t>
      </w:r>
    </w:p>
    <w:p>
      <w:pPr>
        <w:spacing w:after="0" w:line="159" w:lineRule="exact"/>
        <w:rPr>
          <w:rFonts w:ascii="Arial" w:cs="Arial" w:eastAsia="Arial" w:hAnsi="Arial"/>
          <w:sz w:val="17"/>
          <w:szCs w:val="17"/>
          <w:color w:val="auto"/>
        </w:rPr>
      </w:pPr>
    </w:p>
    <w:p>
      <w:pPr>
        <w:ind w:left="316" w:right="380"/>
        <w:spacing w:after="0" w:line="285" w:lineRule="auto"/>
        <w:rPr>
          <w:rFonts w:ascii="Arial" w:cs="Arial" w:eastAsia="Arial" w:hAnsi="Arial"/>
          <w:sz w:val="17"/>
          <w:szCs w:val="17"/>
          <w:color w:val="auto"/>
        </w:rPr>
      </w:pPr>
      <w:r>
        <w:rPr>
          <w:rFonts w:ascii="Arial" w:cs="Arial" w:eastAsia="Arial" w:hAnsi="Arial"/>
          <w:sz w:val="17"/>
          <w:szCs w:val="17"/>
          <w:color w:val="auto"/>
        </w:rPr>
        <w:t>Deferred tax assets and liabilities are offset if there is a legal right of offset and the deferred taxes are related to the same taxpaying entity and the same tax authority.</w:t>
      </w:r>
    </w:p>
    <w:p>
      <w:pPr>
        <w:spacing w:after="0" w:line="159" w:lineRule="exact"/>
        <w:rPr>
          <w:rFonts w:ascii="Arial" w:cs="Arial" w:eastAsia="Arial" w:hAnsi="Arial"/>
          <w:sz w:val="17"/>
          <w:szCs w:val="17"/>
          <w:color w:val="auto"/>
        </w:rPr>
      </w:pPr>
    </w:p>
    <w:p>
      <w:pPr>
        <w:ind w:left="316" w:hanging="316"/>
        <w:spacing w:after="0"/>
        <w:tabs>
          <w:tab w:leader="none" w:pos="316" w:val="left"/>
        </w:tabs>
        <w:numPr>
          <w:ilvl w:val="0"/>
          <w:numId w:val="39"/>
        </w:numPr>
        <w:rPr>
          <w:rFonts w:ascii="Arial" w:cs="Arial" w:eastAsia="Arial" w:hAnsi="Arial"/>
          <w:sz w:val="17"/>
          <w:szCs w:val="17"/>
          <w:color w:val="auto"/>
        </w:rPr>
      </w:pPr>
      <w:r>
        <w:rPr>
          <w:rFonts w:ascii="Arial" w:cs="Arial" w:eastAsia="Arial" w:hAnsi="Arial"/>
          <w:sz w:val="17"/>
          <w:szCs w:val="17"/>
          <w:color w:val="auto"/>
        </w:rPr>
        <w:t>Earnings per share -</w:t>
      </w:r>
    </w:p>
    <w:p>
      <w:pPr>
        <w:spacing w:after="0" w:line="220" w:lineRule="exact"/>
        <w:rPr>
          <w:rFonts w:ascii="Arial" w:cs="Arial" w:eastAsia="Arial" w:hAnsi="Arial"/>
          <w:sz w:val="17"/>
          <w:szCs w:val="17"/>
          <w:color w:val="auto"/>
        </w:rPr>
      </w:pPr>
    </w:p>
    <w:p>
      <w:pPr>
        <w:ind w:left="316" w:right="500"/>
        <w:spacing w:after="0" w:line="318" w:lineRule="auto"/>
        <w:rPr>
          <w:rFonts w:ascii="Arial" w:cs="Arial" w:eastAsia="Arial" w:hAnsi="Arial"/>
          <w:sz w:val="17"/>
          <w:szCs w:val="17"/>
          <w:color w:val="auto"/>
        </w:rPr>
      </w:pPr>
      <w:r>
        <w:rPr>
          <w:rFonts w:ascii="Arial" w:cs="Arial" w:eastAsia="Arial" w:hAnsi="Arial"/>
          <w:sz w:val="16"/>
          <w:szCs w:val="16"/>
          <w:color w:val="auto"/>
        </w:rPr>
        <w:t>Basic earnings per share is calculated by dividing the net profit for the year attributable to Credicorp’s equity holders by the weighted average number of ordinary shares outstanding during the year, excluding the average number of ordinary shares purchased and held as treasury stock.</w:t>
      </w:r>
    </w:p>
    <w:p>
      <w:pPr>
        <w:spacing w:after="0" w:line="136" w:lineRule="exact"/>
        <w:rPr>
          <w:rFonts w:ascii="Arial" w:cs="Arial" w:eastAsia="Arial" w:hAnsi="Arial"/>
          <w:sz w:val="17"/>
          <w:szCs w:val="17"/>
          <w:color w:val="auto"/>
        </w:rPr>
      </w:pPr>
    </w:p>
    <w:p>
      <w:pPr>
        <w:ind w:left="316" w:right="100"/>
        <w:spacing w:after="0" w:line="294" w:lineRule="auto"/>
        <w:rPr>
          <w:rFonts w:ascii="Arial" w:cs="Arial" w:eastAsia="Arial" w:hAnsi="Arial"/>
          <w:sz w:val="17"/>
          <w:szCs w:val="17"/>
          <w:color w:val="auto"/>
        </w:rPr>
      </w:pPr>
      <w:r>
        <w:rPr>
          <w:rFonts w:ascii="Arial" w:cs="Arial" w:eastAsia="Arial" w:hAnsi="Arial"/>
          <w:sz w:val="16"/>
          <w:szCs w:val="16"/>
          <w:color w:val="auto"/>
        </w:rPr>
        <w:t>Diluted earnings per share is calculated by dividing the net profit attributable to Credicorp’s equity holders by the weighted average number of ordinary shares outstanding during the year, excluding the average number of ordinary shares purchased and held as treasury stock, plus the weighted average number of ordinary shares that would have been issued on the conversion of all the dilutive potential ordinary shares into ordinary shares.</w:t>
      </w:r>
    </w:p>
    <w:p>
      <w:pPr>
        <w:spacing w:after="0" w:line="363" w:lineRule="exact"/>
        <w:rPr>
          <w:rFonts w:ascii="Arial" w:cs="Arial" w:eastAsia="Arial" w:hAnsi="Arial"/>
          <w:sz w:val="17"/>
          <w:szCs w:val="17"/>
          <w:color w:val="auto"/>
        </w:rPr>
      </w:pPr>
    </w:p>
    <w:p>
      <w:pPr>
        <w:ind w:left="5636" w:hanging="107"/>
        <w:spacing w:after="0"/>
        <w:tabs>
          <w:tab w:leader="none" w:pos="5636" w:val="left"/>
        </w:tabs>
        <w:numPr>
          <w:ilvl w:val="1"/>
          <w:numId w:val="39"/>
        </w:numPr>
        <w:rPr>
          <w:rFonts w:ascii="Arial" w:cs="Arial" w:eastAsia="Arial" w:hAnsi="Arial"/>
          <w:sz w:val="17"/>
          <w:szCs w:val="17"/>
          <w:color w:val="auto"/>
        </w:rPr>
      </w:pPr>
      <w:r>
        <w:rPr>
          <w:rFonts w:ascii="Arial" w:cs="Arial" w:eastAsia="Arial" w:hAnsi="Arial"/>
          <w:sz w:val="17"/>
          <w:szCs w:val="17"/>
          <w:color w:val="auto"/>
        </w:rPr>
        <w:t>40 -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15875</wp:posOffset>
            </wp:positionV>
            <wp:extent cx="725170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51700" cy="8255"/>
                    </a:xfrm>
                    <a:prstGeom prst="rect">
                      <a:avLst/>
                    </a:prstGeom>
                    <a:noFill/>
                  </pic:spPr>
                </pic:pic>
              </a:graphicData>
            </a:graphic>
          </wp:anchor>
        </w:drawing>
      </w:r>
    </w:p>
    <w:p>
      <w:pPr>
        <w:sectPr>
          <w:pgSz w:w="11900" w:h="16838" w:orient="portrait"/>
          <w:cols w:equalWidth="0" w:num="1">
            <w:col w:w="11396"/>
          </w:cols>
          <w:pgMar w:left="244" w:top="881" w:right="259" w:bottom="1440" w:gutter="0" w:footer="0" w:header="0"/>
        </w:sectPr>
      </w:pPr>
    </w:p>
    <w:bookmarkStart w:id="46" w:name="page47"/>
    <w:bookmarkEnd w:id="46"/>
    <w:p>
      <w:pPr>
        <w:ind w:left="316" w:hanging="316"/>
        <w:spacing w:after="0"/>
        <w:tabs>
          <w:tab w:leader="none" w:pos="316" w:val="left"/>
        </w:tabs>
        <w:numPr>
          <w:ilvl w:val="0"/>
          <w:numId w:val="40"/>
        </w:numPr>
        <w:rPr>
          <w:rFonts w:ascii="Arial" w:cs="Arial" w:eastAsia="Arial" w:hAnsi="Arial"/>
          <w:sz w:val="17"/>
          <w:szCs w:val="17"/>
          <w:color w:val="auto"/>
        </w:rPr>
      </w:pPr>
      <w:r>
        <w:rPr>
          <w:rFonts w:ascii="Arial" w:cs="Arial" w:eastAsia="Arial" w:hAnsi="Arial"/>
          <w:sz w:val="17"/>
          <w:szCs w:val="17"/>
          <w:color w:val="auto"/>
        </w:rPr>
        <w:t>Share-based payment transactions -</w:t>
      </w:r>
    </w:p>
    <w:p>
      <w:pPr>
        <w:spacing w:after="0" w:line="220" w:lineRule="exact"/>
        <w:rPr>
          <w:rFonts w:ascii="Arial" w:cs="Arial" w:eastAsia="Arial" w:hAnsi="Arial"/>
          <w:sz w:val="17"/>
          <w:szCs w:val="17"/>
          <w:color w:val="auto"/>
        </w:rPr>
      </w:pPr>
    </w:p>
    <w:p>
      <w:pPr>
        <w:ind w:left="316" w:right="200"/>
        <w:spacing w:after="0" w:line="285" w:lineRule="auto"/>
        <w:rPr>
          <w:rFonts w:ascii="Arial" w:cs="Arial" w:eastAsia="Arial" w:hAnsi="Arial"/>
          <w:sz w:val="17"/>
          <w:szCs w:val="17"/>
          <w:color w:val="auto"/>
        </w:rPr>
      </w:pPr>
      <w:r>
        <w:rPr>
          <w:rFonts w:ascii="Arial" w:cs="Arial" w:eastAsia="Arial" w:hAnsi="Arial"/>
          <w:sz w:val="17"/>
          <w:szCs w:val="17"/>
          <w:color w:val="auto"/>
        </w:rPr>
        <w:t>The cost of the Group’s remuneration plan is recognized, together with a corresponding increase in equity, over the period in which the service conditions are fulfilled, ending on the date on which the relevant employees become fully entitled to the award (‘the vesting date”).</w:t>
      </w:r>
    </w:p>
    <w:p>
      <w:pPr>
        <w:spacing w:after="0" w:line="159" w:lineRule="exact"/>
        <w:rPr>
          <w:rFonts w:ascii="Arial" w:cs="Arial" w:eastAsia="Arial" w:hAnsi="Arial"/>
          <w:sz w:val="17"/>
          <w:szCs w:val="17"/>
          <w:color w:val="auto"/>
        </w:rPr>
      </w:pPr>
    </w:p>
    <w:p>
      <w:pPr>
        <w:ind w:left="316" w:right="20"/>
        <w:spacing w:after="0" w:line="270" w:lineRule="auto"/>
        <w:rPr>
          <w:rFonts w:ascii="Arial" w:cs="Arial" w:eastAsia="Arial" w:hAnsi="Arial"/>
          <w:sz w:val="17"/>
          <w:szCs w:val="17"/>
          <w:color w:val="auto"/>
        </w:rPr>
      </w:pPr>
      <w:r>
        <w:rPr>
          <w:rFonts w:ascii="Arial" w:cs="Arial" w:eastAsia="Arial" w:hAnsi="Arial"/>
          <w:sz w:val="17"/>
          <w:szCs w:val="17"/>
          <w:color w:val="auto"/>
        </w:rPr>
        <w:t>The cumulative expense recognized for equity-settled liquidations at each reporting date until the vesting date reflects the extent to which the vesting period has expired and the Group’s best estimate of the number of equity instruments that will ultimately vest. The expense is recorded in “Salaries and employee benefits” of the consolidated statement of income.</w:t>
      </w:r>
    </w:p>
    <w:p>
      <w:pPr>
        <w:spacing w:after="0" w:line="171" w:lineRule="exact"/>
        <w:rPr>
          <w:rFonts w:ascii="Arial" w:cs="Arial" w:eastAsia="Arial" w:hAnsi="Arial"/>
          <w:sz w:val="17"/>
          <w:szCs w:val="17"/>
          <w:color w:val="auto"/>
        </w:rPr>
      </w:pPr>
    </w:p>
    <w:p>
      <w:pPr>
        <w:jc w:val="both"/>
        <w:ind w:left="316" w:right="80"/>
        <w:spacing w:after="0" w:line="270" w:lineRule="auto"/>
        <w:rPr>
          <w:rFonts w:ascii="Arial" w:cs="Arial" w:eastAsia="Arial" w:hAnsi="Arial"/>
          <w:sz w:val="17"/>
          <w:szCs w:val="17"/>
          <w:color w:val="auto"/>
        </w:rPr>
      </w:pPr>
      <w:r>
        <w:rPr>
          <w:rFonts w:ascii="Arial" w:cs="Arial" w:eastAsia="Arial" w:hAnsi="Arial"/>
          <w:sz w:val="17"/>
          <w:szCs w:val="17"/>
          <w:color w:val="auto"/>
        </w:rPr>
        <w:t>When the terms of a share-based liquidation are modified, the minimum expense recognized is maintained as if the terms had not been modified. An additional expense is recognized for any modification which increases the total fair value of the share-based payment arrangement, or which is otherwise beneficial to the employee as measured at the date of modification.</w:t>
      </w:r>
    </w:p>
    <w:p>
      <w:pPr>
        <w:spacing w:after="0" w:line="171" w:lineRule="exact"/>
        <w:rPr>
          <w:rFonts w:ascii="Arial" w:cs="Arial" w:eastAsia="Arial" w:hAnsi="Arial"/>
          <w:sz w:val="17"/>
          <w:szCs w:val="17"/>
          <w:color w:val="auto"/>
        </w:rPr>
      </w:pPr>
    </w:p>
    <w:p>
      <w:pPr>
        <w:ind w:left="316" w:right="480"/>
        <w:spacing w:after="0" w:line="285" w:lineRule="auto"/>
        <w:rPr>
          <w:rFonts w:ascii="Arial" w:cs="Arial" w:eastAsia="Arial" w:hAnsi="Arial"/>
          <w:sz w:val="17"/>
          <w:szCs w:val="17"/>
          <w:color w:val="auto"/>
        </w:rPr>
      </w:pPr>
      <w:r>
        <w:rPr>
          <w:rFonts w:ascii="Arial" w:cs="Arial" w:eastAsia="Arial" w:hAnsi="Arial"/>
          <w:sz w:val="17"/>
          <w:szCs w:val="17"/>
          <w:color w:val="auto"/>
        </w:rPr>
        <w:t>The dilutive effect of the shares granted under this plan is reflected as a share dilution in the computation of diluted earnings per share, see paragraph (w) above.</w:t>
      </w:r>
    </w:p>
    <w:p>
      <w:pPr>
        <w:spacing w:after="0" w:line="159" w:lineRule="exact"/>
        <w:rPr>
          <w:rFonts w:ascii="Arial" w:cs="Arial" w:eastAsia="Arial" w:hAnsi="Arial"/>
          <w:sz w:val="17"/>
          <w:szCs w:val="17"/>
          <w:color w:val="auto"/>
        </w:rPr>
      </w:pPr>
    </w:p>
    <w:p>
      <w:pPr>
        <w:ind w:left="316" w:right="7220" w:hanging="316"/>
        <w:spacing w:after="0" w:line="510" w:lineRule="auto"/>
        <w:tabs>
          <w:tab w:leader="none" w:pos="316" w:val="left"/>
        </w:tabs>
        <w:numPr>
          <w:ilvl w:val="0"/>
          <w:numId w:val="40"/>
        </w:numPr>
        <w:rPr>
          <w:rFonts w:ascii="Arial" w:cs="Arial" w:eastAsia="Arial" w:hAnsi="Arial"/>
          <w:sz w:val="17"/>
          <w:szCs w:val="17"/>
          <w:color w:val="auto"/>
        </w:rPr>
      </w:pPr>
      <w:r>
        <w:rPr>
          <w:rFonts w:ascii="Arial" w:cs="Arial" w:eastAsia="Arial" w:hAnsi="Arial"/>
          <w:sz w:val="17"/>
          <w:szCs w:val="17"/>
          <w:color w:val="auto"/>
        </w:rPr>
        <w:t>Derivative financial instruments and hedge accounting - Trading -</w:t>
      </w:r>
    </w:p>
    <w:p>
      <w:pPr>
        <w:ind w:left="316" w:right="240"/>
        <w:spacing w:after="0" w:line="285" w:lineRule="auto"/>
        <w:rPr>
          <w:rFonts w:ascii="Arial" w:cs="Arial" w:eastAsia="Arial" w:hAnsi="Arial"/>
          <w:sz w:val="17"/>
          <w:szCs w:val="17"/>
          <w:color w:val="auto"/>
        </w:rPr>
      </w:pPr>
      <w:r>
        <w:rPr>
          <w:rFonts w:ascii="Arial" w:cs="Arial" w:eastAsia="Arial" w:hAnsi="Arial"/>
          <w:sz w:val="17"/>
          <w:szCs w:val="17"/>
          <w:color w:val="auto"/>
        </w:rPr>
        <w:t>The Group negotiates derivative financial instruments in order to meet its clients’ needs. The Group may also take positions with the expectation of profiting from favorable movements in prices, rates or indexes.</w:t>
      </w:r>
    </w:p>
    <w:p>
      <w:pPr>
        <w:spacing w:after="0" w:line="159" w:lineRule="exact"/>
        <w:rPr>
          <w:rFonts w:ascii="Arial" w:cs="Arial" w:eastAsia="Arial" w:hAnsi="Arial"/>
          <w:sz w:val="17"/>
          <w:szCs w:val="17"/>
          <w:color w:val="auto"/>
        </w:rPr>
      </w:pPr>
    </w:p>
    <w:p>
      <w:pPr>
        <w:ind w:left="316" w:right="440"/>
        <w:spacing w:after="0" w:line="285" w:lineRule="auto"/>
        <w:rPr>
          <w:rFonts w:ascii="Arial" w:cs="Arial" w:eastAsia="Arial" w:hAnsi="Arial"/>
          <w:sz w:val="17"/>
          <w:szCs w:val="17"/>
          <w:color w:val="auto"/>
        </w:rPr>
      </w:pPr>
      <w:r>
        <w:rPr>
          <w:rFonts w:ascii="Arial" w:cs="Arial" w:eastAsia="Arial" w:hAnsi="Arial"/>
          <w:sz w:val="17"/>
          <w:szCs w:val="17"/>
          <w:color w:val="auto"/>
        </w:rPr>
        <w:t>Part of the transactions with derivatives, which provide effective economic hedges under the Group’s risk management positions, do not qualify for hedge accounting under the specific rules of IAS 39 and are, therefore, treated as trading derivatives.</w:t>
      </w:r>
    </w:p>
    <w:p>
      <w:pPr>
        <w:spacing w:after="0" w:line="159" w:lineRule="exact"/>
        <w:rPr>
          <w:rFonts w:ascii="Arial" w:cs="Arial" w:eastAsia="Arial" w:hAnsi="Arial"/>
          <w:sz w:val="17"/>
          <w:szCs w:val="17"/>
          <w:color w:val="auto"/>
        </w:rPr>
      </w:pPr>
    </w:p>
    <w:p>
      <w:pPr>
        <w:jc w:val="both"/>
        <w:ind w:left="316"/>
        <w:spacing w:after="0" w:line="294" w:lineRule="auto"/>
        <w:rPr>
          <w:rFonts w:ascii="Arial" w:cs="Arial" w:eastAsia="Arial" w:hAnsi="Arial"/>
          <w:sz w:val="17"/>
          <w:szCs w:val="17"/>
          <w:color w:val="auto"/>
        </w:rPr>
      </w:pPr>
      <w:r>
        <w:rPr>
          <w:rFonts w:ascii="Arial" w:cs="Arial" w:eastAsia="Arial" w:hAnsi="Arial"/>
          <w:sz w:val="16"/>
          <w:szCs w:val="16"/>
          <w:color w:val="auto"/>
        </w:rPr>
        <w:t>Derivative financial instruments are initially recognized at fair value in the consolidated statement of financial position and subsequently are re-measured at fair value. Fair values are estimated based on the market exchange and interest rates. All derivatives are carried as assets when fair value is positive and as liabilities when fair value is negative. Gain and losses for changes in their fair value are recorded in the consolidated statement of income.</w:t>
      </w:r>
    </w:p>
    <w:p>
      <w:pPr>
        <w:spacing w:after="0" w:line="155" w:lineRule="exact"/>
        <w:rPr>
          <w:rFonts w:ascii="Arial" w:cs="Arial" w:eastAsia="Arial" w:hAnsi="Arial"/>
          <w:sz w:val="17"/>
          <w:szCs w:val="17"/>
          <w:color w:val="auto"/>
        </w:rPr>
      </w:pPr>
    </w:p>
    <w:p>
      <w:pPr>
        <w:ind w:left="316"/>
        <w:spacing w:after="0"/>
        <w:rPr>
          <w:rFonts w:ascii="Arial" w:cs="Arial" w:eastAsia="Arial" w:hAnsi="Arial"/>
          <w:sz w:val="17"/>
          <w:szCs w:val="17"/>
          <w:color w:val="auto"/>
        </w:rPr>
      </w:pPr>
      <w:r>
        <w:rPr>
          <w:rFonts w:ascii="Arial" w:cs="Arial" w:eastAsia="Arial" w:hAnsi="Arial"/>
          <w:sz w:val="17"/>
          <w:szCs w:val="17"/>
          <w:color w:val="auto"/>
        </w:rPr>
        <w:t>Hedging -</w:t>
      </w:r>
    </w:p>
    <w:p>
      <w:pPr>
        <w:spacing w:after="0" w:line="220" w:lineRule="exact"/>
        <w:rPr>
          <w:rFonts w:ascii="Arial" w:cs="Arial" w:eastAsia="Arial" w:hAnsi="Arial"/>
          <w:sz w:val="17"/>
          <w:szCs w:val="17"/>
          <w:color w:val="auto"/>
        </w:rPr>
      </w:pPr>
    </w:p>
    <w:p>
      <w:pPr>
        <w:ind w:left="316" w:right="160"/>
        <w:spacing w:after="0" w:line="285" w:lineRule="auto"/>
        <w:rPr>
          <w:rFonts w:ascii="Arial" w:cs="Arial" w:eastAsia="Arial" w:hAnsi="Arial"/>
          <w:sz w:val="17"/>
          <w:szCs w:val="17"/>
          <w:color w:val="auto"/>
        </w:rPr>
      </w:pPr>
      <w:r>
        <w:rPr>
          <w:rFonts w:ascii="Arial" w:cs="Arial" w:eastAsia="Arial" w:hAnsi="Arial"/>
          <w:sz w:val="17"/>
          <w:szCs w:val="17"/>
          <w:color w:val="auto"/>
        </w:rPr>
        <w:t>The Group uses derivative instruments to manage exposures to interest rate and foreign currency. In order to manage particular risks, the Group applies hedge accounting for transactions which meet the specified criteria.</w:t>
      </w:r>
    </w:p>
    <w:p>
      <w:pPr>
        <w:spacing w:after="0" w:line="159" w:lineRule="exact"/>
        <w:rPr>
          <w:rFonts w:ascii="Arial" w:cs="Arial" w:eastAsia="Arial" w:hAnsi="Arial"/>
          <w:sz w:val="17"/>
          <w:szCs w:val="17"/>
          <w:color w:val="auto"/>
        </w:rPr>
      </w:pPr>
    </w:p>
    <w:p>
      <w:pPr>
        <w:ind w:left="316" w:right="160"/>
        <w:spacing w:after="0" w:line="355" w:lineRule="auto"/>
        <w:rPr>
          <w:rFonts w:ascii="Arial" w:cs="Arial" w:eastAsia="Arial" w:hAnsi="Arial"/>
          <w:sz w:val="17"/>
          <w:szCs w:val="17"/>
          <w:color w:val="auto"/>
        </w:rPr>
      </w:pPr>
      <w:r>
        <w:rPr>
          <w:rFonts w:ascii="Arial" w:cs="Arial" w:eastAsia="Arial" w:hAnsi="Arial"/>
          <w:sz w:val="15"/>
          <w:szCs w:val="15"/>
          <w:color w:val="auto"/>
        </w:rPr>
        <w:t>At inception of the hedge relationship, the Group formally documents the relationship between the hedged item and the hedging instrument, including the nature of the risk, the objective and strategy for undertaking the hedge and the method that will be used to assess the effectiveness of the hedging relationship.</w:t>
      </w:r>
    </w:p>
    <w:p>
      <w:pPr>
        <w:spacing w:after="0" w:line="113" w:lineRule="exact"/>
        <w:rPr>
          <w:rFonts w:ascii="Arial" w:cs="Arial" w:eastAsia="Arial" w:hAnsi="Arial"/>
          <w:sz w:val="17"/>
          <w:szCs w:val="17"/>
          <w:color w:val="auto"/>
        </w:rPr>
      </w:pPr>
    </w:p>
    <w:p>
      <w:pPr>
        <w:ind w:left="316" w:right="580"/>
        <w:spacing w:after="0" w:line="285" w:lineRule="auto"/>
        <w:rPr>
          <w:rFonts w:ascii="Arial" w:cs="Arial" w:eastAsia="Arial" w:hAnsi="Arial"/>
          <w:sz w:val="17"/>
          <w:szCs w:val="17"/>
          <w:color w:val="auto"/>
        </w:rPr>
      </w:pPr>
      <w:r>
        <w:rPr>
          <w:rFonts w:ascii="Arial" w:cs="Arial" w:eastAsia="Arial" w:hAnsi="Arial"/>
          <w:sz w:val="17"/>
          <w:szCs w:val="17"/>
          <w:color w:val="auto"/>
        </w:rPr>
        <w:t>Also, at the inception of the hedge relationship, a formal assessment is undertaken to ensure the hedging instrument is expected to be highly effective in offsetting the designated risk in the hedged item. Hedges are formally assessed at each reporting date.</w:t>
      </w:r>
    </w:p>
    <w:p>
      <w:pPr>
        <w:spacing w:after="0" w:line="159" w:lineRule="exact"/>
        <w:rPr>
          <w:rFonts w:ascii="Arial" w:cs="Arial" w:eastAsia="Arial" w:hAnsi="Arial"/>
          <w:sz w:val="17"/>
          <w:szCs w:val="17"/>
          <w:color w:val="auto"/>
        </w:rPr>
      </w:pPr>
    </w:p>
    <w:p>
      <w:pPr>
        <w:ind w:left="316"/>
        <w:spacing w:after="0"/>
        <w:rPr>
          <w:rFonts w:ascii="Arial" w:cs="Arial" w:eastAsia="Arial" w:hAnsi="Arial"/>
          <w:sz w:val="17"/>
          <w:szCs w:val="17"/>
          <w:color w:val="auto"/>
        </w:rPr>
      </w:pPr>
      <w:r>
        <w:rPr>
          <w:rFonts w:ascii="Arial" w:cs="Arial" w:eastAsia="Arial" w:hAnsi="Arial"/>
          <w:sz w:val="17"/>
          <w:szCs w:val="17"/>
          <w:color w:val="auto"/>
        </w:rPr>
        <w:t>A hedge is considered highly effective if the following conditions are met:</w:t>
      </w:r>
    </w:p>
    <w:p>
      <w:pPr>
        <w:spacing w:after="0" w:line="220" w:lineRule="exact"/>
        <w:rPr>
          <w:rFonts w:ascii="Arial" w:cs="Arial" w:eastAsia="Arial" w:hAnsi="Arial"/>
          <w:sz w:val="17"/>
          <w:szCs w:val="17"/>
          <w:color w:val="auto"/>
        </w:rPr>
      </w:pPr>
    </w:p>
    <w:p>
      <w:pPr>
        <w:ind w:left="616" w:right="80" w:hanging="304"/>
        <w:spacing w:after="0" w:line="285" w:lineRule="auto"/>
        <w:tabs>
          <w:tab w:leader="none" w:pos="616" w:val="left"/>
        </w:tabs>
        <w:numPr>
          <w:ilvl w:val="1"/>
          <w:numId w:val="40"/>
        </w:numPr>
        <w:rPr>
          <w:rFonts w:ascii="Arial" w:cs="Arial" w:eastAsia="Arial" w:hAnsi="Arial"/>
          <w:sz w:val="17"/>
          <w:szCs w:val="17"/>
          <w:color w:val="auto"/>
        </w:rPr>
      </w:pPr>
      <w:r>
        <w:rPr>
          <w:rFonts w:ascii="Arial" w:cs="Arial" w:eastAsia="Arial" w:hAnsi="Arial"/>
          <w:sz w:val="17"/>
          <w:szCs w:val="17"/>
          <w:color w:val="auto"/>
        </w:rPr>
        <w:t>At the inception of a hedge and in following years, the hedge is expected to be highly effective to offset changes in the fair value or cash flows attributable to the hedged risk over the designated period of the hedge; and</w:t>
      </w:r>
    </w:p>
    <w:p>
      <w:pPr>
        <w:spacing w:after="0" w:line="367" w:lineRule="exact"/>
        <w:rPr>
          <w:rFonts w:ascii="Arial" w:cs="Arial" w:eastAsia="Arial" w:hAnsi="Arial"/>
          <w:sz w:val="17"/>
          <w:szCs w:val="17"/>
          <w:color w:val="auto"/>
        </w:rPr>
      </w:pPr>
    </w:p>
    <w:p>
      <w:pPr>
        <w:ind w:left="5636" w:hanging="107"/>
        <w:spacing w:after="0"/>
        <w:tabs>
          <w:tab w:leader="none" w:pos="5636" w:val="left"/>
        </w:tabs>
        <w:numPr>
          <w:ilvl w:val="2"/>
          <w:numId w:val="40"/>
        </w:numPr>
        <w:rPr>
          <w:rFonts w:ascii="Arial" w:cs="Arial" w:eastAsia="Arial" w:hAnsi="Arial"/>
          <w:sz w:val="17"/>
          <w:szCs w:val="17"/>
          <w:color w:val="auto"/>
        </w:rPr>
      </w:pPr>
      <w:r>
        <w:rPr>
          <w:rFonts w:ascii="Arial" w:cs="Arial" w:eastAsia="Arial" w:hAnsi="Arial"/>
          <w:sz w:val="17"/>
          <w:szCs w:val="17"/>
          <w:color w:val="auto"/>
        </w:rPr>
        <w:t>41 -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15875</wp:posOffset>
            </wp:positionV>
            <wp:extent cx="725170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51700" cy="8255"/>
                    </a:xfrm>
                    <a:prstGeom prst="rect">
                      <a:avLst/>
                    </a:prstGeom>
                    <a:noFill/>
                  </pic:spPr>
                </pic:pic>
              </a:graphicData>
            </a:graphic>
          </wp:anchor>
        </w:drawing>
      </w:r>
    </w:p>
    <w:p>
      <w:pPr>
        <w:sectPr>
          <w:pgSz w:w="11900" w:h="16838" w:orient="portrait"/>
          <w:cols w:equalWidth="0" w:num="1">
            <w:col w:w="11416"/>
          </w:cols>
          <w:pgMar w:left="244" w:top="881" w:right="239" w:bottom="1440" w:gutter="0" w:footer="0" w:header="0"/>
        </w:sectPr>
      </w:pPr>
    </w:p>
    <w:bookmarkStart w:id="47" w:name="page48"/>
    <w:bookmarkEnd w:id="47"/>
    <w:p>
      <w:pPr>
        <w:ind w:left="304" w:hanging="304"/>
        <w:spacing w:after="0"/>
        <w:tabs>
          <w:tab w:leader="none" w:pos="304" w:val="left"/>
        </w:tabs>
        <w:numPr>
          <w:ilvl w:val="0"/>
          <w:numId w:val="41"/>
        </w:numPr>
        <w:rPr>
          <w:rFonts w:ascii="Arial" w:cs="Arial" w:eastAsia="Arial" w:hAnsi="Arial"/>
          <w:sz w:val="17"/>
          <w:szCs w:val="17"/>
          <w:color w:val="auto"/>
        </w:rPr>
      </w:pPr>
      <w:r>
        <w:rPr>
          <w:rFonts w:ascii="Arial" w:cs="Arial" w:eastAsia="Arial" w:hAnsi="Arial"/>
          <w:sz w:val="17"/>
          <w:szCs w:val="17"/>
          <w:color w:val="auto"/>
        </w:rPr>
        <w:t>The actual effectiveness of the hedge is within the range of 80-125 percent.</w:t>
      </w:r>
    </w:p>
    <w:p>
      <w:pPr>
        <w:spacing w:after="0" w:line="220" w:lineRule="exact"/>
        <w:rPr>
          <w:sz w:val="20"/>
          <w:szCs w:val="20"/>
          <w:color w:val="auto"/>
        </w:rPr>
      </w:pPr>
    </w:p>
    <w:p>
      <w:pPr>
        <w:ind w:left="4"/>
        <w:spacing w:after="0"/>
        <w:rPr>
          <w:sz w:val="20"/>
          <w:szCs w:val="20"/>
          <w:color w:val="auto"/>
        </w:rPr>
      </w:pPr>
      <w:r>
        <w:rPr>
          <w:rFonts w:ascii="Arial" w:cs="Arial" w:eastAsia="Arial" w:hAnsi="Arial"/>
          <w:sz w:val="17"/>
          <w:szCs w:val="17"/>
          <w:color w:val="auto"/>
        </w:rPr>
        <w:t>The accounting treatment is determined on the basis of the nature of the hedged item and once the hedging qualifying criteria are met.</w:t>
      </w:r>
    </w:p>
    <w:p>
      <w:pPr>
        <w:spacing w:after="0" w:line="220" w:lineRule="exact"/>
        <w:rPr>
          <w:sz w:val="20"/>
          <w:szCs w:val="20"/>
          <w:color w:val="auto"/>
        </w:rPr>
      </w:pPr>
    </w:p>
    <w:p>
      <w:pPr>
        <w:ind w:left="304" w:hanging="304"/>
        <w:spacing w:after="0"/>
        <w:tabs>
          <w:tab w:leader="none" w:pos="304" w:val="left"/>
        </w:tabs>
        <w:numPr>
          <w:ilvl w:val="0"/>
          <w:numId w:val="42"/>
        </w:numPr>
        <w:rPr>
          <w:rFonts w:ascii="Arial" w:cs="Arial" w:eastAsia="Arial" w:hAnsi="Arial"/>
          <w:sz w:val="17"/>
          <w:szCs w:val="17"/>
          <w:color w:val="auto"/>
        </w:rPr>
      </w:pPr>
      <w:r>
        <w:rPr>
          <w:rFonts w:ascii="Arial" w:cs="Arial" w:eastAsia="Arial" w:hAnsi="Arial"/>
          <w:sz w:val="17"/>
          <w:szCs w:val="17"/>
          <w:color w:val="auto"/>
        </w:rPr>
        <w:t>Cash flow hedges -</w:t>
      </w:r>
    </w:p>
    <w:p>
      <w:pPr>
        <w:spacing w:after="0" w:line="220" w:lineRule="exact"/>
        <w:rPr>
          <w:rFonts w:ascii="Arial" w:cs="Arial" w:eastAsia="Arial" w:hAnsi="Arial"/>
          <w:sz w:val="17"/>
          <w:szCs w:val="17"/>
          <w:color w:val="auto"/>
        </w:rPr>
      </w:pPr>
    </w:p>
    <w:p>
      <w:pPr>
        <w:ind w:left="304" w:right="460"/>
        <w:spacing w:after="0" w:line="285" w:lineRule="auto"/>
        <w:rPr>
          <w:rFonts w:ascii="Arial" w:cs="Arial" w:eastAsia="Arial" w:hAnsi="Arial"/>
          <w:sz w:val="17"/>
          <w:szCs w:val="17"/>
          <w:color w:val="auto"/>
        </w:rPr>
      </w:pPr>
      <w:r>
        <w:rPr>
          <w:rFonts w:ascii="Arial" w:cs="Arial" w:eastAsia="Arial" w:hAnsi="Arial"/>
          <w:sz w:val="17"/>
          <w:szCs w:val="17"/>
          <w:color w:val="auto"/>
        </w:rPr>
        <w:t>The effective portion of the gain or loss on the hedging instrument is recognized directly as part of other comprehensive income in “Cash flow hedge reserve”, while any ineffective portion is recognized immediately in the consolidated statement of income.</w:t>
      </w:r>
    </w:p>
    <w:p>
      <w:pPr>
        <w:spacing w:after="0" w:line="159" w:lineRule="exact"/>
        <w:rPr>
          <w:rFonts w:ascii="Arial" w:cs="Arial" w:eastAsia="Arial" w:hAnsi="Arial"/>
          <w:sz w:val="17"/>
          <w:szCs w:val="17"/>
          <w:color w:val="auto"/>
        </w:rPr>
      </w:pPr>
    </w:p>
    <w:p>
      <w:pPr>
        <w:ind w:left="304" w:right="140"/>
        <w:spacing w:after="0" w:line="285" w:lineRule="auto"/>
        <w:rPr>
          <w:rFonts w:ascii="Arial" w:cs="Arial" w:eastAsia="Arial" w:hAnsi="Arial"/>
          <w:sz w:val="17"/>
          <w:szCs w:val="17"/>
          <w:color w:val="auto"/>
        </w:rPr>
      </w:pPr>
      <w:r>
        <w:rPr>
          <w:rFonts w:ascii="Arial" w:cs="Arial" w:eastAsia="Arial" w:hAnsi="Arial"/>
          <w:sz w:val="17"/>
          <w:szCs w:val="17"/>
          <w:color w:val="auto"/>
        </w:rPr>
        <w:t>Amounts recognized as other comprehensive income are transferred to the consolidated statement of income when the hedged transaction affects profit or loss; that is, when the hedge-related finance income or finance cost is recognized or when an expected sale occurs.</w:t>
      </w:r>
    </w:p>
    <w:p>
      <w:pPr>
        <w:spacing w:after="0" w:line="159" w:lineRule="exact"/>
        <w:rPr>
          <w:rFonts w:ascii="Arial" w:cs="Arial" w:eastAsia="Arial" w:hAnsi="Arial"/>
          <w:sz w:val="17"/>
          <w:szCs w:val="17"/>
          <w:color w:val="auto"/>
        </w:rPr>
      </w:pPr>
    </w:p>
    <w:p>
      <w:pPr>
        <w:ind w:left="304" w:right="60"/>
        <w:spacing w:after="0" w:line="311" w:lineRule="auto"/>
        <w:rPr>
          <w:rFonts w:ascii="Arial" w:cs="Arial" w:eastAsia="Arial" w:hAnsi="Arial"/>
          <w:sz w:val="17"/>
          <w:szCs w:val="17"/>
          <w:color w:val="auto"/>
        </w:rPr>
      </w:pPr>
      <w:r>
        <w:rPr>
          <w:rFonts w:ascii="Arial" w:cs="Arial" w:eastAsia="Arial" w:hAnsi="Arial"/>
          <w:sz w:val="15"/>
          <w:szCs w:val="15"/>
          <w:color w:val="auto"/>
        </w:rPr>
        <w:t>If the forecasted transaction or firm commitment is no longer expected to occur, the accumulated gain or loss previously recognized in the cash flow hedge reserve is transferred to the consolidated statement of income. If the hedging instrument expires or is sold, terminated or exercised without replacement or rollover, or if its designation as a hedge is revoked, any unrealized accumulated gain or loss previously in the cash flow hedge reserve remains in said reserve until the planned transaction or firm commitment affects profit or loss. At the same time, the derivative is recorded as a trading derivative.</w:t>
      </w:r>
    </w:p>
    <w:p>
      <w:pPr>
        <w:spacing w:after="0" w:line="145" w:lineRule="exact"/>
        <w:rPr>
          <w:rFonts w:ascii="Arial" w:cs="Arial" w:eastAsia="Arial" w:hAnsi="Arial"/>
          <w:sz w:val="17"/>
          <w:szCs w:val="17"/>
          <w:color w:val="auto"/>
        </w:rPr>
      </w:pPr>
    </w:p>
    <w:p>
      <w:pPr>
        <w:ind w:left="304" w:hanging="304"/>
        <w:spacing w:after="0"/>
        <w:tabs>
          <w:tab w:leader="none" w:pos="304" w:val="left"/>
        </w:tabs>
        <w:numPr>
          <w:ilvl w:val="0"/>
          <w:numId w:val="42"/>
        </w:numPr>
        <w:rPr>
          <w:rFonts w:ascii="Arial" w:cs="Arial" w:eastAsia="Arial" w:hAnsi="Arial"/>
          <w:sz w:val="17"/>
          <w:szCs w:val="17"/>
          <w:color w:val="auto"/>
        </w:rPr>
      </w:pPr>
      <w:r>
        <w:rPr>
          <w:rFonts w:ascii="Arial" w:cs="Arial" w:eastAsia="Arial" w:hAnsi="Arial"/>
          <w:sz w:val="17"/>
          <w:szCs w:val="17"/>
          <w:color w:val="auto"/>
        </w:rPr>
        <w:t>Fair value hedges -</w:t>
      </w:r>
    </w:p>
    <w:p>
      <w:pPr>
        <w:spacing w:after="0" w:line="220" w:lineRule="exact"/>
        <w:rPr>
          <w:rFonts w:ascii="Arial" w:cs="Arial" w:eastAsia="Arial" w:hAnsi="Arial"/>
          <w:sz w:val="17"/>
          <w:szCs w:val="17"/>
          <w:color w:val="auto"/>
        </w:rPr>
      </w:pPr>
    </w:p>
    <w:p>
      <w:pPr>
        <w:ind w:left="304" w:right="20"/>
        <w:spacing w:after="0" w:line="270" w:lineRule="auto"/>
        <w:rPr>
          <w:rFonts w:ascii="Arial" w:cs="Arial" w:eastAsia="Arial" w:hAnsi="Arial"/>
          <w:sz w:val="17"/>
          <w:szCs w:val="17"/>
          <w:color w:val="auto"/>
        </w:rPr>
      </w:pPr>
      <w:r>
        <w:rPr>
          <w:rFonts w:ascii="Arial" w:cs="Arial" w:eastAsia="Arial" w:hAnsi="Arial"/>
          <w:sz w:val="17"/>
          <w:szCs w:val="17"/>
          <w:color w:val="auto"/>
        </w:rPr>
        <w:t>The change in the fair value of a fair value hedge is recognized in “Interest and similar income” or “Interest and similar expenses” of the consolidated statement of income. The change in the fair value of the hedged item attributable to the risk hedged is recorded as a part of the carrying value of the hedged item and is recognized in the consolidated statement of income.</w:t>
      </w:r>
    </w:p>
    <w:p>
      <w:pPr>
        <w:spacing w:after="0" w:line="171" w:lineRule="exact"/>
        <w:rPr>
          <w:rFonts w:ascii="Arial" w:cs="Arial" w:eastAsia="Arial" w:hAnsi="Arial"/>
          <w:sz w:val="17"/>
          <w:szCs w:val="17"/>
          <w:color w:val="auto"/>
        </w:rPr>
      </w:pPr>
    </w:p>
    <w:p>
      <w:pPr>
        <w:ind w:left="304" w:right="120"/>
        <w:spacing w:after="0" w:line="294" w:lineRule="auto"/>
        <w:rPr>
          <w:rFonts w:ascii="Arial" w:cs="Arial" w:eastAsia="Arial" w:hAnsi="Arial"/>
          <w:sz w:val="17"/>
          <w:szCs w:val="17"/>
          <w:color w:val="auto"/>
        </w:rPr>
      </w:pPr>
      <w:r>
        <w:rPr>
          <w:rFonts w:ascii="Arial" w:cs="Arial" w:eastAsia="Arial" w:hAnsi="Arial"/>
          <w:sz w:val="16"/>
          <w:szCs w:val="16"/>
          <w:color w:val="auto"/>
        </w:rPr>
        <w:t>For fair value hedges relating to items carried at amortized cost, any adjustment to the carrying amount of these items, as a result of discontinuation of the hedge, will be amortized through the consolidated statement of income over the remaining life of the hedge. Amortization may begin as soon as an adjustment exists and no later than when the hedged item ceases to be adjusted for changes in its fair value attributable to the risk being hedged.</w:t>
      </w:r>
    </w:p>
    <w:p>
      <w:pPr>
        <w:spacing w:after="0" w:line="155" w:lineRule="exact"/>
        <w:rPr>
          <w:rFonts w:ascii="Arial" w:cs="Arial" w:eastAsia="Arial" w:hAnsi="Arial"/>
          <w:sz w:val="17"/>
          <w:szCs w:val="17"/>
          <w:color w:val="auto"/>
        </w:rPr>
      </w:pPr>
    </w:p>
    <w:p>
      <w:pPr>
        <w:ind w:left="304"/>
        <w:spacing w:after="0"/>
        <w:rPr>
          <w:rFonts w:ascii="Arial" w:cs="Arial" w:eastAsia="Arial" w:hAnsi="Arial"/>
          <w:sz w:val="17"/>
          <w:szCs w:val="17"/>
          <w:color w:val="auto"/>
        </w:rPr>
      </w:pPr>
      <w:r>
        <w:rPr>
          <w:rFonts w:ascii="Arial" w:cs="Arial" w:eastAsia="Arial" w:hAnsi="Arial"/>
          <w:sz w:val="17"/>
          <w:szCs w:val="17"/>
          <w:color w:val="auto"/>
        </w:rPr>
        <w:t>If the hedged item is derecognized, the unamortized fair value is recognized immediately in the consolidated statement of income.</w:t>
      </w:r>
    </w:p>
    <w:p>
      <w:pPr>
        <w:spacing w:after="0" w:line="220" w:lineRule="exact"/>
        <w:rPr>
          <w:rFonts w:ascii="Arial" w:cs="Arial" w:eastAsia="Arial" w:hAnsi="Arial"/>
          <w:sz w:val="17"/>
          <w:szCs w:val="17"/>
          <w:color w:val="auto"/>
        </w:rPr>
      </w:pPr>
    </w:p>
    <w:p>
      <w:pPr>
        <w:ind w:left="304" w:right="120"/>
        <w:spacing w:after="0" w:line="262" w:lineRule="auto"/>
        <w:rPr>
          <w:rFonts w:ascii="Arial" w:cs="Arial" w:eastAsia="Arial" w:hAnsi="Arial"/>
          <w:sz w:val="17"/>
          <w:szCs w:val="17"/>
          <w:color w:val="auto"/>
        </w:rPr>
      </w:pPr>
      <w:r>
        <w:rPr>
          <w:rFonts w:ascii="Arial" w:cs="Arial" w:eastAsia="Arial" w:hAnsi="Arial"/>
          <w:sz w:val="17"/>
          <w:szCs w:val="17"/>
          <w:color w:val="auto"/>
        </w:rPr>
        <w:t>The hedge relationship is terminated when the hedging instrument expires or is sold, terminated or exercised, or where the hedge no longer meets the criteria for hedge accounting, the hedge relationship is terminated. For hedged items recorded at amortized cost, the difference between the carrying value of the hedged item on termination and the face value is amortized over the remaining term of the original hedge using the effective interest rate. If the hedged item is derecognized, the unamortized fair value adjustment is recognized immediately in the consolidated statement of income. At the same time, the derivative is recorded as a trading derivative.</w:t>
      </w:r>
    </w:p>
    <w:p>
      <w:pPr>
        <w:spacing w:after="0" w:line="180" w:lineRule="exact"/>
        <w:rPr>
          <w:rFonts w:ascii="Arial" w:cs="Arial" w:eastAsia="Arial" w:hAnsi="Arial"/>
          <w:sz w:val="17"/>
          <w:szCs w:val="17"/>
          <w:color w:val="auto"/>
        </w:rPr>
      </w:pPr>
    </w:p>
    <w:p>
      <w:pPr>
        <w:ind w:left="304" w:hanging="304"/>
        <w:spacing w:after="0"/>
        <w:tabs>
          <w:tab w:leader="none" w:pos="304" w:val="left"/>
        </w:tabs>
        <w:numPr>
          <w:ilvl w:val="0"/>
          <w:numId w:val="42"/>
        </w:numPr>
        <w:rPr>
          <w:rFonts w:ascii="Arial" w:cs="Arial" w:eastAsia="Arial" w:hAnsi="Arial"/>
          <w:sz w:val="17"/>
          <w:szCs w:val="17"/>
          <w:color w:val="auto"/>
        </w:rPr>
      </w:pPr>
      <w:r>
        <w:rPr>
          <w:rFonts w:ascii="Arial" w:cs="Arial" w:eastAsia="Arial" w:hAnsi="Arial"/>
          <w:sz w:val="17"/>
          <w:szCs w:val="17"/>
          <w:color w:val="auto"/>
        </w:rPr>
        <w:t>Embedded derivatives -</w:t>
      </w:r>
    </w:p>
    <w:p>
      <w:pPr>
        <w:spacing w:after="0" w:line="220" w:lineRule="exact"/>
        <w:rPr>
          <w:rFonts w:ascii="Arial" w:cs="Arial" w:eastAsia="Arial" w:hAnsi="Arial"/>
          <w:sz w:val="17"/>
          <w:szCs w:val="17"/>
          <w:color w:val="auto"/>
        </w:rPr>
      </w:pPr>
    </w:p>
    <w:p>
      <w:pPr>
        <w:ind w:left="304" w:right="220"/>
        <w:spacing w:after="0" w:line="355" w:lineRule="auto"/>
        <w:rPr>
          <w:rFonts w:ascii="Arial" w:cs="Arial" w:eastAsia="Arial" w:hAnsi="Arial"/>
          <w:sz w:val="17"/>
          <w:szCs w:val="17"/>
          <w:color w:val="auto"/>
        </w:rPr>
      </w:pPr>
      <w:r>
        <w:rPr>
          <w:rFonts w:ascii="Arial" w:cs="Arial" w:eastAsia="Arial" w:hAnsi="Arial"/>
          <w:sz w:val="15"/>
          <w:szCs w:val="15"/>
          <w:color w:val="auto"/>
        </w:rPr>
        <w:t>Derivatives embedded in host contracts are accounted for as separate derivatives and recorded at fair value if their economic characteristics and risks are not closely related to those of the host contract, and said host contract is not held for trading or designated at fair value through profit or loss.</w:t>
      </w:r>
    </w:p>
    <w:p>
      <w:pPr>
        <w:spacing w:after="0" w:line="113" w:lineRule="exact"/>
        <w:rPr>
          <w:rFonts w:ascii="Arial" w:cs="Arial" w:eastAsia="Arial" w:hAnsi="Arial"/>
          <w:sz w:val="17"/>
          <w:szCs w:val="17"/>
          <w:color w:val="auto"/>
        </w:rPr>
      </w:pPr>
    </w:p>
    <w:p>
      <w:pPr>
        <w:ind w:left="304"/>
        <w:spacing w:after="0" w:line="285" w:lineRule="auto"/>
        <w:rPr>
          <w:rFonts w:ascii="Arial" w:cs="Arial" w:eastAsia="Arial" w:hAnsi="Arial"/>
          <w:sz w:val="17"/>
          <w:szCs w:val="17"/>
          <w:color w:val="auto"/>
        </w:rPr>
      </w:pPr>
      <w:r>
        <w:rPr>
          <w:rFonts w:ascii="Arial" w:cs="Arial" w:eastAsia="Arial" w:hAnsi="Arial"/>
          <w:sz w:val="17"/>
          <w:szCs w:val="17"/>
          <w:color w:val="auto"/>
        </w:rPr>
        <w:t>The Group has investments indexed to certain life insurance contracts liabilities, denominated “Investment Link”. These instruments have been classified at inception by the Group as “Financial instruments at fair value though profit or loss”, See Note 3(f)(i) and Note 8.</w:t>
      </w:r>
    </w:p>
    <w:p>
      <w:pPr>
        <w:spacing w:after="0" w:line="367" w:lineRule="exact"/>
        <w:rPr>
          <w:rFonts w:ascii="Arial" w:cs="Arial" w:eastAsia="Arial" w:hAnsi="Arial"/>
          <w:sz w:val="17"/>
          <w:szCs w:val="17"/>
          <w:color w:val="auto"/>
        </w:rPr>
      </w:pPr>
    </w:p>
    <w:p>
      <w:pPr>
        <w:ind w:left="5324" w:hanging="107"/>
        <w:spacing w:after="0"/>
        <w:tabs>
          <w:tab w:leader="none" w:pos="5324" w:val="left"/>
        </w:tabs>
        <w:numPr>
          <w:ilvl w:val="1"/>
          <w:numId w:val="42"/>
        </w:numPr>
        <w:rPr>
          <w:rFonts w:ascii="Arial" w:cs="Arial" w:eastAsia="Arial" w:hAnsi="Arial"/>
          <w:sz w:val="17"/>
          <w:szCs w:val="17"/>
          <w:color w:val="auto"/>
        </w:rPr>
      </w:pPr>
      <w:r>
        <w:rPr>
          <w:rFonts w:ascii="Arial" w:cs="Arial" w:eastAsia="Arial" w:hAnsi="Arial"/>
          <w:sz w:val="17"/>
          <w:szCs w:val="17"/>
          <w:color w:val="auto"/>
        </w:rPr>
        <w:t>42 -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-197485</wp:posOffset>
            </wp:positionH>
            <wp:positionV relativeFrom="paragraph">
              <wp:posOffset>15875</wp:posOffset>
            </wp:positionV>
            <wp:extent cx="725170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51700" cy="8255"/>
                    </a:xfrm>
                    <a:prstGeom prst="rect">
                      <a:avLst/>
                    </a:prstGeom>
                    <a:noFill/>
                  </pic:spPr>
                </pic:pic>
              </a:graphicData>
            </a:graphic>
          </wp:anchor>
        </w:drawing>
      </w:r>
    </w:p>
    <w:p>
      <w:pPr>
        <w:sectPr>
          <w:pgSz w:w="11900" w:h="16838" w:orient="portrait"/>
          <w:cols w:equalWidth="0" w:num="1">
            <w:col w:w="11104"/>
          </w:cols>
          <w:pgMar w:left="556" w:top="881" w:right="239" w:bottom="1440" w:gutter="0" w:footer="0" w:header="0"/>
        </w:sectPr>
      </w:pPr>
    </w:p>
    <w:bookmarkStart w:id="48" w:name="page49"/>
    <w:bookmarkEnd w:id="48"/>
    <w:p>
      <w:pPr>
        <w:ind w:left="316" w:hanging="316"/>
        <w:spacing w:after="0"/>
        <w:tabs>
          <w:tab w:leader="none" w:pos="316" w:val="left"/>
        </w:tabs>
        <w:numPr>
          <w:ilvl w:val="0"/>
          <w:numId w:val="43"/>
        </w:numPr>
        <w:rPr>
          <w:rFonts w:ascii="Arial" w:cs="Arial" w:eastAsia="Arial" w:hAnsi="Arial"/>
          <w:sz w:val="17"/>
          <w:szCs w:val="17"/>
          <w:color w:val="auto"/>
        </w:rPr>
      </w:pPr>
      <w:r>
        <w:rPr>
          <w:rFonts w:ascii="Arial" w:cs="Arial" w:eastAsia="Arial" w:hAnsi="Arial"/>
          <w:sz w:val="17"/>
          <w:szCs w:val="17"/>
          <w:color w:val="auto"/>
        </w:rPr>
        <w:t>Fair value measurement -</w:t>
      </w:r>
    </w:p>
    <w:p>
      <w:pPr>
        <w:spacing w:after="0" w:line="220" w:lineRule="exact"/>
        <w:rPr>
          <w:rFonts w:ascii="Arial" w:cs="Arial" w:eastAsia="Arial" w:hAnsi="Arial"/>
          <w:sz w:val="17"/>
          <w:szCs w:val="17"/>
          <w:color w:val="auto"/>
        </w:rPr>
      </w:pPr>
    </w:p>
    <w:p>
      <w:pPr>
        <w:ind w:left="316" w:right="340"/>
        <w:spacing w:after="0" w:line="355" w:lineRule="auto"/>
        <w:rPr>
          <w:rFonts w:ascii="Arial" w:cs="Arial" w:eastAsia="Arial" w:hAnsi="Arial"/>
          <w:sz w:val="17"/>
          <w:szCs w:val="17"/>
          <w:color w:val="auto"/>
        </w:rPr>
      </w:pPr>
      <w:r>
        <w:rPr>
          <w:rFonts w:ascii="Arial" w:cs="Arial" w:eastAsia="Arial" w:hAnsi="Arial"/>
          <w:sz w:val="15"/>
          <w:szCs w:val="15"/>
          <w:color w:val="auto"/>
        </w:rPr>
        <w:t>Fair value is the price that would be received to sell an asset or paid to transfer a liability in an orderly transaction between market participants at the measurement date. The fair value measurement is based on the presumption that the transaction to sell the asset or transfer the liability takes place either:</w:t>
      </w:r>
    </w:p>
    <w:p>
      <w:pPr>
        <w:spacing w:after="0" w:line="113" w:lineRule="exact"/>
        <w:rPr>
          <w:rFonts w:ascii="Arial" w:cs="Arial" w:eastAsia="Arial" w:hAnsi="Arial"/>
          <w:sz w:val="17"/>
          <w:szCs w:val="17"/>
          <w:color w:val="auto"/>
        </w:rPr>
      </w:pPr>
    </w:p>
    <w:p>
      <w:pPr>
        <w:ind w:left="616" w:hanging="304"/>
        <w:spacing w:after="0"/>
        <w:tabs>
          <w:tab w:leader="none" w:pos="616" w:val="left"/>
        </w:tabs>
        <w:numPr>
          <w:ilvl w:val="1"/>
          <w:numId w:val="43"/>
        </w:numPr>
        <w:rPr>
          <w:rFonts w:ascii="Arial" w:cs="Arial" w:eastAsia="Arial" w:hAnsi="Arial"/>
          <w:sz w:val="17"/>
          <w:szCs w:val="17"/>
          <w:color w:val="auto"/>
        </w:rPr>
      </w:pPr>
      <w:r>
        <w:rPr>
          <w:rFonts w:ascii="Arial" w:cs="Arial" w:eastAsia="Arial" w:hAnsi="Arial"/>
          <w:sz w:val="17"/>
          <w:szCs w:val="17"/>
          <w:color w:val="auto"/>
        </w:rPr>
        <w:t>In the principal market for the asset or liability, or</w:t>
      </w:r>
    </w:p>
    <w:p>
      <w:pPr>
        <w:spacing w:after="0" w:line="24" w:lineRule="exact"/>
        <w:rPr>
          <w:rFonts w:ascii="Arial" w:cs="Arial" w:eastAsia="Arial" w:hAnsi="Arial"/>
          <w:sz w:val="17"/>
          <w:szCs w:val="17"/>
          <w:color w:val="auto"/>
        </w:rPr>
      </w:pPr>
    </w:p>
    <w:p>
      <w:pPr>
        <w:ind w:left="616" w:hanging="304"/>
        <w:spacing w:after="0"/>
        <w:tabs>
          <w:tab w:leader="none" w:pos="616" w:val="left"/>
        </w:tabs>
        <w:numPr>
          <w:ilvl w:val="1"/>
          <w:numId w:val="43"/>
        </w:numPr>
        <w:rPr>
          <w:rFonts w:ascii="Arial" w:cs="Arial" w:eastAsia="Arial" w:hAnsi="Arial"/>
          <w:sz w:val="17"/>
          <w:szCs w:val="17"/>
          <w:color w:val="auto"/>
        </w:rPr>
      </w:pPr>
      <w:r>
        <w:rPr>
          <w:rFonts w:ascii="Arial" w:cs="Arial" w:eastAsia="Arial" w:hAnsi="Arial"/>
          <w:sz w:val="17"/>
          <w:szCs w:val="17"/>
          <w:color w:val="auto"/>
        </w:rPr>
        <w:t>In the absence of a principal market, in the most advantageous market for the asset or liability.</w:t>
      </w:r>
    </w:p>
    <w:p>
      <w:pPr>
        <w:spacing w:after="0" w:line="208" w:lineRule="exact"/>
        <w:rPr>
          <w:sz w:val="20"/>
          <w:szCs w:val="20"/>
          <w:color w:val="auto"/>
        </w:rPr>
      </w:pPr>
    </w:p>
    <w:p>
      <w:pPr>
        <w:ind w:left="316"/>
        <w:spacing w:after="0"/>
        <w:rPr>
          <w:sz w:val="20"/>
          <w:szCs w:val="20"/>
          <w:color w:val="auto"/>
        </w:rPr>
      </w:pPr>
      <w:r>
        <w:rPr>
          <w:rFonts w:ascii="Arial" w:cs="Arial" w:eastAsia="Arial" w:hAnsi="Arial"/>
          <w:sz w:val="16"/>
          <w:szCs w:val="16"/>
          <w:color w:val="auto"/>
        </w:rPr>
        <w:t>The principal or the most advantageous market must be accessible by the Group. Also, the fair value of a liability reflects its non-performance risk.</w:t>
      </w:r>
    </w:p>
    <w:p>
      <w:pPr>
        <w:spacing w:after="0" w:line="232" w:lineRule="exact"/>
        <w:rPr>
          <w:sz w:val="20"/>
          <w:szCs w:val="20"/>
          <w:color w:val="auto"/>
        </w:rPr>
      </w:pPr>
    </w:p>
    <w:p>
      <w:pPr>
        <w:ind w:left="316" w:right="260"/>
        <w:spacing w:after="0" w:line="355" w:lineRule="auto"/>
        <w:rPr>
          <w:sz w:val="20"/>
          <w:szCs w:val="20"/>
          <w:color w:val="auto"/>
        </w:rPr>
      </w:pPr>
      <w:r>
        <w:rPr>
          <w:rFonts w:ascii="Arial" w:cs="Arial" w:eastAsia="Arial" w:hAnsi="Arial"/>
          <w:sz w:val="15"/>
          <w:szCs w:val="15"/>
          <w:color w:val="auto"/>
        </w:rPr>
        <w:t>When available, the Group measures the fair value of an instrument using the quoted price in an active market for that instrument. A market is regarded as active if transactions for the asset or liability take place with sufficient frequency and volume to provide pricing information on an ongoing basis.</w:t>
      </w:r>
    </w:p>
    <w:p>
      <w:pPr>
        <w:spacing w:after="0" w:line="113" w:lineRule="exact"/>
        <w:rPr>
          <w:sz w:val="20"/>
          <w:szCs w:val="20"/>
          <w:color w:val="auto"/>
        </w:rPr>
      </w:pPr>
    </w:p>
    <w:p>
      <w:pPr>
        <w:ind w:left="316"/>
        <w:spacing w:after="0" w:line="285" w:lineRule="auto"/>
        <w:rPr>
          <w:sz w:val="20"/>
          <w:szCs w:val="20"/>
          <w:color w:val="auto"/>
        </w:rPr>
      </w:pPr>
      <w:r>
        <w:rPr>
          <w:rFonts w:ascii="Arial" w:cs="Arial" w:eastAsia="Arial" w:hAnsi="Arial"/>
          <w:sz w:val="17"/>
          <w:szCs w:val="17"/>
          <w:color w:val="auto"/>
        </w:rPr>
        <w:t>If there is no quoted price in an active market, then the Group uses valuation techniques that maximize the use of relevant observable inputs and minimize the use of unobservable inputs.</w:t>
      </w:r>
    </w:p>
    <w:p>
      <w:pPr>
        <w:spacing w:after="0" w:line="159" w:lineRule="exact"/>
        <w:rPr>
          <w:sz w:val="20"/>
          <w:szCs w:val="20"/>
          <w:color w:val="auto"/>
        </w:rPr>
      </w:pPr>
    </w:p>
    <w:p>
      <w:pPr>
        <w:ind w:left="316"/>
        <w:spacing w:after="0"/>
        <w:rPr>
          <w:sz w:val="20"/>
          <w:szCs w:val="20"/>
          <w:color w:val="auto"/>
        </w:rPr>
      </w:pPr>
      <w:r>
        <w:rPr>
          <w:rFonts w:ascii="Arial" w:cs="Arial" w:eastAsia="Arial" w:hAnsi="Arial"/>
          <w:sz w:val="17"/>
          <w:szCs w:val="17"/>
          <w:color w:val="auto"/>
        </w:rPr>
        <w:t>The chosen valuation technique incorporates all of the factors that market participants would take into account in pricing a transaction.</w:t>
      </w:r>
    </w:p>
    <w:p>
      <w:pPr>
        <w:spacing w:after="0" w:line="220" w:lineRule="exact"/>
        <w:rPr>
          <w:sz w:val="20"/>
          <w:szCs w:val="20"/>
          <w:color w:val="auto"/>
        </w:rPr>
      </w:pPr>
    </w:p>
    <w:p>
      <w:pPr>
        <w:ind w:left="316" w:right="100"/>
        <w:spacing w:after="0" w:line="285" w:lineRule="auto"/>
        <w:rPr>
          <w:sz w:val="20"/>
          <w:szCs w:val="20"/>
          <w:color w:val="auto"/>
        </w:rPr>
      </w:pPr>
      <w:r>
        <w:rPr>
          <w:rFonts w:ascii="Arial" w:cs="Arial" w:eastAsia="Arial" w:hAnsi="Arial"/>
          <w:sz w:val="17"/>
          <w:szCs w:val="17"/>
          <w:color w:val="auto"/>
        </w:rPr>
        <w:t>All assets and liabilities for which fair value is measured or disclosed in the consolidated financial statements are categorized within the fair value hierarchy, described as follows, based on the lowest level of input used that is significant to the fair value measurement as a whole:</w:t>
      </w:r>
    </w:p>
    <w:p>
      <w:pPr>
        <w:spacing w:after="0" w:line="159" w:lineRule="exact"/>
        <w:rPr>
          <w:sz w:val="20"/>
          <w:szCs w:val="20"/>
          <w:color w:val="auto"/>
        </w:rPr>
      </w:pPr>
    </w:p>
    <w:p>
      <w:pPr>
        <w:ind w:left="616" w:hanging="304"/>
        <w:spacing w:after="0"/>
        <w:tabs>
          <w:tab w:leader="none" w:pos="616" w:val="left"/>
        </w:tabs>
        <w:numPr>
          <w:ilvl w:val="0"/>
          <w:numId w:val="44"/>
        </w:numPr>
        <w:rPr>
          <w:rFonts w:ascii="Arial" w:cs="Arial" w:eastAsia="Arial" w:hAnsi="Arial"/>
          <w:sz w:val="17"/>
          <w:szCs w:val="17"/>
          <w:color w:val="auto"/>
        </w:rPr>
      </w:pPr>
      <w:r>
        <w:rPr>
          <w:rFonts w:ascii="Arial" w:cs="Arial" w:eastAsia="Arial" w:hAnsi="Arial"/>
          <w:sz w:val="17"/>
          <w:szCs w:val="17"/>
          <w:color w:val="auto"/>
        </w:rPr>
        <w:t>Level 1 - Quoted (unadjusted) market prices in active markets for identical assets or liabilities.</w:t>
      </w:r>
    </w:p>
    <w:p>
      <w:pPr>
        <w:spacing w:after="0" w:line="24" w:lineRule="exact"/>
        <w:rPr>
          <w:rFonts w:ascii="Arial" w:cs="Arial" w:eastAsia="Arial" w:hAnsi="Arial"/>
          <w:sz w:val="17"/>
          <w:szCs w:val="17"/>
          <w:color w:val="auto"/>
        </w:rPr>
      </w:pPr>
    </w:p>
    <w:p>
      <w:pPr>
        <w:ind w:left="616" w:hanging="304"/>
        <w:spacing w:after="0"/>
        <w:tabs>
          <w:tab w:leader="none" w:pos="616" w:val="left"/>
        </w:tabs>
        <w:numPr>
          <w:ilvl w:val="0"/>
          <w:numId w:val="44"/>
        </w:numPr>
        <w:rPr>
          <w:rFonts w:ascii="Arial" w:cs="Arial" w:eastAsia="Arial" w:hAnsi="Arial"/>
          <w:sz w:val="16"/>
          <w:szCs w:val="16"/>
          <w:color w:val="auto"/>
        </w:rPr>
      </w:pPr>
      <w:r>
        <w:rPr>
          <w:rFonts w:ascii="Arial" w:cs="Arial" w:eastAsia="Arial" w:hAnsi="Arial"/>
          <w:sz w:val="16"/>
          <w:szCs w:val="16"/>
          <w:color w:val="auto"/>
        </w:rPr>
        <w:t>Level 2 - Valuation techniques for which the lowest level input that is significant to the fair value measurement is directly or indirectly observable.</w:t>
      </w:r>
    </w:p>
    <w:p>
      <w:pPr>
        <w:spacing w:after="0" w:line="23" w:lineRule="exact"/>
        <w:rPr>
          <w:rFonts w:ascii="Arial" w:cs="Arial" w:eastAsia="Arial" w:hAnsi="Arial"/>
          <w:sz w:val="16"/>
          <w:szCs w:val="16"/>
          <w:color w:val="auto"/>
        </w:rPr>
      </w:pPr>
    </w:p>
    <w:p>
      <w:pPr>
        <w:ind w:left="616" w:hanging="304"/>
        <w:spacing w:after="0"/>
        <w:tabs>
          <w:tab w:leader="none" w:pos="616" w:val="left"/>
        </w:tabs>
        <w:numPr>
          <w:ilvl w:val="0"/>
          <w:numId w:val="44"/>
        </w:numPr>
        <w:rPr>
          <w:rFonts w:ascii="Arial" w:cs="Arial" w:eastAsia="Arial" w:hAnsi="Arial"/>
          <w:sz w:val="17"/>
          <w:szCs w:val="17"/>
          <w:color w:val="auto"/>
        </w:rPr>
      </w:pPr>
      <w:r>
        <w:rPr>
          <w:rFonts w:ascii="Arial" w:cs="Arial" w:eastAsia="Arial" w:hAnsi="Arial"/>
          <w:sz w:val="17"/>
          <w:szCs w:val="17"/>
          <w:color w:val="auto"/>
        </w:rPr>
        <w:t>Level 3 - Valuation techniques for which the lowest level input that is significant to the fair value measurement is unobservable.</w:t>
      </w:r>
    </w:p>
    <w:p>
      <w:pPr>
        <w:spacing w:after="0" w:line="208" w:lineRule="exact"/>
        <w:rPr>
          <w:sz w:val="20"/>
          <w:szCs w:val="20"/>
          <w:color w:val="auto"/>
        </w:rPr>
      </w:pPr>
    </w:p>
    <w:p>
      <w:pPr>
        <w:ind w:left="316" w:right="40"/>
        <w:spacing w:after="0" w:line="285" w:lineRule="auto"/>
        <w:rPr>
          <w:sz w:val="20"/>
          <w:szCs w:val="20"/>
          <w:color w:val="auto"/>
        </w:rPr>
      </w:pPr>
      <w:r>
        <w:rPr>
          <w:rFonts w:ascii="Arial" w:cs="Arial" w:eastAsia="Arial" w:hAnsi="Arial"/>
          <w:sz w:val="17"/>
          <w:szCs w:val="17"/>
          <w:color w:val="auto"/>
        </w:rPr>
        <w:t>For assets and liabilities that are recognized at fair value in the consolidated financial statements on a recurring basis, the Group determines whether transfers have occurred between levels in the hierarchy by re-assessing categorization at the end of each reporting period.</w:t>
      </w:r>
    </w:p>
    <w:p>
      <w:pPr>
        <w:spacing w:after="0" w:line="159" w:lineRule="exact"/>
        <w:rPr>
          <w:sz w:val="20"/>
          <w:szCs w:val="20"/>
          <w:color w:val="auto"/>
        </w:rPr>
      </w:pPr>
    </w:p>
    <w:p>
      <w:pPr>
        <w:ind w:left="316" w:right="180"/>
        <w:spacing w:after="0" w:line="285" w:lineRule="auto"/>
        <w:rPr>
          <w:sz w:val="20"/>
          <w:szCs w:val="20"/>
          <w:color w:val="auto"/>
        </w:rPr>
      </w:pPr>
      <w:r>
        <w:rPr>
          <w:rFonts w:ascii="Arial" w:cs="Arial" w:eastAsia="Arial" w:hAnsi="Arial"/>
          <w:sz w:val="17"/>
          <w:szCs w:val="17"/>
          <w:color w:val="auto"/>
        </w:rPr>
        <w:t>For the purpose of fair value disclosures, the Group has determined classes of assets and liabilities on the basis of the nature, characteristics and risks of the asset or liability and the level of the fair value hierarchy as explained above.</w:t>
      </w:r>
    </w:p>
    <w:p>
      <w:pPr>
        <w:spacing w:after="0" w:line="159" w:lineRule="exact"/>
        <w:rPr>
          <w:sz w:val="20"/>
          <w:szCs w:val="20"/>
          <w:color w:val="auto"/>
        </w:rPr>
      </w:pPr>
    </w:p>
    <w:p>
      <w:pPr>
        <w:ind w:left="316"/>
        <w:spacing w:after="0"/>
        <w:rPr>
          <w:sz w:val="20"/>
          <w:szCs w:val="20"/>
          <w:color w:val="auto"/>
        </w:rPr>
      </w:pPr>
      <w:r>
        <w:rPr>
          <w:rFonts w:ascii="Arial" w:cs="Arial" w:eastAsia="Arial" w:hAnsi="Arial"/>
          <w:sz w:val="17"/>
          <w:szCs w:val="17"/>
          <w:color w:val="auto"/>
        </w:rPr>
        <w:t>Also, fair values of financial instruments measured at amortized cost are disclosed in Note 32.7(b).</w:t>
      </w:r>
    </w:p>
    <w:p>
      <w:pPr>
        <w:spacing w:after="0" w:line="220" w:lineRule="exact"/>
        <w:rPr>
          <w:sz w:val="20"/>
          <w:szCs w:val="20"/>
          <w:color w:val="auto"/>
        </w:rPr>
      </w:pPr>
    </w:p>
    <w:p>
      <w:pPr>
        <w:ind w:left="316" w:hanging="316"/>
        <w:spacing w:after="0"/>
        <w:tabs>
          <w:tab w:leader="none" w:pos="316" w:val="left"/>
        </w:tabs>
        <w:numPr>
          <w:ilvl w:val="0"/>
          <w:numId w:val="45"/>
        </w:numPr>
        <w:rPr>
          <w:rFonts w:ascii="Arial" w:cs="Arial" w:eastAsia="Arial" w:hAnsi="Arial"/>
          <w:sz w:val="17"/>
          <w:szCs w:val="17"/>
          <w:color w:val="auto"/>
        </w:rPr>
      </w:pPr>
      <w:r>
        <w:rPr>
          <w:rFonts w:ascii="Arial" w:cs="Arial" w:eastAsia="Arial" w:hAnsi="Arial"/>
          <w:sz w:val="17"/>
          <w:szCs w:val="17"/>
          <w:color w:val="auto"/>
        </w:rPr>
        <w:t>Segment reporting -</w:t>
      </w:r>
    </w:p>
    <w:p>
      <w:pPr>
        <w:spacing w:after="0" w:line="220" w:lineRule="exact"/>
        <w:rPr>
          <w:rFonts w:ascii="Arial" w:cs="Arial" w:eastAsia="Arial" w:hAnsi="Arial"/>
          <w:sz w:val="17"/>
          <w:szCs w:val="17"/>
          <w:color w:val="auto"/>
        </w:rPr>
      </w:pPr>
    </w:p>
    <w:p>
      <w:pPr>
        <w:ind w:left="316" w:right="120"/>
        <w:spacing w:after="0" w:line="262" w:lineRule="auto"/>
        <w:rPr>
          <w:rFonts w:ascii="Arial" w:cs="Arial" w:eastAsia="Arial" w:hAnsi="Arial"/>
          <w:sz w:val="17"/>
          <w:szCs w:val="17"/>
          <w:color w:val="auto"/>
        </w:rPr>
      </w:pPr>
      <w:r>
        <w:rPr>
          <w:rFonts w:ascii="Arial" w:cs="Arial" w:eastAsia="Arial" w:hAnsi="Arial"/>
          <w:sz w:val="17"/>
          <w:szCs w:val="17"/>
          <w:color w:val="auto"/>
        </w:rPr>
        <w:t>The Group reports financial and descriptive information about its reportable segments. Reportable segments are operating segments or aggregations of operating segments that meet specified criteria. Operating segments are a component of an entity for which separate financial information is available that is evaluated regularly by the entity’s Chief Operating Decision Maker (“CODM”) in making decisions about how to allocate resources and in assessing performance. Generally, financial information is required to be reported on the same basis as it is used internally for evaluating operating segments’ performance and deciding how to allocate resources to segments, Note 29.</w:t>
      </w:r>
    </w:p>
    <w:p>
      <w:pPr>
        <w:spacing w:after="0" w:line="388" w:lineRule="exact"/>
        <w:rPr>
          <w:rFonts w:ascii="Arial" w:cs="Arial" w:eastAsia="Arial" w:hAnsi="Arial"/>
          <w:sz w:val="17"/>
          <w:szCs w:val="17"/>
          <w:color w:val="auto"/>
        </w:rPr>
      </w:pPr>
    </w:p>
    <w:p>
      <w:pPr>
        <w:ind w:left="5636" w:hanging="107"/>
        <w:spacing w:after="0"/>
        <w:tabs>
          <w:tab w:leader="none" w:pos="5636" w:val="left"/>
        </w:tabs>
        <w:numPr>
          <w:ilvl w:val="1"/>
          <w:numId w:val="45"/>
        </w:numPr>
        <w:rPr>
          <w:rFonts w:ascii="Arial" w:cs="Arial" w:eastAsia="Arial" w:hAnsi="Arial"/>
          <w:sz w:val="17"/>
          <w:szCs w:val="17"/>
          <w:color w:val="auto"/>
        </w:rPr>
      </w:pPr>
      <w:r>
        <w:rPr>
          <w:rFonts w:ascii="Arial" w:cs="Arial" w:eastAsia="Arial" w:hAnsi="Arial"/>
          <w:sz w:val="17"/>
          <w:szCs w:val="17"/>
          <w:color w:val="auto"/>
        </w:rPr>
        <w:t>43 -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15875</wp:posOffset>
            </wp:positionV>
            <wp:extent cx="725170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51700" cy="8255"/>
                    </a:xfrm>
                    <a:prstGeom prst="rect">
                      <a:avLst/>
                    </a:prstGeom>
                    <a:noFill/>
                  </pic:spPr>
                </pic:pic>
              </a:graphicData>
            </a:graphic>
          </wp:anchor>
        </w:drawing>
      </w:r>
    </w:p>
    <w:p>
      <w:pPr>
        <w:sectPr>
          <w:pgSz w:w="11900" w:h="16838" w:orient="portrait"/>
          <w:cols w:equalWidth="0" w:num="1">
            <w:col w:w="11256"/>
          </w:cols>
          <w:pgMar w:left="244" w:top="881" w:right="399" w:bottom="1440" w:gutter="0" w:footer="0" w:header="0"/>
        </w:sectPr>
      </w:pPr>
    </w:p>
    <w:bookmarkStart w:id="49" w:name="page50"/>
    <w:bookmarkEnd w:id="49"/>
    <w:p>
      <w:pPr>
        <w:spacing w:after="0"/>
        <w:rPr>
          <w:sz w:val="20"/>
          <w:szCs w:val="20"/>
          <w:color w:val="auto"/>
        </w:rPr>
      </w:pPr>
      <w:r>
        <w:rPr>
          <w:rFonts w:ascii="Arial" w:cs="Arial" w:eastAsia="Arial" w:hAnsi="Arial"/>
          <w:sz w:val="17"/>
          <w:szCs w:val="17"/>
          <w:color w:val="auto"/>
        </w:rPr>
        <w:t>ab) Fiduciary activities, management of funds and pension funds –</w:t>
      </w:r>
    </w:p>
    <w:p>
      <w:pPr>
        <w:spacing w:after="0" w:line="220" w:lineRule="exact"/>
        <w:rPr>
          <w:sz w:val="20"/>
          <w:szCs w:val="20"/>
          <w:color w:val="auto"/>
        </w:rPr>
      </w:pPr>
    </w:p>
    <w:p>
      <w:pPr>
        <w:ind w:left="320" w:right="260"/>
        <w:spacing w:after="0" w:line="318" w:lineRule="auto"/>
        <w:rPr>
          <w:sz w:val="20"/>
          <w:szCs w:val="20"/>
          <w:color w:val="auto"/>
        </w:rPr>
      </w:pPr>
      <w:r>
        <w:rPr>
          <w:rFonts w:ascii="Arial" w:cs="Arial" w:eastAsia="Arial" w:hAnsi="Arial"/>
          <w:sz w:val="16"/>
          <w:szCs w:val="16"/>
          <w:color w:val="auto"/>
        </w:rPr>
        <w:t>The Group provides custody, trustee, investment management and advisory services to third parties that result in the holding of assets on their behalf. These assets and income arising thereon are excluded from these consolidated financial statements, as they are not assets of the Group, Note 32.8.</w:t>
      </w:r>
    </w:p>
    <w:p>
      <w:pPr>
        <w:spacing w:after="0" w:line="136" w:lineRule="exact"/>
        <w:rPr>
          <w:sz w:val="20"/>
          <w:szCs w:val="20"/>
          <w:color w:val="auto"/>
        </w:rPr>
      </w:pPr>
    </w:p>
    <w:p>
      <w:pPr>
        <w:ind w:left="320"/>
        <w:spacing w:after="0"/>
        <w:rPr>
          <w:sz w:val="20"/>
          <w:szCs w:val="20"/>
          <w:color w:val="auto"/>
        </w:rPr>
      </w:pPr>
      <w:r>
        <w:rPr>
          <w:rFonts w:ascii="Arial" w:cs="Arial" w:eastAsia="Arial" w:hAnsi="Arial"/>
          <w:sz w:val="17"/>
          <w:szCs w:val="17"/>
          <w:color w:val="auto"/>
        </w:rPr>
        <w:t>Commissions generated for these activities are included in “Other income” of the consolidated statement of income.</w:t>
      </w:r>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color w:val="auto"/>
        </w:rPr>
        <w:t>ac) Cash and cash equivalents -</w:t>
      </w:r>
    </w:p>
    <w:p>
      <w:pPr>
        <w:spacing w:after="0" w:line="220" w:lineRule="exact"/>
        <w:rPr>
          <w:sz w:val="20"/>
          <w:szCs w:val="20"/>
          <w:color w:val="auto"/>
        </w:rPr>
      </w:pPr>
    </w:p>
    <w:p>
      <w:pPr>
        <w:ind w:left="320" w:right="120"/>
        <w:spacing w:after="0" w:line="270" w:lineRule="auto"/>
        <w:rPr>
          <w:sz w:val="20"/>
          <w:szCs w:val="20"/>
          <w:color w:val="auto"/>
        </w:rPr>
      </w:pPr>
      <w:r>
        <w:rPr>
          <w:rFonts w:ascii="Arial" w:cs="Arial" w:eastAsia="Arial" w:hAnsi="Arial"/>
          <w:sz w:val="17"/>
          <w:szCs w:val="17"/>
          <w:color w:val="auto"/>
        </w:rPr>
        <w:t>For the purpose of the consolidated statement of cash flows, cash and cash equivalents comprise balances of cash and non-restricted balances with central banks, overnight deposits, time deposits and amounts due from banks with maturities of three months or less from the date of acquisition, excluding restricted balances See Note 4.</w:t>
      </w:r>
    </w:p>
    <w:p>
      <w:pPr>
        <w:spacing w:after="0" w:line="172" w:lineRule="exact"/>
        <w:rPr>
          <w:sz w:val="20"/>
          <w:szCs w:val="20"/>
          <w:color w:val="auto"/>
        </w:rPr>
      </w:pPr>
    </w:p>
    <w:p>
      <w:pPr>
        <w:ind w:left="320" w:right="280"/>
        <w:spacing w:after="0" w:line="285" w:lineRule="auto"/>
        <w:rPr>
          <w:sz w:val="20"/>
          <w:szCs w:val="20"/>
          <w:color w:val="auto"/>
        </w:rPr>
      </w:pPr>
      <w:r>
        <w:rPr>
          <w:rFonts w:ascii="Arial" w:cs="Arial" w:eastAsia="Arial" w:hAnsi="Arial"/>
          <w:sz w:val="17"/>
          <w:szCs w:val="17"/>
          <w:color w:val="auto"/>
        </w:rPr>
        <w:t>Cash collateral pledged as a part of a repurchase agreement is presented in “Cash collateral, reverse repurchase agreement and securities borrowings” in the consolidated statement of financial position, See Note 5(a).</w:t>
      </w:r>
    </w:p>
    <w:p>
      <w:pPr>
        <w:spacing w:after="0" w:line="159" w:lineRule="exact"/>
        <w:rPr>
          <w:sz w:val="20"/>
          <w:szCs w:val="20"/>
          <w:color w:val="auto"/>
        </w:rPr>
      </w:pPr>
    </w:p>
    <w:p>
      <w:pPr>
        <w:ind w:left="320"/>
        <w:spacing w:after="0" w:line="285" w:lineRule="auto"/>
        <w:rPr>
          <w:sz w:val="20"/>
          <w:szCs w:val="20"/>
          <w:color w:val="auto"/>
        </w:rPr>
      </w:pPr>
      <w:r>
        <w:rPr>
          <w:rFonts w:ascii="Arial" w:cs="Arial" w:eastAsia="Arial" w:hAnsi="Arial"/>
          <w:sz w:val="17"/>
          <w:szCs w:val="17"/>
          <w:color w:val="auto"/>
        </w:rPr>
        <w:t>Cash collateral pledged in the negotiation of derivative financial instrument and others are presented in “Other assets” in the consolidated statement of financial position, See Note 12.</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color w:val="auto"/>
        </w:rPr>
        <w:t>ad) International Financial Reporting Standards issued but not yet effective -</w:t>
      </w:r>
    </w:p>
    <w:p>
      <w:pPr>
        <w:spacing w:after="0" w:line="220"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Group decided not to early adopt the following standards and interpretations that were issued but are not effective as of December 31, 2017:</w:t>
      </w:r>
    </w:p>
    <w:p>
      <w:pPr>
        <w:spacing w:after="0" w:line="220" w:lineRule="exact"/>
        <w:rPr>
          <w:sz w:val="20"/>
          <w:szCs w:val="20"/>
          <w:color w:val="auto"/>
        </w:rPr>
      </w:pPr>
    </w:p>
    <w:p>
      <w:pPr>
        <w:ind w:left="620" w:hanging="304"/>
        <w:spacing w:after="0"/>
        <w:tabs>
          <w:tab w:leader="none" w:pos="620" w:val="left"/>
        </w:tabs>
        <w:numPr>
          <w:ilvl w:val="0"/>
          <w:numId w:val="46"/>
        </w:numPr>
        <w:rPr>
          <w:rFonts w:ascii="Arial" w:cs="Arial" w:eastAsia="Arial" w:hAnsi="Arial"/>
          <w:sz w:val="17"/>
          <w:szCs w:val="17"/>
          <w:color w:val="auto"/>
        </w:rPr>
      </w:pPr>
      <w:r>
        <w:rPr>
          <w:rFonts w:ascii="Arial" w:cs="Arial" w:eastAsia="Arial" w:hAnsi="Arial"/>
          <w:sz w:val="17"/>
          <w:szCs w:val="17"/>
          <w:color w:val="auto"/>
        </w:rPr>
        <w:t>IFRS 9 “Financial Instruments” -</w:t>
      </w:r>
    </w:p>
    <w:p>
      <w:pPr>
        <w:spacing w:after="0" w:line="220" w:lineRule="exact"/>
        <w:rPr>
          <w:rFonts w:ascii="Arial" w:cs="Arial" w:eastAsia="Arial" w:hAnsi="Arial"/>
          <w:sz w:val="17"/>
          <w:szCs w:val="17"/>
          <w:color w:val="auto"/>
        </w:rPr>
      </w:pPr>
    </w:p>
    <w:p>
      <w:pPr>
        <w:ind w:left="620" w:right="300"/>
        <w:spacing w:after="0" w:line="285" w:lineRule="auto"/>
        <w:rPr>
          <w:rFonts w:ascii="Arial" w:cs="Arial" w:eastAsia="Arial" w:hAnsi="Arial"/>
          <w:sz w:val="17"/>
          <w:szCs w:val="17"/>
          <w:color w:val="auto"/>
        </w:rPr>
      </w:pPr>
      <w:r>
        <w:rPr>
          <w:rFonts w:ascii="Arial" w:cs="Arial" w:eastAsia="Arial" w:hAnsi="Arial"/>
          <w:sz w:val="17"/>
          <w:szCs w:val="17"/>
          <w:color w:val="auto"/>
        </w:rPr>
        <w:t>In July 2014, the IASB issued the complete version of IFRS 9, which combines the phases of classification and measurement, impairment and hedging accounting of the IASB project to replaces IAS 39 “Financial instruments: Measurement and Recognition”.</w:t>
      </w:r>
    </w:p>
    <w:p>
      <w:pPr>
        <w:spacing w:after="0" w:line="159" w:lineRule="exact"/>
        <w:rPr>
          <w:rFonts w:ascii="Arial" w:cs="Arial" w:eastAsia="Arial" w:hAnsi="Arial"/>
          <w:sz w:val="17"/>
          <w:szCs w:val="17"/>
          <w:color w:val="auto"/>
        </w:rPr>
      </w:pPr>
    </w:p>
    <w:p>
      <w:pPr>
        <w:ind w:left="620"/>
        <w:spacing w:after="0"/>
        <w:rPr>
          <w:rFonts w:ascii="Arial" w:cs="Arial" w:eastAsia="Arial" w:hAnsi="Arial"/>
          <w:sz w:val="17"/>
          <w:szCs w:val="17"/>
          <w:color w:val="auto"/>
        </w:rPr>
      </w:pPr>
      <w:r>
        <w:rPr>
          <w:rFonts w:ascii="Arial" w:cs="Arial" w:eastAsia="Arial" w:hAnsi="Arial"/>
          <w:sz w:val="17"/>
          <w:szCs w:val="17"/>
          <w:color w:val="auto"/>
        </w:rPr>
        <w:t>Classification and measurement:</w:t>
      </w:r>
    </w:p>
    <w:p>
      <w:pPr>
        <w:spacing w:after="0" w:line="220" w:lineRule="exact"/>
        <w:rPr>
          <w:rFonts w:ascii="Arial" w:cs="Arial" w:eastAsia="Arial" w:hAnsi="Arial"/>
          <w:sz w:val="17"/>
          <w:szCs w:val="17"/>
          <w:color w:val="auto"/>
        </w:rPr>
      </w:pPr>
    </w:p>
    <w:p>
      <w:pPr>
        <w:ind w:left="620"/>
        <w:spacing w:after="0"/>
        <w:rPr>
          <w:rFonts w:ascii="Arial" w:cs="Arial" w:eastAsia="Arial" w:hAnsi="Arial"/>
          <w:sz w:val="17"/>
          <w:szCs w:val="17"/>
          <w:color w:val="auto"/>
        </w:rPr>
      </w:pPr>
      <w:r>
        <w:rPr>
          <w:rFonts w:ascii="Arial" w:cs="Arial" w:eastAsia="Arial" w:hAnsi="Arial"/>
          <w:sz w:val="15"/>
          <w:szCs w:val="15"/>
          <w:color w:val="auto"/>
        </w:rPr>
        <w:t>IFRS 9 establishes three categories of classification: Amortized cost, fair value through other comprehensive income and fair value through profit or loss.</w:t>
      </w:r>
    </w:p>
    <w:p>
      <w:pPr>
        <w:spacing w:after="0" w:line="243" w:lineRule="exact"/>
        <w:rPr>
          <w:rFonts w:ascii="Arial" w:cs="Arial" w:eastAsia="Arial" w:hAnsi="Arial"/>
          <w:sz w:val="17"/>
          <w:szCs w:val="17"/>
          <w:color w:val="auto"/>
        </w:rPr>
      </w:pPr>
    </w:p>
    <w:p>
      <w:pPr>
        <w:ind w:left="620" w:right="320"/>
        <w:spacing w:after="0" w:line="318" w:lineRule="auto"/>
        <w:rPr>
          <w:rFonts w:ascii="Arial" w:cs="Arial" w:eastAsia="Arial" w:hAnsi="Arial"/>
          <w:sz w:val="17"/>
          <w:szCs w:val="17"/>
          <w:color w:val="auto"/>
        </w:rPr>
      </w:pPr>
      <w:r>
        <w:rPr>
          <w:rFonts w:ascii="Arial" w:cs="Arial" w:eastAsia="Arial" w:hAnsi="Arial"/>
          <w:sz w:val="16"/>
          <w:szCs w:val="16"/>
          <w:color w:val="auto"/>
        </w:rPr>
        <w:t>A debt instrument is classified and measured at amortized cost if: a) the objective of the business model is to maintain the financial asset, to collect the contractual cash flows, and b) the contractual cash flows of the instrument only represent the payment of the principal and interest of the debt.</w:t>
      </w:r>
    </w:p>
    <w:p>
      <w:pPr>
        <w:spacing w:after="0" w:line="136" w:lineRule="exact"/>
        <w:rPr>
          <w:rFonts w:ascii="Arial" w:cs="Arial" w:eastAsia="Arial" w:hAnsi="Arial"/>
          <w:sz w:val="17"/>
          <w:szCs w:val="17"/>
          <w:color w:val="auto"/>
        </w:rPr>
      </w:pPr>
    </w:p>
    <w:p>
      <w:pPr>
        <w:ind w:left="620" w:right="280"/>
        <w:spacing w:after="0" w:line="270" w:lineRule="auto"/>
        <w:rPr>
          <w:rFonts w:ascii="Arial" w:cs="Arial" w:eastAsia="Arial" w:hAnsi="Arial"/>
          <w:sz w:val="17"/>
          <w:szCs w:val="17"/>
          <w:color w:val="auto"/>
        </w:rPr>
      </w:pPr>
      <w:r>
        <w:rPr>
          <w:rFonts w:ascii="Arial" w:cs="Arial" w:eastAsia="Arial" w:hAnsi="Arial"/>
          <w:sz w:val="17"/>
          <w:szCs w:val="17"/>
          <w:color w:val="auto"/>
        </w:rPr>
        <w:t>Likewise, a debt instrument is classified and measured at fair value through other comprehensive income if: a) the objective of the business model is to maintain the financial asset, both to collect the contractual cash flows, as well as to sell them, and b) the contractual cash flows of the instrument only represent the payment of the principal and interest of the debt.</w:t>
      </w:r>
    </w:p>
    <w:p>
      <w:pPr>
        <w:spacing w:after="0" w:line="171" w:lineRule="exact"/>
        <w:rPr>
          <w:rFonts w:ascii="Arial" w:cs="Arial" w:eastAsia="Arial" w:hAnsi="Arial"/>
          <w:sz w:val="17"/>
          <w:szCs w:val="17"/>
          <w:color w:val="auto"/>
        </w:rPr>
      </w:pPr>
    </w:p>
    <w:p>
      <w:pPr>
        <w:ind w:left="620"/>
        <w:spacing w:after="0"/>
        <w:rPr>
          <w:rFonts w:ascii="Arial" w:cs="Arial" w:eastAsia="Arial" w:hAnsi="Arial"/>
          <w:sz w:val="17"/>
          <w:szCs w:val="17"/>
          <w:color w:val="auto"/>
        </w:rPr>
      </w:pPr>
      <w:r>
        <w:rPr>
          <w:rFonts w:ascii="Arial" w:cs="Arial" w:eastAsia="Arial" w:hAnsi="Arial"/>
          <w:sz w:val="16"/>
          <w:szCs w:val="16"/>
          <w:color w:val="auto"/>
        </w:rPr>
        <w:t>All other debt instruments that do not satisfy the above-mentioned conditions must be classified and measured at fair value through profit or loss.</w:t>
      </w:r>
    </w:p>
    <w:p>
      <w:pPr>
        <w:spacing w:after="0" w:line="231" w:lineRule="exact"/>
        <w:rPr>
          <w:rFonts w:ascii="Arial" w:cs="Arial" w:eastAsia="Arial" w:hAnsi="Arial"/>
          <w:sz w:val="17"/>
          <w:szCs w:val="17"/>
          <w:color w:val="auto"/>
        </w:rPr>
      </w:pPr>
    </w:p>
    <w:p>
      <w:pPr>
        <w:ind w:left="620" w:right="20"/>
        <w:spacing w:after="0" w:line="270" w:lineRule="auto"/>
        <w:rPr>
          <w:rFonts w:ascii="Arial" w:cs="Arial" w:eastAsia="Arial" w:hAnsi="Arial"/>
          <w:sz w:val="17"/>
          <w:szCs w:val="17"/>
          <w:color w:val="auto"/>
        </w:rPr>
      </w:pPr>
      <w:r>
        <w:rPr>
          <w:rFonts w:ascii="Arial" w:cs="Arial" w:eastAsia="Arial" w:hAnsi="Arial"/>
          <w:sz w:val="17"/>
          <w:szCs w:val="17"/>
          <w:color w:val="auto"/>
        </w:rPr>
        <w:t>An equity instrument is classified at fair value through profit or loss, unless it is not maintained for trading purposes, in which case, an entity may make an irrevocable choice at its initial recognition, to classify it at fair value through other comprehensive income, without subsequently having to reclassify it to profit or loss.</w:t>
      </w:r>
    </w:p>
    <w:p>
      <w:pPr>
        <w:spacing w:after="0" w:line="379" w:lineRule="exact"/>
        <w:rPr>
          <w:rFonts w:ascii="Arial" w:cs="Arial" w:eastAsia="Arial" w:hAnsi="Arial"/>
          <w:sz w:val="17"/>
          <w:szCs w:val="17"/>
          <w:color w:val="auto"/>
        </w:rPr>
      </w:pPr>
    </w:p>
    <w:p>
      <w:pPr>
        <w:ind w:left="5640" w:hanging="107"/>
        <w:spacing w:after="0"/>
        <w:tabs>
          <w:tab w:leader="none" w:pos="5640" w:val="left"/>
        </w:tabs>
        <w:numPr>
          <w:ilvl w:val="1"/>
          <w:numId w:val="46"/>
        </w:numPr>
        <w:rPr>
          <w:rFonts w:ascii="Arial" w:cs="Arial" w:eastAsia="Arial" w:hAnsi="Arial"/>
          <w:sz w:val="17"/>
          <w:szCs w:val="17"/>
          <w:color w:val="auto"/>
        </w:rPr>
      </w:pPr>
      <w:r>
        <w:rPr>
          <w:rFonts w:ascii="Arial" w:cs="Arial" w:eastAsia="Arial" w:hAnsi="Arial"/>
          <w:sz w:val="17"/>
          <w:szCs w:val="17"/>
          <w:color w:val="auto"/>
        </w:rPr>
        <w:t>44 -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15875</wp:posOffset>
            </wp:positionV>
            <wp:extent cx="725170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51700" cy="8255"/>
                    </a:xfrm>
                    <a:prstGeom prst="rect">
                      <a:avLst/>
                    </a:prstGeom>
                    <a:noFill/>
                  </pic:spPr>
                </pic:pic>
              </a:graphicData>
            </a:graphic>
          </wp:anchor>
        </w:drawing>
      </w:r>
    </w:p>
    <w:p>
      <w:pPr>
        <w:sectPr>
          <w:pgSz w:w="11900" w:h="16838" w:orient="portrait"/>
          <w:cols w:equalWidth="0" w:num="1">
            <w:col w:w="11380"/>
          </w:cols>
          <w:pgMar w:left="240" w:top="881" w:right="279" w:bottom="1440" w:gutter="0" w:footer="0" w:header="0"/>
        </w:sectPr>
      </w:pPr>
    </w:p>
    <w:bookmarkStart w:id="50" w:name="page51"/>
    <w:bookmarkEnd w:id="50"/>
    <w:p>
      <w:pPr>
        <w:spacing w:after="0"/>
        <w:rPr>
          <w:sz w:val="20"/>
          <w:szCs w:val="20"/>
          <w:color w:val="auto"/>
        </w:rPr>
      </w:pPr>
      <w:r>
        <w:rPr>
          <w:rFonts w:ascii="Arial" w:cs="Arial" w:eastAsia="Arial" w:hAnsi="Arial"/>
          <w:sz w:val="16"/>
          <w:szCs w:val="16"/>
          <w:color w:val="auto"/>
        </w:rPr>
        <w:t>With regard to liabilities, most pre-existing requirements for classification and measurement previously included in IAS 39, have not changed in IFRS 9.</w:t>
      </w:r>
    </w:p>
    <w:p>
      <w:pPr>
        <w:spacing w:after="0" w:line="232" w:lineRule="exact"/>
        <w:rPr>
          <w:sz w:val="20"/>
          <w:szCs w:val="20"/>
          <w:color w:val="auto"/>
        </w:rPr>
      </w:pPr>
    </w:p>
    <w:p>
      <w:pPr>
        <w:spacing w:after="0"/>
        <w:rPr>
          <w:sz w:val="20"/>
          <w:szCs w:val="20"/>
          <w:color w:val="auto"/>
        </w:rPr>
      </w:pPr>
      <w:r>
        <w:rPr>
          <w:rFonts w:ascii="Arial" w:cs="Arial" w:eastAsia="Arial" w:hAnsi="Arial"/>
          <w:sz w:val="17"/>
          <w:szCs w:val="17"/>
          <w:color w:val="auto"/>
        </w:rPr>
        <w:t>Impairment:</w:t>
      </w:r>
    </w:p>
    <w:p>
      <w:pPr>
        <w:spacing w:after="0" w:line="220" w:lineRule="exact"/>
        <w:rPr>
          <w:sz w:val="20"/>
          <w:szCs w:val="20"/>
          <w:color w:val="auto"/>
        </w:rPr>
      </w:pPr>
    </w:p>
    <w:p>
      <w:pPr>
        <w:ind w:right="300"/>
        <w:spacing w:after="0" w:line="318" w:lineRule="auto"/>
        <w:rPr>
          <w:sz w:val="20"/>
          <w:szCs w:val="20"/>
          <w:color w:val="auto"/>
        </w:rPr>
      </w:pPr>
      <w:r>
        <w:rPr>
          <w:rFonts w:ascii="Arial" w:cs="Arial" w:eastAsia="Arial" w:hAnsi="Arial"/>
          <w:sz w:val="16"/>
          <w:szCs w:val="16"/>
          <w:color w:val="auto"/>
        </w:rPr>
        <w:t>IFRS 9 introduces a new model of impairment based on expected losses of the credit portfolio and other instruments which differ significantly from the current model “under IAS 39 of credit losses incurred”, and it is expected to result in the early recognition of credit losses.</w:t>
      </w:r>
    </w:p>
    <w:p>
      <w:pPr>
        <w:spacing w:after="0" w:line="136" w:lineRule="exact"/>
        <w:rPr>
          <w:sz w:val="20"/>
          <w:szCs w:val="20"/>
          <w:color w:val="auto"/>
        </w:rPr>
      </w:pPr>
    </w:p>
    <w:p>
      <w:pPr>
        <w:ind w:right="840"/>
        <w:spacing w:after="0" w:line="285" w:lineRule="auto"/>
        <w:rPr>
          <w:sz w:val="20"/>
          <w:szCs w:val="20"/>
          <w:color w:val="auto"/>
        </w:rPr>
      </w:pPr>
      <w:r>
        <w:rPr>
          <w:rFonts w:ascii="Arial" w:cs="Arial" w:eastAsia="Arial" w:hAnsi="Arial"/>
          <w:sz w:val="17"/>
          <w:szCs w:val="17"/>
          <w:color w:val="auto"/>
        </w:rPr>
        <w:t>The financial assets classified or designated at fair value through profit or loss and the capital instruments designated at fair value through other comprehensive income, are not subject to impairment assessment.</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color w:val="auto"/>
        </w:rPr>
        <w:t>Model of impairment of expected credit losses -</w:t>
      </w:r>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color w:val="auto"/>
        </w:rPr>
        <w:t>Under IFRS 9, provisions for credit losses will be measured at each reporting date, following a three phase model of expected credit losses:</w:t>
      </w:r>
    </w:p>
    <w:p>
      <w:pPr>
        <w:spacing w:after="0" w:line="220" w:lineRule="exact"/>
        <w:rPr>
          <w:sz w:val="20"/>
          <w:szCs w:val="20"/>
          <w:color w:val="auto"/>
        </w:rPr>
      </w:pPr>
    </w:p>
    <w:p>
      <w:pPr>
        <w:ind w:left="320" w:right="740" w:hanging="312"/>
        <w:spacing w:after="0" w:line="262" w:lineRule="auto"/>
        <w:tabs>
          <w:tab w:leader="none" w:pos="320" w:val="left"/>
        </w:tabs>
        <w:numPr>
          <w:ilvl w:val="0"/>
          <w:numId w:val="47"/>
        </w:numPr>
        <w:rPr>
          <w:rFonts w:ascii="Arial" w:cs="Arial" w:eastAsia="Arial" w:hAnsi="Arial"/>
          <w:sz w:val="17"/>
          <w:szCs w:val="17"/>
          <w:color w:val="auto"/>
        </w:rPr>
      </w:pPr>
      <w:r>
        <w:rPr>
          <w:rFonts w:ascii="Arial" w:cs="Arial" w:eastAsia="Arial" w:hAnsi="Arial"/>
          <w:sz w:val="17"/>
          <w:szCs w:val="17"/>
          <w:color w:val="auto"/>
        </w:rPr>
        <w:t>Phase 1: For financial assets of which the credit risk has not deteriorated significantly since its initial recognition, a reserve for losses will be recognized, equivalent to the credit losses which are expected to occur from defaults in the next 12 months.</w:t>
      </w:r>
    </w:p>
    <w:p>
      <w:pPr>
        <w:spacing w:after="0" w:line="1" w:lineRule="exact"/>
        <w:rPr>
          <w:rFonts w:ascii="Arial" w:cs="Arial" w:eastAsia="Arial" w:hAnsi="Arial"/>
          <w:sz w:val="17"/>
          <w:szCs w:val="17"/>
          <w:color w:val="auto"/>
        </w:rPr>
      </w:pPr>
    </w:p>
    <w:p>
      <w:pPr>
        <w:ind w:left="320" w:right="220" w:hanging="312"/>
        <w:spacing w:after="0" w:line="255" w:lineRule="auto"/>
        <w:tabs>
          <w:tab w:leader="none" w:pos="320" w:val="left"/>
        </w:tabs>
        <w:numPr>
          <w:ilvl w:val="0"/>
          <w:numId w:val="47"/>
        </w:numPr>
        <w:rPr>
          <w:rFonts w:ascii="Arial" w:cs="Arial" w:eastAsia="Arial" w:hAnsi="Arial"/>
          <w:sz w:val="17"/>
          <w:szCs w:val="17"/>
          <w:color w:val="auto"/>
        </w:rPr>
      </w:pPr>
      <w:r>
        <w:rPr>
          <w:rFonts w:ascii="Arial" w:cs="Arial" w:eastAsia="Arial" w:hAnsi="Arial"/>
          <w:sz w:val="17"/>
          <w:szCs w:val="17"/>
          <w:color w:val="auto"/>
        </w:rPr>
        <w:t>Phase 2: For financial assets which have presented a significant increase in their credit risk, a reserve for losses will be recognized, equivalent to the credit losses which are expected to occur during the remaining life of the asset.</w:t>
      </w:r>
    </w:p>
    <w:p>
      <w:pPr>
        <w:ind w:left="320" w:right="20" w:hanging="312"/>
        <w:spacing w:after="0" w:line="302" w:lineRule="auto"/>
        <w:tabs>
          <w:tab w:leader="none" w:pos="320" w:val="left"/>
        </w:tabs>
        <w:numPr>
          <w:ilvl w:val="0"/>
          <w:numId w:val="47"/>
        </w:numPr>
        <w:rPr>
          <w:rFonts w:ascii="Arial" w:cs="Arial" w:eastAsia="Arial" w:hAnsi="Arial"/>
          <w:sz w:val="16"/>
          <w:szCs w:val="16"/>
          <w:color w:val="auto"/>
        </w:rPr>
      </w:pPr>
      <w:r>
        <w:rPr>
          <w:rFonts w:ascii="Arial" w:cs="Arial" w:eastAsia="Arial" w:hAnsi="Arial"/>
          <w:sz w:val="16"/>
          <w:szCs w:val="16"/>
          <w:color w:val="auto"/>
        </w:rPr>
        <w:t>Phase 3: For financial assets with evidence of impairment at the reporting date a reserve for losses will be recognized, equivalent to the expected credit losses during the entire life of the asset. Interest income will be recognized based on the asset’s carrying amount, net of the loss reserve.</w:t>
      </w:r>
    </w:p>
    <w:p>
      <w:pPr>
        <w:spacing w:after="0" w:line="148" w:lineRule="exact"/>
        <w:rPr>
          <w:sz w:val="20"/>
          <w:szCs w:val="20"/>
          <w:color w:val="auto"/>
        </w:rPr>
      </w:pPr>
    </w:p>
    <w:p>
      <w:pPr>
        <w:ind w:right="160"/>
        <w:spacing w:after="0" w:line="318" w:lineRule="auto"/>
        <w:rPr>
          <w:sz w:val="20"/>
          <w:szCs w:val="20"/>
          <w:color w:val="auto"/>
        </w:rPr>
      </w:pPr>
      <w:r>
        <w:rPr>
          <w:rFonts w:ascii="Arial" w:cs="Arial" w:eastAsia="Arial" w:hAnsi="Arial"/>
          <w:sz w:val="16"/>
          <w:szCs w:val="16"/>
          <w:color w:val="auto"/>
        </w:rPr>
        <w:t>The reserves for credit losses of Phase 1 and Phase 2 effectively replace the general reserve determined for loans not yet identified as impaired under IAS 39, although the reserves for credit losses of Phase 3 effectively replace the general reserves determined for impaired loans.</w:t>
      </w:r>
    </w:p>
    <w:p>
      <w:pPr>
        <w:spacing w:after="0" w:line="136" w:lineRule="exact"/>
        <w:rPr>
          <w:sz w:val="20"/>
          <w:szCs w:val="20"/>
          <w:color w:val="auto"/>
        </w:rPr>
      </w:pPr>
    </w:p>
    <w:p>
      <w:pPr>
        <w:spacing w:after="0"/>
        <w:rPr>
          <w:sz w:val="20"/>
          <w:szCs w:val="20"/>
          <w:color w:val="auto"/>
        </w:rPr>
      </w:pPr>
      <w:r>
        <w:rPr>
          <w:rFonts w:ascii="Arial" w:cs="Arial" w:eastAsia="Arial" w:hAnsi="Arial"/>
          <w:sz w:val="17"/>
          <w:szCs w:val="17"/>
          <w:color w:val="auto"/>
        </w:rPr>
        <w:t>Measurement -</w:t>
      </w:r>
    </w:p>
    <w:p>
      <w:pPr>
        <w:spacing w:after="0" w:line="220" w:lineRule="exact"/>
        <w:rPr>
          <w:sz w:val="20"/>
          <w:szCs w:val="20"/>
          <w:color w:val="auto"/>
        </w:rPr>
      </w:pPr>
    </w:p>
    <w:p>
      <w:pPr>
        <w:spacing w:after="0" w:line="318" w:lineRule="auto"/>
        <w:rPr>
          <w:sz w:val="20"/>
          <w:szCs w:val="20"/>
          <w:color w:val="auto"/>
        </w:rPr>
      </w:pPr>
      <w:r>
        <w:rPr>
          <w:rFonts w:ascii="Arial" w:cs="Arial" w:eastAsia="Arial" w:hAnsi="Arial"/>
          <w:sz w:val="16"/>
          <w:szCs w:val="16"/>
          <w:color w:val="auto"/>
        </w:rPr>
        <w:t>The measurement of expected credit loss is mainly based on the product of the probability of default (PD), the loss given default (LGD) and the exposure at the time of default (EAD), discounted at the reporting date and considering the expected macroeconomic effects, all according to the new regulation.</w:t>
      </w:r>
    </w:p>
    <w:p>
      <w:pPr>
        <w:spacing w:after="0" w:line="136" w:lineRule="exact"/>
        <w:rPr>
          <w:sz w:val="20"/>
          <w:szCs w:val="20"/>
          <w:color w:val="auto"/>
        </w:rPr>
      </w:pPr>
    </w:p>
    <w:p>
      <w:pPr>
        <w:ind w:right="80"/>
        <w:spacing w:after="0" w:line="265" w:lineRule="auto"/>
        <w:rPr>
          <w:sz w:val="20"/>
          <w:szCs w:val="20"/>
          <w:color w:val="auto"/>
        </w:rPr>
      </w:pPr>
      <w:r>
        <w:rPr>
          <w:rFonts w:ascii="Arial" w:cs="Arial" w:eastAsia="Arial" w:hAnsi="Arial"/>
          <w:sz w:val="17"/>
          <w:szCs w:val="17"/>
          <w:color w:val="auto"/>
        </w:rPr>
        <w:t>The fundamental difference between the credit loss considered as Phase 1 and Phase 2 is the horizon of PD. The estimates of Phase 1 use a 12-month horizon, while those in Phase 2 use an expected loss calculated with the remaining term of the asset and it considers the effect of the significant increase in the risk. Finally, in Phase 3, the expected loss will be estimated based on the best estimate (“ELBE” from its initials in English), given the situation of the collection process of each asset.</w:t>
      </w:r>
    </w:p>
    <w:p>
      <w:pPr>
        <w:spacing w:after="0" w:line="176" w:lineRule="exact"/>
        <w:rPr>
          <w:sz w:val="20"/>
          <w:szCs w:val="20"/>
          <w:color w:val="auto"/>
        </w:rPr>
      </w:pPr>
    </w:p>
    <w:p>
      <w:pPr>
        <w:ind w:right="340"/>
        <w:spacing w:after="0" w:line="262" w:lineRule="auto"/>
        <w:rPr>
          <w:sz w:val="20"/>
          <w:szCs w:val="20"/>
          <w:color w:val="auto"/>
        </w:rPr>
      </w:pPr>
      <w:r>
        <w:rPr>
          <w:rFonts w:ascii="Arial" w:cs="Arial" w:eastAsia="Arial" w:hAnsi="Arial"/>
          <w:sz w:val="17"/>
          <w:szCs w:val="17"/>
          <w:color w:val="auto"/>
        </w:rPr>
        <w:t>The above method applies to all the portfolios, with the exception of some portfolios of reduced materiality and of which there is insufficient historical depth and/or loss experience.</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In these cases, simplified approaches will be applied, based on the reality of each portfolio and with reasonable supported and documented criteria.</w:t>
      </w:r>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color w:val="auto"/>
        </w:rPr>
        <w:t>Changes from one phase to another -</w:t>
      </w:r>
    </w:p>
    <w:p>
      <w:pPr>
        <w:spacing w:after="0" w:line="220" w:lineRule="exact"/>
        <w:rPr>
          <w:sz w:val="20"/>
          <w:szCs w:val="20"/>
          <w:color w:val="auto"/>
        </w:rPr>
      </w:pPr>
    </w:p>
    <w:p>
      <w:pPr>
        <w:ind w:right="140"/>
        <w:spacing w:after="0" w:line="285" w:lineRule="auto"/>
        <w:rPr>
          <w:sz w:val="20"/>
          <w:szCs w:val="20"/>
          <w:color w:val="auto"/>
        </w:rPr>
      </w:pPr>
      <w:r>
        <w:rPr>
          <w:rFonts w:ascii="Arial" w:cs="Arial" w:eastAsia="Arial" w:hAnsi="Arial"/>
          <w:sz w:val="17"/>
          <w:szCs w:val="17"/>
          <w:color w:val="auto"/>
        </w:rPr>
        <w:t>The classification of an instrument as phase 1 or phase 2 depends on the concept of “significant impairment” on the reporting date in comparison with the origination date. In this sense, the definition used considers the following criteria:</w:t>
      </w:r>
    </w:p>
    <w:p>
      <w:pPr>
        <w:spacing w:after="0" w:line="367" w:lineRule="exact"/>
        <w:rPr>
          <w:sz w:val="20"/>
          <w:szCs w:val="20"/>
          <w:color w:val="auto"/>
        </w:rPr>
      </w:pPr>
    </w:p>
    <w:p>
      <w:pPr>
        <w:ind w:left="4920"/>
        <w:spacing w:after="0"/>
        <w:rPr>
          <w:sz w:val="20"/>
          <w:szCs w:val="20"/>
          <w:color w:val="auto"/>
        </w:rPr>
      </w:pPr>
      <w:r>
        <w:rPr>
          <w:rFonts w:ascii="Arial" w:cs="Arial" w:eastAsia="Arial" w:hAnsi="Arial"/>
          <w:sz w:val="17"/>
          <w:szCs w:val="17"/>
          <w:color w:val="auto"/>
        </w:rPr>
        <w:t>- 45 -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-390525</wp:posOffset>
            </wp:positionH>
            <wp:positionV relativeFrom="paragraph">
              <wp:posOffset>15875</wp:posOffset>
            </wp:positionV>
            <wp:extent cx="725170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51700" cy="8255"/>
                    </a:xfrm>
                    <a:prstGeom prst="rect">
                      <a:avLst/>
                    </a:prstGeom>
                    <a:noFill/>
                  </pic:spPr>
                </pic:pic>
              </a:graphicData>
            </a:graphic>
          </wp:anchor>
        </w:drawing>
      </w:r>
    </w:p>
    <w:p>
      <w:pPr>
        <w:sectPr>
          <w:pgSz w:w="11900" w:h="16838" w:orient="portrait"/>
          <w:cols w:equalWidth="0" w:num="1">
            <w:col w:w="10800"/>
          </w:cols>
          <w:pgMar w:left="860" w:top="881" w:right="239" w:bottom="1440" w:gutter="0" w:footer="0" w:header="0"/>
        </w:sectPr>
      </w:pPr>
    </w:p>
    <w:bookmarkStart w:id="51" w:name="page52"/>
    <w:bookmarkEnd w:id="51"/>
    <w:p>
      <w:pPr>
        <w:ind w:left="320" w:hanging="312"/>
        <w:spacing w:after="0"/>
        <w:tabs>
          <w:tab w:leader="none" w:pos="320" w:val="left"/>
        </w:tabs>
        <w:numPr>
          <w:ilvl w:val="0"/>
          <w:numId w:val="48"/>
        </w:numPr>
        <w:rPr>
          <w:rFonts w:ascii="Arial" w:cs="Arial" w:eastAsia="Arial" w:hAnsi="Arial"/>
          <w:sz w:val="17"/>
          <w:szCs w:val="17"/>
          <w:color w:val="auto"/>
        </w:rPr>
      </w:pPr>
      <w:r>
        <w:rPr>
          <w:rFonts w:ascii="Arial" w:cs="Arial" w:eastAsia="Arial" w:hAnsi="Arial"/>
          <w:sz w:val="17"/>
          <w:szCs w:val="17"/>
          <w:color w:val="auto"/>
        </w:rPr>
        <w:t>An account is classified in phase 2 if it has been more than N days in arrears.</w:t>
      </w:r>
    </w:p>
    <w:p>
      <w:pPr>
        <w:spacing w:after="0" w:line="220" w:lineRule="exact"/>
        <w:rPr>
          <w:rFonts w:ascii="Arial" w:cs="Arial" w:eastAsia="Arial" w:hAnsi="Arial"/>
          <w:sz w:val="17"/>
          <w:szCs w:val="17"/>
          <w:color w:val="auto"/>
        </w:rPr>
      </w:pPr>
    </w:p>
    <w:p>
      <w:pPr>
        <w:ind w:left="320" w:hanging="312"/>
        <w:spacing w:after="0" w:line="285" w:lineRule="auto"/>
        <w:tabs>
          <w:tab w:leader="none" w:pos="320" w:val="left"/>
        </w:tabs>
        <w:numPr>
          <w:ilvl w:val="0"/>
          <w:numId w:val="48"/>
        </w:numPr>
        <w:rPr>
          <w:rFonts w:ascii="Arial" w:cs="Arial" w:eastAsia="Arial" w:hAnsi="Arial"/>
          <w:sz w:val="17"/>
          <w:szCs w:val="17"/>
          <w:color w:val="auto"/>
        </w:rPr>
      </w:pPr>
      <w:r>
        <w:rPr>
          <w:rFonts w:ascii="Arial" w:cs="Arial" w:eastAsia="Arial" w:hAnsi="Arial"/>
          <w:sz w:val="17"/>
          <w:szCs w:val="17"/>
          <w:color w:val="auto"/>
        </w:rPr>
        <w:t>Risk thresholds have been established based on the internal models and on relative thresholds of differences (by portfolio and risk level) in which the instrument originated.</w:t>
      </w:r>
    </w:p>
    <w:p>
      <w:pPr>
        <w:spacing w:after="0" w:line="159" w:lineRule="exact"/>
        <w:rPr>
          <w:rFonts w:ascii="Arial" w:cs="Arial" w:eastAsia="Arial" w:hAnsi="Arial"/>
          <w:sz w:val="17"/>
          <w:szCs w:val="17"/>
          <w:color w:val="auto"/>
        </w:rPr>
      </w:pPr>
    </w:p>
    <w:p>
      <w:pPr>
        <w:ind w:left="320" w:hanging="312"/>
        <w:spacing w:after="0" w:line="285" w:lineRule="auto"/>
        <w:tabs>
          <w:tab w:leader="none" w:pos="320" w:val="left"/>
        </w:tabs>
        <w:numPr>
          <w:ilvl w:val="0"/>
          <w:numId w:val="48"/>
        </w:numPr>
        <w:rPr>
          <w:rFonts w:ascii="Arial" w:cs="Arial" w:eastAsia="Arial" w:hAnsi="Arial"/>
          <w:sz w:val="17"/>
          <w:szCs w:val="17"/>
          <w:color w:val="auto"/>
        </w:rPr>
      </w:pPr>
      <w:r>
        <w:rPr>
          <w:rFonts w:ascii="Arial" w:cs="Arial" w:eastAsia="Arial" w:hAnsi="Arial"/>
          <w:sz w:val="17"/>
          <w:szCs w:val="17"/>
          <w:color w:val="auto"/>
        </w:rPr>
        <w:t>The follow up, warning and monitoring systems of the risk portfolios which depend on the current risk policy in Wholesale and Retail Banking, are integrated.</w:t>
      </w:r>
    </w:p>
    <w:p>
      <w:pPr>
        <w:spacing w:after="0" w:line="159" w:lineRule="exact"/>
        <w:rPr>
          <w:sz w:val="20"/>
          <w:szCs w:val="20"/>
          <w:color w:val="auto"/>
        </w:rPr>
      </w:pPr>
    </w:p>
    <w:p>
      <w:pPr>
        <w:spacing w:after="0" w:line="318" w:lineRule="auto"/>
        <w:rPr>
          <w:sz w:val="20"/>
          <w:szCs w:val="20"/>
          <w:color w:val="auto"/>
        </w:rPr>
      </w:pPr>
      <w:r>
        <w:rPr>
          <w:rFonts w:ascii="Arial" w:cs="Arial" w:eastAsia="Arial" w:hAnsi="Arial"/>
          <w:sz w:val="16"/>
          <w:szCs w:val="16"/>
          <w:color w:val="auto"/>
        </w:rPr>
        <w:t>Additionally, all those accounts which are classified as in default at the reporting date are considered as phase 3. The evaluations of significant risk increase and credit impairment are carried out independently at each reporting date. Assets can move in both directions from one phase to another.</w:t>
      </w:r>
    </w:p>
    <w:p>
      <w:pPr>
        <w:spacing w:after="0" w:line="136" w:lineRule="exact"/>
        <w:rPr>
          <w:sz w:val="20"/>
          <w:szCs w:val="20"/>
          <w:color w:val="auto"/>
        </w:rPr>
      </w:pPr>
    </w:p>
    <w:p>
      <w:pPr>
        <w:spacing w:after="0"/>
        <w:rPr>
          <w:sz w:val="20"/>
          <w:szCs w:val="20"/>
          <w:color w:val="auto"/>
        </w:rPr>
      </w:pPr>
      <w:r>
        <w:rPr>
          <w:rFonts w:ascii="Arial" w:cs="Arial" w:eastAsia="Arial" w:hAnsi="Arial"/>
          <w:sz w:val="17"/>
          <w:szCs w:val="17"/>
          <w:color w:val="auto"/>
        </w:rPr>
        <w:t>Prospective information -</w:t>
      </w:r>
    </w:p>
    <w:p>
      <w:pPr>
        <w:spacing w:after="0" w:line="220" w:lineRule="exact"/>
        <w:rPr>
          <w:sz w:val="20"/>
          <w:szCs w:val="20"/>
          <w:color w:val="auto"/>
        </w:rPr>
      </w:pPr>
    </w:p>
    <w:p>
      <w:pPr>
        <w:ind w:right="100"/>
        <w:spacing w:after="0" w:line="265" w:lineRule="auto"/>
        <w:rPr>
          <w:sz w:val="20"/>
          <w:szCs w:val="20"/>
          <w:color w:val="auto"/>
        </w:rPr>
      </w:pPr>
      <w:r>
        <w:rPr>
          <w:rFonts w:ascii="Arial" w:cs="Arial" w:eastAsia="Arial" w:hAnsi="Arial"/>
          <w:sz w:val="17"/>
          <w:szCs w:val="17"/>
          <w:color w:val="auto"/>
        </w:rPr>
        <w:t>The measurement of expected credit losses for each phase and the evaluation of significant increases in credit risk must consider information regarding previous events and current conditions, as well as forecasts of future economic events and conditions. For the estimation of the risk parameters (PD, LGD, EAD), used in the calculation of the provision in phases 1 and 2, macroeconomic variables were included which vary between portfolios. These forecasts are for a three-year period and, additionally, there is a long-term forecast.</w:t>
      </w:r>
    </w:p>
    <w:p>
      <w:pPr>
        <w:spacing w:after="0" w:line="176" w:lineRule="exact"/>
        <w:rPr>
          <w:sz w:val="20"/>
          <w:szCs w:val="20"/>
          <w:color w:val="auto"/>
        </w:rPr>
      </w:pPr>
    </w:p>
    <w:p>
      <w:pPr>
        <w:ind w:right="180"/>
        <w:spacing w:after="0" w:line="286" w:lineRule="auto"/>
        <w:rPr>
          <w:sz w:val="20"/>
          <w:szCs w:val="20"/>
          <w:color w:val="auto"/>
        </w:rPr>
      </w:pPr>
      <w:r>
        <w:rPr>
          <w:rFonts w:ascii="Arial" w:cs="Arial" w:eastAsia="Arial" w:hAnsi="Arial"/>
          <w:sz w:val="16"/>
          <w:szCs w:val="16"/>
          <w:color w:val="auto"/>
        </w:rPr>
        <w:t>The estimation of the expected loss for phases 1, 2 and 3 will be a weighted estimate which considers three future macroeconomic scenarios. The basic, optimistic and pessimistic scenarios are based on macroeconomic forecasts provided by the in-house economic studies team and approved by Senior Management. This same team also provides the probability of occurrence of each scenario. It should be pointed out that the scenario design is adjusted at least once a year and this can be done more frequently if the conditions of the environment require it.</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color w:val="auto"/>
        </w:rPr>
        <w:t>Expected life -</w:t>
      </w:r>
    </w:p>
    <w:p>
      <w:pPr>
        <w:spacing w:after="0" w:line="220" w:lineRule="exact"/>
        <w:rPr>
          <w:sz w:val="20"/>
          <w:szCs w:val="20"/>
          <w:color w:val="auto"/>
        </w:rPr>
      </w:pPr>
    </w:p>
    <w:p>
      <w:pPr>
        <w:ind w:right="160"/>
        <w:spacing w:after="0" w:line="270" w:lineRule="auto"/>
        <w:rPr>
          <w:sz w:val="20"/>
          <w:szCs w:val="20"/>
          <w:color w:val="auto"/>
        </w:rPr>
      </w:pPr>
      <w:r>
        <w:rPr>
          <w:rFonts w:ascii="Arial" w:cs="Arial" w:eastAsia="Arial" w:hAnsi="Arial"/>
          <w:sz w:val="17"/>
          <w:szCs w:val="17"/>
          <w:color w:val="auto"/>
        </w:rPr>
        <w:t>For the instruments in Phase 2 or 3, the reserves for losses will cover the expected credit losses during the lifetime of the instrument. For most of the instruments, the expected lifetime is limited to the remaining life of the product, adjusted for expected future payments. In the case of revolving products, an analysis was made in order to determine what would be the expected period of life.</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color w:val="auto"/>
        </w:rPr>
        <w:t>Hedging accounting:</w:t>
      </w:r>
    </w:p>
    <w:p>
      <w:pPr>
        <w:spacing w:after="0" w:line="220" w:lineRule="exact"/>
        <w:rPr>
          <w:sz w:val="20"/>
          <w:szCs w:val="20"/>
          <w:color w:val="auto"/>
        </w:rPr>
      </w:pPr>
    </w:p>
    <w:p>
      <w:pPr>
        <w:ind w:right="200"/>
        <w:spacing w:after="0" w:line="270" w:lineRule="auto"/>
        <w:rPr>
          <w:sz w:val="20"/>
          <w:szCs w:val="20"/>
          <w:color w:val="auto"/>
        </w:rPr>
      </w:pPr>
      <w:r>
        <w:rPr>
          <w:rFonts w:ascii="Arial" w:cs="Arial" w:eastAsia="Arial" w:hAnsi="Arial"/>
          <w:sz w:val="17"/>
          <w:szCs w:val="17"/>
          <w:color w:val="auto"/>
        </w:rPr>
        <w:t>The new model of hedging accounting according to IFRS 9 seeks to simplify hedging accounting, align the accounting of the hedging relationships more closely with the risk management activities of an entity and permit hedging accounting to be applied more widely to a greater variety of hedging instruments and risks suitable for hedging accounting.</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color w:val="auto"/>
        </w:rPr>
        <w:t>IFRS 9 is effective for accounting periods beginning on or after 1 January 2018. Early adoption is permitted.</w:t>
      </w:r>
    </w:p>
    <w:p>
      <w:pPr>
        <w:spacing w:after="0" w:line="220" w:lineRule="exact"/>
        <w:rPr>
          <w:sz w:val="20"/>
          <w:szCs w:val="20"/>
          <w:color w:val="auto"/>
        </w:rPr>
      </w:pPr>
    </w:p>
    <w:p>
      <w:pPr>
        <w:ind w:right="140"/>
        <w:spacing w:after="0" w:line="285" w:lineRule="auto"/>
        <w:rPr>
          <w:sz w:val="20"/>
          <w:szCs w:val="20"/>
          <w:color w:val="auto"/>
        </w:rPr>
      </w:pPr>
      <w:r>
        <w:rPr>
          <w:rFonts w:ascii="Arial" w:cs="Arial" w:eastAsia="Arial" w:hAnsi="Arial"/>
          <w:sz w:val="17"/>
          <w:szCs w:val="17"/>
          <w:color w:val="auto"/>
        </w:rPr>
        <w:t>The new classification, measurement and impairment requirements will be applied adjusting our consolidated statement of financial position at January 1, 2018, date of initial application, without restating the financial information of the comparative period.</w:t>
      </w:r>
    </w:p>
    <w:p>
      <w:pPr>
        <w:spacing w:after="0" w:line="159" w:lineRule="exact"/>
        <w:rPr>
          <w:sz w:val="20"/>
          <w:szCs w:val="20"/>
          <w:color w:val="auto"/>
        </w:rPr>
      </w:pPr>
    </w:p>
    <w:p>
      <w:pPr>
        <w:ind w:right="120"/>
        <w:spacing w:after="0" w:line="270" w:lineRule="auto"/>
        <w:rPr>
          <w:sz w:val="20"/>
          <w:szCs w:val="20"/>
          <w:color w:val="auto"/>
        </w:rPr>
      </w:pPr>
      <w:r>
        <w:rPr>
          <w:rFonts w:ascii="Arial" w:cs="Arial" w:eastAsia="Arial" w:hAnsi="Arial"/>
          <w:sz w:val="17"/>
          <w:szCs w:val="17"/>
          <w:color w:val="auto"/>
        </w:rPr>
        <w:t>Based on the current estimations, it is expected that the adoption of IFRS 9 will result in a reduction in retained earnings at January 1, 2018 for an amount equivalent that will not exceed 2.0 percent of net equity. The impact is mainly attributed to increases in the reserve for credit losses based on the new impairment requirements.</w:t>
      </w:r>
    </w:p>
    <w:p>
      <w:pPr>
        <w:spacing w:after="0" w:line="172" w:lineRule="exact"/>
        <w:rPr>
          <w:sz w:val="20"/>
          <w:szCs w:val="20"/>
          <w:color w:val="auto"/>
        </w:rPr>
      </w:pPr>
    </w:p>
    <w:p>
      <w:pPr>
        <w:spacing w:after="0"/>
        <w:rPr>
          <w:sz w:val="20"/>
          <w:szCs w:val="20"/>
          <w:color w:val="auto"/>
        </w:rPr>
      </w:pPr>
      <w:r>
        <w:rPr>
          <w:rFonts w:ascii="Arial" w:cs="Arial" w:eastAsia="Arial" w:hAnsi="Arial"/>
          <w:sz w:val="15"/>
          <w:szCs w:val="15"/>
          <w:color w:val="auto"/>
        </w:rPr>
        <w:t>The Group will continue monitoring and perfecting certain elements of our impairment determination process before our report for the first quarter of 2018.</w:t>
      </w:r>
    </w:p>
    <w:p>
      <w:pPr>
        <w:spacing w:after="0" w:line="200" w:lineRule="exact"/>
        <w:rPr>
          <w:sz w:val="20"/>
          <w:szCs w:val="20"/>
          <w:color w:val="auto"/>
        </w:rPr>
      </w:pPr>
    </w:p>
    <w:p>
      <w:pPr>
        <w:spacing w:after="0" w:line="251" w:lineRule="exact"/>
        <w:rPr>
          <w:sz w:val="20"/>
          <w:szCs w:val="20"/>
          <w:color w:val="auto"/>
        </w:rPr>
      </w:pPr>
    </w:p>
    <w:p>
      <w:pPr>
        <w:ind w:left="4920"/>
        <w:spacing w:after="0"/>
        <w:rPr>
          <w:sz w:val="20"/>
          <w:szCs w:val="20"/>
          <w:color w:val="auto"/>
        </w:rPr>
      </w:pPr>
      <w:r>
        <w:rPr>
          <w:rFonts w:ascii="Arial" w:cs="Arial" w:eastAsia="Arial" w:hAnsi="Arial"/>
          <w:sz w:val="17"/>
          <w:szCs w:val="17"/>
          <w:color w:val="auto"/>
        </w:rPr>
        <w:t>- 46 -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-390525</wp:posOffset>
            </wp:positionH>
            <wp:positionV relativeFrom="paragraph">
              <wp:posOffset>15875</wp:posOffset>
            </wp:positionV>
            <wp:extent cx="725170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51700" cy="8255"/>
                    </a:xfrm>
                    <a:prstGeom prst="rect">
                      <a:avLst/>
                    </a:prstGeom>
                    <a:noFill/>
                  </pic:spPr>
                </pic:pic>
              </a:graphicData>
            </a:graphic>
          </wp:anchor>
        </w:drawing>
      </w:r>
    </w:p>
    <w:p>
      <w:pPr>
        <w:sectPr>
          <w:pgSz w:w="11900" w:h="16838" w:orient="portrait"/>
          <w:cols w:equalWidth="0" w:num="1">
            <w:col w:w="10800"/>
          </w:cols>
          <w:pgMar w:left="860" w:top="881" w:right="239" w:bottom="1440" w:gutter="0" w:footer="0" w:header="0"/>
        </w:sectPr>
      </w:pPr>
    </w:p>
    <w:bookmarkStart w:id="52" w:name="page53"/>
    <w:bookmarkEnd w:id="52"/>
    <w:p>
      <w:pPr>
        <w:ind w:left="304" w:hanging="304"/>
        <w:spacing w:after="0"/>
        <w:tabs>
          <w:tab w:leader="none" w:pos="304" w:val="left"/>
        </w:tabs>
        <w:numPr>
          <w:ilvl w:val="0"/>
          <w:numId w:val="49"/>
        </w:numPr>
        <w:rPr>
          <w:rFonts w:ascii="Arial" w:cs="Arial" w:eastAsia="Arial" w:hAnsi="Arial"/>
          <w:sz w:val="17"/>
          <w:szCs w:val="17"/>
          <w:color w:val="auto"/>
        </w:rPr>
      </w:pPr>
      <w:r>
        <w:rPr>
          <w:rFonts w:ascii="Arial" w:cs="Arial" w:eastAsia="Arial" w:hAnsi="Arial"/>
          <w:sz w:val="17"/>
          <w:szCs w:val="17"/>
          <w:color w:val="auto"/>
        </w:rPr>
        <w:t>IFRS 15 “Revenue from contracts with customer” -</w:t>
      </w:r>
    </w:p>
    <w:p>
      <w:pPr>
        <w:spacing w:after="0" w:line="220" w:lineRule="exact"/>
        <w:rPr>
          <w:rFonts w:ascii="Arial" w:cs="Arial" w:eastAsia="Arial" w:hAnsi="Arial"/>
          <w:sz w:val="17"/>
          <w:szCs w:val="17"/>
          <w:color w:val="auto"/>
        </w:rPr>
      </w:pPr>
    </w:p>
    <w:p>
      <w:pPr>
        <w:ind w:left="304"/>
        <w:spacing w:after="0"/>
        <w:rPr>
          <w:rFonts w:ascii="Arial" w:cs="Arial" w:eastAsia="Arial" w:hAnsi="Arial"/>
          <w:sz w:val="17"/>
          <w:szCs w:val="17"/>
          <w:color w:val="auto"/>
        </w:rPr>
      </w:pPr>
      <w:r>
        <w:rPr>
          <w:rFonts w:ascii="Arial" w:cs="Arial" w:eastAsia="Arial" w:hAnsi="Arial"/>
          <w:sz w:val="17"/>
          <w:szCs w:val="17"/>
          <w:color w:val="auto"/>
        </w:rPr>
        <w:t>IFRS 15, which was published in May 2014 and amended in April 2016, will replace IAS 18 “Revenue”, and IAS 11 “Construction Contracts”.</w:t>
      </w:r>
    </w:p>
    <w:p>
      <w:pPr>
        <w:spacing w:after="0" w:line="220" w:lineRule="exact"/>
        <w:rPr>
          <w:rFonts w:ascii="Arial" w:cs="Arial" w:eastAsia="Arial" w:hAnsi="Arial"/>
          <w:sz w:val="17"/>
          <w:szCs w:val="17"/>
          <w:color w:val="auto"/>
        </w:rPr>
      </w:pPr>
    </w:p>
    <w:p>
      <w:pPr>
        <w:ind w:left="304" w:right="80"/>
        <w:spacing w:after="0" w:line="285" w:lineRule="auto"/>
        <w:rPr>
          <w:rFonts w:ascii="Arial" w:cs="Arial" w:eastAsia="Arial" w:hAnsi="Arial"/>
          <w:sz w:val="17"/>
          <w:szCs w:val="17"/>
          <w:color w:val="auto"/>
        </w:rPr>
      </w:pPr>
      <w:r>
        <w:rPr>
          <w:rFonts w:ascii="Arial" w:cs="Arial" w:eastAsia="Arial" w:hAnsi="Arial"/>
          <w:sz w:val="17"/>
          <w:szCs w:val="17"/>
          <w:color w:val="auto"/>
        </w:rPr>
        <w:t>The new standard is based on the principle that revenue is recognized when the control of a good or service is transferred to a client, so that the notion of control replaces the existing notion of risks and benefits.</w:t>
      </w:r>
    </w:p>
    <w:p>
      <w:pPr>
        <w:spacing w:after="0" w:line="159" w:lineRule="exact"/>
        <w:rPr>
          <w:rFonts w:ascii="Arial" w:cs="Arial" w:eastAsia="Arial" w:hAnsi="Arial"/>
          <w:sz w:val="17"/>
          <w:szCs w:val="17"/>
          <w:color w:val="auto"/>
        </w:rPr>
      </w:pPr>
    </w:p>
    <w:p>
      <w:pPr>
        <w:ind w:left="304"/>
        <w:spacing w:after="0"/>
        <w:rPr>
          <w:rFonts w:ascii="Arial" w:cs="Arial" w:eastAsia="Arial" w:hAnsi="Arial"/>
          <w:sz w:val="17"/>
          <w:szCs w:val="17"/>
          <w:color w:val="auto"/>
        </w:rPr>
      </w:pPr>
      <w:r>
        <w:rPr>
          <w:rFonts w:ascii="Arial" w:cs="Arial" w:eastAsia="Arial" w:hAnsi="Arial"/>
          <w:sz w:val="17"/>
          <w:szCs w:val="17"/>
          <w:color w:val="auto"/>
        </w:rPr>
        <w:t>The standard establishes a new five-step model that applies to the recording of revenue from contracts with clients:</w:t>
      </w:r>
    </w:p>
    <w:p>
      <w:pPr>
        <w:spacing w:after="0" w:line="220" w:lineRule="exact"/>
        <w:rPr>
          <w:rFonts w:ascii="Arial" w:cs="Arial" w:eastAsia="Arial" w:hAnsi="Arial"/>
          <w:sz w:val="17"/>
          <w:szCs w:val="17"/>
          <w:color w:val="auto"/>
        </w:rPr>
      </w:pPr>
    </w:p>
    <w:p>
      <w:pPr>
        <w:ind w:left="624" w:hanging="312"/>
        <w:spacing w:after="0"/>
        <w:tabs>
          <w:tab w:leader="none" w:pos="624" w:val="left"/>
        </w:tabs>
        <w:numPr>
          <w:ilvl w:val="1"/>
          <w:numId w:val="49"/>
        </w:numPr>
        <w:rPr>
          <w:rFonts w:ascii="Arial" w:cs="Arial" w:eastAsia="Arial" w:hAnsi="Arial"/>
          <w:sz w:val="17"/>
          <w:szCs w:val="17"/>
          <w:color w:val="auto"/>
        </w:rPr>
      </w:pPr>
      <w:r>
        <w:rPr>
          <w:rFonts w:ascii="Arial" w:cs="Arial" w:eastAsia="Arial" w:hAnsi="Arial"/>
          <w:sz w:val="17"/>
          <w:szCs w:val="17"/>
          <w:color w:val="auto"/>
        </w:rPr>
        <w:t>Identify the contracts with clients.</w:t>
      </w:r>
    </w:p>
    <w:p>
      <w:pPr>
        <w:spacing w:after="0" w:line="24" w:lineRule="exact"/>
        <w:rPr>
          <w:rFonts w:ascii="Arial" w:cs="Arial" w:eastAsia="Arial" w:hAnsi="Arial"/>
          <w:sz w:val="17"/>
          <w:szCs w:val="17"/>
          <w:color w:val="auto"/>
        </w:rPr>
      </w:pPr>
    </w:p>
    <w:p>
      <w:pPr>
        <w:ind w:left="624" w:hanging="312"/>
        <w:spacing w:after="0"/>
        <w:tabs>
          <w:tab w:leader="none" w:pos="624" w:val="left"/>
        </w:tabs>
        <w:numPr>
          <w:ilvl w:val="1"/>
          <w:numId w:val="49"/>
        </w:numPr>
        <w:rPr>
          <w:rFonts w:ascii="Arial" w:cs="Arial" w:eastAsia="Arial" w:hAnsi="Arial"/>
          <w:sz w:val="17"/>
          <w:szCs w:val="17"/>
          <w:color w:val="auto"/>
        </w:rPr>
      </w:pPr>
      <w:r>
        <w:rPr>
          <w:rFonts w:ascii="Arial" w:cs="Arial" w:eastAsia="Arial" w:hAnsi="Arial"/>
          <w:sz w:val="17"/>
          <w:szCs w:val="17"/>
          <w:color w:val="auto"/>
        </w:rPr>
        <w:t>Identify the separate performance obligation.</w:t>
      </w:r>
    </w:p>
    <w:p>
      <w:pPr>
        <w:spacing w:after="0" w:line="12" w:lineRule="exact"/>
        <w:rPr>
          <w:rFonts w:ascii="Arial" w:cs="Arial" w:eastAsia="Arial" w:hAnsi="Arial"/>
          <w:sz w:val="17"/>
          <w:szCs w:val="17"/>
          <w:color w:val="auto"/>
        </w:rPr>
      </w:pPr>
    </w:p>
    <w:p>
      <w:pPr>
        <w:ind w:left="624" w:hanging="312"/>
        <w:spacing w:after="0"/>
        <w:tabs>
          <w:tab w:leader="none" w:pos="624" w:val="left"/>
        </w:tabs>
        <w:numPr>
          <w:ilvl w:val="1"/>
          <w:numId w:val="49"/>
        </w:numPr>
        <w:rPr>
          <w:rFonts w:ascii="Arial" w:cs="Arial" w:eastAsia="Arial" w:hAnsi="Arial"/>
          <w:sz w:val="17"/>
          <w:szCs w:val="17"/>
          <w:color w:val="auto"/>
        </w:rPr>
      </w:pPr>
      <w:r>
        <w:rPr>
          <w:rFonts w:ascii="Arial" w:cs="Arial" w:eastAsia="Arial" w:hAnsi="Arial"/>
          <w:sz w:val="17"/>
          <w:szCs w:val="17"/>
          <w:color w:val="auto"/>
        </w:rPr>
        <w:t>Determine the price of the contractual transaction.</w:t>
      </w:r>
    </w:p>
    <w:p>
      <w:pPr>
        <w:spacing w:after="0" w:line="12" w:lineRule="exact"/>
        <w:rPr>
          <w:rFonts w:ascii="Arial" w:cs="Arial" w:eastAsia="Arial" w:hAnsi="Arial"/>
          <w:sz w:val="17"/>
          <w:szCs w:val="17"/>
          <w:color w:val="auto"/>
        </w:rPr>
      </w:pPr>
    </w:p>
    <w:p>
      <w:pPr>
        <w:ind w:left="624" w:hanging="312"/>
        <w:spacing w:after="0"/>
        <w:tabs>
          <w:tab w:leader="none" w:pos="624" w:val="left"/>
        </w:tabs>
        <w:numPr>
          <w:ilvl w:val="1"/>
          <w:numId w:val="49"/>
        </w:numPr>
        <w:rPr>
          <w:rFonts w:ascii="Arial" w:cs="Arial" w:eastAsia="Arial" w:hAnsi="Arial"/>
          <w:sz w:val="17"/>
          <w:szCs w:val="17"/>
          <w:color w:val="auto"/>
        </w:rPr>
      </w:pPr>
      <w:r>
        <w:rPr>
          <w:rFonts w:ascii="Arial" w:cs="Arial" w:eastAsia="Arial" w:hAnsi="Arial"/>
          <w:sz w:val="17"/>
          <w:szCs w:val="17"/>
          <w:color w:val="auto"/>
        </w:rPr>
        <w:t>Assign the price of the transaction to each of the separate performance obligations, and</w:t>
      </w:r>
    </w:p>
    <w:p>
      <w:pPr>
        <w:spacing w:after="0" w:line="12" w:lineRule="exact"/>
        <w:rPr>
          <w:rFonts w:ascii="Arial" w:cs="Arial" w:eastAsia="Arial" w:hAnsi="Arial"/>
          <w:sz w:val="17"/>
          <w:szCs w:val="17"/>
          <w:color w:val="auto"/>
        </w:rPr>
      </w:pPr>
    </w:p>
    <w:p>
      <w:pPr>
        <w:ind w:left="624" w:hanging="312"/>
        <w:spacing w:after="0"/>
        <w:tabs>
          <w:tab w:leader="none" w:pos="624" w:val="left"/>
        </w:tabs>
        <w:numPr>
          <w:ilvl w:val="1"/>
          <w:numId w:val="49"/>
        </w:numPr>
        <w:rPr>
          <w:rFonts w:ascii="Arial" w:cs="Arial" w:eastAsia="Arial" w:hAnsi="Arial"/>
          <w:sz w:val="17"/>
          <w:szCs w:val="17"/>
          <w:color w:val="auto"/>
        </w:rPr>
      </w:pPr>
      <w:r>
        <w:rPr>
          <w:rFonts w:ascii="Arial" w:cs="Arial" w:eastAsia="Arial" w:hAnsi="Arial"/>
          <w:sz w:val="17"/>
          <w:szCs w:val="17"/>
          <w:color w:val="auto"/>
        </w:rPr>
        <w:t>Recognize the revenue as each performance obligation is complied with.</w:t>
      </w:r>
    </w:p>
    <w:p>
      <w:pPr>
        <w:spacing w:after="0" w:line="208" w:lineRule="exact"/>
        <w:rPr>
          <w:sz w:val="20"/>
          <w:szCs w:val="20"/>
          <w:color w:val="auto"/>
        </w:rPr>
      </w:pPr>
    </w:p>
    <w:p>
      <w:pPr>
        <w:ind w:left="304"/>
        <w:spacing w:after="0"/>
        <w:rPr>
          <w:sz w:val="20"/>
          <w:szCs w:val="20"/>
          <w:color w:val="auto"/>
        </w:rPr>
      </w:pPr>
      <w:r>
        <w:rPr>
          <w:rFonts w:ascii="Arial" w:cs="Arial" w:eastAsia="Arial" w:hAnsi="Arial"/>
          <w:sz w:val="17"/>
          <w:szCs w:val="17"/>
          <w:color w:val="auto"/>
        </w:rPr>
        <w:t>Key changes in current practice:</w:t>
      </w:r>
    </w:p>
    <w:p>
      <w:pPr>
        <w:spacing w:after="0" w:line="220" w:lineRule="exact"/>
        <w:rPr>
          <w:sz w:val="20"/>
          <w:szCs w:val="20"/>
          <w:color w:val="auto"/>
        </w:rPr>
      </w:pPr>
    </w:p>
    <w:p>
      <w:pPr>
        <w:ind w:left="624" w:right="220" w:hanging="312"/>
        <w:spacing w:after="0" w:line="262" w:lineRule="auto"/>
        <w:tabs>
          <w:tab w:leader="none" w:pos="624" w:val="left"/>
        </w:tabs>
        <w:numPr>
          <w:ilvl w:val="0"/>
          <w:numId w:val="50"/>
        </w:numPr>
        <w:rPr>
          <w:rFonts w:ascii="Arial" w:cs="Arial" w:eastAsia="Arial" w:hAnsi="Arial"/>
          <w:sz w:val="17"/>
          <w:szCs w:val="17"/>
          <w:color w:val="auto"/>
        </w:rPr>
      </w:pPr>
      <w:r>
        <w:rPr>
          <w:rFonts w:ascii="Arial" w:cs="Arial" w:eastAsia="Arial" w:hAnsi="Arial"/>
          <w:sz w:val="17"/>
          <w:szCs w:val="17"/>
          <w:color w:val="auto"/>
        </w:rPr>
        <w:t>All the grouped goods and services which are different must be recognized separately and, in general, the discounts or rebates in the contract price must be assigned to the separate elements.</w:t>
      </w:r>
    </w:p>
    <w:p>
      <w:pPr>
        <w:spacing w:after="0" w:line="1" w:lineRule="exact"/>
        <w:rPr>
          <w:rFonts w:ascii="Arial" w:cs="Arial" w:eastAsia="Arial" w:hAnsi="Arial"/>
          <w:sz w:val="17"/>
          <w:szCs w:val="17"/>
          <w:color w:val="auto"/>
        </w:rPr>
      </w:pPr>
    </w:p>
    <w:p>
      <w:pPr>
        <w:ind w:left="624" w:right="160" w:hanging="312"/>
        <w:spacing w:after="0" w:line="289" w:lineRule="auto"/>
        <w:tabs>
          <w:tab w:leader="none" w:pos="624" w:val="left"/>
        </w:tabs>
        <w:numPr>
          <w:ilvl w:val="0"/>
          <w:numId w:val="50"/>
        </w:numPr>
        <w:rPr>
          <w:rFonts w:ascii="Arial" w:cs="Arial" w:eastAsia="Arial" w:hAnsi="Arial"/>
          <w:sz w:val="15"/>
          <w:szCs w:val="15"/>
          <w:color w:val="auto"/>
        </w:rPr>
      </w:pPr>
      <w:r>
        <w:rPr>
          <w:rFonts w:ascii="Arial" w:cs="Arial" w:eastAsia="Arial" w:hAnsi="Arial"/>
          <w:sz w:val="15"/>
          <w:szCs w:val="15"/>
          <w:color w:val="auto"/>
        </w:rPr>
        <w:t>Revenue can be recognized before it is done under the current standards if the consideration varies for any reason (for example, incentives, rebates, management commissions, royalties, success fee, etc.). If they are not at significant risk of reversal, the minimum amounts must be recognized.</w:t>
      </w:r>
    </w:p>
    <w:p>
      <w:pPr>
        <w:ind w:left="624" w:right="20" w:hanging="312"/>
        <w:spacing w:after="0" w:line="255" w:lineRule="auto"/>
        <w:tabs>
          <w:tab w:leader="none" w:pos="624" w:val="left"/>
        </w:tabs>
        <w:numPr>
          <w:ilvl w:val="0"/>
          <w:numId w:val="50"/>
        </w:numPr>
        <w:rPr>
          <w:rFonts w:ascii="Arial" w:cs="Arial" w:eastAsia="Arial" w:hAnsi="Arial"/>
          <w:sz w:val="17"/>
          <w:szCs w:val="17"/>
          <w:color w:val="auto"/>
        </w:rPr>
      </w:pPr>
      <w:r>
        <w:rPr>
          <w:rFonts w:ascii="Arial" w:cs="Arial" w:eastAsia="Arial" w:hAnsi="Arial"/>
          <w:sz w:val="17"/>
          <w:szCs w:val="17"/>
          <w:color w:val="auto"/>
        </w:rPr>
        <w:t>The point at which revenue may be recognized can change: some revenue that is currently recognized at a given moment at the end of a contract may have to be recognized during the term of the contract and vice versa.</w:t>
      </w:r>
    </w:p>
    <w:p>
      <w:pPr>
        <w:ind w:left="624" w:hanging="312"/>
        <w:spacing w:after="0"/>
        <w:tabs>
          <w:tab w:leader="none" w:pos="624" w:val="left"/>
        </w:tabs>
        <w:numPr>
          <w:ilvl w:val="0"/>
          <w:numId w:val="50"/>
        </w:numPr>
        <w:rPr>
          <w:rFonts w:ascii="Arial" w:cs="Arial" w:eastAsia="Arial" w:hAnsi="Arial"/>
          <w:sz w:val="16"/>
          <w:szCs w:val="16"/>
          <w:color w:val="auto"/>
        </w:rPr>
      </w:pPr>
      <w:r>
        <w:rPr>
          <w:rFonts w:ascii="Arial" w:cs="Arial" w:eastAsia="Arial" w:hAnsi="Arial"/>
          <w:sz w:val="16"/>
          <w:szCs w:val="16"/>
          <w:color w:val="auto"/>
        </w:rPr>
        <w:t>There are new specific standards regarding licenses, guarantees, non-reimbursable fee advances and consignment agreements, to name a few.</w:t>
      </w:r>
    </w:p>
    <w:p>
      <w:pPr>
        <w:spacing w:after="0" w:line="23" w:lineRule="exact"/>
        <w:rPr>
          <w:rFonts w:ascii="Arial" w:cs="Arial" w:eastAsia="Arial" w:hAnsi="Arial"/>
          <w:sz w:val="16"/>
          <w:szCs w:val="16"/>
          <w:color w:val="auto"/>
        </w:rPr>
      </w:pPr>
    </w:p>
    <w:p>
      <w:pPr>
        <w:ind w:left="624" w:hanging="312"/>
        <w:spacing w:after="0"/>
        <w:tabs>
          <w:tab w:leader="none" w:pos="624" w:val="left"/>
        </w:tabs>
        <w:numPr>
          <w:ilvl w:val="0"/>
          <w:numId w:val="50"/>
        </w:numPr>
        <w:rPr>
          <w:rFonts w:ascii="Arial" w:cs="Arial" w:eastAsia="Arial" w:hAnsi="Arial"/>
          <w:sz w:val="17"/>
          <w:szCs w:val="17"/>
          <w:color w:val="auto"/>
        </w:rPr>
      </w:pPr>
      <w:r>
        <w:rPr>
          <w:rFonts w:ascii="Arial" w:cs="Arial" w:eastAsia="Arial" w:hAnsi="Arial"/>
          <w:sz w:val="17"/>
          <w:szCs w:val="17"/>
          <w:color w:val="auto"/>
        </w:rPr>
        <w:t>As with any new standard, there are also greater disclosure requirements.</w:t>
      </w:r>
    </w:p>
    <w:p>
      <w:pPr>
        <w:spacing w:after="0" w:line="208" w:lineRule="exact"/>
        <w:rPr>
          <w:sz w:val="20"/>
          <w:szCs w:val="20"/>
          <w:color w:val="auto"/>
        </w:rPr>
      </w:pPr>
    </w:p>
    <w:p>
      <w:pPr>
        <w:ind w:left="304" w:right="20"/>
        <w:spacing w:after="0" w:line="285" w:lineRule="auto"/>
        <w:rPr>
          <w:sz w:val="20"/>
          <w:szCs w:val="20"/>
          <w:color w:val="auto"/>
        </w:rPr>
      </w:pPr>
      <w:r>
        <w:rPr>
          <w:rFonts w:ascii="Arial" w:cs="Arial" w:eastAsia="Arial" w:hAnsi="Arial"/>
          <w:sz w:val="17"/>
          <w:szCs w:val="17"/>
          <w:color w:val="auto"/>
        </w:rPr>
        <w:t>The Group assessed the impact of IFRS 15, concluding at the date of these financial statements, that there is no significant impact on the Group’s revenue recognition.</w:t>
      </w:r>
    </w:p>
    <w:p>
      <w:pPr>
        <w:spacing w:after="0" w:line="159" w:lineRule="exact"/>
        <w:rPr>
          <w:sz w:val="20"/>
          <w:szCs w:val="20"/>
          <w:color w:val="auto"/>
        </w:rPr>
      </w:pPr>
    </w:p>
    <w:p>
      <w:pPr>
        <w:ind w:left="304"/>
        <w:spacing w:after="0"/>
        <w:rPr>
          <w:sz w:val="20"/>
          <w:szCs w:val="20"/>
          <w:color w:val="auto"/>
        </w:rPr>
      </w:pPr>
      <w:r>
        <w:rPr>
          <w:rFonts w:ascii="Arial" w:cs="Arial" w:eastAsia="Arial" w:hAnsi="Arial"/>
          <w:sz w:val="17"/>
          <w:szCs w:val="17"/>
          <w:color w:val="auto"/>
        </w:rPr>
        <w:t>IFRS 15 is effective for annual periods beginning on or after January 1, 2018, with early adoption permitted.</w:t>
      </w:r>
    </w:p>
    <w:p>
      <w:pPr>
        <w:spacing w:after="0" w:line="220" w:lineRule="exact"/>
        <w:rPr>
          <w:sz w:val="20"/>
          <w:szCs w:val="20"/>
          <w:color w:val="auto"/>
        </w:rPr>
      </w:pPr>
    </w:p>
    <w:p>
      <w:pPr>
        <w:ind w:left="304" w:hanging="304"/>
        <w:spacing w:after="0"/>
        <w:tabs>
          <w:tab w:leader="none" w:pos="304" w:val="left"/>
        </w:tabs>
        <w:numPr>
          <w:ilvl w:val="0"/>
          <w:numId w:val="51"/>
        </w:numPr>
        <w:rPr>
          <w:rFonts w:ascii="Arial" w:cs="Arial" w:eastAsia="Arial" w:hAnsi="Arial"/>
          <w:sz w:val="17"/>
          <w:szCs w:val="17"/>
          <w:color w:val="auto"/>
        </w:rPr>
      </w:pPr>
      <w:r>
        <w:rPr>
          <w:rFonts w:ascii="Arial" w:cs="Arial" w:eastAsia="Arial" w:hAnsi="Arial"/>
          <w:sz w:val="17"/>
          <w:szCs w:val="17"/>
          <w:color w:val="auto"/>
        </w:rPr>
        <w:t>IFRS 16, “Leases” -</w:t>
      </w:r>
    </w:p>
    <w:p>
      <w:pPr>
        <w:spacing w:after="0" w:line="220" w:lineRule="exact"/>
        <w:rPr>
          <w:rFonts w:ascii="Arial" w:cs="Arial" w:eastAsia="Arial" w:hAnsi="Arial"/>
          <w:sz w:val="17"/>
          <w:szCs w:val="17"/>
          <w:color w:val="auto"/>
        </w:rPr>
      </w:pPr>
    </w:p>
    <w:p>
      <w:pPr>
        <w:ind w:left="304" w:right="120"/>
        <w:spacing w:after="0" w:line="285" w:lineRule="auto"/>
        <w:rPr>
          <w:rFonts w:ascii="Arial" w:cs="Arial" w:eastAsia="Arial" w:hAnsi="Arial"/>
          <w:sz w:val="17"/>
          <w:szCs w:val="17"/>
          <w:color w:val="auto"/>
        </w:rPr>
      </w:pPr>
      <w:r>
        <w:rPr>
          <w:rFonts w:ascii="Arial" w:cs="Arial" w:eastAsia="Arial" w:hAnsi="Arial"/>
          <w:sz w:val="17"/>
          <w:szCs w:val="17"/>
          <w:color w:val="auto"/>
        </w:rPr>
        <w:t>IFRS 16, ‘Leases’ replaces the current standards related to the treatment of leases (IAS 17, ‘Leases’ and IFRIC 4, ‘Determining whether an arrangement contains a lease” and other related interpretations).</w:t>
      </w:r>
    </w:p>
    <w:p>
      <w:pPr>
        <w:spacing w:after="0" w:line="159" w:lineRule="exact"/>
        <w:rPr>
          <w:rFonts w:ascii="Arial" w:cs="Arial" w:eastAsia="Arial" w:hAnsi="Arial"/>
          <w:sz w:val="17"/>
          <w:szCs w:val="17"/>
          <w:color w:val="auto"/>
        </w:rPr>
      </w:pPr>
    </w:p>
    <w:p>
      <w:pPr>
        <w:jc w:val="both"/>
        <w:ind w:left="304"/>
        <w:spacing w:after="0" w:line="265" w:lineRule="auto"/>
        <w:rPr>
          <w:rFonts w:ascii="Arial" w:cs="Arial" w:eastAsia="Arial" w:hAnsi="Arial"/>
          <w:sz w:val="17"/>
          <w:szCs w:val="17"/>
          <w:color w:val="auto"/>
        </w:rPr>
      </w:pPr>
      <w:r>
        <w:rPr>
          <w:rFonts w:ascii="Arial" w:cs="Arial" w:eastAsia="Arial" w:hAnsi="Arial"/>
          <w:sz w:val="17"/>
          <w:szCs w:val="17"/>
          <w:color w:val="auto"/>
        </w:rPr>
        <w:t>IFRS 16 will mainly affect the accounting treatment for lessees, and will result in the recognition of almost all lease contracts in the statement of financial position. The standard eliminates the current distinction between finance and operating leases, and requires the recognition of an asset (right of use of the leased asset) and of a financial liability to make the lease payments, for practically all of the lease contracts. There is an optional exemption for short term and low value leases.</w:t>
      </w:r>
    </w:p>
    <w:p>
      <w:pPr>
        <w:spacing w:after="0" w:line="383" w:lineRule="exact"/>
        <w:rPr>
          <w:rFonts w:ascii="Arial" w:cs="Arial" w:eastAsia="Arial" w:hAnsi="Arial"/>
          <w:sz w:val="17"/>
          <w:szCs w:val="17"/>
          <w:color w:val="auto"/>
        </w:rPr>
      </w:pPr>
    </w:p>
    <w:p>
      <w:pPr>
        <w:ind w:left="5324" w:hanging="107"/>
        <w:spacing w:after="0"/>
        <w:tabs>
          <w:tab w:leader="none" w:pos="5324" w:val="left"/>
        </w:tabs>
        <w:numPr>
          <w:ilvl w:val="1"/>
          <w:numId w:val="51"/>
        </w:numPr>
        <w:rPr>
          <w:rFonts w:ascii="Arial" w:cs="Arial" w:eastAsia="Arial" w:hAnsi="Arial"/>
          <w:sz w:val="17"/>
          <w:szCs w:val="17"/>
          <w:color w:val="auto"/>
        </w:rPr>
      </w:pPr>
      <w:r>
        <w:rPr>
          <w:rFonts w:ascii="Arial" w:cs="Arial" w:eastAsia="Arial" w:hAnsi="Arial"/>
          <w:sz w:val="17"/>
          <w:szCs w:val="17"/>
          <w:color w:val="auto"/>
        </w:rPr>
        <w:t>47 -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-197485</wp:posOffset>
            </wp:positionH>
            <wp:positionV relativeFrom="paragraph">
              <wp:posOffset>15875</wp:posOffset>
            </wp:positionV>
            <wp:extent cx="725170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51700" cy="8255"/>
                    </a:xfrm>
                    <a:prstGeom prst="rect">
                      <a:avLst/>
                    </a:prstGeom>
                    <a:noFill/>
                  </pic:spPr>
                </pic:pic>
              </a:graphicData>
            </a:graphic>
          </wp:anchor>
        </w:drawing>
      </w:r>
    </w:p>
    <w:p>
      <w:pPr>
        <w:sectPr>
          <w:pgSz w:w="11900" w:h="16838" w:orient="portrait"/>
          <w:cols w:equalWidth="0" w:num="1">
            <w:col w:w="10984"/>
          </w:cols>
          <w:pgMar w:left="556" w:top="881" w:right="359" w:bottom="1440" w:gutter="0" w:footer="0" w:header="0"/>
        </w:sectPr>
      </w:pPr>
    </w:p>
    <w:bookmarkStart w:id="53" w:name="page54"/>
    <w:bookmarkEnd w:id="53"/>
    <w:p>
      <w:pPr>
        <w:ind w:left="304"/>
        <w:spacing w:after="0"/>
        <w:rPr>
          <w:sz w:val="20"/>
          <w:szCs w:val="20"/>
          <w:color w:val="auto"/>
        </w:rPr>
      </w:pPr>
      <w:r>
        <w:rPr>
          <w:rFonts w:ascii="Arial" w:cs="Arial" w:eastAsia="Arial" w:hAnsi="Arial"/>
          <w:sz w:val="15"/>
          <w:szCs w:val="15"/>
          <w:color w:val="auto"/>
        </w:rPr>
        <w:t>The income statement will also be affected, since the total expense is normally higher in the initial years of the lease contract and lower in the final years.</w:t>
      </w:r>
    </w:p>
    <w:p>
      <w:pPr>
        <w:spacing w:after="0" w:line="48" w:lineRule="exact"/>
        <w:rPr>
          <w:sz w:val="20"/>
          <w:szCs w:val="20"/>
          <w:color w:val="auto"/>
        </w:rPr>
      </w:pPr>
    </w:p>
    <w:p>
      <w:pPr>
        <w:ind w:left="304"/>
        <w:spacing w:after="0"/>
        <w:rPr>
          <w:sz w:val="20"/>
          <w:szCs w:val="20"/>
          <w:color w:val="auto"/>
        </w:rPr>
      </w:pPr>
      <w:r>
        <w:rPr>
          <w:rFonts w:ascii="Arial" w:cs="Arial" w:eastAsia="Arial" w:hAnsi="Arial"/>
          <w:sz w:val="17"/>
          <w:szCs w:val="17"/>
          <w:color w:val="auto"/>
        </w:rPr>
        <w:t>Furthermore, the operating costs will be replaced with interest and depreciation, therefore key metrics such as EBITDA will change.</w:t>
      </w:r>
    </w:p>
    <w:p>
      <w:pPr>
        <w:spacing w:after="0" w:line="208" w:lineRule="exact"/>
        <w:rPr>
          <w:sz w:val="20"/>
          <w:szCs w:val="20"/>
          <w:color w:val="auto"/>
        </w:rPr>
      </w:pPr>
    </w:p>
    <w:p>
      <w:pPr>
        <w:ind w:left="304" w:right="100"/>
        <w:spacing w:after="0" w:line="285" w:lineRule="auto"/>
        <w:rPr>
          <w:sz w:val="20"/>
          <w:szCs w:val="20"/>
          <w:color w:val="auto"/>
        </w:rPr>
      </w:pPr>
      <w:r>
        <w:rPr>
          <w:rFonts w:ascii="Arial" w:cs="Arial" w:eastAsia="Arial" w:hAnsi="Arial"/>
          <w:sz w:val="17"/>
          <w:szCs w:val="17"/>
          <w:color w:val="auto"/>
        </w:rPr>
        <w:t>Operating cash flows will be greater since cash payments for the principal portion of the lease debt are classified in financing obligations. Only the part of the payments that reflects interest can continue to be presented as operating cash flow.</w:t>
      </w:r>
    </w:p>
    <w:p>
      <w:pPr>
        <w:spacing w:after="0" w:line="159" w:lineRule="exact"/>
        <w:rPr>
          <w:sz w:val="20"/>
          <w:szCs w:val="20"/>
          <w:color w:val="auto"/>
        </w:rPr>
      </w:pPr>
    </w:p>
    <w:p>
      <w:pPr>
        <w:ind w:left="304" w:right="220"/>
        <w:spacing w:after="0" w:line="285" w:lineRule="auto"/>
        <w:rPr>
          <w:sz w:val="20"/>
          <w:szCs w:val="20"/>
          <w:color w:val="auto"/>
        </w:rPr>
      </w:pPr>
      <w:r>
        <w:rPr>
          <w:rFonts w:ascii="Arial" w:cs="Arial" w:eastAsia="Arial" w:hAnsi="Arial"/>
          <w:sz w:val="17"/>
          <w:szCs w:val="17"/>
          <w:color w:val="auto"/>
        </w:rPr>
        <w:t>During the year 2018, the Group will continue to evaluate the impact of IFRS 16; however, at the date of these financial statements, it concludes that the application of this standard will have no material effects on the financial statements.</w:t>
      </w:r>
    </w:p>
    <w:p>
      <w:pPr>
        <w:spacing w:after="0" w:line="159" w:lineRule="exact"/>
        <w:rPr>
          <w:sz w:val="20"/>
          <w:szCs w:val="20"/>
          <w:color w:val="auto"/>
        </w:rPr>
      </w:pPr>
    </w:p>
    <w:p>
      <w:pPr>
        <w:ind w:left="304" w:right="660"/>
        <w:spacing w:after="0" w:line="285" w:lineRule="auto"/>
        <w:rPr>
          <w:sz w:val="20"/>
          <w:szCs w:val="20"/>
          <w:color w:val="auto"/>
        </w:rPr>
      </w:pPr>
      <w:r>
        <w:rPr>
          <w:rFonts w:ascii="Arial" w:cs="Arial" w:eastAsia="Arial" w:hAnsi="Arial"/>
          <w:sz w:val="17"/>
          <w:szCs w:val="17"/>
          <w:color w:val="auto"/>
        </w:rPr>
        <w:t>IFRS 16 applies to annual periods beginning on or after January 1, 2019, with earlier application permitted but not before IFRS 15, Revenue from Contracts with Customers, is also early adopted.</w:t>
      </w:r>
    </w:p>
    <w:p>
      <w:pPr>
        <w:spacing w:after="0" w:line="159" w:lineRule="exact"/>
        <w:rPr>
          <w:sz w:val="20"/>
          <w:szCs w:val="20"/>
          <w:color w:val="auto"/>
        </w:rPr>
      </w:pPr>
    </w:p>
    <w:p>
      <w:pPr>
        <w:ind w:left="304" w:hanging="304"/>
        <w:spacing w:after="0"/>
        <w:tabs>
          <w:tab w:leader="none" w:pos="304" w:val="left"/>
        </w:tabs>
        <w:numPr>
          <w:ilvl w:val="0"/>
          <w:numId w:val="52"/>
        </w:numPr>
        <w:rPr>
          <w:rFonts w:ascii="Arial" w:cs="Arial" w:eastAsia="Arial" w:hAnsi="Arial"/>
          <w:sz w:val="17"/>
          <w:szCs w:val="17"/>
          <w:color w:val="auto"/>
        </w:rPr>
      </w:pPr>
      <w:r>
        <w:rPr>
          <w:rFonts w:ascii="Arial" w:cs="Arial" w:eastAsia="Arial" w:hAnsi="Arial"/>
          <w:sz w:val="17"/>
          <w:szCs w:val="17"/>
          <w:color w:val="auto"/>
        </w:rPr>
        <w:t>Amendments to IFRS 2: “Share-based payment” “Income Taxes”: Recognition of the deferred income tax asset for unrealized losses.</w:t>
      </w:r>
    </w:p>
    <w:p>
      <w:pPr>
        <w:spacing w:after="0" w:line="220" w:lineRule="exact"/>
        <w:rPr>
          <w:rFonts w:ascii="Arial" w:cs="Arial" w:eastAsia="Arial" w:hAnsi="Arial"/>
          <w:sz w:val="17"/>
          <w:szCs w:val="17"/>
          <w:color w:val="auto"/>
        </w:rPr>
      </w:pPr>
    </w:p>
    <w:p>
      <w:pPr>
        <w:ind w:left="304" w:right="820"/>
        <w:spacing w:after="0" w:line="285" w:lineRule="auto"/>
        <w:rPr>
          <w:rFonts w:ascii="Arial" w:cs="Arial" w:eastAsia="Arial" w:hAnsi="Arial"/>
          <w:sz w:val="17"/>
          <w:szCs w:val="17"/>
          <w:color w:val="auto"/>
        </w:rPr>
      </w:pPr>
      <w:r>
        <w:rPr>
          <w:rFonts w:ascii="Arial" w:cs="Arial" w:eastAsia="Arial" w:hAnsi="Arial"/>
          <w:sz w:val="17"/>
          <w:szCs w:val="17"/>
          <w:color w:val="auto"/>
        </w:rPr>
        <w:t>The amendments made by the IASB in July 2016 clarify the basis of measurement of the share-based payments in cash and the recording of the amendments which change benefits liquidated in cash into equity instruments.</w:t>
      </w:r>
    </w:p>
    <w:p>
      <w:pPr>
        <w:spacing w:after="0" w:line="159" w:lineRule="exact"/>
        <w:rPr>
          <w:rFonts w:ascii="Arial" w:cs="Arial" w:eastAsia="Arial" w:hAnsi="Arial"/>
          <w:sz w:val="17"/>
          <w:szCs w:val="17"/>
          <w:color w:val="auto"/>
        </w:rPr>
      </w:pPr>
    </w:p>
    <w:p>
      <w:pPr>
        <w:ind w:left="304" w:right="80"/>
        <w:spacing w:after="0" w:line="270" w:lineRule="auto"/>
        <w:rPr>
          <w:rFonts w:ascii="Arial" w:cs="Arial" w:eastAsia="Arial" w:hAnsi="Arial"/>
          <w:sz w:val="17"/>
          <w:szCs w:val="17"/>
          <w:color w:val="auto"/>
        </w:rPr>
      </w:pPr>
      <w:r>
        <w:rPr>
          <w:rFonts w:ascii="Arial" w:cs="Arial" w:eastAsia="Arial" w:hAnsi="Arial"/>
          <w:sz w:val="17"/>
          <w:szCs w:val="17"/>
          <w:color w:val="auto"/>
        </w:rPr>
        <w:t>Moreover, an exception is introduced to the principle of classification. When an employer is obliged to retain a certain amount for a tax obligation of the employee associated with a share-based payment, and he pays that amount to the tax authority, the total benefit will be treated as though it were liquidated in equity instruments, as long as it was liquidated in shares without the benefit of a net liquidation.</w:t>
      </w:r>
    </w:p>
    <w:p>
      <w:pPr>
        <w:spacing w:after="0" w:line="171" w:lineRule="exact"/>
        <w:rPr>
          <w:rFonts w:ascii="Arial" w:cs="Arial" w:eastAsia="Arial" w:hAnsi="Arial"/>
          <w:sz w:val="17"/>
          <w:szCs w:val="17"/>
          <w:color w:val="auto"/>
        </w:rPr>
      </w:pPr>
    </w:p>
    <w:p>
      <w:pPr>
        <w:ind w:left="304"/>
        <w:spacing w:after="0"/>
        <w:rPr>
          <w:rFonts w:ascii="Arial" w:cs="Arial" w:eastAsia="Arial" w:hAnsi="Arial"/>
          <w:sz w:val="17"/>
          <w:szCs w:val="17"/>
          <w:color w:val="auto"/>
        </w:rPr>
      </w:pPr>
      <w:r>
        <w:rPr>
          <w:rFonts w:ascii="Arial" w:cs="Arial" w:eastAsia="Arial" w:hAnsi="Arial"/>
          <w:sz w:val="17"/>
          <w:szCs w:val="17"/>
          <w:color w:val="auto"/>
        </w:rPr>
        <w:t>Entities with the following agreements may find themselves affected by these changes:</w:t>
      </w:r>
    </w:p>
    <w:p>
      <w:pPr>
        <w:spacing w:after="0" w:line="220" w:lineRule="exact"/>
        <w:rPr>
          <w:rFonts w:ascii="Arial" w:cs="Arial" w:eastAsia="Arial" w:hAnsi="Arial"/>
          <w:sz w:val="17"/>
          <w:szCs w:val="17"/>
          <w:color w:val="auto"/>
        </w:rPr>
      </w:pPr>
    </w:p>
    <w:p>
      <w:pPr>
        <w:ind w:left="624" w:hanging="312"/>
        <w:spacing w:after="0"/>
        <w:tabs>
          <w:tab w:leader="none" w:pos="624" w:val="left"/>
        </w:tabs>
        <w:numPr>
          <w:ilvl w:val="1"/>
          <w:numId w:val="52"/>
        </w:numPr>
        <w:rPr>
          <w:rFonts w:ascii="Arial" w:cs="Arial" w:eastAsia="Arial" w:hAnsi="Arial"/>
          <w:sz w:val="17"/>
          <w:szCs w:val="17"/>
          <w:color w:val="auto"/>
        </w:rPr>
      </w:pPr>
      <w:r>
        <w:rPr>
          <w:rFonts w:ascii="Arial" w:cs="Arial" w:eastAsia="Arial" w:hAnsi="Arial"/>
          <w:sz w:val="17"/>
          <w:szCs w:val="17"/>
          <w:color w:val="auto"/>
        </w:rPr>
        <w:t>Benefits liquidated in equity instruments which include net liquidations related to tax obligations</w:t>
      </w:r>
    </w:p>
    <w:p>
      <w:pPr>
        <w:spacing w:after="0" w:line="24" w:lineRule="exact"/>
        <w:rPr>
          <w:rFonts w:ascii="Arial" w:cs="Arial" w:eastAsia="Arial" w:hAnsi="Arial"/>
          <w:sz w:val="17"/>
          <w:szCs w:val="17"/>
          <w:color w:val="auto"/>
        </w:rPr>
      </w:pPr>
    </w:p>
    <w:p>
      <w:pPr>
        <w:ind w:left="624" w:hanging="312"/>
        <w:spacing w:after="0"/>
        <w:tabs>
          <w:tab w:leader="none" w:pos="624" w:val="left"/>
        </w:tabs>
        <w:numPr>
          <w:ilvl w:val="1"/>
          <w:numId w:val="52"/>
        </w:numPr>
        <w:rPr>
          <w:rFonts w:ascii="Arial" w:cs="Arial" w:eastAsia="Arial" w:hAnsi="Arial"/>
          <w:sz w:val="17"/>
          <w:szCs w:val="17"/>
          <w:color w:val="auto"/>
        </w:rPr>
      </w:pPr>
      <w:r>
        <w:rPr>
          <w:rFonts w:ascii="Arial" w:cs="Arial" w:eastAsia="Arial" w:hAnsi="Arial"/>
          <w:sz w:val="17"/>
          <w:szCs w:val="17"/>
          <w:color w:val="auto"/>
        </w:rPr>
        <w:t>Share-based payments which include performance conditions, and</w:t>
      </w:r>
    </w:p>
    <w:p>
      <w:pPr>
        <w:spacing w:after="0" w:line="12" w:lineRule="exact"/>
        <w:rPr>
          <w:rFonts w:ascii="Arial" w:cs="Arial" w:eastAsia="Arial" w:hAnsi="Arial"/>
          <w:sz w:val="17"/>
          <w:szCs w:val="17"/>
          <w:color w:val="auto"/>
        </w:rPr>
      </w:pPr>
    </w:p>
    <w:p>
      <w:pPr>
        <w:ind w:left="624" w:hanging="312"/>
        <w:spacing w:after="0"/>
        <w:tabs>
          <w:tab w:leader="none" w:pos="624" w:val="left"/>
        </w:tabs>
        <w:numPr>
          <w:ilvl w:val="1"/>
          <w:numId w:val="52"/>
        </w:numPr>
        <w:rPr>
          <w:rFonts w:ascii="Arial" w:cs="Arial" w:eastAsia="Arial" w:hAnsi="Arial"/>
          <w:sz w:val="17"/>
          <w:szCs w:val="17"/>
          <w:color w:val="auto"/>
        </w:rPr>
      </w:pPr>
      <w:r>
        <w:rPr>
          <w:rFonts w:ascii="Arial" w:cs="Arial" w:eastAsia="Arial" w:hAnsi="Arial"/>
          <w:sz w:val="17"/>
          <w:szCs w:val="17"/>
          <w:color w:val="auto"/>
        </w:rPr>
        <w:t>Cash liquidation agreements which are amended to share-based payments liquidated in equity instruments.</w:t>
      </w:r>
    </w:p>
    <w:p>
      <w:pPr>
        <w:spacing w:after="0" w:line="208" w:lineRule="exact"/>
        <w:rPr>
          <w:sz w:val="20"/>
          <w:szCs w:val="20"/>
          <w:color w:val="auto"/>
        </w:rPr>
      </w:pPr>
    </w:p>
    <w:p>
      <w:pPr>
        <w:ind w:left="304"/>
        <w:spacing w:after="0"/>
        <w:rPr>
          <w:sz w:val="20"/>
          <w:szCs w:val="20"/>
          <w:color w:val="auto"/>
        </w:rPr>
      </w:pPr>
      <w:r>
        <w:rPr>
          <w:rFonts w:ascii="Arial" w:cs="Arial" w:eastAsia="Arial" w:hAnsi="Arial"/>
          <w:sz w:val="17"/>
          <w:szCs w:val="17"/>
          <w:color w:val="auto"/>
        </w:rPr>
        <w:t>The amendment to IFRS 2 applies to annual periods beginning on or after January 1, 2018, permitting its early adoption.</w:t>
      </w:r>
    </w:p>
    <w:p>
      <w:pPr>
        <w:spacing w:after="0" w:line="220" w:lineRule="exact"/>
        <w:rPr>
          <w:sz w:val="20"/>
          <w:szCs w:val="20"/>
          <w:color w:val="auto"/>
        </w:rPr>
      </w:pPr>
    </w:p>
    <w:p>
      <w:pPr>
        <w:ind w:left="304" w:hanging="304"/>
        <w:spacing w:after="0"/>
        <w:tabs>
          <w:tab w:leader="none" w:pos="304" w:val="left"/>
        </w:tabs>
        <w:numPr>
          <w:ilvl w:val="0"/>
          <w:numId w:val="53"/>
        </w:numPr>
        <w:rPr>
          <w:rFonts w:ascii="Arial" w:cs="Arial" w:eastAsia="Arial" w:hAnsi="Arial"/>
          <w:sz w:val="17"/>
          <w:szCs w:val="17"/>
          <w:color w:val="auto"/>
        </w:rPr>
      </w:pPr>
      <w:r>
        <w:rPr>
          <w:rFonts w:ascii="Arial" w:cs="Arial" w:eastAsia="Arial" w:hAnsi="Arial"/>
          <w:sz w:val="17"/>
          <w:szCs w:val="17"/>
          <w:color w:val="auto"/>
        </w:rPr>
        <w:t>Annual improvements to the IFRS (2014 - 2016 Cycle)</w:t>
      </w:r>
    </w:p>
    <w:p>
      <w:pPr>
        <w:spacing w:after="0" w:line="220" w:lineRule="exact"/>
        <w:rPr>
          <w:rFonts w:ascii="Arial" w:cs="Arial" w:eastAsia="Arial" w:hAnsi="Arial"/>
          <w:sz w:val="17"/>
          <w:szCs w:val="17"/>
          <w:color w:val="auto"/>
        </w:rPr>
      </w:pPr>
    </w:p>
    <w:p>
      <w:pPr>
        <w:ind w:left="304"/>
        <w:spacing w:after="0"/>
        <w:rPr>
          <w:rFonts w:ascii="Arial" w:cs="Arial" w:eastAsia="Arial" w:hAnsi="Arial"/>
          <w:sz w:val="17"/>
          <w:szCs w:val="17"/>
          <w:color w:val="auto"/>
        </w:rPr>
      </w:pPr>
      <w:r>
        <w:rPr>
          <w:rFonts w:ascii="Arial" w:cs="Arial" w:eastAsia="Arial" w:hAnsi="Arial"/>
          <w:sz w:val="17"/>
          <w:szCs w:val="17"/>
          <w:color w:val="auto"/>
        </w:rPr>
        <w:t>In December 2016, the following improvements were completed:</w:t>
      </w:r>
    </w:p>
    <w:p>
      <w:pPr>
        <w:spacing w:after="0" w:line="220" w:lineRule="exact"/>
        <w:rPr>
          <w:rFonts w:ascii="Arial" w:cs="Arial" w:eastAsia="Arial" w:hAnsi="Arial"/>
          <w:sz w:val="17"/>
          <w:szCs w:val="17"/>
          <w:color w:val="auto"/>
        </w:rPr>
      </w:pPr>
    </w:p>
    <w:p>
      <w:pPr>
        <w:ind w:left="624" w:right="160" w:hanging="312"/>
        <w:spacing w:after="0" w:line="262" w:lineRule="auto"/>
        <w:tabs>
          <w:tab w:leader="none" w:pos="624" w:val="left"/>
        </w:tabs>
        <w:numPr>
          <w:ilvl w:val="1"/>
          <w:numId w:val="53"/>
        </w:numPr>
        <w:rPr>
          <w:rFonts w:ascii="Arial" w:cs="Arial" w:eastAsia="Arial" w:hAnsi="Arial"/>
          <w:sz w:val="17"/>
          <w:szCs w:val="17"/>
          <w:color w:val="auto"/>
        </w:rPr>
      </w:pPr>
      <w:r>
        <w:rPr>
          <w:rFonts w:ascii="Arial" w:cs="Arial" w:eastAsia="Arial" w:hAnsi="Arial"/>
          <w:sz w:val="17"/>
          <w:szCs w:val="17"/>
          <w:color w:val="auto"/>
        </w:rPr>
        <w:t>IFRS 1 “First Time Adoption of IFRS”, which eliminates the short-term exemptions which cover the provisions for transition of IFRS 7, IAS 19 and IFRS 10 which are no longer relevant.</w:t>
      </w:r>
    </w:p>
    <w:p>
      <w:pPr>
        <w:spacing w:after="0" w:line="1" w:lineRule="exact"/>
        <w:rPr>
          <w:rFonts w:ascii="Arial" w:cs="Arial" w:eastAsia="Arial" w:hAnsi="Arial"/>
          <w:sz w:val="17"/>
          <w:szCs w:val="17"/>
          <w:color w:val="auto"/>
        </w:rPr>
      </w:pPr>
    </w:p>
    <w:p>
      <w:pPr>
        <w:ind w:left="624" w:hanging="312"/>
        <w:spacing w:after="0" w:line="262" w:lineRule="auto"/>
        <w:tabs>
          <w:tab w:leader="none" w:pos="624" w:val="left"/>
        </w:tabs>
        <w:numPr>
          <w:ilvl w:val="1"/>
          <w:numId w:val="53"/>
        </w:numPr>
        <w:rPr>
          <w:rFonts w:ascii="Arial" w:cs="Arial" w:eastAsia="Arial" w:hAnsi="Arial"/>
          <w:sz w:val="17"/>
          <w:szCs w:val="17"/>
          <w:color w:val="auto"/>
        </w:rPr>
      </w:pPr>
      <w:r>
        <w:rPr>
          <w:rFonts w:ascii="Arial" w:cs="Arial" w:eastAsia="Arial" w:hAnsi="Arial"/>
          <w:sz w:val="17"/>
          <w:szCs w:val="17"/>
          <w:color w:val="auto"/>
        </w:rPr>
        <w:t>IAS 28 “Investments in Associates and Joint Ventures”. This clarifies that the choice by investment funds, mutual funds, investment trusts and similar entities to measure the investments in associates or joint ventures at fair value through profit or loss must be made separately for each associate or joint venture at initial recognition.</w:t>
      </w:r>
    </w:p>
    <w:p>
      <w:pPr>
        <w:spacing w:after="0" w:line="179" w:lineRule="exact"/>
        <w:rPr>
          <w:sz w:val="20"/>
          <w:szCs w:val="20"/>
          <w:color w:val="auto"/>
        </w:rPr>
      </w:pPr>
    </w:p>
    <w:p>
      <w:pPr>
        <w:ind w:left="304"/>
        <w:spacing w:after="0"/>
        <w:rPr>
          <w:sz w:val="20"/>
          <w:szCs w:val="20"/>
          <w:color w:val="auto"/>
        </w:rPr>
      </w:pPr>
      <w:r>
        <w:rPr>
          <w:rFonts w:ascii="Arial" w:cs="Arial" w:eastAsia="Arial" w:hAnsi="Arial"/>
          <w:sz w:val="17"/>
          <w:szCs w:val="17"/>
          <w:color w:val="auto"/>
        </w:rPr>
        <w:t>Said improvements are applicable for financial periods from January 1, 2018.</w:t>
      </w:r>
    </w:p>
    <w:p>
      <w:pPr>
        <w:spacing w:after="0" w:line="200" w:lineRule="exact"/>
        <w:rPr>
          <w:sz w:val="20"/>
          <w:szCs w:val="20"/>
          <w:color w:val="auto"/>
        </w:rPr>
      </w:pPr>
    </w:p>
    <w:p>
      <w:pPr>
        <w:spacing w:after="0" w:line="228" w:lineRule="exact"/>
        <w:rPr>
          <w:sz w:val="20"/>
          <w:szCs w:val="20"/>
          <w:color w:val="auto"/>
        </w:rPr>
      </w:pPr>
    </w:p>
    <w:p>
      <w:pPr>
        <w:jc w:val="center"/>
        <w:ind w:right="276"/>
        <w:spacing w:after="0"/>
        <w:rPr>
          <w:sz w:val="20"/>
          <w:szCs w:val="20"/>
          <w:color w:val="auto"/>
        </w:rPr>
      </w:pPr>
      <w:r>
        <w:rPr>
          <w:rFonts w:ascii="Arial" w:cs="Arial" w:eastAsia="Arial" w:hAnsi="Arial"/>
          <w:sz w:val="17"/>
          <w:szCs w:val="17"/>
          <w:color w:val="auto"/>
        </w:rPr>
        <w:t>- 48 -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-197485</wp:posOffset>
            </wp:positionH>
            <wp:positionV relativeFrom="paragraph">
              <wp:posOffset>15875</wp:posOffset>
            </wp:positionV>
            <wp:extent cx="725170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51700" cy="8255"/>
                    </a:xfrm>
                    <a:prstGeom prst="rect">
                      <a:avLst/>
                    </a:prstGeom>
                    <a:noFill/>
                  </pic:spPr>
                </pic:pic>
              </a:graphicData>
            </a:graphic>
          </wp:anchor>
        </w:drawing>
      </w:r>
    </w:p>
    <w:p>
      <w:pPr>
        <w:sectPr>
          <w:pgSz w:w="11900" w:h="16838" w:orient="portrait"/>
          <w:cols w:equalWidth="0" w:num="1">
            <w:col w:w="11084"/>
          </w:cols>
          <w:pgMar w:left="556" w:top="881" w:right="259" w:bottom="1440" w:gutter="0" w:footer="0" w:header="0"/>
        </w:sectPr>
      </w:pPr>
    </w:p>
    <w:bookmarkStart w:id="54" w:name="page55"/>
    <w:bookmarkEnd w:id="54"/>
    <w:p>
      <w:pPr>
        <w:ind w:left="369" w:hanging="304"/>
        <w:spacing w:after="0"/>
        <w:tabs>
          <w:tab w:leader="none" w:pos="369" w:val="left"/>
        </w:tabs>
        <w:numPr>
          <w:ilvl w:val="1"/>
          <w:numId w:val="54"/>
        </w:numPr>
        <w:rPr>
          <w:rFonts w:ascii="Arial" w:cs="Arial" w:eastAsia="Arial" w:hAnsi="Arial"/>
          <w:sz w:val="17"/>
          <w:szCs w:val="17"/>
          <w:color w:val="auto"/>
        </w:rPr>
      </w:pPr>
      <w:r>
        <w:rPr>
          <w:rFonts w:ascii="Arial" w:cs="Arial" w:eastAsia="Arial" w:hAnsi="Arial"/>
          <w:sz w:val="17"/>
          <w:szCs w:val="17"/>
          <w:color w:val="auto"/>
        </w:rPr>
        <w:t>IFRIC 22 “Foreign Currency Transactions and Advance Consideration” -</w:t>
      </w:r>
    </w:p>
    <w:p>
      <w:pPr>
        <w:spacing w:after="0" w:line="220" w:lineRule="exact"/>
        <w:rPr>
          <w:rFonts w:ascii="Arial" w:cs="Arial" w:eastAsia="Arial" w:hAnsi="Arial"/>
          <w:sz w:val="17"/>
          <w:szCs w:val="17"/>
          <w:color w:val="auto"/>
        </w:rPr>
      </w:pPr>
    </w:p>
    <w:p>
      <w:pPr>
        <w:ind w:left="369"/>
        <w:spacing w:after="0" w:line="285" w:lineRule="auto"/>
        <w:rPr>
          <w:rFonts w:ascii="Arial" w:cs="Arial" w:eastAsia="Arial" w:hAnsi="Arial"/>
          <w:sz w:val="17"/>
          <w:szCs w:val="17"/>
          <w:color w:val="auto"/>
        </w:rPr>
      </w:pPr>
      <w:r>
        <w:rPr>
          <w:rFonts w:ascii="Arial" w:cs="Arial" w:eastAsia="Arial" w:hAnsi="Arial"/>
          <w:sz w:val="17"/>
          <w:szCs w:val="17"/>
          <w:color w:val="auto"/>
        </w:rPr>
        <w:t>This interpretation clarifies how to determine the transaction date for the exchange rate to use in the initial recognition of an asset, expense or income when an entity pays or receives advance consideration for contracts denominated in foreign currency.</w:t>
      </w:r>
    </w:p>
    <w:p>
      <w:pPr>
        <w:spacing w:after="0" w:line="159" w:lineRule="exact"/>
        <w:rPr>
          <w:rFonts w:ascii="Arial" w:cs="Arial" w:eastAsia="Arial" w:hAnsi="Arial"/>
          <w:sz w:val="17"/>
          <w:szCs w:val="17"/>
          <w:color w:val="auto"/>
        </w:rPr>
      </w:pPr>
    </w:p>
    <w:p>
      <w:pPr>
        <w:ind w:left="369" w:right="160"/>
        <w:spacing w:after="0" w:line="285" w:lineRule="auto"/>
        <w:rPr>
          <w:rFonts w:ascii="Arial" w:cs="Arial" w:eastAsia="Arial" w:hAnsi="Arial"/>
          <w:sz w:val="17"/>
          <w:szCs w:val="17"/>
          <w:color w:val="auto"/>
        </w:rPr>
      </w:pPr>
      <w:r>
        <w:rPr>
          <w:rFonts w:ascii="Arial" w:cs="Arial" w:eastAsia="Arial" w:hAnsi="Arial"/>
          <w:sz w:val="17"/>
          <w:szCs w:val="17"/>
          <w:color w:val="auto"/>
        </w:rPr>
        <w:t>For a single payment or collection, the transaction date must be the date on which the entity initially recognizes the non-monetary asset or liability which results from the advance consideration (the advance payment or deferred revenue).</w:t>
      </w:r>
    </w:p>
    <w:p>
      <w:pPr>
        <w:spacing w:after="0" w:line="159" w:lineRule="exact"/>
        <w:rPr>
          <w:rFonts w:ascii="Arial" w:cs="Arial" w:eastAsia="Arial" w:hAnsi="Arial"/>
          <w:sz w:val="17"/>
          <w:szCs w:val="17"/>
          <w:color w:val="auto"/>
        </w:rPr>
      </w:pPr>
    </w:p>
    <w:p>
      <w:pPr>
        <w:ind w:left="369" w:right="600"/>
        <w:spacing w:after="0" w:line="510" w:lineRule="auto"/>
        <w:rPr>
          <w:rFonts w:ascii="Arial" w:cs="Arial" w:eastAsia="Arial" w:hAnsi="Arial"/>
          <w:sz w:val="17"/>
          <w:szCs w:val="17"/>
          <w:color w:val="auto"/>
        </w:rPr>
      </w:pPr>
      <w:r>
        <w:rPr>
          <w:rFonts w:ascii="Arial" w:cs="Arial" w:eastAsia="Arial" w:hAnsi="Arial"/>
          <w:sz w:val="17"/>
          <w:szCs w:val="17"/>
          <w:color w:val="auto"/>
        </w:rPr>
        <w:t>If there are various payments or collections for an item, the transaction date must be determined as indicated above for each payment or collection. Entities can opt for applying the interpretation:</w:t>
      </w:r>
    </w:p>
    <w:p>
      <w:pPr>
        <w:ind w:left="689" w:hanging="312"/>
        <w:spacing w:after="0"/>
        <w:tabs>
          <w:tab w:leader="none" w:pos="689" w:val="left"/>
        </w:tabs>
        <w:numPr>
          <w:ilvl w:val="2"/>
          <w:numId w:val="54"/>
        </w:numPr>
        <w:rPr>
          <w:rFonts w:ascii="Arial" w:cs="Arial" w:eastAsia="Arial" w:hAnsi="Arial"/>
          <w:sz w:val="17"/>
          <w:szCs w:val="17"/>
          <w:color w:val="auto"/>
        </w:rPr>
      </w:pPr>
      <w:r>
        <w:rPr>
          <w:rFonts w:ascii="Arial" w:cs="Arial" w:eastAsia="Arial" w:hAnsi="Arial"/>
          <w:sz w:val="17"/>
          <w:szCs w:val="17"/>
          <w:color w:val="auto"/>
        </w:rPr>
        <w:t>Retrospectively for each period presented.</w:t>
      </w:r>
    </w:p>
    <w:p>
      <w:pPr>
        <w:spacing w:after="0" w:line="24" w:lineRule="exact"/>
        <w:rPr>
          <w:rFonts w:ascii="Arial" w:cs="Arial" w:eastAsia="Arial" w:hAnsi="Arial"/>
          <w:sz w:val="17"/>
          <w:szCs w:val="17"/>
          <w:color w:val="auto"/>
        </w:rPr>
      </w:pPr>
    </w:p>
    <w:p>
      <w:pPr>
        <w:ind w:left="689" w:right="120" w:hanging="312"/>
        <w:spacing w:after="0" w:line="255" w:lineRule="auto"/>
        <w:tabs>
          <w:tab w:leader="none" w:pos="689" w:val="left"/>
        </w:tabs>
        <w:numPr>
          <w:ilvl w:val="2"/>
          <w:numId w:val="54"/>
        </w:numPr>
        <w:rPr>
          <w:rFonts w:ascii="Arial" w:cs="Arial" w:eastAsia="Arial" w:hAnsi="Arial"/>
          <w:sz w:val="17"/>
          <w:szCs w:val="17"/>
          <w:color w:val="auto"/>
        </w:rPr>
      </w:pPr>
      <w:r>
        <w:rPr>
          <w:rFonts w:ascii="Arial" w:cs="Arial" w:eastAsia="Arial" w:hAnsi="Arial"/>
          <w:sz w:val="17"/>
          <w:szCs w:val="17"/>
          <w:color w:val="auto"/>
        </w:rPr>
        <w:t>Prospectively for items within the scope which is recognized for the first time at or after the start of the reporting period in which the interpretation is applied, or</w:t>
      </w:r>
    </w:p>
    <w:p>
      <w:pPr>
        <w:ind w:left="689" w:hanging="312"/>
        <w:spacing w:after="0"/>
        <w:tabs>
          <w:tab w:leader="none" w:pos="689" w:val="left"/>
        </w:tabs>
        <w:numPr>
          <w:ilvl w:val="2"/>
          <w:numId w:val="54"/>
        </w:numPr>
        <w:rPr>
          <w:rFonts w:ascii="Arial" w:cs="Arial" w:eastAsia="Arial" w:hAnsi="Arial"/>
          <w:sz w:val="17"/>
          <w:szCs w:val="17"/>
          <w:color w:val="auto"/>
        </w:rPr>
      </w:pPr>
      <w:r>
        <w:rPr>
          <w:rFonts w:ascii="Arial" w:cs="Arial" w:eastAsia="Arial" w:hAnsi="Arial"/>
          <w:sz w:val="17"/>
          <w:szCs w:val="17"/>
          <w:color w:val="auto"/>
        </w:rPr>
        <w:t>Prospectively from the start of a prior reporting period presented as comparative information.</w:t>
      </w:r>
    </w:p>
    <w:p>
      <w:pPr>
        <w:spacing w:after="0" w:line="207" w:lineRule="exact"/>
        <w:rPr>
          <w:rFonts w:ascii="Arial" w:cs="Arial" w:eastAsia="Arial" w:hAnsi="Arial"/>
          <w:sz w:val="17"/>
          <w:szCs w:val="17"/>
          <w:color w:val="auto"/>
        </w:rPr>
      </w:pPr>
    </w:p>
    <w:p>
      <w:pPr>
        <w:ind w:left="369" w:hanging="369"/>
        <w:spacing w:after="0"/>
        <w:tabs>
          <w:tab w:leader="none" w:pos="369" w:val="left"/>
        </w:tabs>
        <w:numPr>
          <w:ilvl w:val="0"/>
          <w:numId w:val="55"/>
        </w:numPr>
        <w:rPr>
          <w:rFonts w:ascii="Arial" w:cs="Arial" w:eastAsia="Arial" w:hAnsi="Arial"/>
          <w:sz w:val="17"/>
          <w:szCs w:val="17"/>
          <w:color w:val="auto"/>
        </w:rPr>
      </w:pPr>
      <w:r>
        <w:rPr>
          <w:rFonts w:ascii="Arial" w:cs="Arial" w:eastAsia="Arial" w:hAnsi="Arial"/>
          <w:sz w:val="17"/>
          <w:szCs w:val="17"/>
          <w:color w:val="auto"/>
        </w:rPr>
        <w:t>Amendments to IAS 40: “Transfers of Investment Property” –</w:t>
      </w:r>
    </w:p>
    <w:p>
      <w:pPr>
        <w:spacing w:after="0" w:line="220" w:lineRule="exact"/>
        <w:rPr>
          <w:rFonts w:ascii="Arial" w:cs="Arial" w:eastAsia="Arial" w:hAnsi="Arial"/>
          <w:sz w:val="17"/>
          <w:szCs w:val="17"/>
          <w:color w:val="auto"/>
        </w:rPr>
      </w:pPr>
    </w:p>
    <w:p>
      <w:pPr>
        <w:ind w:left="369" w:right="480"/>
        <w:spacing w:after="0" w:line="355" w:lineRule="auto"/>
        <w:rPr>
          <w:rFonts w:ascii="Arial" w:cs="Arial" w:eastAsia="Arial" w:hAnsi="Arial"/>
          <w:sz w:val="17"/>
          <w:szCs w:val="17"/>
          <w:color w:val="auto"/>
        </w:rPr>
      </w:pPr>
      <w:r>
        <w:rPr>
          <w:rFonts w:ascii="Arial" w:cs="Arial" w:eastAsia="Arial" w:hAnsi="Arial"/>
          <w:sz w:val="15"/>
          <w:szCs w:val="15"/>
          <w:color w:val="auto"/>
        </w:rPr>
        <w:t>The amendments clarify that transfers to or from, investment properties can only be made if there has been a change in the use of the property that is supported with evidence. A change in use occurs when the property complies with, or ceases to comply with, the definition of investment property.</w:t>
      </w:r>
    </w:p>
    <w:p>
      <w:pPr>
        <w:spacing w:after="0" w:line="113" w:lineRule="exact"/>
        <w:rPr>
          <w:rFonts w:ascii="Arial" w:cs="Arial" w:eastAsia="Arial" w:hAnsi="Arial"/>
          <w:sz w:val="17"/>
          <w:szCs w:val="17"/>
          <w:color w:val="auto"/>
        </w:rPr>
      </w:pPr>
    </w:p>
    <w:p>
      <w:pPr>
        <w:ind w:left="369"/>
        <w:spacing w:after="0"/>
        <w:rPr>
          <w:rFonts w:ascii="Arial" w:cs="Arial" w:eastAsia="Arial" w:hAnsi="Arial"/>
          <w:sz w:val="17"/>
          <w:szCs w:val="17"/>
          <w:color w:val="auto"/>
        </w:rPr>
      </w:pPr>
      <w:r>
        <w:rPr>
          <w:rFonts w:ascii="Arial" w:cs="Arial" w:eastAsia="Arial" w:hAnsi="Arial"/>
          <w:sz w:val="17"/>
          <w:szCs w:val="17"/>
          <w:color w:val="auto"/>
        </w:rPr>
        <w:t>A change of intention by itself is not sufficient to support a transfer.</w:t>
      </w:r>
    </w:p>
    <w:p>
      <w:pPr>
        <w:spacing w:after="0" w:line="24" w:lineRule="exact"/>
        <w:rPr>
          <w:rFonts w:ascii="Arial" w:cs="Arial" w:eastAsia="Arial" w:hAnsi="Arial"/>
          <w:sz w:val="17"/>
          <w:szCs w:val="17"/>
          <w:color w:val="auto"/>
        </w:rPr>
      </w:pPr>
    </w:p>
    <w:p>
      <w:pPr>
        <w:ind w:left="369" w:right="1300"/>
        <w:spacing w:after="0" w:line="502" w:lineRule="auto"/>
        <w:rPr>
          <w:rFonts w:ascii="Arial" w:cs="Arial" w:eastAsia="Arial" w:hAnsi="Arial"/>
          <w:sz w:val="17"/>
          <w:szCs w:val="17"/>
          <w:color w:val="auto"/>
        </w:rPr>
      </w:pPr>
      <w:r>
        <w:rPr>
          <w:rFonts w:ascii="Arial" w:cs="Arial" w:eastAsia="Arial" w:hAnsi="Arial"/>
          <w:sz w:val="17"/>
          <w:szCs w:val="17"/>
          <w:color w:val="auto"/>
        </w:rPr>
        <w:t>The list of tests for a change of use in the standard is characterized as a non-exhaustive list of examples to help to illustrate the principal. The IASB provided two examples for the transition:</w:t>
      </w:r>
    </w:p>
    <w:p>
      <w:pPr>
        <w:spacing w:after="0" w:line="1" w:lineRule="exact"/>
        <w:rPr>
          <w:rFonts w:ascii="Arial" w:cs="Arial" w:eastAsia="Arial" w:hAnsi="Arial"/>
          <w:sz w:val="17"/>
          <w:szCs w:val="17"/>
          <w:color w:val="auto"/>
        </w:rPr>
      </w:pPr>
    </w:p>
    <w:p>
      <w:pPr>
        <w:ind w:left="689" w:hanging="312"/>
        <w:spacing w:after="0"/>
        <w:tabs>
          <w:tab w:leader="none" w:pos="689" w:val="left"/>
        </w:tabs>
        <w:numPr>
          <w:ilvl w:val="2"/>
          <w:numId w:val="55"/>
        </w:numPr>
        <w:rPr>
          <w:rFonts w:ascii="Arial" w:cs="Arial" w:eastAsia="Arial" w:hAnsi="Arial"/>
          <w:sz w:val="15"/>
          <w:szCs w:val="15"/>
          <w:color w:val="auto"/>
        </w:rPr>
      </w:pPr>
      <w:r>
        <w:rPr>
          <w:rFonts w:ascii="Arial" w:cs="Arial" w:eastAsia="Arial" w:hAnsi="Arial"/>
          <w:sz w:val="15"/>
          <w:szCs w:val="15"/>
          <w:color w:val="auto"/>
        </w:rPr>
        <w:t>Prospectively, with any impact from the reclassification recognized as an adjustment to the initial retained earnings at the date of initial recognition, or</w:t>
      </w:r>
    </w:p>
    <w:p>
      <w:pPr>
        <w:spacing w:after="0" w:line="47" w:lineRule="exact"/>
        <w:rPr>
          <w:rFonts w:ascii="Arial" w:cs="Arial" w:eastAsia="Arial" w:hAnsi="Arial"/>
          <w:sz w:val="15"/>
          <w:szCs w:val="15"/>
          <w:color w:val="auto"/>
        </w:rPr>
      </w:pPr>
    </w:p>
    <w:p>
      <w:pPr>
        <w:ind w:left="689" w:hanging="312"/>
        <w:spacing w:after="0"/>
        <w:tabs>
          <w:tab w:leader="none" w:pos="689" w:val="left"/>
        </w:tabs>
        <w:numPr>
          <w:ilvl w:val="2"/>
          <w:numId w:val="55"/>
        </w:numPr>
        <w:rPr>
          <w:rFonts w:ascii="Arial" w:cs="Arial" w:eastAsia="Arial" w:hAnsi="Arial"/>
          <w:sz w:val="17"/>
          <w:szCs w:val="17"/>
          <w:color w:val="auto"/>
        </w:rPr>
      </w:pPr>
      <w:r>
        <w:rPr>
          <w:rFonts w:ascii="Arial" w:cs="Arial" w:eastAsia="Arial" w:hAnsi="Arial"/>
          <w:sz w:val="17"/>
          <w:szCs w:val="17"/>
          <w:color w:val="auto"/>
        </w:rPr>
        <w:t>Retrospectively, only permitted without taking advantage of retrospective information.</w:t>
      </w:r>
    </w:p>
    <w:p>
      <w:pPr>
        <w:spacing w:after="0" w:line="208" w:lineRule="exact"/>
        <w:rPr>
          <w:sz w:val="20"/>
          <w:szCs w:val="20"/>
          <w:color w:val="auto"/>
        </w:rPr>
      </w:pPr>
    </w:p>
    <w:p>
      <w:pPr>
        <w:ind w:left="369"/>
        <w:spacing w:after="0"/>
        <w:rPr>
          <w:sz w:val="20"/>
          <w:szCs w:val="20"/>
          <w:color w:val="auto"/>
        </w:rPr>
      </w:pPr>
      <w:r>
        <w:rPr>
          <w:rFonts w:ascii="Arial" w:cs="Arial" w:eastAsia="Arial" w:hAnsi="Arial"/>
          <w:sz w:val="17"/>
          <w:szCs w:val="17"/>
          <w:color w:val="auto"/>
        </w:rPr>
        <w:t>Additional disclosures are required if an entity adopts the requirements prospectively.</w:t>
      </w:r>
    </w:p>
    <w:p>
      <w:pPr>
        <w:spacing w:after="0" w:line="220" w:lineRule="exact"/>
        <w:rPr>
          <w:sz w:val="20"/>
          <w:szCs w:val="20"/>
          <w:color w:val="auto"/>
        </w:rPr>
      </w:pPr>
    </w:p>
    <w:p>
      <w:pPr>
        <w:ind w:left="369"/>
        <w:spacing w:after="0"/>
        <w:rPr>
          <w:sz w:val="20"/>
          <w:szCs w:val="20"/>
          <w:color w:val="auto"/>
        </w:rPr>
      </w:pPr>
      <w:r>
        <w:rPr>
          <w:rFonts w:ascii="Arial" w:cs="Arial" w:eastAsia="Arial" w:hAnsi="Arial"/>
          <w:sz w:val="17"/>
          <w:szCs w:val="17"/>
          <w:color w:val="auto"/>
        </w:rPr>
        <w:t>The amendment to IAS 40 applies to annual periods beginning on or after January 1, 2018, with early adoption permitted.</w:t>
      </w:r>
    </w:p>
    <w:p>
      <w:pPr>
        <w:spacing w:after="0" w:line="220" w:lineRule="exact"/>
        <w:rPr>
          <w:sz w:val="20"/>
          <w:szCs w:val="20"/>
          <w:color w:val="auto"/>
        </w:rPr>
      </w:pPr>
    </w:p>
    <w:p>
      <w:pPr>
        <w:ind w:left="389" w:hanging="389"/>
        <w:spacing w:after="0"/>
        <w:tabs>
          <w:tab w:leader="none" w:pos="389" w:val="left"/>
        </w:tabs>
        <w:numPr>
          <w:ilvl w:val="0"/>
          <w:numId w:val="56"/>
        </w:numPr>
        <w:rPr>
          <w:rFonts w:ascii="Arial" w:cs="Arial" w:eastAsia="Arial" w:hAnsi="Arial"/>
          <w:sz w:val="17"/>
          <w:szCs w:val="17"/>
          <w:color w:val="auto"/>
        </w:rPr>
      </w:pPr>
      <w:r>
        <w:rPr>
          <w:rFonts w:ascii="Arial" w:cs="Arial" w:eastAsia="Arial" w:hAnsi="Arial"/>
          <w:sz w:val="17"/>
          <w:szCs w:val="17"/>
          <w:color w:val="auto"/>
        </w:rPr>
        <w:t>IFRS 17 “Insurance Contracts” -</w:t>
      </w:r>
    </w:p>
    <w:p>
      <w:pPr>
        <w:spacing w:after="0" w:line="220" w:lineRule="exact"/>
        <w:rPr>
          <w:rFonts w:ascii="Arial" w:cs="Arial" w:eastAsia="Arial" w:hAnsi="Arial"/>
          <w:sz w:val="17"/>
          <w:szCs w:val="17"/>
          <w:color w:val="auto"/>
        </w:rPr>
      </w:pPr>
    </w:p>
    <w:p>
      <w:pPr>
        <w:ind w:left="369" w:right="480"/>
        <w:spacing w:after="0" w:line="285" w:lineRule="auto"/>
        <w:rPr>
          <w:rFonts w:ascii="Arial" w:cs="Arial" w:eastAsia="Arial" w:hAnsi="Arial"/>
          <w:sz w:val="17"/>
          <w:szCs w:val="17"/>
          <w:color w:val="auto"/>
        </w:rPr>
      </w:pPr>
      <w:r>
        <w:rPr>
          <w:rFonts w:ascii="Arial" w:cs="Arial" w:eastAsia="Arial" w:hAnsi="Arial"/>
          <w:sz w:val="17"/>
          <w:szCs w:val="17"/>
          <w:color w:val="auto"/>
        </w:rPr>
        <w:t>IFRS 17 was issued in May 2017 in replacement of IFRS 4 “Insurance Contracts”. This standard requires a current measurement model in which the estimations are remeasured at each reporting period. The contracts are measured using the components of:</w:t>
      </w:r>
    </w:p>
    <w:p>
      <w:pPr>
        <w:spacing w:after="0" w:line="159" w:lineRule="exact"/>
        <w:rPr>
          <w:rFonts w:ascii="Arial" w:cs="Arial" w:eastAsia="Arial" w:hAnsi="Arial"/>
          <w:sz w:val="17"/>
          <w:szCs w:val="17"/>
          <w:color w:val="auto"/>
        </w:rPr>
      </w:pPr>
    </w:p>
    <w:p>
      <w:pPr>
        <w:ind w:left="689" w:hanging="312"/>
        <w:spacing w:after="0"/>
        <w:tabs>
          <w:tab w:leader="none" w:pos="689" w:val="left"/>
        </w:tabs>
        <w:numPr>
          <w:ilvl w:val="1"/>
          <w:numId w:val="56"/>
        </w:numPr>
        <w:rPr>
          <w:rFonts w:ascii="Arial" w:cs="Arial" w:eastAsia="Arial" w:hAnsi="Arial"/>
          <w:sz w:val="17"/>
          <w:szCs w:val="17"/>
          <w:color w:val="auto"/>
        </w:rPr>
      </w:pPr>
      <w:r>
        <w:rPr>
          <w:rFonts w:ascii="Arial" w:cs="Arial" w:eastAsia="Arial" w:hAnsi="Arial"/>
          <w:sz w:val="17"/>
          <w:szCs w:val="17"/>
          <w:color w:val="auto"/>
        </w:rPr>
        <w:t>Discounted probability-weighted cash flows.</w:t>
      </w:r>
    </w:p>
    <w:p>
      <w:pPr>
        <w:spacing w:after="0" w:line="24" w:lineRule="exact"/>
        <w:rPr>
          <w:rFonts w:ascii="Arial" w:cs="Arial" w:eastAsia="Arial" w:hAnsi="Arial"/>
          <w:sz w:val="17"/>
          <w:szCs w:val="17"/>
          <w:color w:val="auto"/>
        </w:rPr>
      </w:pPr>
    </w:p>
    <w:p>
      <w:pPr>
        <w:ind w:left="689" w:hanging="312"/>
        <w:spacing w:after="0"/>
        <w:tabs>
          <w:tab w:leader="none" w:pos="689" w:val="left"/>
        </w:tabs>
        <w:numPr>
          <w:ilvl w:val="1"/>
          <w:numId w:val="56"/>
        </w:numPr>
        <w:rPr>
          <w:rFonts w:ascii="Arial" w:cs="Arial" w:eastAsia="Arial" w:hAnsi="Arial"/>
          <w:sz w:val="17"/>
          <w:szCs w:val="17"/>
          <w:color w:val="auto"/>
        </w:rPr>
      </w:pPr>
      <w:r>
        <w:rPr>
          <w:rFonts w:ascii="Arial" w:cs="Arial" w:eastAsia="Arial" w:hAnsi="Arial"/>
          <w:sz w:val="17"/>
          <w:szCs w:val="17"/>
          <w:color w:val="auto"/>
        </w:rPr>
        <w:t>An explicit risk adjustment, and</w:t>
      </w:r>
    </w:p>
    <w:p>
      <w:pPr>
        <w:spacing w:after="0" w:line="12" w:lineRule="exact"/>
        <w:rPr>
          <w:rFonts w:ascii="Arial" w:cs="Arial" w:eastAsia="Arial" w:hAnsi="Arial"/>
          <w:sz w:val="17"/>
          <w:szCs w:val="17"/>
          <w:color w:val="auto"/>
        </w:rPr>
      </w:pPr>
    </w:p>
    <w:p>
      <w:pPr>
        <w:ind w:left="689" w:hanging="312"/>
        <w:spacing w:after="0"/>
        <w:tabs>
          <w:tab w:leader="none" w:pos="689" w:val="left"/>
        </w:tabs>
        <w:numPr>
          <w:ilvl w:val="1"/>
          <w:numId w:val="56"/>
        </w:numPr>
        <w:rPr>
          <w:rFonts w:ascii="Arial" w:cs="Arial" w:eastAsia="Arial" w:hAnsi="Arial"/>
          <w:sz w:val="16"/>
          <w:szCs w:val="16"/>
          <w:color w:val="auto"/>
        </w:rPr>
      </w:pPr>
      <w:r>
        <w:rPr>
          <w:rFonts w:ascii="Arial" w:cs="Arial" w:eastAsia="Arial" w:hAnsi="Arial"/>
          <w:sz w:val="16"/>
          <w:szCs w:val="16"/>
          <w:color w:val="auto"/>
        </w:rPr>
        <w:t>A contractual service margin which represents the unearned profit from the contract which is recognized as income during the period of coverage.</w:t>
      </w:r>
    </w:p>
    <w:p>
      <w:pPr>
        <w:spacing w:after="0" w:line="200" w:lineRule="exact"/>
        <w:rPr>
          <w:rFonts w:ascii="Arial" w:cs="Arial" w:eastAsia="Arial" w:hAnsi="Arial"/>
          <w:sz w:val="16"/>
          <w:szCs w:val="16"/>
          <w:color w:val="auto"/>
        </w:rPr>
      </w:pPr>
    </w:p>
    <w:p>
      <w:pPr>
        <w:spacing w:after="0" w:line="227" w:lineRule="exact"/>
        <w:rPr>
          <w:rFonts w:ascii="Arial" w:cs="Arial" w:eastAsia="Arial" w:hAnsi="Arial"/>
          <w:sz w:val="16"/>
          <w:szCs w:val="16"/>
          <w:color w:val="auto"/>
        </w:rPr>
      </w:pPr>
    </w:p>
    <w:p>
      <w:pPr>
        <w:ind w:left="5389" w:hanging="107"/>
        <w:spacing w:after="0"/>
        <w:tabs>
          <w:tab w:leader="none" w:pos="5389" w:val="left"/>
        </w:tabs>
        <w:numPr>
          <w:ilvl w:val="2"/>
          <w:numId w:val="56"/>
        </w:numPr>
        <w:rPr>
          <w:rFonts w:ascii="Arial" w:cs="Arial" w:eastAsia="Arial" w:hAnsi="Arial"/>
          <w:sz w:val="17"/>
          <w:szCs w:val="17"/>
          <w:color w:val="auto"/>
        </w:rPr>
      </w:pPr>
      <w:r>
        <w:rPr>
          <w:rFonts w:ascii="Arial" w:cs="Arial" w:eastAsia="Arial" w:hAnsi="Arial"/>
          <w:sz w:val="17"/>
          <w:szCs w:val="17"/>
          <w:color w:val="auto"/>
        </w:rPr>
        <w:t>49 -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-156210</wp:posOffset>
            </wp:positionH>
            <wp:positionV relativeFrom="paragraph">
              <wp:posOffset>15875</wp:posOffset>
            </wp:positionV>
            <wp:extent cx="725170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51700" cy="8255"/>
                    </a:xfrm>
                    <a:prstGeom prst="rect">
                      <a:avLst/>
                    </a:prstGeom>
                    <a:noFill/>
                  </pic:spPr>
                </pic:pic>
              </a:graphicData>
            </a:graphic>
          </wp:anchor>
        </w:drawing>
      </w:r>
    </w:p>
    <w:p>
      <w:pPr>
        <w:sectPr>
          <w:pgSz w:w="11900" w:h="16838" w:orient="portrait"/>
          <w:cols w:equalWidth="0" w:num="1">
            <w:col w:w="11149"/>
          </w:cols>
          <w:pgMar w:left="491" w:top="907" w:right="259" w:bottom="1440" w:gutter="0" w:footer="0" w:header="0"/>
        </w:sectPr>
      </w:pPr>
    </w:p>
    <w:bookmarkStart w:id="55" w:name="page56"/>
    <w:bookmarkEnd w:id="55"/>
    <w:p>
      <w:pPr>
        <w:ind w:left="304" w:right="400"/>
        <w:spacing w:after="0" w:line="285" w:lineRule="auto"/>
        <w:rPr>
          <w:sz w:val="20"/>
          <w:szCs w:val="20"/>
          <w:color w:val="auto"/>
        </w:rPr>
      </w:pPr>
      <w:r>
        <w:rPr>
          <w:rFonts w:ascii="Arial" w:cs="Arial" w:eastAsia="Arial" w:hAnsi="Arial"/>
          <w:sz w:val="17"/>
          <w:szCs w:val="17"/>
          <w:color w:val="auto"/>
        </w:rPr>
        <w:t>The standard permits a choice between recognizing the changes in discount rates, either in the statement of income or directly in other comprehensive income. The choice probably reflects how insurers record their financial assets according to IFRS 9.</w:t>
      </w:r>
    </w:p>
    <w:p>
      <w:pPr>
        <w:spacing w:after="0" w:line="159" w:lineRule="exact"/>
        <w:rPr>
          <w:sz w:val="20"/>
          <w:szCs w:val="20"/>
          <w:color w:val="auto"/>
        </w:rPr>
      </w:pPr>
    </w:p>
    <w:p>
      <w:pPr>
        <w:ind w:left="304" w:right="20"/>
        <w:spacing w:after="0" w:line="265" w:lineRule="auto"/>
        <w:rPr>
          <w:sz w:val="20"/>
          <w:szCs w:val="20"/>
          <w:color w:val="auto"/>
        </w:rPr>
      </w:pPr>
      <w:r>
        <w:rPr>
          <w:rFonts w:ascii="Arial" w:cs="Arial" w:eastAsia="Arial" w:hAnsi="Arial"/>
          <w:sz w:val="17"/>
          <w:szCs w:val="17"/>
          <w:color w:val="auto"/>
        </w:rPr>
        <w:t>There is a modification of the general measurement model denominated “Variable commissions method” for certain contracts of insurers with life insurance in which the insured share the yields from the underlying elements. Upon applying the variable commissions method, the entity’s participation in changes in fair value of the underlying elements is included in the contractual service margin. Therefore, it is probable that the results of the insurers which use this model will be less volatile than under the general model.</w:t>
      </w:r>
    </w:p>
    <w:p>
      <w:pPr>
        <w:spacing w:after="0" w:line="176" w:lineRule="exact"/>
        <w:rPr>
          <w:sz w:val="20"/>
          <w:szCs w:val="20"/>
          <w:color w:val="auto"/>
        </w:rPr>
      </w:pPr>
    </w:p>
    <w:p>
      <w:pPr>
        <w:ind w:left="304" w:right="120"/>
        <w:spacing w:after="0" w:line="285" w:lineRule="auto"/>
        <w:rPr>
          <w:sz w:val="20"/>
          <w:szCs w:val="20"/>
          <w:color w:val="auto"/>
        </w:rPr>
      </w:pPr>
      <w:r>
        <w:rPr>
          <w:rFonts w:ascii="Arial" w:cs="Arial" w:eastAsia="Arial" w:hAnsi="Arial"/>
          <w:sz w:val="17"/>
          <w:szCs w:val="17"/>
          <w:color w:val="auto"/>
        </w:rPr>
        <w:t>The new standards will affect the financial statements and the key performance indicators of all of the entities that issue insurance contracts or investment contracts with discretionary participation characteristics.</w:t>
      </w:r>
    </w:p>
    <w:p>
      <w:pPr>
        <w:spacing w:after="0" w:line="159" w:lineRule="exact"/>
        <w:rPr>
          <w:sz w:val="20"/>
          <w:szCs w:val="20"/>
          <w:color w:val="auto"/>
        </w:rPr>
      </w:pPr>
    </w:p>
    <w:p>
      <w:pPr>
        <w:ind w:left="304" w:right="200"/>
        <w:spacing w:after="0" w:line="285" w:lineRule="auto"/>
        <w:rPr>
          <w:sz w:val="20"/>
          <w:szCs w:val="20"/>
          <w:color w:val="auto"/>
        </w:rPr>
      </w:pPr>
      <w:r>
        <w:rPr>
          <w:rFonts w:ascii="Arial" w:cs="Arial" w:eastAsia="Arial" w:hAnsi="Arial"/>
          <w:sz w:val="17"/>
          <w:szCs w:val="17"/>
          <w:color w:val="auto"/>
        </w:rPr>
        <w:t>IFRS 17 applies to annual periods beginning on or after January 1, 2021. Early adoption is permitted, as long as the Group also applies IFRS 9 and IFRS 15 on the date on which IFRS 17 is applied for the first time.</w:t>
      </w:r>
    </w:p>
    <w:p>
      <w:pPr>
        <w:spacing w:after="0" w:line="159" w:lineRule="exact"/>
        <w:rPr>
          <w:sz w:val="20"/>
          <w:szCs w:val="20"/>
          <w:color w:val="auto"/>
        </w:rPr>
      </w:pPr>
    </w:p>
    <w:p>
      <w:pPr>
        <w:ind w:left="304" w:hanging="304"/>
        <w:spacing w:after="0"/>
        <w:tabs>
          <w:tab w:leader="none" w:pos="304" w:val="left"/>
        </w:tabs>
        <w:numPr>
          <w:ilvl w:val="0"/>
          <w:numId w:val="57"/>
        </w:numPr>
        <w:rPr>
          <w:rFonts w:ascii="Arial" w:cs="Arial" w:eastAsia="Arial" w:hAnsi="Arial"/>
          <w:sz w:val="17"/>
          <w:szCs w:val="17"/>
          <w:color w:val="auto"/>
        </w:rPr>
      </w:pPr>
      <w:r>
        <w:rPr>
          <w:rFonts w:ascii="Arial" w:cs="Arial" w:eastAsia="Arial" w:hAnsi="Arial"/>
          <w:sz w:val="17"/>
          <w:szCs w:val="17"/>
          <w:color w:val="auto"/>
        </w:rPr>
        <w:t>IFRIC 23 “Uncertainty over income tax treatments” -</w:t>
      </w:r>
    </w:p>
    <w:p>
      <w:pPr>
        <w:spacing w:after="0" w:line="220" w:lineRule="exact"/>
        <w:rPr>
          <w:rFonts w:ascii="Arial" w:cs="Arial" w:eastAsia="Arial" w:hAnsi="Arial"/>
          <w:sz w:val="17"/>
          <w:szCs w:val="17"/>
          <w:color w:val="auto"/>
        </w:rPr>
      </w:pPr>
    </w:p>
    <w:p>
      <w:pPr>
        <w:ind w:left="304" w:right="200"/>
        <w:spacing w:after="0" w:line="270" w:lineRule="auto"/>
        <w:rPr>
          <w:rFonts w:ascii="Arial" w:cs="Arial" w:eastAsia="Arial" w:hAnsi="Arial"/>
          <w:sz w:val="17"/>
          <w:szCs w:val="17"/>
          <w:color w:val="auto"/>
        </w:rPr>
      </w:pPr>
      <w:r>
        <w:rPr>
          <w:rFonts w:ascii="Arial" w:cs="Arial" w:eastAsia="Arial" w:hAnsi="Arial"/>
          <w:sz w:val="17"/>
          <w:szCs w:val="17"/>
          <w:color w:val="auto"/>
        </w:rPr>
        <w:t>IFRIC 23 clarifies how to apply the requirements of recognition and measurement of IAS 12 “Income Taxes”, when there is uncertainty over income tax treatments. The IFRIC had previously clarified that IAS 12, and not IAS 37 “Provisions, Contingent Liabilities and Contingent Assets”, applies to the recording of uncertain income tax treatments.</w:t>
      </w:r>
    </w:p>
    <w:p>
      <w:pPr>
        <w:spacing w:after="0" w:line="171" w:lineRule="exact"/>
        <w:rPr>
          <w:rFonts w:ascii="Arial" w:cs="Arial" w:eastAsia="Arial" w:hAnsi="Arial"/>
          <w:sz w:val="17"/>
          <w:szCs w:val="17"/>
          <w:color w:val="auto"/>
        </w:rPr>
      </w:pPr>
    </w:p>
    <w:p>
      <w:pPr>
        <w:ind w:left="304"/>
        <w:spacing w:after="0" w:line="261" w:lineRule="auto"/>
        <w:rPr>
          <w:rFonts w:ascii="Arial" w:cs="Arial" w:eastAsia="Arial" w:hAnsi="Arial"/>
          <w:sz w:val="17"/>
          <w:szCs w:val="17"/>
          <w:color w:val="auto"/>
        </w:rPr>
      </w:pPr>
      <w:r>
        <w:rPr>
          <w:rFonts w:ascii="Arial" w:cs="Arial" w:eastAsia="Arial" w:hAnsi="Arial"/>
          <w:sz w:val="17"/>
          <w:szCs w:val="17"/>
          <w:color w:val="auto"/>
        </w:rPr>
        <w:t>IFRIC 23 explains how to recognize and measure deferred and current income tax assets and liabilities when there is uncertainty over a tax treatment. An uncertain tax treatment is any tax treatment applied by an entity regarding which there is uncertainty as to whether the treatment will be accepted by the tax authority. For example, a decision to claim a deduction for a specific expense or not to include a specific income element in a tax declaration is an uncertain tax treatment if its acceptability is uncertain based on the tax legislation. IFRIC 23 is applicable to all aspects of income tax accounting when there is uncertainty with regard to the treatment of an element, including tax profit or loss, the tax bases of assets and liabilities, tax losses and credits and tax rates.</w:t>
      </w:r>
    </w:p>
    <w:p>
      <w:pPr>
        <w:spacing w:after="0" w:line="179" w:lineRule="exact"/>
        <w:rPr>
          <w:rFonts w:ascii="Arial" w:cs="Arial" w:eastAsia="Arial" w:hAnsi="Arial"/>
          <w:sz w:val="17"/>
          <w:szCs w:val="17"/>
          <w:color w:val="auto"/>
        </w:rPr>
      </w:pPr>
    </w:p>
    <w:p>
      <w:pPr>
        <w:ind w:left="304"/>
        <w:spacing w:after="0"/>
        <w:rPr>
          <w:rFonts w:ascii="Arial" w:cs="Arial" w:eastAsia="Arial" w:hAnsi="Arial"/>
          <w:sz w:val="17"/>
          <w:szCs w:val="17"/>
          <w:color w:val="auto"/>
        </w:rPr>
      </w:pPr>
      <w:r>
        <w:rPr>
          <w:rFonts w:ascii="Arial" w:cs="Arial" w:eastAsia="Arial" w:hAnsi="Arial"/>
          <w:sz w:val="17"/>
          <w:szCs w:val="17"/>
          <w:color w:val="auto"/>
        </w:rPr>
        <w:t>IFRIC 23 applies to annual periods beginning on or after January 1, 2019.</w:t>
      </w:r>
    </w:p>
    <w:p>
      <w:pPr>
        <w:spacing w:after="0" w:line="220" w:lineRule="exact"/>
        <w:rPr>
          <w:rFonts w:ascii="Arial" w:cs="Arial" w:eastAsia="Arial" w:hAnsi="Arial"/>
          <w:sz w:val="17"/>
          <w:szCs w:val="17"/>
          <w:color w:val="auto"/>
        </w:rPr>
      </w:pPr>
    </w:p>
    <w:p>
      <w:pPr>
        <w:ind w:left="304" w:right="7160" w:hanging="304"/>
        <w:spacing w:after="0" w:line="510" w:lineRule="auto"/>
        <w:tabs>
          <w:tab w:leader="none" w:pos="304" w:val="left"/>
        </w:tabs>
        <w:numPr>
          <w:ilvl w:val="0"/>
          <w:numId w:val="57"/>
        </w:numPr>
        <w:rPr>
          <w:rFonts w:ascii="Arial" w:cs="Arial" w:eastAsia="Arial" w:hAnsi="Arial"/>
          <w:sz w:val="17"/>
          <w:szCs w:val="17"/>
          <w:color w:val="auto"/>
        </w:rPr>
      </w:pPr>
      <w:r>
        <w:rPr>
          <w:rFonts w:ascii="Arial" w:cs="Arial" w:eastAsia="Arial" w:hAnsi="Arial"/>
          <w:sz w:val="17"/>
          <w:szCs w:val="17"/>
          <w:color w:val="auto"/>
        </w:rPr>
        <w:t>Annual improvements to the IFRS (2015 -17 Cycle) The improvements are presented below:</w:t>
      </w:r>
    </w:p>
    <w:p>
      <w:pPr>
        <w:ind w:left="624" w:hanging="312"/>
        <w:spacing w:after="0"/>
        <w:tabs>
          <w:tab w:leader="none" w:pos="624" w:val="left"/>
        </w:tabs>
        <w:numPr>
          <w:ilvl w:val="1"/>
          <w:numId w:val="57"/>
        </w:numPr>
        <w:rPr>
          <w:rFonts w:ascii="Arial" w:cs="Arial" w:eastAsia="Arial" w:hAnsi="Arial"/>
          <w:sz w:val="16"/>
          <w:szCs w:val="16"/>
          <w:color w:val="auto"/>
        </w:rPr>
      </w:pPr>
      <w:r>
        <w:rPr>
          <w:rFonts w:ascii="Arial" w:cs="Arial" w:eastAsia="Arial" w:hAnsi="Arial"/>
          <w:sz w:val="16"/>
          <w:szCs w:val="16"/>
          <w:color w:val="auto"/>
        </w:rPr>
        <w:t>IFRS 3 “Business combinations”, clarifies the measurement of the interest held prior to obtaining control over a joint operation under IFRS 3.</w:t>
      </w:r>
    </w:p>
    <w:p>
      <w:pPr>
        <w:spacing w:after="0" w:line="36" w:lineRule="exact"/>
        <w:rPr>
          <w:rFonts w:ascii="Arial" w:cs="Arial" w:eastAsia="Arial" w:hAnsi="Arial"/>
          <w:sz w:val="16"/>
          <w:szCs w:val="16"/>
          <w:color w:val="auto"/>
        </w:rPr>
      </w:pPr>
    </w:p>
    <w:p>
      <w:pPr>
        <w:ind w:left="624" w:hanging="312"/>
        <w:spacing w:after="0"/>
        <w:tabs>
          <w:tab w:leader="none" w:pos="624" w:val="left"/>
        </w:tabs>
        <w:numPr>
          <w:ilvl w:val="1"/>
          <w:numId w:val="57"/>
        </w:numPr>
        <w:rPr>
          <w:rFonts w:ascii="Arial" w:cs="Arial" w:eastAsia="Arial" w:hAnsi="Arial"/>
          <w:sz w:val="17"/>
          <w:szCs w:val="17"/>
          <w:color w:val="auto"/>
        </w:rPr>
      </w:pPr>
      <w:r>
        <w:rPr>
          <w:rFonts w:ascii="Arial" w:cs="Arial" w:eastAsia="Arial" w:hAnsi="Arial"/>
          <w:sz w:val="17"/>
          <w:szCs w:val="17"/>
          <w:color w:val="auto"/>
        </w:rPr>
        <w:t>IFRS 11 “Joint Arrangements”, clarifies the measurement of the interest held prior to obtaining control over a joint operation under IFRS 11.</w:t>
      </w:r>
    </w:p>
    <w:p>
      <w:pPr>
        <w:spacing w:after="0" w:line="12" w:lineRule="exact"/>
        <w:rPr>
          <w:rFonts w:ascii="Arial" w:cs="Arial" w:eastAsia="Arial" w:hAnsi="Arial"/>
          <w:sz w:val="17"/>
          <w:szCs w:val="17"/>
          <w:color w:val="auto"/>
        </w:rPr>
      </w:pPr>
    </w:p>
    <w:p>
      <w:pPr>
        <w:ind w:left="624" w:hanging="312"/>
        <w:spacing w:after="0"/>
        <w:tabs>
          <w:tab w:leader="none" w:pos="624" w:val="left"/>
        </w:tabs>
        <w:numPr>
          <w:ilvl w:val="1"/>
          <w:numId w:val="57"/>
        </w:numPr>
        <w:rPr>
          <w:rFonts w:ascii="Arial" w:cs="Arial" w:eastAsia="Arial" w:hAnsi="Arial"/>
          <w:sz w:val="17"/>
          <w:szCs w:val="17"/>
          <w:color w:val="auto"/>
        </w:rPr>
      </w:pPr>
      <w:r>
        <w:rPr>
          <w:rFonts w:ascii="Arial" w:cs="Arial" w:eastAsia="Arial" w:hAnsi="Arial"/>
          <w:sz w:val="17"/>
          <w:szCs w:val="17"/>
          <w:color w:val="auto"/>
        </w:rPr>
        <w:t>IAS 12 “Income Taxes”, mentions the income tax consequences under IAS 12 of payments on financial instruments classified as equity.</w:t>
      </w:r>
    </w:p>
    <w:p>
      <w:pPr>
        <w:spacing w:after="0" w:line="12" w:lineRule="exact"/>
        <w:rPr>
          <w:rFonts w:ascii="Arial" w:cs="Arial" w:eastAsia="Arial" w:hAnsi="Arial"/>
          <w:sz w:val="17"/>
          <w:szCs w:val="17"/>
          <w:color w:val="auto"/>
        </w:rPr>
      </w:pPr>
    </w:p>
    <w:p>
      <w:pPr>
        <w:ind w:left="624" w:hanging="312"/>
        <w:spacing w:after="0"/>
        <w:tabs>
          <w:tab w:leader="none" w:pos="624" w:val="left"/>
        </w:tabs>
        <w:numPr>
          <w:ilvl w:val="1"/>
          <w:numId w:val="57"/>
        </w:numPr>
        <w:rPr>
          <w:rFonts w:ascii="Arial" w:cs="Arial" w:eastAsia="Arial" w:hAnsi="Arial"/>
          <w:sz w:val="17"/>
          <w:szCs w:val="17"/>
          <w:color w:val="auto"/>
        </w:rPr>
      </w:pPr>
      <w:r>
        <w:rPr>
          <w:rFonts w:ascii="Arial" w:cs="Arial" w:eastAsia="Arial" w:hAnsi="Arial"/>
          <w:sz w:val="17"/>
          <w:szCs w:val="17"/>
          <w:color w:val="auto"/>
        </w:rPr>
        <w:t>IAS 23 “Borrowing costs”, establishes the borrowing costs eligible for capitalization.</w:t>
      </w:r>
    </w:p>
    <w:p>
      <w:pPr>
        <w:spacing w:after="0" w:line="208" w:lineRule="exact"/>
        <w:rPr>
          <w:sz w:val="20"/>
          <w:szCs w:val="20"/>
          <w:color w:val="auto"/>
        </w:rPr>
      </w:pPr>
    </w:p>
    <w:p>
      <w:pPr>
        <w:ind w:left="304"/>
        <w:spacing w:after="0"/>
        <w:rPr>
          <w:sz w:val="20"/>
          <w:szCs w:val="20"/>
          <w:color w:val="auto"/>
        </w:rPr>
      </w:pPr>
      <w:r>
        <w:rPr>
          <w:rFonts w:ascii="Arial" w:cs="Arial" w:eastAsia="Arial" w:hAnsi="Arial"/>
          <w:sz w:val="17"/>
          <w:szCs w:val="17"/>
          <w:color w:val="auto"/>
        </w:rPr>
        <w:t>Said improvements are applicable for financial periods from January 1, 2019.</w:t>
      </w:r>
    </w:p>
    <w:p>
      <w:pPr>
        <w:spacing w:after="0" w:line="200" w:lineRule="exact"/>
        <w:rPr>
          <w:sz w:val="20"/>
          <w:szCs w:val="20"/>
          <w:color w:val="auto"/>
        </w:rPr>
      </w:pPr>
    </w:p>
    <w:p>
      <w:pPr>
        <w:spacing w:after="0" w:line="228" w:lineRule="exact"/>
        <w:rPr>
          <w:sz w:val="20"/>
          <w:szCs w:val="20"/>
          <w:color w:val="auto"/>
        </w:rPr>
      </w:pPr>
    </w:p>
    <w:p>
      <w:pPr>
        <w:jc w:val="center"/>
        <w:ind w:right="276"/>
        <w:spacing w:after="0"/>
        <w:rPr>
          <w:sz w:val="20"/>
          <w:szCs w:val="20"/>
          <w:color w:val="auto"/>
        </w:rPr>
      </w:pPr>
      <w:r>
        <w:rPr>
          <w:rFonts w:ascii="Arial" w:cs="Arial" w:eastAsia="Arial" w:hAnsi="Arial"/>
          <w:sz w:val="17"/>
          <w:szCs w:val="17"/>
          <w:color w:val="auto"/>
        </w:rPr>
        <w:t>- 50 -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-197485</wp:posOffset>
            </wp:positionH>
            <wp:positionV relativeFrom="paragraph">
              <wp:posOffset>15875</wp:posOffset>
            </wp:positionV>
            <wp:extent cx="725170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51700" cy="8255"/>
                    </a:xfrm>
                    <a:prstGeom prst="rect">
                      <a:avLst/>
                    </a:prstGeom>
                    <a:noFill/>
                  </pic:spPr>
                </pic:pic>
              </a:graphicData>
            </a:graphic>
          </wp:anchor>
        </w:drawing>
      </w:r>
    </w:p>
    <w:p>
      <w:pPr>
        <w:sectPr>
          <w:pgSz w:w="11900" w:h="16838" w:orient="portrait"/>
          <w:cols w:equalWidth="0" w:num="1">
            <w:col w:w="11084"/>
          </w:cols>
          <w:pgMar w:left="556" w:top="881" w:right="259" w:bottom="1440" w:gutter="0" w:footer="0" w:header="0"/>
        </w:sectPr>
      </w:pPr>
    </w:p>
    <w:bookmarkStart w:id="56" w:name="page57"/>
    <w:bookmarkEnd w:id="56"/>
    <w:p>
      <w:pPr>
        <w:ind w:left="620" w:right="240" w:hanging="304"/>
        <w:spacing w:after="0" w:line="285" w:lineRule="auto"/>
        <w:tabs>
          <w:tab w:leader="none" w:pos="620" w:val="left"/>
        </w:tabs>
        <w:numPr>
          <w:ilvl w:val="0"/>
          <w:numId w:val="58"/>
        </w:numPr>
        <w:rPr>
          <w:rFonts w:ascii="Arial" w:cs="Arial" w:eastAsia="Arial" w:hAnsi="Arial"/>
          <w:sz w:val="17"/>
          <w:szCs w:val="17"/>
          <w:color w:val="auto"/>
        </w:rPr>
      </w:pPr>
      <w:r>
        <w:rPr>
          <w:rFonts w:ascii="Arial" w:cs="Arial" w:eastAsia="Arial" w:hAnsi="Arial"/>
          <w:sz w:val="17"/>
          <w:szCs w:val="17"/>
          <w:color w:val="auto"/>
        </w:rPr>
        <w:t>Amendments to IFRS 10 “Consolidated financial statements” and IAS 28 “Investments in Associates and Joint Ventures”: Sale or contribution of assets between an investor and his associate or joint venture.</w:t>
      </w:r>
    </w:p>
    <w:p>
      <w:pPr>
        <w:spacing w:after="0" w:line="159" w:lineRule="exact"/>
        <w:rPr>
          <w:rFonts w:ascii="Arial" w:cs="Arial" w:eastAsia="Arial" w:hAnsi="Arial"/>
          <w:sz w:val="17"/>
          <w:szCs w:val="17"/>
          <w:color w:val="auto"/>
        </w:rPr>
      </w:pPr>
    </w:p>
    <w:p>
      <w:pPr>
        <w:ind w:left="640"/>
        <w:spacing w:after="0"/>
        <w:rPr>
          <w:rFonts w:ascii="Arial" w:cs="Arial" w:eastAsia="Arial" w:hAnsi="Arial"/>
          <w:sz w:val="17"/>
          <w:szCs w:val="17"/>
          <w:color w:val="auto"/>
        </w:rPr>
      </w:pPr>
      <w:r>
        <w:rPr>
          <w:rFonts w:ascii="Arial" w:cs="Arial" w:eastAsia="Arial" w:hAnsi="Arial"/>
          <w:sz w:val="17"/>
          <w:szCs w:val="17"/>
          <w:color w:val="auto"/>
        </w:rPr>
        <w:t>The IASB made limited scope amendments to IFRS 10 and IAS 28.</w:t>
      </w:r>
    </w:p>
    <w:p>
      <w:pPr>
        <w:spacing w:after="0" w:line="220" w:lineRule="exact"/>
        <w:rPr>
          <w:rFonts w:ascii="Arial" w:cs="Arial" w:eastAsia="Arial" w:hAnsi="Arial"/>
          <w:sz w:val="17"/>
          <w:szCs w:val="17"/>
          <w:color w:val="auto"/>
        </w:rPr>
      </w:pPr>
    </w:p>
    <w:p>
      <w:pPr>
        <w:ind w:left="620" w:right="460" w:firstLine="9"/>
        <w:spacing w:after="0" w:line="270" w:lineRule="auto"/>
        <w:rPr>
          <w:rFonts w:ascii="Arial" w:cs="Arial" w:eastAsia="Arial" w:hAnsi="Arial"/>
          <w:sz w:val="17"/>
          <w:szCs w:val="17"/>
          <w:color w:val="auto"/>
        </w:rPr>
      </w:pPr>
      <w:r>
        <w:rPr>
          <w:rFonts w:ascii="Arial" w:cs="Arial" w:eastAsia="Arial" w:hAnsi="Arial"/>
          <w:sz w:val="17"/>
          <w:szCs w:val="17"/>
          <w:color w:val="auto"/>
        </w:rPr>
        <w:t>The amendments clarify the accounting treatment of the sales or contribution of assets between an investor and his associates or joint venture. These amendments confirm that the accounting treatment depends on whether the non-monetary assets sold or contributed to an associate or joint venture constitute “a business” (as defined in IFRS 3 “Business combinations”).</w:t>
      </w:r>
    </w:p>
    <w:p>
      <w:pPr>
        <w:spacing w:after="0" w:line="171" w:lineRule="exact"/>
        <w:rPr>
          <w:rFonts w:ascii="Arial" w:cs="Arial" w:eastAsia="Arial" w:hAnsi="Arial"/>
          <w:sz w:val="17"/>
          <w:szCs w:val="17"/>
          <w:color w:val="auto"/>
        </w:rPr>
      </w:pPr>
    </w:p>
    <w:p>
      <w:pPr>
        <w:ind w:left="620" w:firstLine="9"/>
        <w:spacing w:after="0" w:line="270" w:lineRule="auto"/>
        <w:rPr>
          <w:rFonts w:ascii="Arial" w:cs="Arial" w:eastAsia="Arial" w:hAnsi="Arial"/>
          <w:sz w:val="17"/>
          <w:szCs w:val="17"/>
          <w:color w:val="auto"/>
        </w:rPr>
      </w:pPr>
      <w:r>
        <w:rPr>
          <w:rFonts w:ascii="Arial" w:cs="Arial" w:eastAsia="Arial" w:hAnsi="Arial"/>
          <w:sz w:val="17"/>
          <w:szCs w:val="17"/>
          <w:color w:val="auto"/>
        </w:rPr>
        <w:t>If the non-monetary assets constitute a business, the investor will recognize the total gain or loss on the sale or contribution of assets. If the assets do not comply with the definition of “business”, the investor will recognize the gain or loss only in proportion to the investor’s investment in the associate or joint venture. The amendments will apply prospectively.</w:t>
      </w:r>
    </w:p>
    <w:p>
      <w:pPr>
        <w:spacing w:after="0" w:line="171" w:lineRule="exact"/>
        <w:rPr>
          <w:rFonts w:ascii="Arial" w:cs="Arial" w:eastAsia="Arial" w:hAnsi="Arial"/>
          <w:sz w:val="17"/>
          <w:szCs w:val="17"/>
          <w:color w:val="auto"/>
        </w:rPr>
      </w:pPr>
    </w:p>
    <w:p>
      <w:pPr>
        <w:ind w:left="620" w:right="160" w:firstLine="9"/>
        <w:spacing w:after="0" w:line="285" w:lineRule="auto"/>
        <w:rPr>
          <w:rFonts w:ascii="Arial" w:cs="Arial" w:eastAsia="Arial" w:hAnsi="Arial"/>
          <w:sz w:val="17"/>
          <w:szCs w:val="17"/>
          <w:color w:val="auto"/>
        </w:rPr>
      </w:pPr>
      <w:r>
        <w:rPr>
          <w:rFonts w:ascii="Arial" w:cs="Arial" w:eastAsia="Arial" w:hAnsi="Arial"/>
          <w:sz w:val="17"/>
          <w:szCs w:val="17"/>
          <w:color w:val="auto"/>
        </w:rPr>
        <w:t>The IASB decided to defer the application date of this amendment until it has completed its research project on the equity method. The Group will apply these modifications when they become effective.</w:t>
      </w:r>
    </w:p>
    <w:p>
      <w:pPr>
        <w:spacing w:after="0" w:line="159" w:lineRule="exact"/>
        <w:rPr>
          <w:sz w:val="20"/>
          <w:szCs w:val="20"/>
          <w:color w:val="auto"/>
        </w:rPr>
      </w:pPr>
    </w:p>
    <w:p>
      <w:pPr>
        <w:ind w:left="620" w:right="580" w:firstLine="9"/>
        <w:spacing w:after="0" w:line="285" w:lineRule="auto"/>
        <w:rPr>
          <w:sz w:val="20"/>
          <w:szCs w:val="20"/>
          <w:color w:val="auto"/>
        </w:rPr>
      </w:pPr>
      <w:r>
        <w:rPr>
          <w:rFonts w:ascii="Arial" w:cs="Arial" w:eastAsia="Arial" w:hAnsi="Arial"/>
          <w:sz w:val="17"/>
          <w:szCs w:val="17"/>
          <w:color w:val="auto"/>
        </w:rPr>
        <w:t>There are no other standards or amendments to standards which have not yet become effective and are expected to have a significant impact on the Company, either in the current or future periods, as well as on expected future transactions.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8460" w:type="dxa"/>
            <w:vAlign w:val="bottom"/>
            <w:gridSpan w:val="2"/>
          </w:tcPr>
          <w:p>
            <w:pPr>
              <w:spacing w:after="0"/>
              <w:rPr>
                <w:sz w:val="20"/>
                <w:szCs w:val="20"/>
                <w:color w:val="auto"/>
              </w:rPr>
            </w:pPr>
            <w:r>
              <w:rPr>
                <w:rFonts w:ascii="Arial" w:cs="Arial" w:eastAsia="Arial" w:hAnsi="Arial"/>
                <w:sz w:val="17"/>
                <w:szCs w:val="17"/>
                <w:b w:val="1"/>
                <w:bCs w:val="1"/>
                <w:color w:val="auto"/>
              </w:rPr>
              <w:t>4   CASH AND CASH EQUIVALENTS</w:t>
            </w:r>
          </w:p>
        </w:tc>
        <w:tc>
          <w:tcPr>
            <w:tcW w:w="1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416"/>
        </w:trPr>
        <w:tc>
          <w:tcPr>
            <w:tcW w:w="320" w:type="dxa"/>
            <w:vAlign w:val="bottom"/>
          </w:tcPr>
          <w:p>
            <w:pPr>
              <w:spacing w:after="0"/>
              <w:rPr>
                <w:sz w:val="24"/>
                <w:szCs w:val="24"/>
                <w:color w:val="auto"/>
              </w:rPr>
            </w:pPr>
          </w:p>
        </w:tc>
        <w:tc>
          <w:tcPr>
            <w:tcW w:w="8140" w:type="dxa"/>
            <w:vAlign w:val="bottom"/>
          </w:tcPr>
          <w:p>
            <w:pPr>
              <w:spacing w:after="0"/>
              <w:rPr>
                <w:sz w:val="20"/>
                <w:szCs w:val="20"/>
                <w:color w:val="auto"/>
              </w:rPr>
            </w:pPr>
            <w:r>
              <w:rPr>
                <w:rFonts w:ascii="Arial" w:cs="Arial" w:eastAsia="Arial" w:hAnsi="Arial"/>
                <w:sz w:val="17"/>
                <w:szCs w:val="17"/>
                <w:color w:val="auto"/>
              </w:rPr>
              <w:t>This item consists in the following:</w:t>
            </w:r>
          </w:p>
        </w:tc>
        <w:tc>
          <w:tcPr>
            <w:tcW w:w="1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29"/>
        </w:trPr>
        <w:tc>
          <w:tcPr>
            <w:tcW w:w="320" w:type="dxa"/>
            <w:vAlign w:val="bottom"/>
          </w:tcPr>
          <w:p>
            <w:pPr>
              <w:spacing w:after="0"/>
              <w:rPr>
                <w:sz w:val="24"/>
                <w:szCs w:val="24"/>
                <w:color w:val="auto"/>
              </w:rPr>
            </w:pPr>
          </w:p>
        </w:tc>
        <w:tc>
          <w:tcPr>
            <w:tcW w:w="8140" w:type="dxa"/>
            <w:vAlign w:val="bottom"/>
          </w:tcPr>
          <w:p>
            <w:pPr>
              <w:spacing w:after="0"/>
              <w:rPr>
                <w:sz w:val="24"/>
                <w:szCs w:val="24"/>
                <w:color w:val="auto"/>
              </w:rPr>
            </w:pPr>
          </w:p>
        </w:tc>
        <w:tc>
          <w:tcPr>
            <w:tcW w:w="1220" w:type="dxa"/>
            <w:vAlign w:val="bottom"/>
            <w:tcBorders>
              <w:bottom w:val="single" w:sz="8" w:color="auto"/>
            </w:tcBorders>
          </w:tcPr>
          <w:p>
            <w:pPr>
              <w:jc w:val="right"/>
              <w:ind w:right="353"/>
              <w:spacing w:after="0"/>
              <w:rPr>
                <w:sz w:val="20"/>
                <w:szCs w:val="20"/>
                <w:color w:val="auto"/>
              </w:rPr>
            </w:pPr>
            <w:r>
              <w:rPr>
                <w:rFonts w:ascii="Arial" w:cs="Arial" w:eastAsia="Arial" w:hAnsi="Arial"/>
                <w:sz w:val="17"/>
                <w:szCs w:val="17"/>
                <w:b w:val="1"/>
                <w:bCs w:val="1"/>
                <w:color w:val="auto"/>
              </w:rPr>
              <w:t>2017</w:t>
            </w:r>
          </w:p>
        </w:tc>
        <w:tc>
          <w:tcPr>
            <w:tcW w:w="200" w:type="dxa"/>
            <w:vAlign w:val="bottom"/>
          </w:tcPr>
          <w:p>
            <w:pPr>
              <w:spacing w:after="0"/>
              <w:rPr>
                <w:sz w:val="24"/>
                <w:szCs w:val="24"/>
                <w:color w:val="auto"/>
              </w:rPr>
            </w:pPr>
          </w:p>
        </w:tc>
        <w:tc>
          <w:tcPr>
            <w:tcW w:w="1180" w:type="dxa"/>
            <w:vAlign w:val="bottom"/>
            <w:tcBorders>
              <w:bottom w:val="single" w:sz="8" w:color="auto"/>
            </w:tcBorders>
          </w:tcPr>
          <w:p>
            <w:pPr>
              <w:jc w:val="right"/>
              <w:ind w:right="333"/>
              <w:spacing w:after="0"/>
              <w:rPr>
                <w:sz w:val="20"/>
                <w:szCs w:val="20"/>
                <w:color w:val="auto"/>
              </w:rPr>
            </w:pPr>
            <w:r>
              <w:rPr>
                <w:rFonts w:ascii="Arial" w:cs="Arial" w:eastAsia="Arial" w:hAnsi="Arial"/>
                <w:sz w:val="17"/>
                <w:szCs w:val="17"/>
                <w:b w:val="1"/>
                <w:bCs w:val="1"/>
                <w:color w:val="auto"/>
              </w:rPr>
              <w:t>2016</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19"/>
        </w:trPr>
        <w:tc>
          <w:tcPr>
            <w:tcW w:w="320" w:type="dxa"/>
            <w:vAlign w:val="bottom"/>
          </w:tcPr>
          <w:p>
            <w:pPr>
              <w:spacing w:after="0"/>
              <w:rPr>
                <w:sz w:val="19"/>
                <w:szCs w:val="19"/>
                <w:color w:val="auto"/>
              </w:rPr>
            </w:pPr>
          </w:p>
        </w:tc>
        <w:tc>
          <w:tcPr>
            <w:tcW w:w="8140" w:type="dxa"/>
            <w:vAlign w:val="bottom"/>
          </w:tcPr>
          <w:p>
            <w:pPr>
              <w:spacing w:after="0"/>
              <w:rPr>
                <w:sz w:val="19"/>
                <w:szCs w:val="19"/>
                <w:color w:val="auto"/>
              </w:rPr>
            </w:pPr>
          </w:p>
        </w:tc>
        <w:tc>
          <w:tcPr>
            <w:tcW w:w="1220" w:type="dxa"/>
            <w:vAlign w:val="bottom"/>
          </w:tcPr>
          <w:p>
            <w:pPr>
              <w:jc w:val="center"/>
              <w:spacing w:after="0"/>
              <w:rPr>
                <w:sz w:val="20"/>
                <w:szCs w:val="20"/>
                <w:color w:val="auto"/>
              </w:rPr>
            </w:pPr>
            <w:r>
              <w:rPr>
                <w:rFonts w:ascii="Arial" w:cs="Arial" w:eastAsia="Arial" w:hAnsi="Arial"/>
                <w:sz w:val="17"/>
                <w:szCs w:val="17"/>
                <w:b w:val="1"/>
                <w:bCs w:val="1"/>
                <w:color w:val="auto"/>
                <w:w w:val="93"/>
              </w:rPr>
              <w:t>S/(000)</w:t>
            </w:r>
          </w:p>
        </w:tc>
        <w:tc>
          <w:tcPr>
            <w:tcW w:w="200" w:type="dxa"/>
            <w:vAlign w:val="bottom"/>
          </w:tcPr>
          <w:p>
            <w:pPr>
              <w:spacing w:after="0"/>
              <w:rPr>
                <w:sz w:val="19"/>
                <w:szCs w:val="19"/>
                <w:color w:val="auto"/>
              </w:rPr>
            </w:pPr>
          </w:p>
        </w:tc>
        <w:tc>
          <w:tcPr>
            <w:tcW w:w="1180" w:type="dxa"/>
            <w:vAlign w:val="bottom"/>
          </w:tcPr>
          <w:p>
            <w:pPr>
              <w:jc w:val="center"/>
              <w:spacing w:after="0"/>
              <w:rPr>
                <w:sz w:val="20"/>
                <w:szCs w:val="20"/>
                <w:color w:val="auto"/>
              </w:rPr>
            </w:pPr>
            <w:r>
              <w:rPr>
                <w:rFonts w:ascii="Arial" w:cs="Arial" w:eastAsia="Arial" w:hAnsi="Arial"/>
                <w:sz w:val="17"/>
                <w:szCs w:val="17"/>
                <w:b w:val="1"/>
                <w:bCs w:val="1"/>
                <w:color w:val="auto"/>
                <w:w w:val="93"/>
              </w:rPr>
              <w:t>S/(000)</w:t>
            </w:r>
          </w:p>
        </w:tc>
        <w:tc>
          <w:tcPr>
            <w:tcW w:w="100" w:type="dxa"/>
            <w:vAlign w:val="bottom"/>
            <w:gridSpan w:val="2"/>
          </w:tcPr>
          <w:p>
            <w:pPr>
              <w:spacing w:after="0"/>
              <w:rPr>
                <w:sz w:val="19"/>
                <w:szCs w:val="19"/>
                <w:color w:val="auto"/>
              </w:rPr>
            </w:pPr>
          </w:p>
        </w:tc>
      </w:tr>
      <w:tr>
        <w:trPr>
          <w:trHeight w:val="189"/>
        </w:trPr>
        <w:tc>
          <w:tcPr>
            <w:tcW w:w="320" w:type="dxa"/>
            <w:vAlign w:val="bottom"/>
          </w:tcPr>
          <w:p>
            <w:pPr>
              <w:spacing w:after="0"/>
              <w:rPr>
                <w:sz w:val="16"/>
                <w:szCs w:val="16"/>
                <w:color w:val="auto"/>
              </w:rPr>
            </w:pPr>
          </w:p>
        </w:tc>
        <w:tc>
          <w:tcPr>
            <w:tcW w:w="81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08"/>
        </w:trPr>
        <w:tc>
          <w:tcPr>
            <w:tcW w:w="320" w:type="dxa"/>
            <w:vAlign w:val="bottom"/>
          </w:tcPr>
          <w:p>
            <w:pPr>
              <w:spacing w:after="0"/>
              <w:rPr>
                <w:sz w:val="18"/>
                <w:szCs w:val="18"/>
                <w:color w:val="auto"/>
              </w:rPr>
            </w:pPr>
          </w:p>
        </w:tc>
        <w:tc>
          <w:tcPr>
            <w:tcW w:w="8140" w:type="dxa"/>
            <w:vAlign w:val="bottom"/>
            <w:shd w:val="clear" w:color="auto" w:fill="CCEEFF"/>
          </w:tcPr>
          <w:p>
            <w:pPr>
              <w:spacing w:after="0"/>
              <w:rPr>
                <w:sz w:val="20"/>
                <w:szCs w:val="20"/>
                <w:color w:val="auto"/>
              </w:rPr>
            </w:pPr>
            <w:r>
              <w:rPr>
                <w:rFonts w:ascii="Arial" w:cs="Arial" w:eastAsia="Arial" w:hAnsi="Arial"/>
                <w:sz w:val="17"/>
                <w:szCs w:val="17"/>
                <w:color w:val="auto"/>
              </w:rPr>
              <w:t>Cash and clearing (a)</w:t>
            </w: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5,034,569</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4,061,766</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08"/>
        </w:trPr>
        <w:tc>
          <w:tcPr>
            <w:tcW w:w="320" w:type="dxa"/>
            <w:vAlign w:val="bottom"/>
          </w:tcPr>
          <w:p>
            <w:pPr>
              <w:spacing w:after="0"/>
              <w:rPr>
                <w:sz w:val="18"/>
                <w:szCs w:val="18"/>
                <w:color w:val="auto"/>
              </w:rPr>
            </w:pPr>
          </w:p>
        </w:tc>
        <w:tc>
          <w:tcPr>
            <w:tcW w:w="8140" w:type="dxa"/>
            <w:vAlign w:val="bottom"/>
          </w:tcPr>
          <w:p>
            <w:pPr>
              <w:spacing w:after="0"/>
              <w:rPr>
                <w:sz w:val="20"/>
                <w:szCs w:val="20"/>
                <w:color w:val="auto"/>
              </w:rPr>
            </w:pPr>
            <w:r>
              <w:rPr>
                <w:rFonts w:ascii="Arial" w:cs="Arial" w:eastAsia="Arial" w:hAnsi="Arial"/>
                <w:sz w:val="17"/>
                <w:szCs w:val="17"/>
                <w:color w:val="auto"/>
              </w:rPr>
              <w:t>Deposits with Central Reserve Bank of Peru - BCRP (a)</w:t>
            </w:r>
          </w:p>
        </w:tc>
        <w:tc>
          <w:tcPr>
            <w:tcW w:w="1420" w:type="dxa"/>
            <w:vAlign w:val="bottom"/>
            <w:gridSpan w:val="2"/>
          </w:tcPr>
          <w:p>
            <w:pPr>
              <w:jc w:val="right"/>
              <w:ind w:right="200"/>
              <w:spacing w:after="0"/>
              <w:rPr>
                <w:sz w:val="20"/>
                <w:szCs w:val="20"/>
                <w:color w:val="auto"/>
              </w:rPr>
            </w:pPr>
            <w:r>
              <w:rPr>
                <w:rFonts w:ascii="Arial" w:cs="Arial" w:eastAsia="Arial" w:hAnsi="Arial"/>
                <w:sz w:val="17"/>
                <w:szCs w:val="17"/>
                <w:color w:val="auto"/>
              </w:rPr>
              <w:t>15,136,245</w:t>
            </w:r>
          </w:p>
        </w:tc>
        <w:tc>
          <w:tcPr>
            <w:tcW w:w="1180" w:type="dxa"/>
            <w:vAlign w:val="bottom"/>
          </w:tcPr>
          <w:p>
            <w:pPr>
              <w:jc w:val="right"/>
              <w:spacing w:after="0"/>
              <w:rPr>
                <w:sz w:val="20"/>
                <w:szCs w:val="20"/>
                <w:color w:val="auto"/>
              </w:rPr>
            </w:pPr>
            <w:r>
              <w:rPr>
                <w:rFonts w:ascii="Arial" w:cs="Arial" w:eastAsia="Arial" w:hAnsi="Arial"/>
                <w:sz w:val="17"/>
                <w:szCs w:val="17"/>
                <w:color w:val="auto"/>
              </w:rPr>
              <w:t>8,642,656</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08"/>
        </w:trPr>
        <w:tc>
          <w:tcPr>
            <w:tcW w:w="320" w:type="dxa"/>
            <w:vAlign w:val="bottom"/>
          </w:tcPr>
          <w:p>
            <w:pPr>
              <w:spacing w:after="0"/>
              <w:rPr>
                <w:sz w:val="18"/>
                <w:szCs w:val="18"/>
                <w:color w:val="auto"/>
              </w:rPr>
            </w:pPr>
          </w:p>
        </w:tc>
        <w:tc>
          <w:tcPr>
            <w:tcW w:w="8140" w:type="dxa"/>
            <w:vAlign w:val="bottom"/>
            <w:shd w:val="clear" w:color="auto" w:fill="CCEEFF"/>
          </w:tcPr>
          <w:p>
            <w:pPr>
              <w:spacing w:after="0"/>
              <w:rPr>
                <w:sz w:val="20"/>
                <w:szCs w:val="20"/>
                <w:color w:val="auto"/>
              </w:rPr>
            </w:pPr>
            <w:r>
              <w:rPr>
                <w:rFonts w:ascii="Arial" w:cs="Arial" w:eastAsia="Arial" w:hAnsi="Arial"/>
                <w:sz w:val="17"/>
                <w:szCs w:val="17"/>
                <w:color w:val="auto"/>
              </w:rPr>
              <w:t>Deposits with local and foreign banks (b)</w:t>
            </w: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2,828,830</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3,778,238</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08"/>
        </w:trPr>
        <w:tc>
          <w:tcPr>
            <w:tcW w:w="320" w:type="dxa"/>
            <w:vAlign w:val="bottom"/>
          </w:tcPr>
          <w:p>
            <w:pPr>
              <w:spacing w:after="0"/>
              <w:rPr>
                <w:sz w:val="18"/>
                <w:szCs w:val="18"/>
                <w:color w:val="auto"/>
              </w:rPr>
            </w:pPr>
          </w:p>
        </w:tc>
        <w:tc>
          <w:tcPr>
            <w:tcW w:w="8140" w:type="dxa"/>
            <w:vAlign w:val="bottom"/>
          </w:tcPr>
          <w:p>
            <w:pPr>
              <w:spacing w:after="0"/>
              <w:rPr>
                <w:sz w:val="20"/>
                <w:szCs w:val="20"/>
                <w:color w:val="auto"/>
              </w:rPr>
            </w:pPr>
            <w:r>
              <w:rPr>
                <w:rFonts w:ascii="Arial" w:cs="Arial" w:eastAsia="Arial" w:hAnsi="Arial"/>
                <w:sz w:val="17"/>
                <w:szCs w:val="17"/>
                <w:color w:val="auto"/>
              </w:rPr>
              <w:t>Interbank funds</w:t>
            </w:r>
          </w:p>
        </w:tc>
        <w:tc>
          <w:tcPr>
            <w:tcW w:w="1420" w:type="dxa"/>
            <w:vAlign w:val="bottom"/>
            <w:gridSpan w:val="2"/>
          </w:tcPr>
          <w:p>
            <w:pPr>
              <w:jc w:val="right"/>
              <w:ind w:right="200"/>
              <w:spacing w:after="0"/>
              <w:rPr>
                <w:sz w:val="20"/>
                <w:szCs w:val="20"/>
                <w:color w:val="auto"/>
              </w:rPr>
            </w:pPr>
            <w:r>
              <w:rPr>
                <w:rFonts w:ascii="Arial" w:cs="Arial" w:eastAsia="Arial" w:hAnsi="Arial"/>
                <w:sz w:val="17"/>
                <w:szCs w:val="17"/>
                <w:color w:val="auto"/>
              </w:rPr>
              <w:t>207,559</w:t>
            </w:r>
          </w:p>
        </w:tc>
        <w:tc>
          <w:tcPr>
            <w:tcW w:w="1200" w:type="dxa"/>
            <w:vAlign w:val="bottom"/>
            <w:gridSpan w:val="2"/>
          </w:tcPr>
          <w:p>
            <w:pPr>
              <w:jc w:val="right"/>
              <w:ind w:right="20"/>
              <w:spacing w:after="0"/>
              <w:rPr>
                <w:sz w:val="20"/>
                <w:szCs w:val="20"/>
                <w:color w:val="auto"/>
              </w:rPr>
            </w:pPr>
            <w:r>
              <w:rPr>
                <w:rFonts w:ascii="Arial" w:cs="Arial" w:eastAsia="Arial" w:hAnsi="Arial"/>
                <w:sz w:val="17"/>
                <w:szCs w:val="17"/>
                <w:color w:val="auto"/>
              </w:rPr>
              <w:t>147,713</w:t>
            </w:r>
          </w:p>
        </w:tc>
        <w:tc>
          <w:tcPr>
            <w:tcW w:w="80" w:type="dxa"/>
            <w:vAlign w:val="bottom"/>
          </w:tcPr>
          <w:p>
            <w:pPr>
              <w:spacing w:after="0"/>
              <w:rPr>
                <w:sz w:val="18"/>
                <w:szCs w:val="18"/>
                <w:color w:val="auto"/>
              </w:rPr>
            </w:pPr>
          </w:p>
        </w:tc>
      </w:tr>
      <w:tr>
        <w:trPr>
          <w:trHeight w:val="221"/>
        </w:trPr>
        <w:tc>
          <w:tcPr>
            <w:tcW w:w="320" w:type="dxa"/>
            <w:vAlign w:val="bottom"/>
          </w:tcPr>
          <w:p>
            <w:pPr>
              <w:spacing w:after="0"/>
              <w:rPr>
                <w:sz w:val="19"/>
                <w:szCs w:val="19"/>
                <w:color w:val="auto"/>
              </w:rPr>
            </w:pPr>
          </w:p>
        </w:tc>
        <w:tc>
          <w:tcPr>
            <w:tcW w:w="8140" w:type="dxa"/>
            <w:vAlign w:val="bottom"/>
            <w:shd w:val="clear" w:color="auto" w:fill="CCEEFF"/>
          </w:tcPr>
          <w:p>
            <w:pPr>
              <w:spacing w:after="0"/>
              <w:rPr>
                <w:sz w:val="20"/>
                <w:szCs w:val="20"/>
                <w:color w:val="auto"/>
              </w:rPr>
            </w:pPr>
            <w:r>
              <w:rPr>
                <w:rFonts w:ascii="Arial" w:cs="Arial" w:eastAsia="Arial" w:hAnsi="Arial"/>
                <w:sz w:val="17"/>
                <w:szCs w:val="17"/>
                <w:color w:val="auto"/>
              </w:rPr>
              <w:t>Accrued interest</w:t>
            </w: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4,994</w:t>
            </w: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2,823</w:t>
            </w:r>
          </w:p>
        </w:tc>
        <w:tc>
          <w:tcPr>
            <w:tcW w:w="80" w:type="dxa"/>
            <w:vAlign w:val="bottom"/>
            <w:shd w:val="clear" w:color="auto" w:fill="CCEEFF"/>
          </w:tcPr>
          <w:p>
            <w:pPr>
              <w:spacing w:after="0"/>
              <w:rPr>
                <w:sz w:val="19"/>
                <w:szCs w:val="19"/>
                <w:color w:val="auto"/>
              </w:rPr>
            </w:pPr>
          </w:p>
        </w:tc>
      </w:tr>
      <w:tr>
        <w:trPr>
          <w:trHeight w:val="201"/>
        </w:trPr>
        <w:tc>
          <w:tcPr>
            <w:tcW w:w="320" w:type="dxa"/>
            <w:vAlign w:val="bottom"/>
          </w:tcPr>
          <w:p>
            <w:pPr>
              <w:spacing w:after="0"/>
              <w:rPr>
                <w:sz w:val="17"/>
                <w:szCs w:val="17"/>
                <w:color w:val="auto"/>
              </w:rPr>
            </w:pPr>
          </w:p>
        </w:tc>
        <w:tc>
          <w:tcPr>
            <w:tcW w:w="8140" w:type="dxa"/>
            <w:vAlign w:val="bottom"/>
          </w:tcPr>
          <w:p>
            <w:pPr>
              <w:spacing w:after="0"/>
              <w:rPr>
                <w:sz w:val="20"/>
                <w:szCs w:val="20"/>
                <w:color w:val="auto"/>
              </w:rPr>
            </w:pPr>
            <w:r>
              <w:rPr>
                <w:rFonts w:ascii="Arial" w:cs="Arial" w:eastAsia="Arial" w:hAnsi="Arial"/>
                <w:sz w:val="17"/>
                <w:szCs w:val="17"/>
                <w:color w:val="auto"/>
              </w:rPr>
              <w:t>Total cash and cash equivalents</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23,212,197</w:t>
            </w:r>
          </w:p>
        </w:tc>
        <w:tc>
          <w:tcPr>
            <w:tcW w:w="200" w:type="dxa"/>
            <w:vAlign w:val="bottom"/>
          </w:tcPr>
          <w:p>
            <w:pPr>
              <w:spacing w:after="0"/>
              <w:rPr>
                <w:sz w:val="17"/>
                <w:szCs w:val="17"/>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16,633,196</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21"/>
        </w:trPr>
        <w:tc>
          <w:tcPr>
            <w:tcW w:w="320" w:type="dxa"/>
            <w:vAlign w:val="bottom"/>
          </w:tcPr>
          <w:p>
            <w:pPr>
              <w:spacing w:after="0"/>
              <w:rPr>
                <w:sz w:val="19"/>
                <w:szCs w:val="19"/>
                <w:color w:val="auto"/>
              </w:rPr>
            </w:pPr>
          </w:p>
        </w:tc>
        <w:tc>
          <w:tcPr>
            <w:tcW w:w="8140" w:type="dxa"/>
            <w:vAlign w:val="bottom"/>
            <w:shd w:val="clear" w:color="auto" w:fill="CCEEFF"/>
          </w:tcPr>
          <w:p>
            <w:pPr>
              <w:spacing w:after="0"/>
              <w:rPr>
                <w:sz w:val="20"/>
                <w:szCs w:val="20"/>
                <w:color w:val="auto"/>
              </w:rPr>
            </w:pPr>
            <w:r>
              <w:rPr>
                <w:rFonts w:ascii="Arial" w:cs="Arial" w:eastAsia="Arial" w:hAnsi="Arial"/>
                <w:sz w:val="17"/>
                <w:szCs w:val="17"/>
                <w:color w:val="auto"/>
              </w:rPr>
              <w:t>Restricted funds</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9,790</w:t>
            </w:r>
          </w:p>
        </w:tc>
        <w:tc>
          <w:tcPr>
            <w:tcW w:w="200" w:type="dxa"/>
            <w:vAlign w:val="bottom"/>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12,573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r>
      <w:tr>
        <w:trPr>
          <w:trHeight w:val="214"/>
        </w:trPr>
        <w:tc>
          <w:tcPr>
            <w:tcW w:w="320" w:type="dxa"/>
            <w:vAlign w:val="bottom"/>
          </w:tcPr>
          <w:p>
            <w:pPr>
              <w:spacing w:after="0"/>
              <w:rPr>
                <w:sz w:val="18"/>
                <w:szCs w:val="18"/>
                <w:color w:val="auto"/>
              </w:rPr>
            </w:pPr>
          </w:p>
        </w:tc>
        <w:tc>
          <w:tcPr>
            <w:tcW w:w="8140" w:type="dxa"/>
            <w:vAlign w:val="bottom"/>
          </w:tcPr>
          <w:p>
            <w:pPr>
              <w:spacing w:after="0"/>
              <w:rPr>
                <w:sz w:val="20"/>
                <w:szCs w:val="20"/>
                <w:color w:val="auto"/>
              </w:rPr>
            </w:pPr>
            <w:r>
              <w:rPr>
                <w:rFonts w:ascii="Arial" w:cs="Arial" w:eastAsia="Arial" w:hAnsi="Arial"/>
                <w:sz w:val="17"/>
                <w:szCs w:val="17"/>
                <w:b w:val="1"/>
                <w:bCs w:val="1"/>
                <w:color w:val="auto"/>
              </w:rPr>
              <w:t>Total cash</w:t>
            </w:r>
          </w:p>
        </w:tc>
        <w:tc>
          <w:tcPr>
            <w:tcW w:w="1420" w:type="dxa"/>
            <w:vAlign w:val="bottom"/>
            <w:gridSpan w:val="2"/>
          </w:tcPr>
          <w:p>
            <w:pPr>
              <w:jc w:val="right"/>
              <w:ind w:right="200"/>
              <w:spacing w:after="0"/>
              <w:rPr>
                <w:sz w:val="20"/>
                <w:szCs w:val="20"/>
                <w:color w:val="auto"/>
              </w:rPr>
            </w:pPr>
            <w:r>
              <w:rPr>
                <w:rFonts w:ascii="Arial" w:cs="Arial" w:eastAsia="Arial" w:hAnsi="Arial"/>
                <w:sz w:val="17"/>
                <w:szCs w:val="17"/>
                <w:color w:val="auto"/>
              </w:rPr>
              <w:t>23,221,987</w:t>
            </w:r>
          </w:p>
        </w:tc>
        <w:tc>
          <w:tcPr>
            <w:tcW w:w="1200" w:type="dxa"/>
            <w:vAlign w:val="bottom"/>
            <w:gridSpan w:val="2"/>
          </w:tcPr>
          <w:p>
            <w:pPr>
              <w:jc w:val="right"/>
              <w:ind w:right="20"/>
              <w:spacing w:after="0"/>
              <w:rPr>
                <w:sz w:val="20"/>
                <w:szCs w:val="20"/>
                <w:color w:val="auto"/>
              </w:rPr>
            </w:pPr>
            <w:r>
              <w:rPr>
                <w:rFonts w:ascii="Arial" w:cs="Arial" w:eastAsia="Arial" w:hAnsi="Arial"/>
                <w:sz w:val="17"/>
                <w:szCs w:val="17"/>
                <w:color w:val="auto"/>
              </w:rPr>
              <w:t>16,645,769</w:t>
            </w:r>
          </w:p>
        </w:tc>
        <w:tc>
          <w:tcPr>
            <w:tcW w:w="80" w:type="dxa"/>
            <w:vAlign w:val="bottom"/>
          </w:tcPr>
          <w:p>
            <w:pPr>
              <w:spacing w:after="0"/>
              <w:rPr>
                <w:sz w:val="18"/>
                <w:szCs w:val="18"/>
                <w:color w:val="auto"/>
              </w:rPr>
            </w:pPr>
          </w:p>
        </w:tc>
      </w:tr>
      <w:tr>
        <w:trPr>
          <w:trHeight w:val="20"/>
        </w:trPr>
        <w:tc>
          <w:tcPr>
            <w:tcW w:w="320" w:type="dxa"/>
            <w:vAlign w:val="bottom"/>
          </w:tcPr>
          <w:p>
            <w:pPr>
              <w:spacing w:after="0" w:line="20" w:lineRule="exact"/>
              <w:rPr>
                <w:sz w:val="1"/>
                <w:szCs w:val="1"/>
                <w:color w:val="auto"/>
              </w:rPr>
            </w:pPr>
          </w:p>
        </w:tc>
        <w:tc>
          <w:tcPr>
            <w:tcW w:w="814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5" w:lineRule="exact"/>
        <w:rPr>
          <w:sz w:val="20"/>
          <w:szCs w:val="20"/>
          <w:color w:val="auto"/>
        </w:rPr>
      </w:pPr>
    </w:p>
    <w:p>
      <w:pPr>
        <w:ind w:left="320"/>
        <w:spacing w:after="0"/>
        <w:rPr>
          <w:sz w:val="20"/>
          <w:szCs w:val="20"/>
          <w:color w:val="auto"/>
        </w:rPr>
      </w:pPr>
      <w:r>
        <w:rPr>
          <w:rFonts w:ascii="Arial" w:cs="Arial" w:eastAsia="Arial" w:hAnsi="Arial"/>
          <w:sz w:val="17"/>
          <w:szCs w:val="17"/>
          <w:color w:val="auto"/>
        </w:rPr>
        <w:t>Cash and cash equivalents presented in the consolidated statement of cash flows excludes restricted funds, See Note 3(ac).</w:t>
      </w:r>
    </w:p>
    <w:p>
      <w:pPr>
        <w:spacing w:after="0" w:line="200" w:lineRule="exact"/>
        <w:rPr>
          <w:sz w:val="20"/>
          <w:szCs w:val="20"/>
          <w:color w:val="auto"/>
        </w:rPr>
      </w:pPr>
    </w:p>
    <w:p>
      <w:pPr>
        <w:spacing w:after="0" w:line="228"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- 51 -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15875</wp:posOffset>
            </wp:positionV>
            <wp:extent cx="725170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51700" cy="8255"/>
                    </a:xfrm>
                    <a:prstGeom prst="rect">
                      <a:avLst/>
                    </a:prstGeom>
                    <a:noFill/>
                  </pic:spPr>
                </pic:pic>
              </a:graphicData>
            </a:graphic>
          </wp:anchor>
        </w:drawing>
      </w:r>
    </w:p>
    <w:p>
      <w:pPr>
        <w:sectPr>
          <w:pgSz w:w="11900" w:h="16838" w:orient="portrait"/>
          <w:cols w:equalWidth="0" w:num="1">
            <w:col w:w="11380"/>
          </w:cols>
          <w:pgMar w:left="240" w:top="881" w:right="279" w:bottom="1440" w:gutter="0" w:footer="0" w:header="0"/>
        </w:sectPr>
      </w:pPr>
    </w:p>
    <w:bookmarkStart w:id="57" w:name="page58"/>
    <w:bookmarkEnd w:id="57"/>
    <w:p>
      <w:pPr>
        <w:ind w:left="316" w:hanging="316"/>
        <w:spacing w:after="0"/>
        <w:tabs>
          <w:tab w:leader="none" w:pos="316" w:val="left"/>
        </w:tabs>
        <w:numPr>
          <w:ilvl w:val="0"/>
          <w:numId w:val="59"/>
        </w:numPr>
        <w:rPr>
          <w:rFonts w:ascii="Arial" w:cs="Arial" w:eastAsia="Arial" w:hAnsi="Arial"/>
          <w:sz w:val="17"/>
          <w:szCs w:val="17"/>
          <w:color w:val="auto"/>
        </w:rPr>
      </w:pPr>
      <w:r>
        <w:rPr>
          <w:rFonts w:ascii="Arial" w:cs="Arial" w:eastAsia="Arial" w:hAnsi="Arial"/>
          <w:sz w:val="17"/>
          <w:szCs w:val="17"/>
          <w:color w:val="auto"/>
        </w:rPr>
        <w:t>Cash and clearing and deposits with Central Reserve Bank of Peru -</w:t>
      </w:r>
    </w:p>
    <w:p>
      <w:pPr>
        <w:spacing w:after="0" w:line="220" w:lineRule="exact"/>
        <w:rPr>
          <w:rFonts w:ascii="Arial" w:cs="Arial" w:eastAsia="Arial" w:hAnsi="Arial"/>
          <w:sz w:val="17"/>
          <w:szCs w:val="17"/>
          <w:color w:val="auto"/>
        </w:rPr>
      </w:pPr>
    </w:p>
    <w:p>
      <w:pPr>
        <w:ind w:left="316" w:right="200"/>
        <w:spacing w:after="0" w:line="285" w:lineRule="auto"/>
        <w:rPr>
          <w:rFonts w:ascii="Arial" w:cs="Arial" w:eastAsia="Arial" w:hAnsi="Arial"/>
          <w:sz w:val="17"/>
          <w:szCs w:val="17"/>
          <w:color w:val="auto"/>
        </w:rPr>
      </w:pPr>
      <w:r>
        <w:rPr>
          <w:rFonts w:ascii="Arial" w:cs="Arial" w:eastAsia="Arial" w:hAnsi="Arial"/>
          <w:sz w:val="17"/>
          <w:szCs w:val="17"/>
          <w:color w:val="auto"/>
        </w:rPr>
        <w:t>These accounts mainly include the legal cash requirements that Credicorp and its Subsidiaries must keep to be able to honor their obligations with the public, which are within the limits established by current legislation. The composition of these funds is as follows:</w:t>
      </w:r>
    </w:p>
    <w:p>
      <w:pPr>
        <w:spacing w:after="0" w:line="166" w:lineRule="exact"/>
        <w:rPr>
          <w:sz w:val="20"/>
          <w:szCs w:val="20"/>
          <w:color w:val="auto"/>
        </w:rPr>
      </w:pPr>
    </w:p>
    <w:tbl>
      <w:tblPr>
        <w:tblLayout w:type="fixed"/>
        <w:tblInd w:w="316" w:type="dxa"/>
        <w:tblCellMar>
          <w:top w:w="0" w:type="dxa"/>
          <w:left w:w="0" w:type="dxa"/>
          <w:bottom w:w="0" w:type="dxa"/>
          <w:right w:w="0" w:type="dxa"/>
        </w:tblCellMar>
      </w:tblPr>
      <w:tr>
        <w:trPr>
          <w:trHeight w:val="226"/>
        </w:trPr>
        <w:tc>
          <w:tcPr>
            <w:tcW w:w="8140" w:type="dxa"/>
            <w:vAlign w:val="bottom"/>
          </w:tcPr>
          <w:p>
            <w:pPr>
              <w:spacing w:after="0"/>
              <w:rPr>
                <w:sz w:val="19"/>
                <w:szCs w:val="19"/>
                <w:color w:val="auto"/>
              </w:rPr>
            </w:pPr>
          </w:p>
        </w:tc>
        <w:tc>
          <w:tcPr>
            <w:tcW w:w="1220" w:type="dxa"/>
            <w:vAlign w:val="bottom"/>
            <w:tcBorders>
              <w:bottom w:val="single" w:sz="8" w:color="auto"/>
            </w:tcBorders>
          </w:tcPr>
          <w:p>
            <w:pPr>
              <w:jc w:val="right"/>
              <w:ind w:right="353"/>
              <w:spacing w:after="0"/>
              <w:rPr>
                <w:sz w:val="20"/>
                <w:szCs w:val="20"/>
                <w:color w:val="auto"/>
              </w:rPr>
            </w:pPr>
            <w:r>
              <w:rPr>
                <w:rFonts w:ascii="Arial" w:cs="Arial" w:eastAsia="Arial" w:hAnsi="Arial"/>
                <w:sz w:val="17"/>
                <w:szCs w:val="17"/>
                <w:b w:val="1"/>
                <w:bCs w:val="1"/>
                <w:color w:val="auto"/>
              </w:rPr>
              <w:t>2017</w:t>
            </w:r>
          </w:p>
        </w:tc>
        <w:tc>
          <w:tcPr>
            <w:tcW w:w="200" w:type="dxa"/>
            <w:vAlign w:val="bottom"/>
          </w:tcPr>
          <w:p>
            <w:pPr>
              <w:spacing w:after="0"/>
              <w:rPr>
                <w:sz w:val="19"/>
                <w:szCs w:val="19"/>
                <w:color w:val="auto"/>
              </w:rPr>
            </w:pPr>
          </w:p>
        </w:tc>
        <w:tc>
          <w:tcPr>
            <w:tcW w:w="1180" w:type="dxa"/>
            <w:vAlign w:val="bottom"/>
            <w:tcBorders>
              <w:bottom w:val="single" w:sz="8" w:color="auto"/>
            </w:tcBorders>
          </w:tcPr>
          <w:p>
            <w:pPr>
              <w:jc w:val="right"/>
              <w:ind w:right="333"/>
              <w:spacing w:after="0"/>
              <w:rPr>
                <w:sz w:val="20"/>
                <w:szCs w:val="20"/>
                <w:color w:val="auto"/>
              </w:rPr>
            </w:pPr>
            <w:r>
              <w:rPr>
                <w:rFonts w:ascii="Arial" w:cs="Arial" w:eastAsia="Arial" w:hAnsi="Arial"/>
                <w:sz w:val="17"/>
                <w:szCs w:val="17"/>
                <w:b w:val="1"/>
                <w:bCs w:val="1"/>
                <w:color w:val="auto"/>
              </w:rPr>
              <w:t>2016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19"/>
        </w:trPr>
        <w:tc>
          <w:tcPr>
            <w:tcW w:w="8140" w:type="dxa"/>
            <w:vAlign w:val="bottom"/>
          </w:tcPr>
          <w:p>
            <w:pPr>
              <w:spacing w:after="0"/>
              <w:rPr>
                <w:sz w:val="19"/>
                <w:szCs w:val="19"/>
                <w:color w:val="auto"/>
              </w:rPr>
            </w:pPr>
          </w:p>
        </w:tc>
        <w:tc>
          <w:tcPr>
            <w:tcW w:w="1220" w:type="dxa"/>
            <w:vAlign w:val="bottom"/>
          </w:tcPr>
          <w:p>
            <w:pPr>
              <w:jc w:val="center"/>
              <w:spacing w:after="0"/>
              <w:rPr>
                <w:sz w:val="20"/>
                <w:szCs w:val="20"/>
                <w:color w:val="auto"/>
              </w:rPr>
            </w:pPr>
            <w:r>
              <w:rPr>
                <w:rFonts w:ascii="Arial" w:cs="Arial" w:eastAsia="Arial" w:hAnsi="Arial"/>
                <w:sz w:val="17"/>
                <w:szCs w:val="17"/>
                <w:b w:val="1"/>
                <w:bCs w:val="1"/>
                <w:color w:val="auto"/>
                <w:w w:val="93"/>
              </w:rPr>
              <w:t>S/(000)</w:t>
            </w:r>
          </w:p>
        </w:tc>
        <w:tc>
          <w:tcPr>
            <w:tcW w:w="200" w:type="dxa"/>
            <w:vAlign w:val="bottom"/>
          </w:tcPr>
          <w:p>
            <w:pPr>
              <w:spacing w:after="0"/>
              <w:rPr>
                <w:sz w:val="19"/>
                <w:szCs w:val="19"/>
                <w:color w:val="auto"/>
              </w:rPr>
            </w:pPr>
          </w:p>
        </w:tc>
        <w:tc>
          <w:tcPr>
            <w:tcW w:w="1180" w:type="dxa"/>
            <w:vAlign w:val="bottom"/>
          </w:tcPr>
          <w:p>
            <w:pPr>
              <w:jc w:val="center"/>
              <w:spacing w:after="0"/>
              <w:rPr>
                <w:sz w:val="20"/>
                <w:szCs w:val="20"/>
                <w:color w:val="auto"/>
              </w:rPr>
            </w:pPr>
            <w:r>
              <w:rPr>
                <w:rFonts w:ascii="Arial" w:cs="Arial" w:eastAsia="Arial" w:hAnsi="Arial"/>
                <w:sz w:val="17"/>
                <w:szCs w:val="17"/>
                <w:b w:val="1"/>
                <w:bCs w:val="1"/>
                <w:color w:val="auto"/>
                <w:w w:val="93"/>
              </w:rPr>
              <w:t>S/(000)</w:t>
            </w:r>
          </w:p>
        </w:tc>
        <w:tc>
          <w:tcPr>
            <w:tcW w:w="100" w:type="dxa"/>
            <w:vAlign w:val="bottom"/>
            <w:gridSpan w:val="2"/>
          </w:tcPr>
          <w:p>
            <w:pPr>
              <w:spacing w:after="0"/>
              <w:rPr>
                <w:sz w:val="19"/>
                <w:szCs w:val="19"/>
                <w:color w:val="auto"/>
              </w:rPr>
            </w:pPr>
          </w:p>
        </w:tc>
      </w:tr>
      <w:tr>
        <w:trPr>
          <w:trHeight w:val="189"/>
        </w:trPr>
        <w:tc>
          <w:tcPr>
            <w:tcW w:w="81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08"/>
        </w:trPr>
        <w:tc>
          <w:tcPr>
            <w:tcW w:w="814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Legal cash requirements (i)</w:t>
            </w:r>
          </w:p>
        </w:tc>
        <w:tc>
          <w:tcPr>
            <w:tcW w:w="1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08"/>
        </w:trPr>
        <w:tc>
          <w:tcPr>
            <w:tcW w:w="8140" w:type="dxa"/>
            <w:vAlign w:val="bottom"/>
          </w:tcPr>
          <w:p>
            <w:pPr>
              <w:spacing w:after="0"/>
              <w:rPr>
                <w:sz w:val="20"/>
                <w:szCs w:val="20"/>
                <w:color w:val="auto"/>
              </w:rPr>
            </w:pPr>
            <w:r>
              <w:rPr>
                <w:rFonts w:ascii="Arial" w:cs="Arial" w:eastAsia="Arial" w:hAnsi="Arial"/>
                <w:sz w:val="17"/>
                <w:szCs w:val="17"/>
                <w:color w:val="auto"/>
              </w:rPr>
              <w:t>Deposits with Central Reserve Bank of Peru</w:t>
            </w:r>
          </w:p>
        </w:tc>
        <w:tc>
          <w:tcPr>
            <w:tcW w:w="1420" w:type="dxa"/>
            <w:vAlign w:val="bottom"/>
            <w:gridSpan w:val="2"/>
          </w:tcPr>
          <w:p>
            <w:pPr>
              <w:jc w:val="right"/>
              <w:ind w:right="200"/>
              <w:spacing w:after="0"/>
              <w:rPr>
                <w:sz w:val="20"/>
                <w:szCs w:val="20"/>
                <w:color w:val="auto"/>
              </w:rPr>
            </w:pPr>
            <w:r>
              <w:rPr>
                <w:rFonts w:ascii="Arial" w:cs="Arial" w:eastAsia="Arial" w:hAnsi="Arial"/>
                <w:sz w:val="17"/>
                <w:szCs w:val="17"/>
                <w:color w:val="auto"/>
              </w:rPr>
              <w:t>11,768,476</w:t>
            </w:r>
          </w:p>
        </w:tc>
        <w:tc>
          <w:tcPr>
            <w:tcW w:w="1180" w:type="dxa"/>
            <w:vAlign w:val="bottom"/>
          </w:tcPr>
          <w:p>
            <w:pPr>
              <w:jc w:val="right"/>
              <w:spacing w:after="0"/>
              <w:rPr>
                <w:sz w:val="20"/>
                <w:szCs w:val="20"/>
                <w:color w:val="auto"/>
              </w:rPr>
            </w:pPr>
            <w:r>
              <w:rPr>
                <w:rFonts w:ascii="Arial" w:cs="Arial" w:eastAsia="Arial" w:hAnsi="Arial"/>
                <w:sz w:val="17"/>
                <w:szCs w:val="17"/>
                <w:color w:val="auto"/>
              </w:rPr>
              <w:t>8,625,876</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21"/>
        </w:trPr>
        <w:tc>
          <w:tcPr>
            <w:tcW w:w="8140" w:type="dxa"/>
            <w:vAlign w:val="bottom"/>
            <w:shd w:val="clear" w:color="auto" w:fill="CCEEFF"/>
          </w:tcPr>
          <w:p>
            <w:pPr>
              <w:spacing w:after="0"/>
              <w:rPr>
                <w:sz w:val="20"/>
                <w:szCs w:val="20"/>
                <w:color w:val="auto"/>
              </w:rPr>
            </w:pPr>
            <w:r>
              <w:rPr>
                <w:rFonts w:ascii="Arial" w:cs="Arial" w:eastAsia="Arial" w:hAnsi="Arial"/>
                <w:sz w:val="17"/>
                <w:szCs w:val="17"/>
                <w:color w:val="auto"/>
              </w:rPr>
              <w:t>Cash in vaults of Bank</w:t>
            </w: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4,425,384</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3,158,153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r>
      <w:tr>
        <w:trPr>
          <w:trHeight w:val="241"/>
        </w:trPr>
        <w:tc>
          <w:tcPr>
            <w:tcW w:w="8140" w:type="dxa"/>
            <w:vAlign w:val="bottom"/>
            <w:tcBorders>
              <w:bottom w:val="single" w:sz="8" w:color="CCEEFF"/>
            </w:tcBorders>
          </w:tcPr>
          <w:p>
            <w:pPr>
              <w:spacing w:after="0"/>
              <w:rPr>
                <w:sz w:val="20"/>
                <w:szCs w:val="20"/>
                <w:color w:val="auto"/>
              </w:rPr>
            </w:pPr>
            <w:r>
              <w:rPr>
                <w:rFonts w:ascii="Arial" w:cs="Arial" w:eastAsia="Arial" w:hAnsi="Arial"/>
                <w:sz w:val="17"/>
                <w:szCs w:val="17"/>
                <w:b w:val="1"/>
                <w:bCs w:val="1"/>
                <w:color w:val="auto"/>
              </w:rPr>
              <w:t>Total legal cash requirements</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16,193,860</w:t>
            </w:r>
          </w:p>
        </w:tc>
        <w:tc>
          <w:tcPr>
            <w:tcW w:w="200" w:type="dxa"/>
            <w:vAlign w:val="bottom"/>
            <w:tcBorders>
              <w:bottom w:val="single" w:sz="8" w:color="CCEEFF"/>
            </w:tcBorders>
          </w:tcPr>
          <w:p>
            <w:pPr>
              <w:spacing w:after="0"/>
              <w:rPr>
                <w:sz w:val="20"/>
                <w:szCs w:val="20"/>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11,784,029</w:t>
            </w: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r>
      <w:tr>
        <w:trPr>
          <w:trHeight w:val="187"/>
        </w:trPr>
        <w:tc>
          <w:tcPr>
            <w:tcW w:w="814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r>
      <w:tr>
        <w:trPr>
          <w:trHeight w:val="208"/>
        </w:trPr>
        <w:tc>
          <w:tcPr>
            <w:tcW w:w="8140" w:type="dxa"/>
            <w:vAlign w:val="bottom"/>
          </w:tcPr>
          <w:p>
            <w:pPr>
              <w:spacing w:after="0"/>
              <w:rPr>
                <w:sz w:val="20"/>
                <w:szCs w:val="20"/>
                <w:color w:val="auto"/>
              </w:rPr>
            </w:pPr>
            <w:r>
              <w:rPr>
                <w:rFonts w:ascii="Arial" w:cs="Arial" w:eastAsia="Arial" w:hAnsi="Arial"/>
                <w:sz w:val="17"/>
                <w:szCs w:val="17"/>
                <w:b w:val="1"/>
                <w:bCs w:val="1"/>
                <w:color w:val="auto"/>
              </w:rPr>
              <w:t>Additional funds</w:t>
            </w: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08"/>
        </w:trPr>
        <w:tc>
          <w:tcPr>
            <w:tcW w:w="8140" w:type="dxa"/>
            <w:vAlign w:val="bottom"/>
            <w:shd w:val="clear" w:color="auto" w:fill="CCEEFF"/>
          </w:tcPr>
          <w:p>
            <w:pPr>
              <w:spacing w:after="0"/>
              <w:rPr>
                <w:sz w:val="20"/>
                <w:szCs w:val="20"/>
                <w:color w:val="auto"/>
              </w:rPr>
            </w:pPr>
            <w:r>
              <w:rPr>
                <w:rFonts w:ascii="Arial" w:cs="Arial" w:eastAsia="Arial" w:hAnsi="Arial"/>
                <w:sz w:val="17"/>
                <w:szCs w:val="17"/>
                <w:color w:val="auto"/>
              </w:rPr>
              <w:t>Overnight deposits (ii)</w:t>
            </w: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3,367,769</w:t>
            </w: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16,780</w:t>
            </w:r>
          </w:p>
        </w:tc>
        <w:tc>
          <w:tcPr>
            <w:tcW w:w="80" w:type="dxa"/>
            <w:vAlign w:val="bottom"/>
            <w:shd w:val="clear" w:color="auto" w:fill="CCEEFF"/>
          </w:tcPr>
          <w:p>
            <w:pPr>
              <w:spacing w:after="0"/>
              <w:rPr>
                <w:sz w:val="18"/>
                <w:szCs w:val="18"/>
                <w:color w:val="auto"/>
              </w:rPr>
            </w:pPr>
          </w:p>
        </w:tc>
      </w:tr>
      <w:tr>
        <w:trPr>
          <w:trHeight w:val="221"/>
        </w:trPr>
        <w:tc>
          <w:tcPr>
            <w:tcW w:w="8140" w:type="dxa"/>
            <w:vAlign w:val="bottom"/>
          </w:tcPr>
          <w:p>
            <w:pPr>
              <w:spacing w:after="0"/>
              <w:rPr>
                <w:sz w:val="20"/>
                <w:szCs w:val="20"/>
                <w:color w:val="auto"/>
              </w:rPr>
            </w:pPr>
            <w:r>
              <w:rPr>
                <w:rFonts w:ascii="Arial" w:cs="Arial" w:eastAsia="Arial" w:hAnsi="Arial"/>
                <w:sz w:val="17"/>
                <w:szCs w:val="17"/>
                <w:color w:val="auto"/>
              </w:rPr>
              <w:t>Cash in vaults of Bank and others</w:t>
            </w:r>
          </w:p>
        </w:tc>
        <w:tc>
          <w:tcPr>
            <w:tcW w:w="1420" w:type="dxa"/>
            <w:vAlign w:val="bottom"/>
            <w:gridSpan w:val="2"/>
          </w:tcPr>
          <w:p>
            <w:pPr>
              <w:jc w:val="right"/>
              <w:ind w:right="200"/>
              <w:spacing w:after="0"/>
              <w:rPr>
                <w:sz w:val="20"/>
                <w:szCs w:val="20"/>
                <w:color w:val="auto"/>
              </w:rPr>
            </w:pPr>
            <w:r>
              <w:rPr>
                <w:rFonts w:ascii="Arial" w:cs="Arial" w:eastAsia="Arial" w:hAnsi="Arial"/>
                <w:sz w:val="17"/>
                <w:szCs w:val="17"/>
                <w:color w:val="auto"/>
              </w:rPr>
              <w:t>609,185</w:t>
            </w:r>
          </w:p>
        </w:tc>
        <w:tc>
          <w:tcPr>
            <w:tcW w:w="1200" w:type="dxa"/>
            <w:vAlign w:val="bottom"/>
            <w:gridSpan w:val="2"/>
          </w:tcPr>
          <w:p>
            <w:pPr>
              <w:jc w:val="right"/>
              <w:ind w:right="20"/>
              <w:spacing w:after="0"/>
              <w:rPr>
                <w:sz w:val="20"/>
                <w:szCs w:val="20"/>
                <w:color w:val="auto"/>
              </w:rPr>
            </w:pPr>
            <w:r>
              <w:rPr>
                <w:rFonts w:ascii="Arial" w:cs="Arial" w:eastAsia="Arial" w:hAnsi="Arial"/>
                <w:sz w:val="17"/>
                <w:szCs w:val="17"/>
                <w:color w:val="auto"/>
              </w:rPr>
              <w:t>903,613</w:t>
            </w:r>
          </w:p>
        </w:tc>
        <w:tc>
          <w:tcPr>
            <w:tcW w:w="80" w:type="dxa"/>
            <w:vAlign w:val="bottom"/>
          </w:tcPr>
          <w:p>
            <w:pPr>
              <w:spacing w:after="0"/>
              <w:rPr>
                <w:sz w:val="19"/>
                <w:szCs w:val="19"/>
                <w:color w:val="auto"/>
              </w:rPr>
            </w:pPr>
          </w:p>
        </w:tc>
      </w:tr>
      <w:tr>
        <w:trPr>
          <w:trHeight w:val="201"/>
        </w:trPr>
        <w:tc>
          <w:tcPr>
            <w:tcW w:w="81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b w:val="1"/>
                <w:bCs w:val="1"/>
                <w:color w:val="auto"/>
              </w:rPr>
              <w:t>Total additional funds</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3,976,954</w:t>
            </w:r>
          </w:p>
        </w:tc>
        <w:tc>
          <w:tcPr>
            <w:tcW w:w="200" w:type="dxa"/>
            <w:vAlign w:val="bottom"/>
            <w:tcBorders>
              <w:top w:val="single" w:sz="8" w:color="CCEEFF"/>
            </w:tcBorders>
            <w:shd w:val="clear" w:color="auto" w:fill="CCEEFF"/>
          </w:tcPr>
          <w:p>
            <w:pPr>
              <w:spacing w:after="0"/>
              <w:rPr>
                <w:sz w:val="17"/>
                <w:szCs w:val="17"/>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920,393</w:t>
            </w: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r>
      <w:tr>
        <w:trPr>
          <w:trHeight w:val="201"/>
        </w:trPr>
        <w:tc>
          <w:tcPr>
            <w:tcW w:w="8140" w:type="dxa"/>
            <w:vAlign w:val="bottom"/>
          </w:tcPr>
          <w:p>
            <w:pPr>
              <w:spacing w:after="0"/>
              <w:rPr>
                <w:sz w:val="20"/>
                <w:szCs w:val="20"/>
                <w:color w:val="auto"/>
              </w:rPr>
            </w:pPr>
            <w:r>
              <w:rPr>
                <w:rFonts w:ascii="Arial" w:cs="Arial" w:eastAsia="Arial" w:hAnsi="Arial"/>
                <w:sz w:val="17"/>
                <w:szCs w:val="17"/>
                <w:b w:val="1"/>
                <w:bCs w:val="1"/>
                <w:color w:val="auto"/>
              </w:rPr>
              <w:t>Total</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20,170,814</w:t>
            </w:r>
          </w:p>
        </w:tc>
        <w:tc>
          <w:tcPr>
            <w:tcW w:w="200" w:type="dxa"/>
            <w:vAlign w:val="bottom"/>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12,704,422</w:t>
            </w:r>
          </w:p>
        </w:tc>
        <w:tc>
          <w:tcPr>
            <w:tcW w:w="2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r>
      <w:tr>
        <w:trPr>
          <w:trHeight w:val="20"/>
        </w:trPr>
        <w:tc>
          <w:tcPr>
            <w:tcW w:w="814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5" w:lineRule="exact"/>
        <w:rPr>
          <w:sz w:val="20"/>
          <w:szCs w:val="20"/>
          <w:color w:val="auto"/>
        </w:rPr>
      </w:pPr>
    </w:p>
    <w:p>
      <w:pPr>
        <w:ind w:left="616" w:hanging="304"/>
        <w:spacing w:after="0" w:line="270" w:lineRule="auto"/>
        <w:tabs>
          <w:tab w:leader="none" w:pos="616" w:val="left"/>
        </w:tabs>
        <w:numPr>
          <w:ilvl w:val="1"/>
          <w:numId w:val="60"/>
        </w:numPr>
        <w:rPr>
          <w:rFonts w:ascii="Arial" w:cs="Arial" w:eastAsia="Arial" w:hAnsi="Arial"/>
          <w:sz w:val="17"/>
          <w:szCs w:val="17"/>
          <w:color w:val="auto"/>
        </w:rPr>
      </w:pPr>
      <w:r>
        <w:rPr>
          <w:rFonts w:ascii="Arial" w:cs="Arial" w:eastAsia="Arial" w:hAnsi="Arial"/>
          <w:sz w:val="17"/>
          <w:szCs w:val="17"/>
          <w:color w:val="auto"/>
        </w:rPr>
        <w:t>At December 31, 2017 cash and deposits subject to legal cash requirements in local and foreign currency are subject to an implicit rate of 5.00 percent and 32.40 percent, respectively, on the total balance of obligations subject to legal cash requirements, as required by the BCRP (6.50 percent and 25.89 percent, respectively, at December 31, 2016).</w:t>
      </w:r>
    </w:p>
    <w:p>
      <w:pPr>
        <w:spacing w:after="0" w:line="171" w:lineRule="exact"/>
        <w:rPr>
          <w:rFonts w:ascii="Arial" w:cs="Arial" w:eastAsia="Arial" w:hAnsi="Arial"/>
          <w:sz w:val="17"/>
          <w:szCs w:val="17"/>
          <w:color w:val="auto"/>
        </w:rPr>
      </w:pPr>
    </w:p>
    <w:p>
      <w:pPr>
        <w:ind w:left="616" w:right="160"/>
        <w:spacing w:after="0" w:line="270" w:lineRule="auto"/>
        <w:rPr>
          <w:rFonts w:ascii="Arial" w:cs="Arial" w:eastAsia="Arial" w:hAnsi="Arial"/>
          <w:sz w:val="17"/>
          <w:szCs w:val="17"/>
          <w:color w:val="auto"/>
        </w:rPr>
      </w:pPr>
      <w:r>
        <w:rPr>
          <w:rFonts w:ascii="Arial" w:cs="Arial" w:eastAsia="Arial" w:hAnsi="Arial"/>
          <w:sz w:val="17"/>
          <w:szCs w:val="17"/>
          <w:color w:val="auto"/>
        </w:rPr>
        <w:t>In the same way, at December 31, 2017, the increase in the balances of the legal cash requirement originated from the following factors: i) increase in the rates on the legal cash requirement; ii) increase in the volumes of the total of obligations subject to the legal cash requirement (TOSE from the Spanish acronym); and iii) increase in the volumes of cash due to changes in the banknote export policy.</w:t>
      </w:r>
    </w:p>
    <w:p>
      <w:pPr>
        <w:spacing w:after="0" w:line="171" w:lineRule="exact"/>
        <w:rPr>
          <w:rFonts w:ascii="Arial" w:cs="Arial" w:eastAsia="Arial" w:hAnsi="Arial"/>
          <w:sz w:val="17"/>
          <w:szCs w:val="17"/>
          <w:color w:val="auto"/>
        </w:rPr>
      </w:pPr>
    </w:p>
    <w:p>
      <w:pPr>
        <w:ind w:left="616" w:hanging="304"/>
        <w:spacing w:after="0" w:line="270" w:lineRule="auto"/>
        <w:tabs>
          <w:tab w:leader="none" w:pos="616" w:val="left"/>
        </w:tabs>
        <w:numPr>
          <w:ilvl w:val="1"/>
          <w:numId w:val="60"/>
        </w:numPr>
        <w:rPr>
          <w:rFonts w:ascii="Arial" w:cs="Arial" w:eastAsia="Arial" w:hAnsi="Arial"/>
          <w:sz w:val="17"/>
          <w:szCs w:val="17"/>
          <w:color w:val="auto"/>
        </w:rPr>
      </w:pPr>
      <w:r>
        <w:rPr>
          <w:rFonts w:ascii="Arial" w:cs="Arial" w:eastAsia="Arial" w:hAnsi="Arial"/>
          <w:sz w:val="17"/>
          <w:szCs w:val="17"/>
          <w:color w:val="auto"/>
        </w:rPr>
        <w:t>At December 31, 2017, the Group maintains three “overnight” deposits with the BCRP, two of which are denominated in U.S Dollars for US$900.0 million (equivalent to S/2,916.9 million) and US$46.6 million (equivalent to S/150.9 million) and one in soles for S/300.0 million. The “overnight” deposits in dollars and soles earn interest at rates of 1.41 percent and 2.0 percent, respectively, and have maturities at 5 days.</w:t>
      </w:r>
    </w:p>
    <w:p>
      <w:pPr>
        <w:spacing w:after="0" w:line="171" w:lineRule="exact"/>
        <w:rPr>
          <w:rFonts w:ascii="Arial" w:cs="Arial" w:eastAsia="Arial" w:hAnsi="Arial"/>
          <w:sz w:val="17"/>
          <w:szCs w:val="17"/>
          <w:color w:val="auto"/>
        </w:rPr>
      </w:pPr>
    </w:p>
    <w:p>
      <w:pPr>
        <w:ind w:left="316" w:hanging="316"/>
        <w:spacing w:after="0"/>
        <w:tabs>
          <w:tab w:leader="none" w:pos="316" w:val="left"/>
        </w:tabs>
        <w:numPr>
          <w:ilvl w:val="0"/>
          <w:numId w:val="61"/>
        </w:numPr>
        <w:rPr>
          <w:rFonts w:ascii="Arial" w:cs="Arial" w:eastAsia="Arial" w:hAnsi="Arial"/>
          <w:sz w:val="17"/>
          <w:szCs w:val="17"/>
          <w:color w:val="auto"/>
        </w:rPr>
      </w:pPr>
      <w:r>
        <w:rPr>
          <w:rFonts w:ascii="Arial" w:cs="Arial" w:eastAsia="Arial" w:hAnsi="Arial"/>
          <w:sz w:val="17"/>
          <w:szCs w:val="17"/>
          <w:color w:val="auto"/>
        </w:rPr>
        <w:t>Deposits with local and foreign banks -</w:t>
      </w:r>
    </w:p>
    <w:p>
      <w:pPr>
        <w:spacing w:after="0" w:line="220" w:lineRule="exact"/>
        <w:rPr>
          <w:rFonts w:ascii="Arial" w:cs="Arial" w:eastAsia="Arial" w:hAnsi="Arial"/>
          <w:sz w:val="17"/>
          <w:szCs w:val="17"/>
          <w:color w:val="auto"/>
        </w:rPr>
      </w:pPr>
    </w:p>
    <w:p>
      <w:pPr>
        <w:ind w:left="316" w:right="120"/>
        <w:spacing w:after="0" w:line="285" w:lineRule="auto"/>
        <w:rPr>
          <w:rFonts w:ascii="Arial" w:cs="Arial" w:eastAsia="Arial" w:hAnsi="Arial"/>
          <w:sz w:val="17"/>
          <w:szCs w:val="17"/>
          <w:color w:val="auto"/>
        </w:rPr>
      </w:pPr>
      <w:r>
        <w:rPr>
          <w:rFonts w:ascii="Arial" w:cs="Arial" w:eastAsia="Arial" w:hAnsi="Arial"/>
          <w:sz w:val="17"/>
          <w:szCs w:val="17"/>
          <w:color w:val="auto"/>
        </w:rPr>
        <w:t>Deposits with local and foreign banks mainly consist of balances in soles and U.S. dollars; are cash in hand and earn interest at market rates. At December 31, 2017 and 2016 Credicorp and its Subsidiaries do not maintain significant deposits with any bank in particular.</w:t>
      </w:r>
    </w:p>
    <w:p>
      <w:pPr>
        <w:spacing w:after="0" w:line="367" w:lineRule="exact"/>
        <w:rPr>
          <w:rFonts w:ascii="Arial" w:cs="Arial" w:eastAsia="Arial" w:hAnsi="Arial"/>
          <w:sz w:val="17"/>
          <w:szCs w:val="17"/>
          <w:color w:val="auto"/>
        </w:rPr>
      </w:pPr>
    </w:p>
    <w:p>
      <w:pPr>
        <w:ind w:left="5636" w:hanging="107"/>
        <w:spacing w:after="0"/>
        <w:tabs>
          <w:tab w:leader="none" w:pos="5636" w:val="left"/>
        </w:tabs>
        <w:numPr>
          <w:ilvl w:val="2"/>
          <w:numId w:val="61"/>
        </w:numPr>
        <w:rPr>
          <w:rFonts w:ascii="Arial" w:cs="Arial" w:eastAsia="Arial" w:hAnsi="Arial"/>
          <w:sz w:val="17"/>
          <w:szCs w:val="17"/>
          <w:color w:val="auto"/>
        </w:rPr>
      </w:pPr>
      <w:r>
        <w:rPr>
          <w:rFonts w:ascii="Arial" w:cs="Arial" w:eastAsia="Arial" w:hAnsi="Arial"/>
          <w:sz w:val="17"/>
          <w:szCs w:val="17"/>
          <w:color w:val="auto"/>
        </w:rPr>
        <w:t>52 -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15875</wp:posOffset>
            </wp:positionV>
            <wp:extent cx="725170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51700" cy="8255"/>
                    </a:xfrm>
                    <a:prstGeom prst="rect">
                      <a:avLst/>
                    </a:prstGeom>
                    <a:noFill/>
                  </pic:spPr>
                </pic:pic>
              </a:graphicData>
            </a:graphic>
          </wp:anchor>
        </w:drawing>
      </w:r>
    </w:p>
    <w:p>
      <w:pPr>
        <w:sectPr>
          <w:pgSz w:w="11900" w:h="16838" w:orient="portrait"/>
          <w:cols w:equalWidth="0" w:num="1">
            <w:col w:w="11396"/>
          </w:cols>
          <w:pgMar w:left="244" w:top="881" w:right="259" w:bottom="1440" w:gutter="0" w:footer="0" w:header="0"/>
        </w:sectPr>
      </w:pPr>
    </w:p>
    <w:bookmarkStart w:id="58" w:name="page59"/>
    <w:bookmarkEnd w:id="58"/>
    <w:p>
      <w:pPr>
        <w:ind w:left="320" w:hanging="316"/>
        <w:spacing w:after="0" w:line="293" w:lineRule="auto"/>
        <w:tabs>
          <w:tab w:leader="none" w:pos="320" w:val="left"/>
        </w:tabs>
        <w:numPr>
          <w:ilvl w:val="0"/>
          <w:numId w:val="62"/>
        </w:numPr>
        <w:rPr>
          <w:rFonts w:ascii="Arial" w:cs="Arial" w:eastAsia="Arial" w:hAnsi="Arial"/>
          <w:sz w:val="17"/>
          <w:szCs w:val="17"/>
          <w:b w:val="1"/>
          <w:bCs w:val="1"/>
          <w:color w:val="auto"/>
        </w:rPr>
      </w:pPr>
      <w:r>
        <w:rPr>
          <w:rFonts w:ascii="Arial" w:cs="Arial" w:eastAsia="Arial" w:hAnsi="Arial"/>
          <w:sz w:val="17"/>
          <w:szCs w:val="17"/>
          <w:b w:val="1"/>
          <w:bCs w:val="1"/>
          <w:color w:val="auto"/>
        </w:rPr>
        <w:t>CASH COLLATERAL, REVERSE REPURCHASE AGREEMENTS AND SECURITIES BORROWINGS AND PAYABLES FROM REPURCHASE AGREEMENTS AND SECURITY LENDINGS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8460" w:type="dxa"/>
            <w:vAlign w:val="bottom"/>
            <w:gridSpan w:val="2"/>
          </w:tcPr>
          <w:p>
            <w:pPr>
              <w:spacing w:after="0"/>
              <w:rPr>
                <w:sz w:val="20"/>
                <w:szCs w:val="20"/>
                <w:color w:val="auto"/>
              </w:rPr>
            </w:pPr>
            <w:r>
              <w:rPr>
                <w:rFonts w:ascii="Arial" w:cs="Arial" w:eastAsia="Arial" w:hAnsi="Arial"/>
                <w:sz w:val="17"/>
                <w:szCs w:val="17"/>
                <w:color w:val="auto"/>
              </w:rPr>
              <w:t>a)  This balance consists of the following:</w:t>
            </w:r>
          </w:p>
        </w:tc>
        <w:tc>
          <w:tcPr>
            <w:tcW w:w="1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429"/>
        </w:trPr>
        <w:tc>
          <w:tcPr>
            <w:tcW w:w="320" w:type="dxa"/>
            <w:vAlign w:val="bottom"/>
          </w:tcPr>
          <w:p>
            <w:pPr>
              <w:spacing w:after="0"/>
              <w:rPr>
                <w:sz w:val="24"/>
                <w:szCs w:val="24"/>
                <w:color w:val="auto"/>
              </w:rPr>
            </w:pPr>
          </w:p>
        </w:tc>
        <w:tc>
          <w:tcPr>
            <w:tcW w:w="8140" w:type="dxa"/>
            <w:vAlign w:val="bottom"/>
          </w:tcPr>
          <w:p>
            <w:pPr>
              <w:spacing w:after="0"/>
              <w:rPr>
                <w:sz w:val="24"/>
                <w:szCs w:val="24"/>
                <w:color w:val="auto"/>
              </w:rPr>
            </w:pPr>
          </w:p>
        </w:tc>
        <w:tc>
          <w:tcPr>
            <w:tcW w:w="1220" w:type="dxa"/>
            <w:vAlign w:val="bottom"/>
            <w:tcBorders>
              <w:bottom w:val="single" w:sz="8" w:color="auto"/>
            </w:tcBorders>
          </w:tcPr>
          <w:p>
            <w:pPr>
              <w:jc w:val="right"/>
              <w:ind w:right="353"/>
              <w:spacing w:after="0"/>
              <w:rPr>
                <w:sz w:val="20"/>
                <w:szCs w:val="20"/>
                <w:color w:val="auto"/>
              </w:rPr>
            </w:pPr>
            <w:r>
              <w:rPr>
                <w:rFonts w:ascii="Arial" w:cs="Arial" w:eastAsia="Arial" w:hAnsi="Arial"/>
                <w:sz w:val="17"/>
                <w:szCs w:val="17"/>
                <w:b w:val="1"/>
                <w:bCs w:val="1"/>
                <w:color w:val="auto"/>
              </w:rPr>
              <w:t>2017</w:t>
            </w:r>
          </w:p>
        </w:tc>
        <w:tc>
          <w:tcPr>
            <w:tcW w:w="200" w:type="dxa"/>
            <w:vAlign w:val="bottom"/>
          </w:tcPr>
          <w:p>
            <w:pPr>
              <w:spacing w:after="0"/>
              <w:rPr>
                <w:sz w:val="24"/>
                <w:szCs w:val="24"/>
                <w:color w:val="auto"/>
              </w:rPr>
            </w:pPr>
          </w:p>
        </w:tc>
        <w:tc>
          <w:tcPr>
            <w:tcW w:w="1180" w:type="dxa"/>
            <w:vAlign w:val="bottom"/>
            <w:tcBorders>
              <w:bottom w:val="single" w:sz="8" w:color="auto"/>
            </w:tcBorders>
          </w:tcPr>
          <w:p>
            <w:pPr>
              <w:jc w:val="right"/>
              <w:ind w:right="333"/>
              <w:spacing w:after="0"/>
              <w:rPr>
                <w:sz w:val="20"/>
                <w:szCs w:val="20"/>
                <w:color w:val="auto"/>
              </w:rPr>
            </w:pPr>
            <w:r>
              <w:rPr>
                <w:rFonts w:ascii="Arial" w:cs="Arial" w:eastAsia="Arial" w:hAnsi="Arial"/>
                <w:sz w:val="17"/>
                <w:szCs w:val="17"/>
                <w:b w:val="1"/>
                <w:bCs w:val="1"/>
                <w:color w:val="auto"/>
              </w:rPr>
              <w:t>2016</w:t>
            </w:r>
          </w:p>
        </w:tc>
        <w:tc>
          <w:tcPr>
            <w:tcW w:w="100" w:type="dxa"/>
            <w:vAlign w:val="bottom"/>
          </w:tcPr>
          <w:p>
            <w:pPr>
              <w:spacing w:after="0"/>
              <w:rPr>
                <w:sz w:val="24"/>
                <w:szCs w:val="24"/>
                <w:color w:val="auto"/>
              </w:rPr>
            </w:pPr>
          </w:p>
        </w:tc>
      </w:tr>
      <w:tr>
        <w:trPr>
          <w:trHeight w:val="201"/>
        </w:trPr>
        <w:tc>
          <w:tcPr>
            <w:tcW w:w="320" w:type="dxa"/>
            <w:vAlign w:val="bottom"/>
          </w:tcPr>
          <w:p>
            <w:pPr>
              <w:spacing w:after="0"/>
              <w:rPr>
                <w:sz w:val="17"/>
                <w:szCs w:val="17"/>
                <w:color w:val="auto"/>
              </w:rPr>
            </w:pPr>
          </w:p>
        </w:tc>
        <w:tc>
          <w:tcPr>
            <w:tcW w:w="8140" w:type="dxa"/>
            <w:vAlign w:val="bottom"/>
          </w:tcPr>
          <w:p>
            <w:pPr>
              <w:spacing w:after="0"/>
              <w:rPr>
                <w:sz w:val="17"/>
                <w:szCs w:val="17"/>
                <w:color w:val="auto"/>
              </w:rPr>
            </w:pPr>
          </w:p>
        </w:tc>
        <w:tc>
          <w:tcPr>
            <w:tcW w:w="1220" w:type="dxa"/>
            <w:vAlign w:val="bottom"/>
          </w:tcPr>
          <w:p>
            <w:pPr>
              <w:jc w:val="center"/>
              <w:spacing w:after="0"/>
              <w:rPr>
                <w:sz w:val="20"/>
                <w:szCs w:val="20"/>
                <w:color w:val="auto"/>
              </w:rPr>
            </w:pPr>
            <w:r>
              <w:rPr>
                <w:rFonts w:ascii="Arial" w:cs="Arial" w:eastAsia="Arial" w:hAnsi="Arial"/>
                <w:sz w:val="17"/>
                <w:szCs w:val="17"/>
                <w:b w:val="1"/>
                <w:bCs w:val="1"/>
                <w:color w:val="auto"/>
                <w:w w:val="93"/>
              </w:rPr>
              <w:t>S/(000)</w:t>
            </w:r>
          </w:p>
        </w:tc>
        <w:tc>
          <w:tcPr>
            <w:tcW w:w="200" w:type="dxa"/>
            <w:vAlign w:val="bottom"/>
          </w:tcPr>
          <w:p>
            <w:pPr>
              <w:spacing w:after="0"/>
              <w:rPr>
                <w:sz w:val="17"/>
                <w:szCs w:val="17"/>
                <w:color w:val="auto"/>
              </w:rPr>
            </w:pPr>
          </w:p>
        </w:tc>
        <w:tc>
          <w:tcPr>
            <w:tcW w:w="1180" w:type="dxa"/>
            <w:vAlign w:val="bottom"/>
          </w:tcPr>
          <w:p>
            <w:pPr>
              <w:jc w:val="center"/>
              <w:spacing w:after="0"/>
              <w:rPr>
                <w:sz w:val="20"/>
                <w:szCs w:val="20"/>
                <w:color w:val="auto"/>
              </w:rPr>
            </w:pPr>
            <w:r>
              <w:rPr>
                <w:rFonts w:ascii="Arial" w:cs="Arial" w:eastAsia="Arial" w:hAnsi="Arial"/>
                <w:sz w:val="17"/>
                <w:szCs w:val="17"/>
                <w:b w:val="1"/>
                <w:bCs w:val="1"/>
                <w:color w:val="auto"/>
                <w:w w:val="93"/>
              </w:rPr>
              <w:t>S/(000)</w:t>
            </w:r>
          </w:p>
        </w:tc>
        <w:tc>
          <w:tcPr>
            <w:tcW w:w="100" w:type="dxa"/>
            <w:vAlign w:val="bottom"/>
          </w:tcPr>
          <w:p>
            <w:pPr>
              <w:spacing w:after="0"/>
              <w:rPr>
                <w:sz w:val="17"/>
                <w:szCs w:val="17"/>
                <w:color w:val="auto"/>
              </w:rPr>
            </w:pPr>
          </w:p>
        </w:tc>
      </w:tr>
      <w:tr>
        <w:trPr>
          <w:trHeight w:val="208"/>
        </w:trPr>
        <w:tc>
          <w:tcPr>
            <w:tcW w:w="320" w:type="dxa"/>
            <w:vAlign w:val="bottom"/>
          </w:tcPr>
          <w:p>
            <w:pPr>
              <w:spacing w:after="0"/>
              <w:rPr>
                <w:sz w:val="18"/>
                <w:szCs w:val="18"/>
                <w:color w:val="auto"/>
              </w:rPr>
            </w:pPr>
          </w:p>
        </w:tc>
        <w:tc>
          <w:tcPr>
            <w:tcW w:w="8140" w:type="dxa"/>
            <w:vAlign w:val="bottom"/>
            <w:shd w:val="clear" w:color="auto" w:fill="CCEEFF"/>
          </w:tcPr>
          <w:p>
            <w:pPr>
              <w:spacing w:after="0"/>
              <w:rPr>
                <w:sz w:val="20"/>
                <w:szCs w:val="20"/>
                <w:color w:val="auto"/>
              </w:rPr>
            </w:pPr>
            <w:r>
              <w:rPr>
                <w:rFonts w:ascii="Arial" w:cs="Arial" w:eastAsia="Arial" w:hAnsi="Arial"/>
                <w:sz w:val="17"/>
                <w:szCs w:val="17"/>
                <w:color w:val="auto"/>
              </w:rPr>
              <w:t>Cash collateral on repurchase agreements and security lendings (i)</w:t>
            </w: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6,962,421</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10,621,045</w:t>
            </w:r>
          </w:p>
        </w:tc>
      </w:tr>
      <w:tr>
        <w:trPr>
          <w:trHeight w:val="208"/>
        </w:trPr>
        <w:tc>
          <w:tcPr>
            <w:tcW w:w="320" w:type="dxa"/>
            <w:vAlign w:val="bottom"/>
          </w:tcPr>
          <w:p>
            <w:pPr>
              <w:spacing w:after="0"/>
              <w:rPr>
                <w:sz w:val="18"/>
                <w:szCs w:val="18"/>
                <w:color w:val="auto"/>
              </w:rPr>
            </w:pPr>
          </w:p>
        </w:tc>
        <w:tc>
          <w:tcPr>
            <w:tcW w:w="8140" w:type="dxa"/>
            <w:vAlign w:val="bottom"/>
          </w:tcPr>
          <w:p>
            <w:pPr>
              <w:spacing w:after="0"/>
              <w:rPr>
                <w:sz w:val="20"/>
                <w:szCs w:val="20"/>
                <w:color w:val="auto"/>
              </w:rPr>
            </w:pPr>
            <w:r>
              <w:rPr>
                <w:rFonts w:ascii="Arial" w:cs="Arial" w:eastAsia="Arial" w:hAnsi="Arial"/>
                <w:sz w:val="17"/>
                <w:szCs w:val="17"/>
                <w:color w:val="auto"/>
              </w:rPr>
              <w:t>Cash collateral for short sales</w:t>
            </w:r>
          </w:p>
        </w:tc>
        <w:tc>
          <w:tcPr>
            <w:tcW w:w="1420" w:type="dxa"/>
            <w:vAlign w:val="bottom"/>
            <w:gridSpan w:val="2"/>
          </w:tcPr>
          <w:p>
            <w:pPr>
              <w:jc w:val="right"/>
              <w:ind w:right="200"/>
              <w:spacing w:after="0"/>
              <w:rPr>
                <w:sz w:val="20"/>
                <w:szCs w:val="20"/>
                <w:color w:val="auto"/>
              </w:rPr>
            </w:pPr>
            <w:r>
              <w:rPr>
                <w:rFonts w:ascii="Arial" w:cs="Arial" w:eastAsia="Arial" w:hAnsi="Arial"/>
                <w:sz w:val="17"/>
                <w:szCs w:val="17"/>
                <w:color w:val="auto"/>
              </w:rPr>
              <w:t>17,688</w:t>
            </w:r>
          </w:p>
        </w:tc>
        <w:tc>
          <w:tcPr>
            <w:tcW w:w="118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r>
      <w:tr>
        <w:trPr>
          <w:trHeight w:val="195"/>
        </w:trPr>
        <w:tc>
          <w:tcPr>
            <w:tcW w:w="320" w:type="dxa"/>
            <w:vAlign w:val="bottom"/>
          </w:tcPr>
          <w:p>
            <w:pPr>
              <w:spacing w:after="0"/>
              <w:rPr>
                <w:sz w:val="16"/>
                <w:szCs w:val="16"/>
                <w:color w:val="auto"/>
              </w:rPr>
            </w:pPr>
          </w:p>
        </w:tc>
        <w:tc>
          <w:tcPr>
            <w:tcW w:w="8140" w:type="dxa"/>
            <w:vAlign w:val="bottom"/>
            <w:shd w:val="clear" w:color="auto" w:fill="CCEEFF"/>
          </w:tcPr>
          <w:p>
            <w:pPr>
              <w:spacing w:after="0"/>
              <w:rPr>
                <w:sz w:val="20"/>
                <w:szCs w:val="20"/>
                <w:color w:val="auto"/>
              </w:rPr>
            </w:pPr>
            <w:r>
              <w:rPr>
                <w:rFonts w:ascii="Arial" w:cs="Arial" w:eastAsia="Arial" w:hAnsi="Arial"/>
                <w:sz w:val="17"/>
                <w:szCs w:val="17"/>
                <w:color w:val="auto"/>
              </w:rPr>
              <w:t>Reverse repurchase agreement and security</w:t>
            </w:r>
          </w:p>
        </w:tc>
        <w:tc>
          <w:tcPr>
            <w:tcW w:w="12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20"/>
        </w:trPr>
        <w:tc>
          <w:tcPr>
            <w:tcW w:w="320" w:type="dxa"/>
            <w:vAlign w:val="bottom"/>
          </w:tcPr>
          <w:p>
            <w:pPr>
              <w:spacing w:after="0"/>
              <w:rPr>
                <w:sz w:val="19"/>
                <w:szCs w:val="19"/>
                <w:color w:val="auto"/>
              </w:rPr>
            </w:pPr>
          </w:p>
        </w:tc>
        <w:tc>
          <w:tcPr>
            <w:tcW w:w="8140" w:type="dxa"/>
            <w:vAlign w:val="bottom"/>
            <w:shd w:val="clear" w:color="auto" w:fill="CCEEFF"/>
          </w:tcPr>
          <w:p>
            <w:pPr>
              <w:spacing w:after="0"/>
              <w:rPr>
                <w:sz w:val="20"/>
                <w:szCs w:val="20"/>
                <w:color w:val="auto"/>
              </w:rPr>
            </w:pPr>
            <w:r>
              <w:rPr>
                <w:rFonts w:ascii="Arial" w:cs="Arial" w:eastAsia="Arial" w:hAnsi="Arial"/>
                <w:sz w:val="17"/>
                <w:szCs w:val="17"/>
                <w:color w:val="auto"/>
              </w:rPr>
              <w:t>borrowings (ii)</w:t>
            </w: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456,145</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294,558</w:t>
            </w:r>
          </w:p>
        </w:tc>
      </w:tr>
      <w:tr>
        <w:trPr>
          <w:trHeight w:val="221"/>
        </w:trPr>
        <w:tc>
          <w:tcPr>
            <w:tcW w:w="320" w:type="dxa"/>
            <w:vAlign w:val="bottom"/>
          </w:tcPr>
          <w:p>
            <w:pPr>
              <w:spacing w:after="0"/>
              <w:rPr>
                <w:sz w:val="19"/>
                <w:szCs w:val="19"/>
                <w:color w:val="auto"/>
              </w:rPr>
            </w:pPr>
          </w:p>
        </w:tc>
        <w:tc>
          <w:tcPr>
            <w:tcW w:w="8140" w:type="dxa"/>
            <w:vAlign w:val="bottom"/>
          </w:tcPr>
          <w:p>
            <w:pPr>
              <w:spacing w:after="0"/>
              <w:rPr>
                <w:sz w:val="20"/>
                <w:szCs w:val="20"/>
                <w:color w:val="auto"/>
              </w:rPr>
            </w:pPr>
            <w:r>
              <w:rPr>
                <w:rFonts w:ascii="Arial" w:cs="Arial" w:eastAsia="Arial" w:hAnsi="Arial"/>
                <w:sz w:val="17"/>
                <w:szCs w:val="17"/>
                <w:color w:val="auto"/>
              </w:rPr>
              <w:t>Receivables for short sales</w:t>
            </w:r>
          </w:p>
        </w:tc>
        <w:tc>
          <w:tcPr>
            <w:tcW w:w="1420" w:type="dxa"/>
            <w:vAlign w:val="bottom"/>
            <w:gridSpan w:val="2"/>
          </w:tcPr>
          <w:p>
            <w:pPr>
              <w:jc w:val="right"/>
              <w:ind w:right="200"/>
              <w:spacing w:after="0"/>
              <w:rPr>
                <w:sz w:val="20"/>
                <w:szCs w:val="20"/>
                <w:color w:val="auto"/>
              </w:rPr>
            </w:pPr>
            <w:r>
              <w:rPr>
                <w:rFonts w:ascii="Arial" w:cs="Arial" w:eastAsia="Arial" w:hAnsi="Arial"/>
                <w:sz w:val="17"/>
                <w:szCs w:val="17"/>
                <w:color w:val="auto"/>
              </w:rPr>
              <w:t>44,166</w:t>
            </w:r>
          </w:p>
        </w:tc>
        <w:tc>
          <w:tcPr>
            <w:tcW w:w="1280" w:type="dxa"/>
            <w:vAlign w:val="bottom"/>
            <w:gridSpan w:val="2"/>
          </w:tcPr>
          <w:p>
            <w:pPr>
              <w:jc w:val="right"/>
              <w:ind w:right="100"/>
              <w:spacing w:after="0"/>
              <w:rPr>
                <w:sz w:val="20"/>
                <w:szCs w:val="20"/>
                <w:color w:val="auto"/>
              </w:rPr>
            </w:pPr>
            <w:r>
              <w:rPr>
                <w:rFonts w:ascii="Arial" w:cs="Arial" w:eastAsia="Arial" w:hAnsi="Arial"/>
                <w:sz w:val="17"/>
                <w:szCs w:val="17"/>
                <w:color w:val="auto"/>
              </w:rPr>
              <w:t>4,021</w:t>
            </w:r>
          </w:p>
        </w:tc>
      </w:tr>
      <w:tr>
        <w:trPr>
          <w:trHeight w:val="201"/>
        </w:trPr>
        <w:tc>
          <w:tcPr>
            <w:tcW w:w="320" w:type="dxa"/>
            <w:vAlign w:val="bottom"/>
          </w:tcPr>
          <w:p>
            <w:pPr>
              <w:spacing w:after="0"/>
              <w:rPr>
                <w:sz w:val="17"/>
                <w:szCs w:val="17"/>
                <w:color w:val="auto"/>
              </w:rPr>
            </w:pPr>
          </w:p>
        </w:tc>
        <w:tc>
          <w:tcPr>
            <w:tcW w:w="81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7"/>
                <w:szCs w:val="17"/>
                <w:b w:val="1"/>
                <w:bCs w:val="1"/>
                <w:color w:val="auto"/>
              </w:rPr>
              <w:t>Total</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7,480,420</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10,919,624</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r>
      <w:tr>
        <w:trPr>
          <w:trHeight w:val="20"/>
        </w:trPr>
        <w:tc>
          <w:tcPr>
            <w:tcW w:w="320" w:type="dxa"/>
            <w:vAlign w:val="bottom"/>
          </w:tcPr>
          <w:p>
            <w:pPr>
              <w:spacing w:after="0" w:line="20" w:lineRule="exact"/>
              <w:rPr>
                <w:sz w:val="1"/>
                <w:szCs w:val="1"/>
                <w:color w:val="auto"/>
              </w:rPr>
            </w:pPr>
          </w:p>
        </w:tc>
        <w:tc>
          <w:tcPr>
            <w:tcW w:w="814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5" w:lineRule="exact"/>
        <w:rPr>
          <w:sz w:val="20"/>
          <w:szCs w:val="20"/>
          <w:color w:val="auto"/>
        </w:rPr>
      </w:pPr>
    </w:p>
    <w:p>
      <w:pPr>
        <w:ind w:left="620" w:right="100" w:hanging="304"/>
        <w:spacing w:after="0" w:line="262" w:lineRule="auto"/>
        <w:tabs>
          <w:tab w:leader="none" w:pos="620" w:val="left"/>
        </w:tabs>
        <w:numPr>
          <w:ilvl w:val="0"/>
          <w:numId w:val="63"/>
        </w:numPr>
        <w:rPr>
          <w:rFonts w:ascii="Arial" w:cs="Arial" w:eastAsia="Arial" w:hAnsi="Arial"/>
          <w:sz w:val="17"/>
          <w:szCs w:val="17"/>
          <w:color w:val="auto"/>
        </w:rPr>
      </w:pPr>
      <w:r>
        <w:rPr>
          <w:rFonts w:ascii="Arial" w:cs="Arial" w:eastAsia="Arial" w:hAnsi="Arial"/>
          <w:sz w:val="17"/>
          <w:szCs w:val="17"/>
          <w:color w:val="auto"/>
        </w:rPr>
        <w:t>At December 31, 2017, the balance mainly comprises cash collateral for approximately US$2,061.5 million (equivalent to S/6,681.2 million) delivered to BCRP to secure a borrowing in soles of approximately S/6,578.8 million obtained from the same entity (US$3,127.1 million, equivalent to S/10,494.7 million, and S/10,008.7 million, respectively at December 31, 2016). Cash collateral bears interest at an average annual effective interest rate according to market rates. The related liability is presented in “Payables from repurchase agreements and security lending” of the consolidated statement of financial position, see paragraph (c) below.</w:t>
      </w:r>
    </w:p>
    <w:p>
      <w:pPr>
        <w:spacing w:after="0" w:line="388" w:lineRule="exact"/>
        <w:rPr>
          <w:rFonts w:ascii="Arial" w:cs="Arial" w:eastAsia="Arial" w:hAnsi="Arial"/>
          <w:sz w:val="17"/>
          <w:szCs w:val="17"/>
          <w:color w:val="auto"/>
        </w:rPr>
      </w:pPr>
    </w:p>
    <w:p>
      <w:pPr>
        <w:ind w:left="5640" w:hanging="107"/>
        <w:spacing w:after="0"/>
        <w:tabs>
          <w:tab w:leader="none" w:pos="5640" w:val="left"/>
        </w:tabs>
        <w:numPr>
          <w:ilvl w:val="1"/>
          <w:numId w:val="63"/>
        </w:numPr>
        <w:rPr>
          <w:rFonts w:ascii="Arial" w:cs="Arial" w:eastAsia="Arial" w:hAnsi="Arial"/>
          <w:sz w:val="17"/>
          <w:szCs w:val="17"/>
          <w:color w:val="auto"/>
        </w:rPr>
      </w:pPr>
      <w:r>
        <w:rPr>
          <w:rFonts w:ascii="Arial" w:cs="Arial" w:eastAsia="Arial" w:hAnsi="Arial"/>
          <w:sz w:val="17"/>
          <w:szCs w:val="17"/>
          <w:color w:val="auto"/>
        </w:rPr>
        <w:t>53 -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15875</wp:posOffset>
            </wp:positionV>
            <wp:extent cx="725170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51700" cy="8255"/>
                    </a:xfrm>
                    <a:prstGeom prst="rect">
                      <a:avLst/>
                    </a:prstGeom>
                    <a:noFill/>
                  </pic:spPr>
                </pic:pic>
              </a:graphicData>
            </a:graphic>
          </wp:anchor>
        </w:drawing>
      </w:r>
    </w:p>
    <w:p>
      <w:pPr>
        <w:sectPr>
          <w:pgSz w:w="11900" w:h="16838" w:orient="portrait"/>
          <w:cols w:equalWidth="0" w:num="1">
            <w:col w:w="11400"/>
          </w:cols>
          <w:pgMar w:left="240" w:top="875" w:right="259" w:bottom="1440" w:gutter="0" w:footer="0" w:header="0"/>
        </w:sectPr>
      </w:pPr>
    </w:p>
    <w:bookmarkStart w:id="59" w:name="page60"/>
    <w:bookmarkEnd w:id="59"/>
    <w:p>
      <w:pPr>
        <w:ind w:left="620" w:right="760" w:hanging="304"/>
        <w:spacing w:after="0" w:line="355" w:lineRule="auto"/>
        <w:tabs>
          <w:tab w:leader="none" w:pos="620" w:val="left"/>
        </w:tabs>
        <w:numPr>
          <w:ilvl w:val="0"/>
          <w:numId w:val="64"/>
        </w:numPr>
        <w:rPr>
          <w:rFonts w:ascii="Arial" w:cs="Arial" w:eastAsia="Arial" w:hAnsi="Arial"/>
          <w:sz w:val="15"/>
          <w:szCs w:val="15"/>
          <w:color w:val="222222"/>
        </w:rPr>
      </w:pPr>
      <w:r>
        <w:rPr>
          <w:rFonts w:ascii="Arial" w:cs="Arial" w:eastAsia="Arial" w:hAnsi="Arial"/>
          <w:sz w:val="15"/>
          <w:szCs w:val="15"/>
          <w:color w:val="222222"/>
        </w:rPr>
        <w:t xml:space="preserve">Credicorp, </w:t>
      </w:r>
      <w:r>
        <w:rPr>
          <w:rFonts w:ascii="Arial" w:cs="Arial" w:eastAsia="Arial" w:hAnsi="Arial"/>
          <w:sz w:val="15"/>
          <w:szCs w:val="15"/>
          <w:color w:val="000000"/>
        </w:rPr>
        <w:t>mainly through its subsidiaries</w:t>
      </w:r>
      <w:r>
        <w:rPr>
          <w:rFonts w:ascii="Arial" w:cs="Arial" w:eastAsia="Arial" w:hAnsi="Arial"/>
          <w:sz w:val="15"/>
          <w:szCs w:val="15"/>
          <w:color w:val="222222"/>
        </w:rPr>
        <w:t xml:space="preserve"> Credicorp Capital Colombia and Inversiones IMT, </w:t>
      </w:r>
      <w:r>
        <w:rPr>
          <w:rFonts w:ascii="Arial" w:cs="Arial" w:eastAsia="Arial" w:hAnsi="Arial"/>
          <w:sz w:val="15"/>
          <w:szCs w:val="15"/>
          <w:color w:val="000000"/>
        </w:rPr>
        <w:t>provides financing to its customers through reverse</w:t>
      </w:r>
      <w:r>
        <w:rPr>
          <w:rFonts w:ascii="Arial" w:cs="Arial" w:eastAsia="Arial" w:hAnsi="Arial"/>
          <w:sz w:val="15"/>
          <w:szCs w:val="15"/>
          <w:color w:val="222222"/>
        </w:rPr>
        <w:t xml:space="preserve"> </w:t>
      </w:r>
      <w:r>
        <w:rPr>
          <w:rFonts w:ascii="Arial" w:cs="Arial" w:eastAsia="Arial" w:hAnsi="Arial"/>
          <w:sz w:val="15"/>
          <w:szCs w:val="15"/>
          <w:color w:val="000000"/>
        </w:rPr>
        <w:t>repurchase agreements and security borrowings, in which a financial instrument serves as collateral. Details of said transactions are as follows</w:t>
      </w:r>
      <w:r>
        <w:rPr>
          <w:rFonts w:ascii="Arial" w:cs="Arial" w:eastAsia="Arial" w:hAnsi="Arial"/>
          <w:sz w:val="15"/>
          <w:szCs w:val="15"/>
          <w:color w:val="222222"/>
        </w:rPr>
        <w:t>:</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640" w:type="dxa"/>
            <w:vAlign w:val="bottom"/>
            <w:tcBorders>
              <w:bottom w:val="single" w:sz="8" w:color="auto"/>
            </w:tcBorders>
            <w:gridSpan w:val="4"/>
          </w:tcPr>
          <w:p>
            <w:pPr>
              <w:ind w:left="140"/>
              <w:spacing w:after="0"/>
              <w:rPr>
                <w:sz w:val="20"/>
                <w:szCs w:val="20"/>
                <w:color w:val="auto"/>
              </w:rPr>
            </w:pPr>
            <w:r>
              <w:rPr>
                <w:rFonts w:ascii="Arial" w:cs="Arial" w:eastAsia="Arial" w:hAnsi="Arial"/>
                <w:sz w:val="12"/>
                <w:szCs w:val="12"/>
                <w:b w:val="1"/>
                <w:bCs w:val="1"/>
                <w:color w:val="auto"/>
              </w:rPr>
              <w:t>At December 31, 2017</w:t>
            </w:r>
          </w:p>
        </w:tc>
        <w:tc>
          <w:tcPr>
            <w:tcW w:w="56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640" w:type="dxa"/>
            <w:vAlign w:val="bottom"/>
            <w:tcBorders>
              <w:bottom w:val="single" w:sz="8" w:color="auto"/>
            </w:tcBorders>
            <w:gridSpan w:val="4"/>
          </w:tcPr>
          <w:p>
            <w:pPr>
              <w:jc w:val="right"/>
              <w:ind w:right="340"/>
              <w:spacing w:after="0"/>
              <w:rPr>
                <w:sz w:val="20"/>
                <w:szCs w:val="20"/>
                <w:color w:val="auto"/>
              </w:rPr>
            </w:pPr>
            <w:r>
              <w:rPr>
                <w:rFonts w:ascii="Arial" w:cs="Arial" w:eastAsia="Arial" w:hAnsi="Arial"/>
                <w:sz w:val="12"/>
                <w:szCs w:val="12"/>
                <w:b w:val="1"/>
                <w:bCs w:val="1"/>
                <w:color w:val="auto"/>
              </w:rPr>
              <w:t>At December 31, 2016</w:t>
            </w:r>
          </w:p>
        </w:tc>
        <w:tc>
          <w:tcPr>
            <w:tcW w:w="56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05"/>
        </w:trPr>
        <w:tc>
          <w:tcPr>
            <w:tcW w:w="1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80" w:type="dxa"/>
            <w:vAlign w:val="bottom"/>
          </w:tcPr>
          <w:p>
            <w:pPr>
              <w:spacing w:after="0"/>
              <w:rPr>
                <w:sz w:val="9"/>
                <w:szCs w:val="9"/>
                <w:color w:val="auto"/>
              </w:rPr>
            </w:pPr>
          </w:p>
        </w:tc>
        <w:tc>
          <w:tcPr>
            <w:tcW w:w="700" w:type="dxa"/>
            <w:vAlign w:val="bottom"/>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680" w:type="dxa"/>
            <w:vAlign w:val="bottom"/>
          </w:tcPr>
          <w:p>
            <w:pPr>
              <w:jc w:val="center"/>
              <w:spacing w:after="0" w:line="105" w:lineRule="exact"/>
              <w:rPr>
                <w:sz w:val="20"/>
                <w:szCs w:val="20"/>
                <w:color w:val="auto"/>
              </w:rPr>
            </w:pPr>
            <w:r>
              <w:rPr>
                <w:rFonts w:ascii="Arial" w:cs="Arial" w:eastAsia="Arial" w:hAnsi="Arial"/>
                <w:sz w:val="12"/>
                <w:szCs w:val="12"/>
                <w:b w:val="1"/>
                <w:bCs w:val="1"/>
                <w:color w:val="auto"/>
                <w:w w:val="93"/>
              </w:rPr>
              <w:t>Fair value of</w:t>
            </w:r>
          </w:p>
        </w:tc>
        <w:tc>
          <w:tcPr>
            <w:tcW w:w="1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80" w:type="dxa"/>
            <w:vAlign w:val="bottom"/>
          </w:tcPr>
          <w:p>
            <w:pPr>
              <w:spacing w:after="0"/>
              <w:rPr>
                <w:sz w:val="9"/>
                <w:szCs w:val="9"/>
                <w:color w:val="auto"/>
              </w:rPr>
            </w:pPr>
          </w:p>
        </w:tc>
        <w:tc>
          <w:tcPr>
            <w:tcW w:w="700" w:type="dxa"/>
            <w:vAlign w:val="bottom"/>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700" w:type="dxa"/>
            <w:vAlign w:val="bottom"/>
          </w:tcPr>
          <w:p>
            <w:pPr>
              <w:jc w:val="center"/>
              <w:spacing w:after="0" w:line="105" w:lineRule="exact"/>
              <w:rPr>
                <w:sz w:val="20"/>
                <w:szCs w:val="20"/>
                <w:color w:val="auto"/>
              </w:rPr>
            </w:pPr>
            <w:r>
              <w:rPr>
                <w:rFonts w:ascii="Arial" w:cs="Arial" w:eastAsia="Arial" w:hAnsi="Arial"/>
                <w:sz w:val="12"/>
                <w:szCs w:val="12"/>
                <w:b w:val="1"/>
                <w:bCs w:val="1"/>
                <w:color w:val="auto"/>
                <w:w w:val="93"/>
              </w:rPr>
              <w:t>Fair value of</w:t>
            </w:r>
          </w:p>
        </w:tc>
        <w:tc>
          <w:tcPr>
            <w:tcW w:w="80" w:type="dxa"/>
            <w:vAlign w:val="bottom"/>
            <w:gridSpan w:val="2"/>
          </w:tcPr>
          <w:p>
            <w:pPr>
              <w:spacing w:after="0"/>
              <w:rPr>
                <w:sz w:val="9"/>
                <w:szCs w:val="9"/>
                <w:color w:val="auto"/>
              </w:rPr>
            </w:pPr>
          </w:p>
        </w:tc>
      </w:tr>
      <w:tr>
        <w:trPr>
          <w:trHeight w:val="130"/>
        </w:trPr>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gridSpan w:val="2"/>
          </w:tcPr>
          <w:p>
            <w:pPr>
              <w:jc w:val="center"/>
              <w:ind w:right="200"/>
              <w:spacing w:after="0" w:line="130" w:lineRule="exact"/>
              <w:rPr>
                <w:sz w:val="20"/>
                <w:szCs w:val="20"/>
                <w:color w:val="auto"/>
              </w:rPr>
            </w:pPr>
            <w:r>
              <w:rPr>
                <w:rFonts w:ascii="Arial" w:cs="Arial" w:eastAsia="Arial" w:hAnsi="Arial"/>
                <w:sz w:val="12"/>
                <w:szCs w:val="12"/>
                <w:b w:val="1"/>
                <w:bCs w:val="1"/>
                <w:color w:val="auto"/>
                <w:w w:val="88"/>
              </w:rPr>
              <w:t>Average</w:t>
            </w: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gridSpan w:val="2"/>
          </w:tcPr>
          <w:p>
            <w:pPr>
              <w:jc w:val="center"/>
              <w:ind w:right="180"/>
              <w:spacing w:after="0" w:line="130" w:lineRule="exact"/>
              <w:rPr>
                <w:sz w:val="20"/>
                <w:szCs w:val="20"/>
                <w:color w:val="auto"/>
              </w:rPr>
            </w:pPr>
            <w:r>
              <w:rPr>
                <w:rFonts w:ascii="Arial" w:cs="Arial" w:eastAsia="Arial" w:hAnsi="Arial"/>
                <w:sz w:val="12"/>
                <w:szCs w:val="12"/>
                <w:b w:val="1"/>
                <w:bCs w:val="1"/>
                <w:color w:val="auto"/>
                <w:w w:val="92"/>
              </w:rPr>
              <w:t>From 3 to 30</w:t>
            </w:r>
          </w:p>
        </w:tc>
        <w:tc>
          <w:tcPr>
            <w:tcW w:w="760" w:type="dxa"/>
            <w:vAlign w:val="bottom"/>
            <w:gridSpan w:val="2"/>
          </w:tcPr>
          <w:p>
            <w:pPr>
              <w:jc w:val="center"/>
              <w:ind w:right="220"/>
              <w:spacing w:after="0" w:line="130" w:lineRule="exact"/>
              <w:rPr>
                <w:sz w:val="20"/>
                <w:szCs w:val="20"/>
                <w:color w:val="auto"/>
              </w:rPr>
            </w:pPr>
            <w:r>
              <w:rPr>
                <w:rFonts w:ascii="Arial" w:cs="Arial" w:eastAsia="Arial" w:hAnsi="Arial"/>
                <w:sz w:val="12"/>
                <w:szCs w:val="12"/>
                <w:b w:val="1"/>
                <w:bCs w:val="1"/>
                <w:color w:val="auto"/>
                <w:w w:val="94"/>
              </w:rPr>
              <w:t>More than</w:t>
            </w:r>
          </w:p>
        </w:tc>
        <w:tc>
          <w:tcPr>
            <w:tcW w:w="7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Carrying</w:t>
            </w:r>
          </w:p>
        </w:tc>
        <w:tc>
          <w:tcPr>
            <w:tcW w:w="860" w:type="dxa"/>
            <w:vAlign w:val="bottom"/>
            <w:gridSpan w:val="2"/>
          </w:tcPr>
          <w:p>
            <w:pPr>
              <w:jc w:val="center"/>
              <w:ind w:right="200"/>
              <w:spacing w:after="0" w:line="130" w:lineRule="exact"/>
              <w:rPr>
                <w:sz w:val="20"/>
                <w:szCs w:val="20"/>
                <w:color w:val="auto"/>
              </w:rPr>
            </w:pPr>
            <w:r>
              <w:rPr>
                <w:rFonts w:ascii="Arial" w:cs="Arial" w:eastAsia="Arial" w:hAnsi="Arial"/>
                <w:sz w:val="12"/>
                <w:szCs w:val="12"/>
                <w:b w:val="1"/>
                <w:bCs w:val="1"/>
                <w:color w:val="auto"/>
                <w:w w:val="94"/>
              </w:rPr>
              <w:t>underlying</w:t>
            </w:r>
          </w:p>
        </w:tc>
        <w:tc>
          <w:tcPr>
            <w:tcW w:w="82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rPr>
              <w:t>Average</w:t>
            </w: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gridSpan w:val="2"/>
          </w:tcPr>
          <w:p>
            <w:pPr>
              <w:jc w:val="center"/>
              <w:ind w:right="180"/>
              <w:spacing w:after="0" w:line="130" w:lineRule="exact"/>
              <w:rPr>
                <w:sz w:val="20"/>
                <w:szCs w:val="20"/>
                <w:color w:val="auto"/>
              </w:rPr>
            </w:pPr>
            <w:r>
              <w:rPr>
                <w:rFonts w:ascii="Arial" w:cs="Arial" w:eastAsia="Arial" w:hAnsi="Arial"/>
                <w:sz w:val="12"/>
                <w:szCs w:val="12"/>
                <w:b w:val="1"/>
                <w:bCs w:val="1"/>
                <w:color w:val="auto"/>
                <w:w w:val="92"/>
              </w:rPr>
              <w:t>From 3 to 30</w:t>
            </w:r>
          </w:p>
        </w:tc>
        <w:tc>
          <w:tcPr>
            <w:tcW w:w="760" w:type="dxa"/>
            <w:vAlign w:val="bottom"/>
            <w:gridSpan w:val="2"/>
          </w:tcPr>
          <w:p>
            <w:pPr>
              <w:jc w:val="center"/>
              <w:ind w:right="220"/>
              <w:spacing w:after="0" w:line="130" w:lineRule="exact"/>
              <w:rPr>
                <w:sz w:val="20"/>
                <w:szCs w:val="20"/>
                <w:color w:val="auto"/>
              </w:rPr>
            </w:pPr>
            <w:r>
              <w:rPr>
                <w:rFonts w:ascii="Arial" w:cs="Arial" w:eastAsia="Arial" w:hAnsi="Arial"/>
                <w:sz w:val="12"/>
                <w:szCs w:val="12"/>
                <w:b w:val="1"/>
                <w:bCs w:val="1"/>
                <w:color w:val="auto"/>
                <w:w w:val="94"/>
              </w:rPr>
              <w:t>More than</w:t>
            </w:r>
          </w:p>
        </w:tc>
        <w:tc>
          <w:tcPr>
            <w:tcW w:w="740" w:type="dxa"/>
            <w:vAlign w:val="bottom"/>
            <w:gridSpan w:val="2"/>
          </w:tcPr>
          <w:p>
            <w:pPr>
              <w:jc w:val="center"/>
              <w:ind w:right="220"/>
              <w:spacing w:after="0" w:line="130" w:lineRule="exact"/>
              <w:rPr>
                <w:sz w:val="20"/>
                <w:szCs w:val="20"/>
                <w:color w:val="auto"/>
              </w:rPr>
            </w:pPr>
            <w:r>
              <w:rPr>
                <w:rFonts w:ascii="Arial" w:cs="Arial" w:eastAsia="Arial" w:hAnsi="Arial"/>
                <w:sz w:val="12"/>
                <w:szCs w:val="12"/>
                <w:b w:val="1"/>
                <w:bCs w:val="1"/>
                <w:color w:val="auto"/>
                <w:w w:val="97"/>
              </w:rPr>
              <w:t>Carrying</w:t>
            </w:r>
          </w:p>
        </w:tc>
        <w:tc>
          <w:tcPr>
            <w:tcW w:w="780" w:type="dxa"/>
            <w:vAlign w:val="bottom"/>
            <w:gridSpan w:val="3"/>
          </w:tcPr>
          <w:p>
            <w:pPr>
              <w:jc w:val="center"/>
              <w:ind w:right="100"/>
              <w:spacing w:after="0" w:line="130" w:lineRule="exact"/>
              <w:rPr>
                <w:sz w:val="20"/>
                <w:szCs w:val="20"/>
                <w:color w:val="auto"/>
              </w:rPr>
            </w:pPr>
            <w:r>
              <w:rPr>
                <w:rFonts w:ascii="Arial" w:cs="Arial" w:eastAsia="Arial" w:hAnsi="Arial"/>
                <w:sz w:val="12"/>
                <w:szCs w:val="12"/>
                <w:b w:val="1"/>
                <w:bCs w:val="1"/>
                <w:color w:val="auto"/>
                <w:w w:val="91"/>
              </w:rPr>
              <w:t>underlying</w:t>
            </w:r>
          </w:p>
        </w:tc>
      </w:tr>
      <w:tr>
        <w:trPr>
          <w:trHeight w:val="148"/>
        </w:trPr>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ind w:left="20"/>
              <w:spacing w:after="0"/>
              <w:rPr>
                <w:sz w:val="20"/>
                <w:szCs w:val="20"/>
                <w:color w:val="auto"/>
              </w:rPr>
            </w:pPr>
            <w:r>
              <w:rPr>
                <w:rFonts w:ascii="Arial" w:cs="Arial" w:eastAsia="Arial" w:hAnsi="Arial"/>
                <w:sz w:val="12"/>
                <w:szCs w:val="12"/>
                <w:b w:val="1"/>
                <w:bCs w:val="1"/>
                <w:color w:val="auto"/>
                <w:w w:val="98"/>
              </w:rPr>
              <w:t>Currency</w:t>
            </w:r>
          </w:p>
        </w:tc>
        <w:tc>
          <w:tcPr>
            <w:tcW w:w="900" w:type="dxa"/>
            <w:vAlign w:val="bottom"/>
            <w:gridSpan w:val="3"/>
          </w:tcPr>
          <w:p>
            <w:pPr>
              <w:jc w:val="right"/>
              <w:ind w:right="180"/>
              <w:spacing w:after="0"/>
              <w:rPr>
                <w:sz w:val="20"/>
                <w:szCs w:val="20"/>
                <w:color w:val="auto"/>
              </w:rPr>
            </w:pPr>
            <w:r>
              <w:rPr>
                <w:rFonts w:ascii="Arial" w:cs="Arial" w:eastAsia="Arial" w:hAnsi="Arial"/>
                <w:sz w:val="12"/>
                <w:szCs w:val="12"/>
                <w:b w:val="1"/>
                <w:bCs w:val="1"/>
                <w:color w:val="auto"/>
              </w:rPr>
              <w:t>interest rate</w:t>
            </w:r>
          </w:p>
        </w:tc>
        <w:tc>
          <w:tcPr>
            <w:tcW w:w="820" w:type="dxa"/>
            <w:vAlign w:val="bottom"/>
            <w:gridSpan w:val="2"/>
          </w:tcPr>
          <w:p>
            <w:pPr>
              <w:jc w:val="right"/>
              <w:ind w:right="180"/>
              <w:spacing w:after="0"/>
              <w:rPr>
                <w:sz w:val="20"/>
                <w:szCs w:val="20"/>
                <w:color w:val="auto"/>
              </w:rPr>
            </w:pPr>
            <w:r>
              <w:rPr>
                <w:rFonts w:ascii="Arial" w:cs="Arial" w:eastAsia="Arial" w:hAnsi="Arial"/>
                <w:sz w:val="12"/>
                <w:szCs w:val="12"/>
                <w:b w:val="1"/>
                <w:bCs w:val="1"/>
                <w:color w:val="auto"/>
                <w:w w:val="86"/>
              </w:rPr>
              <w:t>Up to 3 days</w:t>
            </w:r>
          </w:p>
        </w:tc>
        <w:tc>
          <w:tcPr>
            <w:tcW w:w="88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w w:val="87"/>
              </w:rPr>
              <w:t>days</w:t>
            </w:r>
          </w:p>
        </w:tc>
        <w:tc>
          <w:tcPr>
            <w:tcW w:w="760" w:type="dxa"/>
            <w:vAlign w:val="bottom"/>
            <w:gridSpan w:val="2"/>
          </w:tcPr>
          <w:p>
            <w:pPr>
              <w:jc w:val="center"/>
              <w:ind w:right="180"/>
              <w:spacing w:after="0"/>
              <w:rPr>
                <w:sz w:val="20"/>
                <w:szCs w:val="20"/>
                <w:color w:val="auto"/>
              </w:rPr>
            </w:pPr>
            <w:r>
              <w:rPr>
                <w:rFonts w:ascii="Arial" w:cs="Arial" w:eastAsia="Arial" w:hAnsi="Arial"/>
                <w:sz w:val="12"/>
                <w:szCs w:val="12"/>
                <w:b w:val="1"/>
                <w:bCs w:val="1"/>
                <w:color w:val="auto"/>
                <w:w w:val="86"/>
              </w:rPr>
              <w:t>30 days</w:t>
            </w:r>
          </w:p>
        </w:tc>
        <w:tc>
          <w:tcPr>
            <w:tcW w:w="740" w:type="dxa"/>
            <w:vAlign w:val="bottom"/>
            <w:gridSpan w:val="2"/>
          </w:tcPr>
          <w:p>
            <w:pPr>
              <w:ind w:left="80"/>
              <w:spacing w:after="0"/>
              <w:rPr>
                <w:sz w:val="20"/>
                <w:szCs w:val="20"/>
                <w:color w:val="auto"/>
              </w:rPr>
            </w:pPr>
            <w:r>
              <w:rPr>
                <w:rFonts w:ascii="Arial" w:cs="Arial" w:eastAsia="Arial" w:hAnsi="Arial"/>
                <w:sz w:val="12"/>
                <w:szCs w:val="12"/>
                <w:b w:val="1"/>
                <w:bCs w:val="1"/>
                <w:color w:val="auto"/>
              </w:rPr>
              <w:t>amount</w:t>
            </w:r>
          </w:p>
        </w:tc>
        <w:tc>
          <w:tcPr>
            <w:tcW w:w="860" w:type="dxa"/>
            <w:vAlign w:val="bottom"/>
            <w:gridSpan w:val="2"/>
          </w:tcPr>
          <w:p>
            <w:pPr>
              <w:jc w:val="center"/>
              <w:ind w:right="160"/>
              <w:spacing w:after="0"/>
              <w:rPr>
                <w:sz w:val="20"/>
                <w:szCs w:val="20"/>
                <w:color w:val="auto"/>
              </w:rPr>
            </w:pPr>
            <w:r>
              <w:rPr>
                <w:rFonts w:ascii="Arial" w:cs="Arial" w:eastAsia="Arial" w:hAnsi="Arial"/>
                <w:sz w:val="12"/>
                <w:szCs w:val="12"/>
                <w:b w:val="1"/>
                <w:bCs w:val="1"/>
                <w:color w:val="auto"/>
                <w:w w:val="80"/>
              </w:rPr>
              <w:t>assets</w:t>
            </w:r>
          </w:p>
        </w:tc>
        <w:tc>
          <w:tcPr>
            <w:tcW w:w="820" w:type="dxa"/>
            <w:vAlign w:val="bottom"/>
            <w:gridSpan w:val="2"/>
          </w:tcPr>
          <w:p>
            <w:pPr>
              <w:jc w:val="right"/>
              <w:ind w:right="180"/>
              <w:spacing w:after="0"/>
              <w:rPr>
                <w:sz w:val="20"/>
                <w:szCs w:val="20"/>
                <w:color w:val="auto"/>
              </w:rPr>
            </w:pPr>
            <w:r>
              <w:rPr>
                <w:rFonts w:ascii="Arial" w:cs="Arial" w:eastAsia="Arial" w:hAnsi="Arial"/>
                <w:sz w:val="12"/>
                <w:szCs w:val="12"/>
                <w:b w:val="1"/>
                <w:bCs w:val="1"/>
                <w:color w:val="auto"/>
                <w:w w:val="90"/>
              </w:rPr>
              <w:t>interest rate</w:t>
            </w:r>
          </w:p>
        </w:tc>
        <w:tc>
          <w:tcPr>
            <w:tcW w:w="820" w:type="dxa"/>
            <w:vAlign w:val="bottom"/>
            <w:gridSpan w:val="2"/>
          </w:tcPr>
          <w:p>
            <w:pPr>
              <w:jc w:val="right"/>
              <w:ind w:right="180"/>
              <w:spacing w:after="0"/>
              <w:rPr>
                <w:sz w:val="20"/>
                <w:szCs w:val="20"/>
                <w:color w:val="auto"/>
              </w:rPr>
            </w:pPr>
            <w:r>
              <w:rPr>
                <w:rFonts w:ascii="Arial" w:cs="Arial" w:eastAsia="Arial" w:hAnsi="Arial"/>
                <w:sz w:val="12"/>
                <w:szCs w:val="12"/>
                <w:b w:val="1"/>
                <w:bCs w:val="1"/>
                <w:color w:val="auto"/>
                <w:w w:val="86"/>
              </w:rPr>
              <w:t>Up to 3 days</w:t>
            </w:r>
          </w:p>
        </w:tc>
        <w:tc>
          <w:tcPr>
            <w:tcW w:w="880" w:type="dxa"/>
            <w:vAlign w:val="bottom"/>
            <w:gridSpan w:val="2"/>
          </w:tcPr>
          <w:p>
            <w:pPr>
              <w:jc w:val="center"/>
              <w:ind w:right="180"/>
              <w:spacing w:after="0"/>
              <w:rPr>
                <w:sz w:val="20"/>
                <w:szCs w:val="20"/>
                <w:color w:val="auto"/>
              </w:rPr>
            </w:pPr>
            <w:r>
              <w:rPr>
                <w:rFonts w:ascii="Arial" w:cs="Arial" w:eastAsia="Arial" w:hAnsi="Arial"/>
                <w:sz w:val="12"/>
                <w:szCs w:val="12"/>
                <w:b w:val="1"/>
                <w:bCs w:val="1"/>
                <w:color w:val="auto"/>
                <w:w w:val="80"/>
              </w:rPr>
              <w:t>days</w:t>
            </w:r>
          </w:p>
        </w:tc>
        <w:tc>
          <w:tcPr>
            <w:tcW w:w="760" w:type="dxa"/>
            <w:vAlign w:val="bottom"/>
            <w:gridSpan w:val="2"/>
          </w:tcPr>
          <w:p>
            <w:pPr>
              <w:jc w:val="center"/>
              <w:ind w:right="180"/>
              <w:spacing w:after="0"/>
              <w:rPr>
                <w:sz w:val="20"/>
                <w:szCs w:val="20"/>
                <w:color w:val="auto"/>
              </w:rPr>
            </w:pPr>
            <w:r>
              <w:rPr>
                <w:rFonts w:ascii="Arial" w:cs="Arial" w:eastAsia="Arial" w:hAnsi="Arial"/>
                <w:sz w:val="12"/>
                <w:szCs w:val="12"/>
                <w:b w:val="1"/>
                <w:bCs w:val="1"/>
                <w:color w:val="auto"/>
                <w:w w:val="86"/>
              </w:rPr>
              <w:t>30 days</w:t>
            </w:r>
          </w:p>
        </w:tc>
        <w:tc>
          <w:tcPr>
            <w:tcW w:w="740" w:type="dxa"/>
            <w:vAlign w:val="bottom"/>
            <w:gridSpan w:val="2"/>
          </w:tcPr>
          <w:p>
            <w:pPr>
              <w:jc w:val="center"/>
              <w:ind w:right="180"/>
              <w:spacing w:after="0"/>
              <w:rPr>
                <w:sz w:val="20"/>
                <w:szCs w:val="20"/>
                <w:color w:val="auto"/>
              </w:rPr>
            </w:pPr>
            <w:r>
              <w:rPr>
                <w:rFonts w:ascii="Arial" w:cs="Arial" w:eastAsia="Arial" w:hAnsi="Arial"/>
                <w:sz w:val="12"/>
                <w:szCs w:val="12"/>
                <w:b w:val="1"/>
                <w:bCs w:val="1"/>
                <w:color w:val="auto"/>
                <w:w w:val="92"/>
              </w:rPr>
              <w:t>amount</w:t>
            </w:r>
          </w:p>
        </w:tc>
        <w:tc>
          <w:tcPr>
            <w:tcW w:w="780" w:type="dxa"/>
            <w:vAlign w:val="bottom"/>
            <w:gridSpan w:val="3"/>
          </w:tcPr>
          <w:p>
            <w:pPr>
              <w:jc w:val="center"/>
              <w:ind w:right="80"/>
              <w:spacing w:after="0"/>
              <w:rPr>
                <w:sz w:val="20"/>
                <w:szCs w:val="20"/>
                <w:color w:val="auto"/>
              </w:rPr>
            </w:pPr>
            <w:r>
              <w:rPr>
                <w:rFonts w:ascii="Arial" w:cs="Arial" w:eastAsia="Arial" w:hAnsi="Arial"/>
                <w:sz w:val="12"/>
                <w:szCs w:val="12"/>
                <w:b w:val="1"/>
                <w:bCs w:val="1"/>
                <w:color w:val="auto"/>
                <w:w w:val="80"/>
              </w:rPr>
              <w:t>assets</w:t>
            </w:r>
          </w:p>
        </w:tc>
      </w:tr>
      <w:tr>
        <w:trPr>
          <w:trHeight w:val="151"/>
        </w:trPr>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Borders>
              <w:top w:val="single" w:sz="8" w:color="auto"/>
            </w:tcBorders>
          </w:tcPr>
          <w:p>
            <w:pPr>
              <w:jc w:val="right"/>
              <w:ind w:right="179"/>
              <w:spacing w:after="0"/>
              <w:rPr>
                <w:sz w:val="20"/>
                <w:szCs w:val="20"/>
                <w:color w:val="auto"/>
              </w:rPr>
            </w:pPr>
            <w:r>
              <w:rPr>
                <w:rFonts w:ascii="Arial" w:cs="Arial" w:eastAsia="Arial" w:hAnsi="Arial"/>
                <w:sz w:val="12"/>
                <w:szCs w:val="12"/>
                <w:b w:val="1"/>
                <w:bCs w:val="1"/>
                <w:color w:val="auto"/>
              </w:rPr>
              <w:t>%</w:t>
            </w:r>
          </w:p>
        </w:tc>
        <w:tc>
          <w:tcPr>
            <w:tcW w:w="200" w:type="dxa"/>
            <w:vAlign w:val="bottom"/>
          </w:tcPr>
          <w:p>
            <w:pPr>
              <w:spacing w:after="0"/>
              <w:rPr>
                <w:sz w:val="13"/>
                <w:szCs w:val="13"/>
                <w:color w:val="auto"/>
              </w:rPr>
            </w:pPr>
          </w:p>
        </w:tc>
        <w:tc>
          <w:tcPr>
            <w:tcW w:w="640" w:type="dxa"/>
            <w:vAlign w:val="bottom"/>
            <w:tcBorders>
              <w:top w:val="single" w:sz="8" w:color="auto"/>
            </w:tcBorders>
          </w:tcPr>
          <w:p>
            <w:pPr>
              <w:jc w:val="right"/>
              <w:ind w:right="79"/>
              <w:spacing w:after="0"/>
              <w:rPr>
                <w:sz w:val="20"/>
                <w:szCs w:val="20"/>
                <w:color w:val="auto"/>
              </w:rPr>
            </w:pPr>
            <w:r>
              <w:rPr>
                <w:rFonts w:ascii="Arial" w:cs="Arial" w:eastAsia="Arial" w:hAnsi="Arial"/>
                <w:sz w:val="12"/>
                <w:szCs w:val="12"/>
                <w:b w:val="1"/>
                <w:bCs w:val="1"/>
                <w:color w:val="auto"/>
              </w:rPr>
              <w:t>S/(000)</w:t>
            </w:r>
          </w:p>
        </w:tc>
        <w:tc>
          <w:tcPr>
            <w:tcW w:w="180" w:type="dxa"/>
            <w:vAlign w:val="bottom"/>
          </w:tcPr>
          <w:p>
            <w:pPr>
              <w:spacing w:after="0"/>
              <w:rPr>
                <w:sz w:val="13"/>
                <w:szCs w:val="13"/>
                <w:color w:val="auto"/>
              </w:rPr>
            </w:pPr>
          </w:p>
        </w:tc>
        <w:tc>
          <w:tcPr>
            <w:tcW w:w="700" w:type="dxa"/>
            <w:vAlign w:val="bottom"/>
            <w:tcBorders>
              <w:top w:val="single" w:sz="8" w:color="auto"/>
            </w:tcBorders>
          </w:tcPr>
          <w:p>
            <w:pPr>
              <w:jc w:val="center"/>
              <w:spacing w:after="0"/>
              <w:rPr>
                <w:sz w:val="20"/>
                <w:szCs w:val="20"/>
                <w:color w:val="auto"/>
              </w:rPr>
            </w:pPr>
            <w:r>
              <w:rPr>
                <w:rFonts w:ascii="Arial" w:cs="Arial" w:eastAsia="Arial" w:hAnsi="Arial"/>
                <w:sz w:val="12"/>
                <w:szCs w:val="12"/>
                <w:b w:val="1"/>
                <w:bCs w:val="1"/>
                <w:color w:val="auto"/>
                <w:w w:val="91"/>
              </w:rPr>
              <w:t>S/(000)</w:t>
            </w:r>
          </w:p>
        </w:tc>
        <w:tc>
          <w:tcPr>
            <w:tcW w:w="180" w:type="dxa"/>
            <w:vAlign w:val="bottom"/>
          </w:tcPr>
          <w:p>
            <w:pPr>
              <w:spacing w:after="0"/>
              <w:rPr>
                <w:sz w:val="13"/>
                <w:szCs w:val="13"/>
                <w:color w:val="auto"/>
              </w:rPr>
            </w:pPr>
          </w:p>
        </w:tc>
        <w:tc>
          <w:tcPr>
            <w:tcW w:w="580" w:type="dxa"/>
            <w:vAlign w:val="bottom"/>
            <w:tcBorders>
              <w:top w:val="single" w:sz="8" w:color="auto"/>
            </w:tcBorders>
          </w:tcPr>
          <w:p>
            <w:pPr>
              <w:jc w:val="center"/>
              <w:spacing w:after="0"/>
              <w:rPr>
                <w:sz w:val="20"/>
                <w:szCs w:val="20"/>
                <w:color w:val="auto"/>
              </w:rPr>
            </w:pPr>
            <w:r>
              <w:rPr>
                <w:rFonts w:ascii="Arial" w:cs="Arial" w:eastAsia="Arial" w:hAnsi="Arial"/>
                <w:sz w:val="12"/>
                <w:szCs w:val="12"/>
                <w:b w:val="1"/>
                <w:bCs w:val="1"/>
                <w:color w:val="auto"/>
                <w:w w:val="91"/>
              </w:rPr>
              <w:t>S/(000)</w:t>
            </w:r>
          </w:p>
        </w:tc>
        <w:tc>
          <w:tcPr>
            <w:tcW w:w="180" w:type="dxa"/>
            <w:vAlign w:val="bottom"/>
          </w:tcPr>
          <w:p>
            <w:pPr>
              <w:spacing w:after="0"/>
              <w:rPr>
                <w:sz w:val="13"/>
                <w:szCs w:val="13"/>
                <w:color w:val="auto"/>
              </w:rPr>
            </w:pPr>
          </w:p>
        </w:tc>
        <w:tc>
          <w:tcPr>
            <w:tcW w:w="560" w:type="dxa"/>
            <w:vAlign w:val="bottom"/>
            <w:tcBorders>
              <w:top w:val="single" w:sz="8" w:color="auto"/>
            </w:tcBorders>
          </w:tcPr>
          <w:p>
            <w:pPr>
              <w:jc w:val="right"/>
              <w:ind w:right="39"/>
              <w:spacing w:after="0"/>
              <w:rPr>
                <w:sz w:val="20"/>
                <w:szCs w:val="20"/>
                <w:color w:val="auto"/>
              </w:rPr>
            </w:pPr>
            <w:r>
              <w:rPr>
                <w:rFonts w:ascii="Arial" w:cs="Arial" w:eastAsia="Arial" w:hAnsi="Arial"/>
                <w:sz w:val="12"/>
                <w:szCs w:val="12"/>
                <w:b w:val="1"/>
                <w:bCs w:val="1"/>
                <w:color w:val="auto"/>
              </w:rPr>
              <w:t>S/(000)</w:t>
            </w:r>
          </w:p>
        </w:tc>
        <w:tc>
          <w:tcPr>
            <w:tcW w:w="180" w:type="dxa"/>
            <w:vAlign w:val="bottom"/>
          </w:tcPr>
          <w:p>
            <w:pPr>
              <w:spacing w:after="0"/>
              <w:rPr>
                <w:sz w:val="13"/>
                <w:szCs w:val="13"/>
                <w:color w:val="auto"/>
              </w:rPr>
            </w:pPr>
          </w:p>
        </w:tc>
        <w:tc>
          <w:tcPr>
            <w:tcW w:w="680" w:type="dxa"/>
            <w:vAlign w:val="bottom"/>
            <w:tcBorders>
              <w:top w:val="single" w:sz="8" w:color="auto"/>
            </w:tcBorders>
          </w:tcPr>
          <w:p>
            <w:pPr>
              <w:jc w:val="center"/>
              <w:spacing w:after="0"/>
              <w:rPr>
                <w:sz w:val="20"/>
                <w:szCs w:val="20"/>
                <w:color w:val="auto"/>
              </w:rPr>
            </w:pPr>
            <w:r>
              <w:rPr>
                <w:rFonts w:ascii="Arial" w:cs="Arial" w:eastAsia="Arial" w:hAnsi="Arial"/>
                <w:sz w:val="12"/>
                <w:szCs w:val="12"/>
                <w:b w:val="1"/>
                <w:bCs w:val="1"/>
                <w:color w:val="auto"/>
                <w:w w:val="91"/>
              </w:rPr>
              <w:t>S/(000)</w:t>
            </w:r>
          </w:p>
        </w:tc>
        <w:tc>
          <w:tcPr>
            <w:tcW w:w="180" w:type="dxa"/>
            <w:vAlign w:val="bottom"/>
          </w:tcPr>
          <w:p>
            <w:pPr>
              <w:spacing w:after="0"/>
              <w:rPr>
                <w:sz w:val="13"/>
                <w:szCs w:val="13"/>
                <w:color w:val="auto"/>
              </w:rPr>
            </w:pPr>
          </w:p>
        </w:tc>
        <w:tc>
          <w:tcPr>
            <w:tcW w:w="640" w:type="dxa"/>
            <w:vAlign w:val="bottom"/>
            <w:tcBorders>
              <w:top w:val="single" w:sz="8" w:color="auto"/>
            </w:tcBorders>
          </w:tcPr>
          <w:p>
            <w:pPr>
              <w:jc w:val="right"/>
              <w:ind w:right="199"/>
              <w:spacing w:after="0"/>
              <w:rPr>
                <w:sz w:val="20"/>
                <w:szCs w:val="20"/>
                <w:color w:val="auto"/>
              </w:rPr>
            </w:pPr>
            <w:r>
              <w:rPr>
                <w:rFonts w:ascii="Arial" w:cs="Arial" w:eastAsia="Arial" w:hAnsi="Arial"/>
                <w:sz w:val="12"/>
                <w:szCs w:val="12"/>
                <w:b w:val="1"/>
                <w:bCs w:val="1"/>
                <w:color w:val="auto"/>
              </w:rPr>
              <w:t>%</w:t>
            </w:r>
          </w:p>
        </w:tc>
        <w:tc>
          <w:tcPr>
            <w:tcW w:w="180" w:type="dxa"/>
            <w:vAlign w:val="bottom"/>
          </w:tcPr>
          <w:p>
            <w:pPr>
              <w:spacing w:after="0"/>
              <w:rPr>
                <w:sz w:val="13"/>
                <w:szCs w:val="13"/>
                <w:color w:val="auto"/>
              </w:rPr>
            </w:pPr>
          </w:p>
        </w:tc>
        <w:tc>
          <w:tcPr>
            <w:tcW w:w="640" w:type="dxa"/>
            <w:vAlign w:val="bottom"/>
            <w:tcBorders>
              <w:top w:val="single" w:sz="8" w:color="auto"/>
            </w:tcBorders>
          </w:tcPr>
          <w:p>
            <w:pPr>
              <w:jc w:val="right"/>
              <w:ind w:right="79"/>
              <w:spacing w:after="0"/>
              <w:rPr>
                <w:sz w:val="20"/>
                <w:szCs w:val="20"/>
                <w:color w:val="auto"/>
              </w:rPr>
            </w:pPr>
            <w:r>
              <w:rPr>
                <w:rFonts w:ascii="Arial" w:cs="Arial" w:eastAsia="Arial" w:hAnsi="Arial"/>
                <w:sz w:val="12"/>
                <w:szCs w:val="12"/>
                <w:b w:val="1"/>
                <w:bCs w:val="1"/>
                <w:color w:val="auto"/>
              </w:rPr>
              <w:t>S/(000)</w:t>
            </w:r>
          </w:p>
        </w:tc>
        <w:tc>
          <w:tcPr>
            <w:tcW w:w="180" w:type="dxa"/>
            <w:vAlign w:val="bottom"/>
          </w:tcPr>
          <w:p>
            <w:pPr>
              <w:spacing w:after="0"/>
              <w:rPr>
                <w:sz w:val="13"/>
                <w:szCs w:val="13"/>
                <w:color w:val="auto"/>
              </w:rPr>
            </w:pPr>
          </w:p>
        </w:tc>
        <w:tc>
          <w:tcPr>
            <w:tcW w:w="700" w:type="dxa"/>
            <w:vAlign w:val="bottom"/>
            <w:tcBorders>
              <w:top w:val="single" w:sz="8" w:color="auto"/>
            </w:tcBorders>
          </w:tcPr>
          <w:p>
            <w:pPr>
              <w:jc w:val="center"/>
              <w:spacing w:after="0"/>
              <w:rPr>
                <w:sz w:val="20"/>
                <w:szCs w:val="20"/>
                <w:color w:val="auto"/>
              </w:rPr>
            </w:pPr>
            <w:r>
              <w:rPr>
                <w:rFonts w:ascii="Arial" w:cs="Arial" w:eastAsia="Arial" w:hAnsi="Arial"/>
                <w:sz w:val="12"/>
                <w:szCs w:val="12"/>
                <w:b w:val="1"/>
                <w:bCs w:val="1"/>
                <w:color w:val="auto"/>
                <w:w w:val="96"/>
              </w:rPr>
              <w:t>S/(000)</w:t>
            </w:r>
          </w:p>
        </w:tc>
        <w:tc>
          <w:tcPr>
            <w:tcW w:w="180" w:type="dxa"/>
            <w:vAlign w:val="bottom"/>
          </w:tcPr>
          <w:p>
            <w:pPr>
              <w:spacing w:after="0"/>
              <w:rPr>
                <w:sz w:val="13"/>
                <w:szCs w:val="13"/>
                <w:color w:val="auto"/>
              </w:rPr>
            </w:pPr>
          </w:p>
        </w:tc>
        <w:tc>
          <w:tcPr>
            <w:tcW w:w="580" w:type="dxa"/>
            <w:vAlign w:val="bottom"/>
            <w:tcBorders>
              <w:top w:val="single" w:sz="8" w:color="auto"/>
            </w:tcBorders>
          </w:tcPr>
          <w:p>
            <w:pPr>
              <w:jc w:val="center"/>
              <w:spacing w:after="0"/>
              <w:rPr>
                <w:sz w:val="20"/>
                <w:szCs w:val="20"/>
                <w:color w:val="auto"/>
              </w:rPr>
            </w:pPr>
            <w:r>
              <w:rPr>
                <w:rFonts w:ascii="Arial" w:cs="Arial" w:eastAsia="Arial" w:hAnsi="Arial"/>
                <w:sz w:val="12"/>
                <w:szCs w:val="12"/>
                <w:b w:val="1"/>
                <w:bCs w:val="1"/>
                <w:color w:val="auto"/>
                <w:w w:val="96"/>
              </w:rPr>
              <w:t>S/(000)</w:t>
            </w:r>
          </w:p>
        </w:tc>
        <w:tc>
          <w:tcPr>
            <w:tcW w:w="180" w:type="dxa"/>
            <w:vAlign w:val="bottom"/>
          </w:tcPr>
          <w:p>
            <w:pPr>
              <w:spacing w:after="0"/>
              <w:rPr>
                <w:sz w:val="13"/>
                <w:szCs w:val="13"/>
                <w:color w:val="auto"/>
              </w:rPr>
            </w:pPr>
          </w:p>
        </w:tc>
        <w:tc>
          <w:tcPr>
            <w:tcW w:w="560" w:type="dxa"/>
            <w:vAlign w:val="bottom"/>
            <w:tcBorders>
              <w:top w:val="single" w:sz="8" w:color="auto"/>
            </w:tcBorders>
          </w:tcPr>
          <w:p>
            <w:pPr>
              <w:jc w:val="center"/>
              <w:spacing w:after="0"/>
              <w:rPr>
                <w:sz w:val="20"/>
                <w:szCs w:val="20"/>
                <w:color w:val="auto"/>
              </w:rPr>
            </w:pPr>
            <w:r>
              <w:rPr>
                <w:rFonts w:ascii="Arial" w:cs="Arial" w:eastAsia="Arial" w:hAnsi="Arial"/>
                <w:sz w:val="12"/>
                <w:szCs w:val="12"/>
                <w:b w:val="1"/>
                <w:bCs w:val="1"/>
                <w:color w:val="auto"/>
                <w:w w:val="91"/>
              </w:rPr>
              <w:t>S/(000)</w:t>
            </w:r>
          </w:p>
        </w:tc>
        <w:tc>
          <w:tcPr>
            <w:tcW w:w="180" w:type="dxa"/>
            <w:vAlign w:val="bottom"/>
          </w:tcPr>
          <w:p>
            <w:pPr>
              <w:spacing w:after="0"/>
              <w:rPr>
                <w:sz w:val="13"/>
                <w:szCs w:val="13"/>
                <w:color w:val="auto"/>
              </w:rPr>
            </w:pPr>
          </w:p>
        </w:tc>
        <w:tc>
          <w:tcPr>
            <w:tcW w:w="700" w:type="dxa"/>
            <w:vAlign w:val="bottom"/>
            <w:tcBorders>
              <w:top w:val="single" w:sz="8" w:color="auto"/>
            </w:tcBorders>
          </w:tcPr>
          <w:p>
            <w:pPr>
              <w:jc w:val="center"/>
              <w:spacing w:after="0"/>
              <w:rPr>
                <w:sz w:val="20"/>
                <w:szCs w:val="20"/>
                <w:color w:val="auto"/>
              </w:rPr>
            </w:pPr>
            <w:r>
              <w:rPr>
                <w:rFonts w:ascii="Arial" w:cs="Arial" w:eastAsia="Arial" w:hAnsi="Arial"/>
                <w:sz w:val="12"/>
                <w:szCs w:val="12"/>
                <w:b w:val="1"/>
                <w:bCs w:val="1"/>
                <w:color w:val="auto"/>
                <w:w w:val="96"/>
              </w:rPr>
              <w:t>S/(000)</w:t>
            </w:r>
          </w:p>
        </w:tc>
        <w:tc>
          <w:tcPr>
            <w:tcW w:w="80" w:type="dxa"/>
            <w:vAlign w:val="bottom"/>
            <w:gridSpan w:val="2"/>
          </w:tcPr>
          <w:p>
            <w:pPr>
              <w:spacing w:after="0"/>
              <w:rPr>
                <w:sz w:val="13"/>
                <w:szCs w:val="13"/>
                <w:color w:val="auto"/>
              </w:rPr>
            </w:pPr>
          </w:p>
        </w:tc>
      </w:tr>
      <w:tr>
        <w:trPr>
          <w:trHeight w:val="102"/>
        </w:trPr>
        <w:tc>
          <w:tcPr>
            <w:tcW w:w="1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80" w:type="dxa"/>
            <w:vAlign w:val="bottom"/>
          </w:tcPr>
          <w:p>
            <w:pPr>
              <w:spacing w:after="0"/>
              <w:rPr>
                <w:sz w:val="8"/>
                <w:szCs w:val="8"/>
                <w:color w:val="auto"/>
              </w:rPr>
            </w:pPr>
          </w:p>
        </w:tc>
        <w:tc>
          <w:tcPr>
            <w:tcW w:w="70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80" w:type="dxa"/>
            <w:vAlign w:val="bottom"/>
          </w:tcPr>
          <w:p>
            <w:pPr>
              <w:spacing w:after="0"/>
              <w:rPr>
                <w:sz w:val="8"/>
                <w:szCs w:val="8"/>
                <w:color w:val="auto"/>
              </w:rPr>
            </w:pPr>
          </w:p>
        </w:tc>
        <w:tc>
          <w:tcPr>
            <w:tcW w:w="6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80" w:type="dxa"/>
            <w:vAlign w:val="bottom"/>
          </w:tcPr>
          <w:p>
            <w:pPr>
              <w:spacing w:after="0"/>
              <w:rPr>
                <w:sz w:val="8"/>
                <w:szCs w:val="8"/>
                <w:color w:val="auto"/>
              </w:rPr>
            </w:pPr>
          </w:p>
        </w:tc>
        <w:tc>
          <w:tcPr>
            <w:tcW w:w="70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116"/>
        </w:trPr>
        <w:tc>
          <w:tcPr>
            <w:tcW w:w="1000" w:type="dxa"/>
            <w:vAlign w:val="bottom"/>
            <w:shd w:val="clear" w:color="auto" w:fill="CCEEFF"/>
          </w:tcPr>
          <w:p>
            <w:pPr>
              <w:spacing w:after="0" w:line="116" w:lineRule="exact"/>
              <w:rPr>
                <w:sz w:val="20"/>
                <w:szCs w:val="20"/>
                <w:color w:val="auto"/>
              </w:rPr>
            </w:pPr>
            <w:r>
              <w:rPr>
                <w:rFonts w:ascii="Arial" w:cs="Arial" w:eastAsia="Arial" w:hAnsi="Arial"/>
                <w:sz w:val="12"/>
                <w:szCs w:val="12"/>
                <w:color w:val="auto"/>
                <w:w w:val="97"/>
              </w:rPr>
              <w:t>Instruments issued</w:t>
            </w: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r>
      <w:tr>
        <w:trPr>
          <w:trHeight w:val="130"/>
        </w:trPr>
        <w:tc>
          <w:tcPr>
            <w:tcW w:w="1000" w:type="dxa"/>
            <w:vAlign w:val="bottom"/>
            <w:shd w:val="clear" w:color="auto" w:fill="CCEEFF"/>
          </w:tcPr>
          <w:p>
            <w:pPr>
              <w:spacing w:after="0" w:line="130" w:lineRule="exact"/>
              <w:rPr>
                <w:sz w:val="20"/>
                <w:szCs w:val="20"/>
                <w:color w:val="auto"/>
              </w:rPr>
            </w:pPr>
            <w:r>
              <w:rPr>
                <w:rFonts w:ascii="Arial" w:cs="Arial" w:eastAsia="Arial" w:hAnsi="Arial"/>
                <w:sz w:val="12"/>
                <w:szCs w:val="12"/>
                <w:color w:val="auto"/>
              </w:rPr>
              <w:t>by the Colombian</w:t>
            </w:r>
          </w:p>
        </w:tc>
        <w:tc>
          <w:tcPr>
            <w:tcW w:w="660" w:type="dxa"/>
            <w:vAlign w:val="bottom"/>
            <w:gridSpan w:val="2"/>
            <w:shd w:val="clear" w:color="auto" w:fill="CCEEFF"/>
          </w:tcPr>
          <w:p>
            <w:pPr>
              <w:ind w:left="100"/>
              <w:spacing w:after="0" w:line="130" w:lineRule="exact"/>
              <w:rPr>
                <w:sz w:val="20"/>
                <w:szCs w:val="20"/>
                <w:color w:val="auto"/>
              </w:rPr>
            </w:pPr>
            <w:r>
              <w:rPr>
                <w:rFonts w:ascii="Arial" w:cs="Arial" w:eastAsia="Arial" w:hAnsi="Arial"/>
                <w:sz w:val="12"/>
                <w:szCs w:val="12"/>
                <w:color w:val="auto"/>
                <w:w w:val="94"/>
              </w:rPr>
              <w:t>Colombian</w:t>
            </w: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r>
      <w:tr>
        <w:trPr>
          <w:trHeight w:val="144"/>
        </w:trPr>
        <w:tc>
          <w:tcPr>
            <w:tcW w:w="1000" w:type="dxa"/>
            <w:vAlign w:val="bottom"/>
            <w:shd w:val="clear" w:color="auto" w:fill="CCEEFF"/>
          </w:tcPr>
          <w:p>
            <w:pPr>
              <w:spacing w:after="0"/>
              <w:rPr>
                <w:sz w:val="20"/>
                <w:szCs w:val="20"/>
                <w:color w:val="auto"/>
              </w:rPr>
            </w:pPr>
            <w:r>
              <w:rPr>
                <w:rFonts w:ascii="Arial" w:cs="Arial" w:eastAsia="Arial" w:hAnsi="Arial"/>
                <w:sz w:val="12"/>
                <w:szCs w:val="12"/>
                <w:color w:val="auto"/>
              </w:rPr>
              <w:t>Government</w:t>
            </w:r>
          </w:p>
        </w:tc>
        <w:tc>
          <w:tcPr>
            <w:tcW w:w="660" w:type="dxa"/>
            <w:vAlign w:val="bottom"/>
            <w:gridSpan w:val="2"/>
            <w:shd w:val="clear" w:color="auto" w:fill="CCEEFF"/>
          </w:tcPr>
          <w:p>
            <w:pPr>
              <w:ind w:left="100"/>
              <w:spacing w:after="0"/>
              <w:rPr>
                <w:sz w:val="20"/>
                <w:szCs w:val="20"/>
                <w:color w:val="auto"/>
              </w:rPr>
            </w:pPr>
            <w:r>
              <w:rPr>
                <w:rFonts w:ascii="Arial" w:cs="Arial" w:eastAsia="Arial" w:hAnsi="Arial"/>
                <w:sz w:val="12"/>
                <w:szCs w:val="12"/>
                <w:color w:val="auto"/>
              </w:rPr>
              <w:t>pesos</w:t>
            </w:r>
          </w:p>
        </w:tc>
        <w:tc>
          <w:tcPr>
            <w:tcW w:w="900" w:type="dxa"/>
            <w:vAlign w:val="bottom"/>
            <w:gridSpan w:val="3"/>
            <w:shd w:val="clear" w:color="auto" w:fill="CCEEFF"/>
          </w:tcPr>
          <w:p>
            <w:pPr>
              <w:jc w:val="right"/>
              <w:ind w:right="200"/>
              <w:spacing w:after="0"/>
              <w:rPr>
                <w:sz w:val="20"/>
                <w:szCs w:val="20"/>
                <w:color w:val="auto"/>
              </w:rPr>
            </w:pPr>
            <w:r>
              <w:rPr>
                <w:rFonts w:ascii="Arial" w:cs="Arial" w:eastAsia="Arial" w:hAnsi="Arial"/>
                <w:sz w:val="12"/>
                <w:szCs w:val="12"/>
                <w:color w:val="auto"/>
              </w:rPr>
              <w:t>6.79</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138,552</w:t>
            </w:r>
          </w:p>
        </w:tc>
        <w:tc>
          <w:tcPr>
            <w:tcW w:w="5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170,106</w:t>
            </w:r>
          </w:p>
        </w:tc>
        <w:tc>
          <w:tcPr>
            <w:tcW w:w="1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308,658</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309,574</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7.30</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5,661</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96,924</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11,408</w:t>
            </w: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113,993</w:t>
            </w:r>
          </w:p>
        </w:tc>
        <w:tc>
          <w:tcPr>
            <w:tcW w:w="1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113,993</w:t>
            </w:r>
          </w:p>
        </w:tc>
        <w:tc>
          <w:tcPr>
            <w:tcW w:w="60" w:type="dxa"/>
            <w:vAlign w:val="bottom"/>
            <w:shd w:val="clear" w:color="auto" w:fill="CCEEFF"/>
          </w:tcPr>
          <w:p>
            <w:pPr>
              <w:spacing w:after="0"/>
              <w:rPr>
                <w:sz w:val="12"/>
                <w:szCs w:val="12"/>
                <w:color w:val="auto"/>
              </w:rPr>
            </w:pPr>
          </w:p>
        </w:tc>
      </w:tr>
      <w:tr>
        <w:trPr>
          <w:trHeight w:val="116"/>
        </w:trPr>
        <w:tc>
          <w:tcPr>
            <w:tcW w:w="1000" w:type="dxa"/>
            <w:vAlign w:val="bottom"/>
          </w:tcPr>
          <w:p>
            <w:pPr>
              <w:spacing w:after="0" w:line="116" w:lineRule="exact"/>
              <w:rPr>
                <w:sz w:val="20"/>
                <w:szCs w:val="20"/>
                <w:color w:val="auto"/>
              </w:rPr>
            </w:pPr>
            <w:r>
              <w:rPr>
                <w:rFonts w:ascii="Arial" w:cs="Arial" w:eastAsia="Arial" w:hAnsi="Arial"/>
                <w:sz w:val="12"/>
                <w:szCs w:val="12"/>
                <w:color w:val="auto"/>
                <w:w w:val="97"/>
              </w:rPr>
              <w:t>Instruments issued</w:t>
            </w: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r>
      <w:tr>
        <w:trPr>
          <w:trHeight w:val="130"/>
        </w:trPr>
        <w:tc>
          <w:tcPr>
            <w:tcW w:w="1000" w:type="dxa"/>
            <w:vAlign w:val="bottom"/>
          </w:tcPr>
          <w:p>
            <w:pPr>
              <w:spacing w:after="0" w:line="130" w:lineRule="exact"/>
              <w:rPr>
                <w:sz w:val="20"/>
                <w:szCs w:val="20"/>
                <w:color w:val="auto"/>
              </w:rPr>
            </w:pPr>
            <w:r>
              <w:rPr>
                <w:rFonts w:ascii="Arial" w:cs="Arial" w:eastAsia="Arial" w:hAnsi="Arial"/>
                <w:sz w:val="12"/>
                <w:szCs w:val="12"/>
                <w:color w:val="auto"/>
              </w:rPr>
              <w:t>by the Chilean</w:t>
            </w:r>
          </w:p>
        </w:tc>
        <w:tc>
          <w:tcPr>
            <w:tcW w:w="660" w:type="dxa"/>
            <w:vAlign w:val="bottom"/>
            <w:gridSpan w:val="2"/>
          </w:tcPr>
          <w:p>
            <w:pPr>
              <w:ind w:left="100"/>
              <w:spacing w:after="0" w:line="130" w:lineRule="exact"/>
              <w:rPr>
                <w:sz w:val="20"/>
                <w:szCs w:val="20"/>
                <w:color w:val="auto"/>
              </w:rPr>
            </w:pPr>
            <w:r>
              <w:rPr>
                <w:rFonts w:ascii="Arial" w:cs="Arial" w:eastAsia="Arial" w:hAnsi="Arial"/>
                <w:sz w:val="12"/>
                <w:szCs w:val="12"/>
                <w:color w:val="auto"/>
              </w:rPr>
              <w:t>Chilean</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144"/>
        </w:trPr>
        <w:tc>
          <w:tcPr>
            <w:tcW w:w="1000" w:type="dxa"/>
            <w:vAlign w:val="bottom"/>
          </w:tcPr>
          <w:p>
            <w:pPr>
              <w:spacing w:after="0"/>
              <w:rPr>
                <w:sz w:val="20"/>
                <w:szCs w:val="20"/>
                <w:color w:val="auto"/>
              </w:rPr>
            </w:pPr>
            <w:r>
              <w:rPr>
                <w:rFonts w:ascii="Arial" w:cs="Arial" w:eastAsia="Arial" w:hAnsi="Arial"/>
                <w:sz w:val="12"/>
                <w:szCs w:val="12"/>
                <w:color w:val="auto"/>
              </w:rPr>
              <w:t>Government</w:t>
            </w:r>
          </w:p>
        </w:tc>
        <w:tc>
          <w:tcPr>
            <w:tcW w:w="660" w:type="dxa"/>
            <w:vAlign w:val="bottom"/>
            <w:gridSpan w:val="2"/>
          </w:tcPr>
          <w:p>
            <w:pPr>
              <w:ind w:left="100"/>
              <w:spacing w:after="0"/>
              <w:rPr>
                <w:sz w:val="20"/>
                <w:szCs w:val="20"/>
                <w:color w:val="auto"/>
              </w:rPr>
            </w:pPr>
            <w:r>
              <w:rPr>
                <w:rFonts w:ascii="Arial" w:cs="Arial" w:eastAsia="Arial" w:hAnsi="Arial"/>
                <w:sz w:val="12"/>
                <w:szCs w:val="12"/>
                <w:color w:val="auto"/>
              </w:rPr>
              <w:t>pesos</w:t>
            </w:r>
          </w:p>
        </w:tc>
        <w:tc>
          <w:tcPr>
            <w:tcW w:w="900" w:type="dxa"/>
            <w:vAlign w:val="bottom"/>
            <w:gridSpan w:val="3"/>
          </w:tcPr>
          <w:p>
            <w:pPr>
              <w:jc w:val="right"/>
              <w:ind w:right="200"/>
              <w:spacing w:after="0"/>
              <w:rPr>
                <w:sz w:val="20"/>
                <w:szCs w:val="20"/>
                <w:color w:val="auto"/>
              </w:rPr>
            </w:pPr>
            <w:r>
              <w:rPr>
                <w:rFonts w:ascii="Arial" w:cs="Arial" w:eastAsia="Arial" w:hAnsi="Arial"/>
                <w:sz w:val="12"/>
                <w:szCs w:val="12"/>
                <w:color w:val="auto"/>
              </w:rPr>
              <w:t>0.35</w:t>
            </w:r>
          </w:p>
        </w:tc>
        <w:tc>
          <w:tcPr>
            <w:tcW w:w="640" w:type="dxa"/>
            <w:vAlign w:val="bottom"/>
          </w:tcPr>
          <w:p>
            <w:pPr>
              <w:jc w:val="right"/>
              <w:spacing w:after="0"/>
              <w:rPr>
                <w:sz w:val="20"/>
                <w:szCs w:val="20"/>
                <w:color w:val="auto"/>
              </w:rPr>
            </w:pPr>
            <w:r>
              <w:rPr>
                <w:rFonts w:ascii="Arial" w:cs="Arial" w:eastAsia="Arial" w:hAnsi="Arial"/>
                <w:sz w:val="12"/>
                <w:szCs w:val="12"/>
                <w:color w:val="auto"/>
              </w:rPr>
              <w:t>8,920</w:t>
            </w:r>
          </w:p>
        </w:tc>
        <w:tc>
          <w:tcPr>
            <w:tcW w:w="180" w:type="dxa"/>
            <w:vAlign w:val="bottom"/>
          </w:tcPr>
          <w:p>
            <w:pPr>
              <w:spacing w:after="0"/>
              <w:rPr>
                <w:sz w:val="12"/>
                <w:szCs w:val="12"/>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2"/>
                <w:szCs w:val="12"/>
                <w:color w:val="auto"/>
              </w:rPr>
              <w:t>256</w:t>
            </w:r>
          </w:p>
        </w:tc>
        <w:tc>
          <w:tcPr>
            <w:tcW w:w="76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740" w:type="dxa"/>
            <w:vAlign w:val="bottom"/>
            <w:gridSpan w:val="2"/>
          </w:tcPr>
          <w:p>
            <w:pPr>
              <w:jc w:val="right"/>
              <w:ind w:right="180"/>
              <w:spacing w:after="0"/>
              <w:rPr>
                <w:sz w:val="20"/>
                <w:szCs w:val="20"/>
                <w:color w:val="auto"/>
              </w:rPr>
            </w:pPr>
            <w:r>
              <w:rPr>
                <w:rFonts w:ascii="Arial" w:cs="Arial" w:eastAsia="Arial" w:hAnsi="Arial"/>
                <w:sz w:val="12"/>
                <w:szCs w:val="12"/>
                <w:color w:val="auto"/>
              </w:rPr>
              <w:t>9,176</w:t>
            </w:r>
          </w:p>
        </w:tc>
        <w:tc>
          <w:tcPr>
            <w:tcW w:w="860" w:type="dxa"/>
            <w:vAlign w:val="bottom"/>
            <w:gridSpan w:val="2"/>
          </w:tcPr>
          <w:p>
            <w:pPr>
              <w:jc w:val="right"/>
              <w:ind w:right="180"/>
              <w:spacing w:after="0"/>
              <w:rPr>
                <w:sz w:val="20"/>
                <w:szCs w:val="20"/>
                <w:color w:val="auto"/>
              </w:rPr>
            </w:pPr>
            <w:r>
              <w:rPr>
                <w:rFonts w:ascii="Arial" w:cs="Arial" w:eastAsia="Arial" w:hAnsi="Arial"/>
                <w:sz w:val="12"/>
                <w:szCs w:val="12"/>
                <w:color w:val="auto"/>
              </w:rPr>
              <w:t>9,176</w:t>
            </w:r>
          </w:p>
        </w:tc>
        <w:tc>
          <w:tcPr>
            <w:tcW w:w="820" w:type="dxa"/>
            <w:vAlign w:val="bottom"/>
            <w:gridSpan w:val="2"/>
          </w:tcPr>
          <w:p>
            <w:pPr>
              <w:jc w:val="right"/>
              <w:ind w:right="180"/>
              <w:spacing w:after="0"/>
              <w:rPr>
                <w:sz w:val="20"/>
                <w:szCs w:val="20"/>
                <w:color w:val="auto"/>
              </w:rPr>
            </w:pPr>
            <w:r>
              <w:rPr>
                <w:rFonts w:ascii="Arial" w:cs="Arial" w:eastAsia="Arial" w:hAnsi="Arial"/>
                <w:sz w:val="12"/>
                <w:szCs w:val="12"/>
                <w:color w:val="auto"/>
              </w:rPr>
              <w:t>0.42</w:t>
            </w:r>
          </w:p>
        </w:tc>
        <w:tc>
          <w:tcPr>
            <w:tcW w:w="82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880" w:type="dxa"/>
            <w:vAlign w:val="bottom"/>
            <w:gridSpan w:val="2"/>
          </w:tcPr>
          <w:p>
            <w:pPr>
              <w:jc w:val="right"/>
              <w:ind w:right="180"/>
              <w:spacing w:after="0"/>
              <w:rPr>
                <w:sz w:val="20"/>
                <w:szCs w:val="20"/>
                <w:color w:val="auto"/>
              </w:rPr>
            </w:pPr>
            <w:r>
              <w:rPr>
                <w:rFonts w:ascii="Arial" w:cs="Arial" w:eastAsia="Arial" w:hAnsi="Arial"/>
                <w:sz w:val="12"/>
                <w:szCs w:val="12"/>
                <w:color w:val="auto"/>
              </w:rPr>
              <w:t>1,255</w:t>
            </w:r>
          </w:p>
        </w:tc>
        <w:tc>
          <w:tcPr>
            <w:tcW w:w="76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740" w:type="dxa"/>
            <w:vAlign w:val="bottom"/>
            <w:gridSpan w:val="2"/>
          </w:tcPr>
          <w:p>
            <w:pPr>
              <w:jc w:val="right"/>
              <w:ind w:right="180"/>
              <w:spacing w:after="0"/>
              <w:rPr>
                <w:sz w:val="20"/>
                <w:szCs w:val="20"/>
                <w:color w:val="auto"/>
              </w:rPr>
            </w:pPr>
            <w:r>
              <w:rPr>
                <w:rFonts w:ascii="Arial" w:cs="Arial" w:eastAsia="Arial" w:hAnsi="Arial"/>
                <w:sz w:val="12"/>
                <w:szCs w:val="12"/>
                <w:color w:val="auto"/>
              </w:rPr>
              <w:t>1,255</w:t>
            </w:r>
          </w:p>
        </w:tc>
        <w:tc>
          <w:tcPr>
            <w:tcW w:w="720" w:type="dxa"/>
            <w:vAlign w:val="bottom"/>
            <w:gridSpan w:val="2"/>
          </w:tcPr>
          <w:p>
            <w:pPr>
              <w:jc w:val="right"/>
              <w:ind w:right="20"/>
              <w:spacing w:after="0"/>
              <w:rPr>
                <w:sz w:val="20"/>
                <w:szCs w:val="20"/>
                <w:color w:val="auto"/>
              </w:rPr>
            </w:pPr>
            <w:r>
              <w:rPr>
                <w:rFonts w:ascii="Arial" w:cs="Arial" w:eastAsia="Arial" w:hAnsi="Arial"/>
                <w:sz w:val="12"/>
                <w:szCs w:val="12"/>
                <w:color w:val="auto"/>
              </w:rPr>
              <w:t>1,259</w:t>
            </w:r>
          </w:p>
        </w:tc>
        <w:tc>
          <w:tcPr>
            <w:tcW w:w="60" w:type="dxa"/>
            <w:vAlign w:val="bottom"/>
          </w:tcPr>
          <w:p>
            <w:pPr>
              <w:spacing w:after="0"/>
              <w:rPr>
                <w:sz w:val="12"/>
                <w:szCs w:val="12"/>
                <w:color w:val="auto"/>
              </w:rPr>
            </w:pPr>
          </w:p>
        </w:tc>
      </w:tr>
      <w:tr>
        <w:trPr>
          <w:trHeight w:val="143"/>
        </w:trPr>
        <w:tc>
          <w:tcPr>
            <w:tcW w:w="1000" w:type="dxa"/>
            <w:vAlign w:val="bottom"/>
            <w:shd w:val="clear" w:color="auto" w:fill="CCEEFF"/>
          </w:tcPr>
          <w:p>
            <w:pPr>
              <w:spacing w:after="0"/>
              <w:rPr>
                <w:sz w:val="20"/>
                <w:szCs w:val="20"/>
                <w:color w:val="auto"/>
              </w:rPr>
            </w:pPr>
            <w:r>
              <w:rPr>
                <w:rFonts w:ascii="Arial" w:cs="Arial" w:eastAsia="Arial" w:hAnsi="Arial"/>
                <w:sz w:val="12"/>
                <w:szCs w:val="12"/>
                <w:color w:val="auto"/>
              </w:rPr>
              <w:t>Other instruments</w:t>
            </w: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900" w:type="dxa"/>
            <w:vAlign w:val="bottom"/>
            <w:gridSpan w:val="3"/>
            <w:shd w:val="clear" w:color="auto" w:fill="CCEEFF"/>
          </w:tcPr>
          <w:p>
            <w:pPr>
              <w:jc w:val="right"/>
              <w:ind w:right="200"/>
              <w:spacing w:after="0"/>
              <w:rPr>
                <w:sz w:val="20"/>
                <w:szCs w:val="20"/>
                <w:color w:val="auto"/>
              </w:rPr>
            </w:pPr>
            <w:r>
              <w:rPr>
                <w:rFonts w:ascii="Arial" w:cs="Arial" w:eastAsia="Arial" w:hAnsi="Arial"/>
                <w:sz w:val="12"/>
                <w:szCs w:val="12"/>
                <w:color w:val="auto"/>
              </w:rPr>
              <w:t>2.62</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23,337</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70,809</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44,165</w:t>
            </w: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138,311</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137,815</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4.54</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166,826</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12,484</w:t>
            </w: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179,310</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179,809</w:t>
            </w:r>
          </w:p>
        </w:tc>
        <w:tc>
          <w:tcPr>
            <w:tcW w:w="60" w:type="dxa"/>
            <w:vAlign w:val="bottom"/>
            <w:shd w:val="clear" w:color="auto" w:fill="CCEEFF"/>
          </w:tcPr>
          <w:p>
            <w:pPr>
              <w:spacing w:after="0"/>
              <w:rPr>
                <w:sz w:val="12"/>
                <w:szCs w:val="12"/>
                <w:color w:val="auto"/>
              </w:rPr>
            </w:pPr>
          </w:p>
        </w:tc>
      </w:tr>
      <w:tr>
        <w:trPr>
          <w:trHeight w:val="136"/>
        </w:trPr>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Borders>
              <w:top w:val="single" w:sz="8" w:color="auto"/>
              <w:bottom w:val="single" w:sz="8" w:color="auto"/>
            </w:tcBorders>
          </w:tcPr>
          <w:p>
            <w:pPr>
              <w:jc w:val="right"/>
              <w:spacing w:after="0" w:line="136" w:lineRule="exact"/>
              <w:rPr>
                <w:sz w:val="20"/>
                <w:szCs w:val="20"/>
                <w:color w:val="auto"/>
              </w:rPr>
            </w:pPr>
            <w:r>
              <w:rPr>
                <w:rFonts w:ascii="Arial" w:cs="Arial" w:eastAsia="Arial" w:hAnsi="Arial"/>
                <w:sz w:val="12"/>
                <w:szCs w:val="12"/>
                <w:color w:val="auto"/>
              </w:rPr>
              <w:t>32,257</w:t>
            </w:r>
          </w:p>
        </w:tc>
        <w:tc>
          <w:tcPr>
            <w:tcW w:w="180" w:type="dxa"/>
            <w:vAlign w:val="bottom"/>
          </w:tcPr>
          <w:p>
            <w:pPr>
              <w:spacing w:after="0"/>
              <w:rPr>
                <w:sz w:val="11"/>
                <w:szCs w:val="11"/>
                <w:color w:val="auto"/>
              </w:rPr>
            </w:pPr>
          </w:p>
        </w:tc>
        <w:tc>
          <w:tcPr>
            <w:tcW w:w="700" w:type="dxa"/>
            <w:vAlign w:val="bottom"/>
            <w:tcBorders>
              <w:top w:val="single" w:sz="8" w:color="auto"/>
              <w:bottom w:val="single" w:sz="8" w:color="auto"/>
            </w:tcBorders>
          </w:tcPr>
          <w:p>
            <w:pPr>
              <w:jc w:val="right"/>
              <w:spacing w:after="0" w:line="136" w:lineRule="exact"/>
              <w:rPr>
                <w:sz w:val="20"/>
                <w:szCs w:val="20"/>
                <w:color w:val="auto"/>
              </w:rPr>
            </w:pPr>
            <w:r>
              <w:rPr>
                <w:rFonts w:ascii="Arial" w:cs="Arial" w:eastAsia="Arial" w:hAnsi="Arial"/>
                <w:sz w:val="12"/>
                <w:szCs w:val="12"/>
                <w:color w:val="auto"/>
              </w:rPr>
              <w:t>209,617</w:t>
            </w:r>
          </w:p>
        </w:tc>
        <w:tc>
          <w:tcPr>
            <w:tcW w:w="180" w:type="dxa"/>
            <w:vAlign w:val="bottom"/>
          </w:tcPr>
          <w:p>
            <w:pPr>
              <w:spacing w:after="0"/>
              <w:rPr>
                <w:sz w:val="11"/>
                <w:szCs w:val="11"/>
                <w:color w:val="auto"/>
              </w:rPr>
            </w:pPr>
          </w:p>
        </w:tc>
        <w:tc>
          <w:tcPr>
            <w:tcW w:w="580" w:type="dxa"/>
            <w:vAlign w:val="bottom"/>
            <w:tcBorders>
              <w:top w:val="single" w:sz="8" w:color="auto"/>
              <w:bottom w:val="single" w:sz="8" w:color="auto"/>
            </w:tcBorders>
          </w:tcPr>
          <w:p>
            <w:pPr>
              <w:jc w:val="right"/>
              <w:spacing w:after="0" w:line="136" w:lineRule="exact"/>
              <w:rPr>
                <w:sz w:val="20"/>
                <w:szCs w:val="20"/>
                <w:color w:val="auto"/>
              </w:rPr>
            </w:pPr>
            <w:r>
              <w:rPr>
                <w:rFonts w:ascii="Arial" w:cs="Arial" w:eastAsia="Arial" w:hAnsi="Arial"/>
                <w:sz w:val="12"/>
                <w:szCs w:val="12"/>
                <w:color w:val="auto"/>
              </w:rPr>
              <w:t>214,271</w:t>
            </w:r>
          </w:p>
        </w:tc>
        <w:tc>
          <w:tcPr>
            <w:tcW w:w="180" w:type="dxa"/>
            <w:vAlign w:val="bottom"/>
          </w:tcPr>
          <w:p>
            <w:pPr>
              <w:spacing w:after="0"/>
              <w:rPr>
                <w:sz w:val="11"/>
                <w:szCs w:val="11"/>
                <w:color w:val="auto"/>
              </w:rPr>
            </w:pPr>
          </w:p>
        </w:tc>
        <w:tc>
          <w:tcPr>
            <w:tcW w:w="560" w:type="dxa"/>
            <w:vAlign w:val="bottom"/>
            <w:tcBorders>
              <w:top w:val="single" w:sz="8" w:color="auto"/>
              <w:bottom w:val="single" w:sz="8" w:color="auto"/>
            </w:tcBorders>
          </w:tcPr>
          <w:p>
            <w:pPr>
              <w:jc w:val="right"/>
              <w:spacing w:after="0" w:line="136" w:lineRule="exact"/>
              <w:rPr>
                <w:sz w:val="20"/>
                <w:szCs w:val="20"/>
                <w:color w:val="auto"/>
              </w:rPr>
            </w:pPr>
            <w:r>
              <w:rPr>
                <w:rFonts w:ascii="Arial" w:cs="Arial" w:eastAsia="Arial" w:hAnsi="Arial"/>
                <w:sz w:val="12"/>
                <w:szCs w:val="12"/>
                <w:color w:val="auto"/>
              </w:rPr>
              <w:t>456,145</w:t>
            </w:r>
          </w:p>
        </w:tc>
        <w:tc>
          <w:tcPr>
            <w:tcW w:w="180" w:type="dxa"/>
            <w:vAlign w:val="bottom"/>
          </w:tcPr>
          <w:p>
            <w:pPr>
              <w:spacing w:after="0"/>
              <w:rPr>
                <w:sz w:val="11"/>
                <w:szCs w:val="11"/>
                <w:color w:val="auto"/>
              </w:rPr>
            </w:pPr>
          </w:p>
        </w:tc>
        <w:tc>
          <w:tcPr>
            <w:tcW w:w="680" w:type="dxa"/>
            <w:vAlign w:val="bottom"/>
            <w:tcBorders>
              <w:top w:val="single" w:sz="8" w:color="auto"/>
              <w:bottom w:val="single" w:sz="8" w:color="auto"/>
            </w:tcBorders>
          </w:tcPr>
          <w:p>
            <w:pPr>
              <w:jc w:val="right"/>
              <w:spacing w:after="0" w:line="136" w:lineRule="exact"/>
              <w:rPr>
                <w:sz w:val="20"/>
                <w:szCs w:val="20"/>
                <w:color w:val="auto"/>
              </w:rPr>
            </w:pPr>
            <w:r>
              <w:rPr>
                <w:rFonts w:ascii="Arial" w:cs="Arial" w:eastAsia="Arial" w:hAnsi="Arial"/>
                <w:sz w:val="12"/>
                <w:szCs w:val="12"/>
                <w:color w:val="auto"/>
              </w:rPr>
              <w:t>456,565</w:t>
            </w: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Borders>
              <w:top w:val="single" w:sz="8" w:color="auto"/>
              <w:bottom w:val="single" w:sz="8" w:color="auto"/>
            </w:tcBorders>
          </w:tcPr>
          <w:p>
            <w:pPr>
              <w:jc w:val="right"/>
              <w:spacing w:after="0" w:line="136" w:lineRule="exact"/>
              <w:rPr>
                <w:sz w:val="20"/>
                <w:szCs w:val="20"/>
                <w:color w:val="auto"/>
              </w:rPr>
            </w:pPr>
            <w:r>
              <w:rPr>
                <w:rFonts w:ascii="Arial" w:cs="Arial" w:eastAsia="Arial" w:hAnsi="Arial"/>
                <w:sz w:val="12"/>
                <w:szCs w:val="12"/>
                <w:color w:val="auto"/>
              </w:rPr>
              <w:t>5,661</w:t>
            </w:r>
          </w:p>
        </w:tc>
        <w:tc>
          <w:tcPr>
            <w:tcW w:w="180" w:type="dxa"/>
            <w:vAlign w:val="bottom"/>
          </w:tcPr>
          <w:p>
            <w:pPr>
              <w:spacing w:after="0"/>
              <w:rPr>
                <w:sz w:val="11"/>
                <w:szCs w:val="11"/>
                <w:color w:val="auto"/>
              </w:rPr>
            </w:pPr>
          </w:p>
        </w:tc>
        <w:tc>
          <w:tcPr>
            <w:tcW w:w="700" w:type="dxa"/>
            <w:vAlign w:val="bottom"/>
            <w:tcBorders>
              <w:top w:val="single" w:sz="8" w:color="auto"/>
              <w:bottom w:val="single" w:sz="8" w:color="auto"/>
            </w:tcBorders>
          </w:tcPr>
          <w:p>
            <w:pPr>
              <w:jc w:val="right"/>
              <w:spacing w:after="0" w:line="136" w:lineRule="exact"/>
              <w:rPr>
                <w:sz w:val="20"/>
                <w:szCs w:val="20"/>
                <w:color w:val="auto"/>
              </w:rPr>
            </w:pPr>
            <w:r>
              <w:rPr>
                <w:rFonts w:ascii="Arial" w:cs="Arial" w:eastAsia="Arial" w:hAnsi="Arial"/>
                <w:sz w:val="12"/>
                <w:szCs w:val="12"/>
                <w:color w:val="auto"/>
              </w:rPr>
              <w:t>265,005</w:t>
            </w:r>
          </w:p>
        </w:tc>
        <w:tc>
          <w:tcPr>
            <w:tcW w:w="180" w:type="dxa"/>
            <w:vAlign w:val="bottom"/>
          </w:tcPr>
          <w:p>
            <w:pPr>
              <w:spacing w:after="0"/>
              <w:rPr>
                <w:sz w:val="11"/>
                <w:szCs w:val="11"/>
                <w:color w:val="auto"/>
              </w:rPr>
            </w:pPr>
          </w:p>
        </w:tc>
        <w:tc>
          <w:tcPr>
            <w:tcW w:w="580" w:type="dxa"/>
            <w:vAlign w:val="bottom"/>
            <w:tcBorders>
              <w:top w:val="single" w:sz="8" w:color="auto"/>
              <w:bottom w:val="single" w:sz="8" w:color="auto"/>
            </w:tcBorders>
          </w:tcPr>
          <w:p>
            <w:pPr>
              <w:jc w:val="right"/>
              <w:spacing w:after="0" w:line="136" w:lineRule="exact"/>
              <w:rPr>
                <w:sz w:val="20"/>
                <w:szCs w:val="20"/>
                <w:color w:val="auto"/>
              </w:rPr>
            </w:pPr>
            <w:r>
              <w:rPr>
                <w:rFonts w:ascii="Arial" w:cs="Arial" w:eastAsia="Arial" w:hAnsi="Arial"/>
                <w:sz w:val="12"/>
                <w:szCs w:val="12"/>
                <w:color w:val="auto"/>
              </w:rPr>
              <w:t>23,892</w:t>
            </w:r>
          </w:p>
        </w:tc>
        <w:tc>
          <w:tcPr>
            <w:tcW w:w="180" w:type="dxa"/>
            <w:vAlign w:val="bottom"/>
          </w:tcPr>
          <w:p>
            <w:pPr>
              <w:spacing w:after="0"/>
              <w:rPr>
                <w:sz w:val="11"/>
                <w:szCs w:val="11"/>
                <w:color w:val="auto"/>
              </w:rPr>
            </w:pPr>
          </w:p>
        </w:tc>
        <w:tc>
          <w:tcPr>
            <w:tcW w:w="560" w:type="dxa"/>
            <w:vAlign w:val="bottom"/>
            <w:tcBorders>
              <w:top w:val="single" w:sz="8" w:color="auto"/>
              <w:bottom w:val="single" w:sz="8" w:color="auto"/>
            </w:tcBorders>
          </w:tcPr>
          <w:p>
            <w:pPr>
              <w:jc w:val="right"/>
              <w:spacing w:after="0" w:line="136" w:lineRule="exact"/>
              <w:rPr>
                <w:sz w:val="20"/>
                <w:szCs w:val="20"/>
                <w:color w:val="auto"/>
              </w:rPr>
            </w:pPr>
            <w:r>
              <w:rPr>
                <w:rFonts w:ascii="Arial" w:cs="Arial" w:eastAsia="Arial" w:hAnsi="Arial"/>
                <w:sz w:val="12"/>
                <w:szCs w:val="12"/>
                <w:color w:val="auto"/>
              </w:rPr>
              <w:t>294,558</w:t>
            </w:r>
          </w:p>
        </w:tc>
        <w:tc>
          <w:tcPr>
            <w:tcW w:w="180" w:type="dxa"/>
            <w:vAlign w:val="bottom"/>
          </w:tcPr>
          <w:p>
            <w:pPr>
              <w:spacing w:after="0"/>
              <w:rPr>
                <w:sz w:val="11"/>
                <w:szCs w:val="11"/>
                <w:color w:val="auto"/>
              </w:rPr>
            </w:pPr>
          </w:p>
        </w:tc>
        <w:tc>
          <w:tcPr>
            <w:tcW w:w="700" w:type="dxa"/>
            <w:vAlign w:val="bottom"/>
            <w:tcBorders>
              <w:top w:val="single" w:sz="8" w:color="auto"/>
              <w:bottom w:val="single" w:sz="8" w:color="auto"/>
            </w:tcBorders>
          </w:tcPr>
          <w:p>
            <w:pPr>
              <w:jc w:val="right"/>
              <w:spacing w:after="0" w:line="136" w:lineRule="exact"/>
              <w:rPr>
                <w:sz w:val="20"/>
                <w:szCs w:val="20"/>
                <w:color w:val="auto"/>
              </w:rPr>
            </w:pPr>
            <w:r>
              <w:rPr>
                <w:rFonts w:ascii="Arial" w:cs="Arial" w:eastAsia="Arial" w:hAnsi="Arial"/>
                <w:sz w:val="12"/>
                <w:szCs w:val="12"/>
                <w:color w:val="auto"/>
              </w:rPr>
              <w:t>295,061</w:t>
            </w:r>
          </w:p>
        </w:tc>
        <w:tc>
          <w:tcPr>
            <w:tcW w:w="2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r>
      <w:tr>
        <w:trPr>
          <w:trHeight w:val="20"/>
        </w:trPr>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95" w:lineRule="exact"/>
        <w:rPr>
          <w:sz w:val="20"/>
          <w:szCs w:val="20"/>
          <w:color w:val="auto"/>
        </w:rPr>
      </w:pPr>
    </w:p>
    <w:p>
      <w:pPr>
        <w:ind w:left="320" w:hanging="316"/>
        <w:spacing w:after="0" w:line="285" w:lineRule="auto"/>
        <w:tabs>
          <w:tab w:leader="none" w:pos="320" w:val="left"/>
        </w:tabs>
        <w:numPr>
          <w:ilvl w:val="0"/>
          <w:numId w:val="65"/>
        </w:numPr>
        <w:rPr>
          <w:rFonts w:ascii="Arial" w:cs="Arial" w:eastAsia="Arial" w:hAnsi="Arial"/>
          <w:sz w:val="17"/>
          <w:szCs w:val="17"/>
          <w:color w:val="auto"/>
        </w:rPr>
      </w:pPr>
      <w:r>
        <w:rPr>
          <w:rFonts w:ascii="Arial" w:cs="Arial" w:eastAsia="Arial" w:hAnsi="Arial"/>
          <w:sz w:val="17"/>
          <w:szCs w:val="17"/>
          <w:color w:val="auto"/>
        </w:rPr>
        <w:t>Credicorp, through its subsidiaries, obtains financing through “Payables from repurchase agreements and security lendings” by selling financial instruments and committing to repurchase them at future dates, including interest at a fixed rate. The details of said transactions are as follows: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680" w:type="dxa"/>
            <w:vAlign w:val="bottom"/>
            <w:tcBorders>
              <w:bottom w:val="single" w:sz="8" w:color="auto"/>
            </w:tcBorders>
            <w:gridSpan w:val="4"/>
          </w:tcPr>
          <w:p>
            <w:pPr>
              <w:jc w:val="right"/>
              <w:ind w:right="340"/>
              <w:spacing w:after="0"/>
              <w:rPr>
                <w:sz w:val="20"/>
                <w:szCs w:val="20"/>
                <w:color w:val="auto"/>
              </w:rPr>
            </w:pPr>
            <w:r>
              <w:rPr>
                <w:rFonts w:ascii="Arial" w:cs="Arial" w:eastAsia="Arial" w:hAnsi="Arial"/>
                <w:sz w:val="12"/>
                <w:szCs w:val="12"/>
                <w:b w:val="1"/>
                <w:bCs w:val="1"/>
                <w:color w:val="auto"/>
              </w:rPr>
              <w:t>At December 31, 2017</w:t>
            </w:r>
          </w:p>
        </w:tc>
        <w:tc>
          <w:tcPr>
            <w:tcW w:w="64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560" w:type="dxa"/>
            <w:vAlign w:val="bottom"/>
            <w:tcBorders>
              <w:bottom w:val="single" w:sz="8" w:color="auto"/>
            </w:tcBorders>
            <w:gridSpan w:val="4"/>
          </w:tcPr>
          <w:p>
            <w:pPr>
              <w:jc w:val="right"/>
              <w:ind w:right="220"/>
              <w:spacing w:after="0"/>
              <w:rPr>
                <w:sz w:val="20"/>
                <w:szCs w:val="20"/>
                <w:color w:val="auto"/>
              </w:rPr>
            </w:pPr>
            <w:r>
              <w:rPr>
                <w:rFonts w:ascii="Arial" w:cs="Arial" w:eastAsia="Arial" w:hAnsi="Arial"/>
                <w:sz w:val="12"/>
                <w:szCs w:val="12"/>
                <w:b w:val="1"/>
                <w:bCs w:val="1"/>
                <w:color w:val="auto"/>
              </w:rPr>
              <w:t>At December 31, 2016</w:t>
            </w:r>
          </w:p>
        </w:tc>
        <w:tc>
          <w:tcPr>
            <w:tcW w:w="64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r>
      <w:tr>
        <w:trPr>
          <w:trHeight w:val="105"/>
        </w:trPr>
        <w:tc>
          <w:tcPr>
            <w:tcW w:w="98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680" w:type="dxa"/>
            <w:vAlign w:val="bottom"/>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80" w:type="dxa"/>
            <w:vAlign w:val="bottom"/>
          </w:tcPr>
          <w:p>
            <w:pPr>
              <w:spacing w:after="0"/>
              <w:rPr>
                <w:sz w:val="9"/>
                <w:szCs w:val="9"/>
                <w:color w:val="auto"/>
              </w:rPr>
            </w:pPr>
          </w:p>
        </w:tc>
        <w:tc>
          <w:tcPr>
            <w:tcW w:w="700" w:type="dxa"/>
            <w:vAlign w:val="bottom"/>
          </w:tcPr>
          <w:p>
            <w:pPr>
              <w:jc w:val="center"/>
              <w:spacing w:after="0" w:line="105" w:lineRule="exact"/>
              <w:rPr>
                <w:sz w:val="20"/>
                <w:szCs w:val="20"/>
                <w:color w:val="auto"/>
              </w:rPr>
            </w:pPr>
            <w:r>
              <w:rPr>
                <w:rFonts w:ascii="Arial" w:cs="Arial" w:eastAsia="Arial" w:hAnsi="Arial"/>
                <w:sz w:val="12"/>
                <w:szCs w:val="12"/>
                <w:b w:val="1"/>
                <w:bCs w:val="1"/>
                <w:color w:val="auto"/>
                <w:w w:val="93"/>
              </w:rPr>
              <w:t>Fair value of</w:t>
            </w: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80" w:type="dxa"/>
            <w:vAlign w:val="bottom"/>
          </w:tcPr>
          <w:p>
            <w:pPr>
              <w:spacing w:after="0"/>
              <w:rPr>
                <w:sz w:val="9"/>
                <w:szCs w:val="9"/>
                <w:color w:val="auto"/>
              </w:rPr>
            </w:pPr>
          </w:p>
        </w:tc>
        <w:tc>
          <w:tcPr>
            <w:tcW w:w="700" w:type="dxa"/>
            <w:vAlign w:val="bottom"/>
          </w:tcPr>
          <w:p>
            <w:pPr>
              <w:jc w:val="center"/>
              <w:spacing w:after="0" w:line="105" w:lineRule="exact"/>
              <w:rPr>
                <w:sz w:val="20"/>
                <w:szCs w:val="20"/>
                <w:color w:val="auto"/>
              </w:rPr>
            </w:pPr>
            <w:r>
              <w:rPr>
                <w:rFonts w:ascii="Arial" w:cs="Arial" w:eastAsia="Arial" w:hAnsi="Arial"/>
                <w:sz w:val="12"/>
                <w:szCs w:val="12"/>
                <w:b w:val="1"/>
                <w:bCs w:val="1"/>
                <w:color w:val="auto"/>
                <w:w w:val="93"/>
              </w:rPr>
              <w:t>Fair value of</w:t>
            </w:r>
          </w:p>
        </w:tc>
        <w:tc>
          <w:tcPr>
            <w:tcW w:w="80" w:type="dxa"/>
            <w:vAlign w:val="bottom"/>
          </w:tcPr>
          <w:p>
            <w:pPr>
              <w:spacing w:after="0"/>
              <w:rPr>
                <w:sz w:val="9"/>
                <w:szCs w:val="9"/>
                <w:color w:val="auto"/>
              </w:rPr>
            </w:pPr>
          </w:p>
        </w:tc>
      </w:tr>
      <w:tr>
        <w:trPr>
          <w:trHeight w:val="130"/>
        </w:trPr>
        <w:tc>
          <w:tcPr>
            <w:tcW w:w="9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gridSpan w:val="2"/>
          </w:tcPr>
          <w:p>
            <w:pPr>
              <w:jc w:val="center"/>
              <w:ind w:right="220"/>
              <w:spacing w:after="0" w:line="130" w:lineRule="exact"/>
              <w:rPr>
                <w:sz w:val="20"/>
                <w:szCs w:val="20"/>
                <w:color w:val="auto"/>
              </w:rPr>
            </w:pPr>
            <w:r>
              <w:rPr>
                <w:rFonts w:ascii="Arial" w:cs="Arial" w:eastAsia="Arial" w:hAnsi="Arial"/>
                <w:sz w:val="12"/>
                <w:szCs w:val="12"/>
                <w:b w:val="1"/>
                <w:bCs w:val="1"/>
                <w:color w:val="auto"/>
                <w:w w:val="88"/>
              </w:rPr>
              <w:t>Average</w:t>
            </w: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gridSpan w:val="2"/>
          </w:tcPr>
          <w:p>
            <w:pPr>
              <w:jc w:val="center"/>
              <w:ind w:right="160"/>
              <w:spacing w:after="0" w:line="130" w:lineRule="exact"/>
              <w:rPr>
                <w:sz w:val="20"/>
                <w:szCs w:val="20"/>
                <w:color w:val="auto"/>
              </w:rPr>
            </w:pPr>
            <w:r>
              <w:rPr>
                <w:rFonts w:ascii="Arial" w:cs="Arial" w:eastAsia="Arial" w:hAnsi="Arial"/>
                <w:sz w:val="12"/>
                <w:szCs w:val="12"/>
                <w:b w:val="1"/>
                <w:bCs w:val="1"/>
                <w:color w:val="auto"/>
                <w:w w:val="92"/>
              </w:rPr>
              <w:t>From 3 to 30</w:t>
            </w:r>
          </w:p>
        </w:tc>
        <w:tc>
          <w:tcPr>
            <w:tcW w:w="820" w:type="dxa"/>
            <w:vAlign w:val="bottom"/>
            <w:gridSpan w:val="2"/>
          </w:tcPr>
          <w:p>
            <w:pPr>
              <w:jc w:val="center"/>
              <w:ind w:right="200"/>
              <w:spacing w:after="0" w:line="130" w:lineRule="exact"/>
              <w:rPr>
                <w:sz w:val="20"/>
                <w:szCs w:val="20"/>
                <w:color w:val="auto"/>
              </w:rPr>
            </w:pPr>
            <w:r>
              <w:rPr>
                <w:rFonts w:ascii="Arial" w:cs="Arial" w:eastAsia="Arial" w:hAnsi="Arial"/>
                <w:sz w:val="12"/>
                <w:szCs w:val="12"/>
                <w:b w:val="1"/>
                <w:bCs w:val="1"/>
                <w:color w:val="auto"/>
                <w:w w:val="94"/>
              </w:rPr>
              <w:t>More than</w:t>
            </w:r>
          </w:p>
        </w:tc>
        <w:tc>
          <w:tcPr>
            <w:tcW w:w="820" w:type="dxa"/>
            <w:vAlign w:val="bottom"/>
            <w:gridSpan w:val="2"/>
          </w:tcPr>
          <w:p>
            <w:pPr>
              <w:jc w:val="right"/>
              <w:ind w:right="280"/>
              <w:spacing w:after="0" w:line="130" w:lineRule="exact"/>
              <w:rPr>
                <w:sz w:val="20"/>
                <w:szCs w:val="20"/>
                <w:color w:val="auto"/>
              </w:rPr>
            </w:pPr>
            <w:r>
              <w:rPr>
                <w:rFonts w:ascii="Arial" w:cs="Arial" w:eastAsia="Arial" w:hAnsi="Arial"/>
                <w:sz w:val="12"/>
                <w:szCs w:val="12"/>
                <w:b w:val="1"/>
                <w:bCs w:val="1"/>
                <w:color w:val="auto"/>
              </w:rPr>
              <w:t>Carrying</w:t>
            </w:r>
          </w:p>
        </w:tc>
        <w:tc>
          <w:tcPr>
            <w:tcW w:w="780" w:type="dxa"/>
            <w:vAlign w:val="bottom"/>
            <w:gridSpan w:val="2"/>
          </w:tcPr>
          <w:p>
            <w:pPr>
              <w:jc w:val="center"/>
              <w:ind w:right="120"/>
              <w:spacing w:after="0" w:line="130" w:lineRule="exact"/>
              <w:rPr>
                <w:sz w:val="20"/>
                <w:szCs w:val="20"/>
                <w:color w:val="auto"/>
              </w:rPr>
            </w:pPr>
            <w:r>
              <w:rPr>
                <w:rFonts w:ascii="Arial" w:cs="Arial" w:eastAsia="Arial" w:hAnsi="Arial"/>
                <w:sz w:val="12"/>
                <w:szCs w:val="12"/>
                <w:b w:val="1"/>
                <w:bCs w:val="1"/>
                <w:color w:val="auto"/>
                <w:w w:val="94"/>
              </w:rPr>
              <w:t>underlying</w:t>
            </w:r>
          </w:p>
        </w:tc>
        <w:tc>
          <w:tcPr>
            <w:tcW w:w="100" w:type="dxa"/>
            <w:vAlign w:val="bottom"/>
          </w:tcPr>
          <w:p>
            <w:pPr>
              <w:spacing w:after="0"/>
              <w:rPr>
                <w:sz w:val="11"/>
                <w:szCs w:val="11"/>
                <w:color w:val="auto"/>
              </w:rPr>
            </w:pPr>
          </w:p>
        </w:tc>
        <w:tc>
          <w:tcPr>
            <w:tcW w:w="800" w:type="dxa"/>
            <w:vAlign w:val="bottom"/>
            <w:gridSpan w:val="2"/>
          </w:tcPr>
          <w:p>
            <w:pPr>
              <w:jc w:val="right"/>
              <w:ind w:right="300"/>
              <w:spacing w:after="0" w:line="130" w:lineRule="exact"/>
              <w:rPr>
                <w:sz w:val="20"/>
                <w:szCs w:val="20"/>
                <w:color w:val="auto"/>
              </w:rPr>
            </w:pPr>
            <w:r>
              <w:rPr>
                <w:rFonts w:ascii="Arial" w:cs="Arial" w:eastAsia="Arial" w:hAnsi="Arial"/>
                <w:sz w:val="12"/>
                <w:szCs w:val="12"/>
                <w:b w:val="1"/>
                <w:bCs w:val="1"/>
                <w:color w:val="auto"/>
              </w:rPr>
              <w:t>Average</w:t>
            </w:r>
          </w:p>
        </w:tc>
        <w:tc>
          <w:tcPr>
            <w:tcW w:w="720" w:type="dxa"/>
            <w:vAlign w:val="bottom"/>
            <w:gridSpan w:val="2"/>
          </w:tcPr>
          <w:p>
            <w:pPr>
              <w:jc w:val="center"/>
              <w:ind w:right="220"/>
              <w:spacing w:after="0" w:line="130" w:lineRule="exact"/>
              <w:rPr>
                <w:sz w:val="20"/>
                <w:szCs w:val="20"/>
                <w:color w:val="auto"/>
              </w:rPr>
            </w:pPr>
            <w:r>
              <w:rPr>
                <w:rFonts w:ascii="Arial" w:cs="Arial" w:eastAsia="Arial" w:hAnsi="Arial"/>
                <w:sz w:val="12"/>
                <w:szCs w:val="12"/>
                <w:b w:val="1"/>
                <w:bCs w:val="1"/>
                <w:color w:val="auto"/>
                <w:w w:val="93"/>
              </w:rPr>
              <w:t>Up to 3</w:t>
            </w:r>
          </w:p>
        </w:tc>
        <w:tc>
          <w:tcPr>
            <w:tcW w:w="740" w:type="dxa"/>
            <w:vAlign w:val="bottom"/>
            <w:gridSpan w:val="2"/>
          </w:tcPr>
          <w:p>
            <w:pPr>
              <w:jc w:val="center"/>
              <w:ind w:right="200"/>
              <w:spacing w:after="0" w:line="130" w:lineRule="exact"/>
              <w:rPr>
                <w:sz w:val="20"/>
                <w:szCs w:val="20"/>
                <w:color w:val="auto"/>
              </w:rPr>
            </w:pPr>
            <w:r>
              <w:rPr>
                <w:rFonts w:ascii="Arial" w:cs="Arial" w:eastAsia="Arial" w:hAnsi="Arial"/>
                <w:sz w:val="12"/>
                <w:szCs w:val="12"/>
                <w:b w:val="1"/>
                <w:bCs w:val="1"/>
                <w:color w:val="auto"/>
                <w:w w:val="91"/>
              </w:rPr>
              <w:t>From 3 to</w:t>
            </w:r>
          </w:p>
        </w:tc>
        <w:tc>
          <w:tcPr>
            <w:tcW w:w="820" w:type="dxa"/>
            <w:vAlign w:val="bottom"/>
            <w:gridSpan w:val="2"/>
          </w:tcPr>
          <w:p>
            <w:pPr>
              <w:jc w:val="center"/>
              <w:ind w:right="200"/>
              <w:spacing w:after="0" w:line="130" w:lineRule="exact"/>
              <w:rPr>
                <w:sz w:val="20"/>
                <w:szCs w:val="20"/>
                <w:color w:val="auto"/>
              </w:rPr>
            </w:pPr>
            <w:r>
              <w:rPr>
                <w:rFonts w:ascii="Arial" w:cs="Arial" w:eastAsia="Arial" w:hAnsi="Arial"/>
                <w:sz w:val="12"/>
                <w:szCs w:val="12"/>
                <w:b w:val="1"/>
                <w:bCs w:val="1"/>
                <w:color w:val="auto"/>
                <w:w w:val="94"/>
              </w:rPr>
              <w:t>More than</w:t>
            </w:r>
          </w:p>
        </w:tc>
        <w:tc>
          <w:tcPr>
            <w:tcW w:w="820" w:type="dxa"/>
            <w:vAlign w:val="bottom"/>
            <w:gridSpan w:val="2"/>
          </w:tcPr>
          <w:p>
            <w:pPr>
              <w:jc w:val="center"/>
              <w:ind w:right="200"/>
              <w:spacing w:after="0" w:line="130" w:lineRule="exact"/>
              <w:rPr>
                <w:sz w:val="20"/>
                <w:szCs w:val="20"/>
                <w:color w:val="auto"/>
              </w:rPr>
            </w:pPr>
            <w:r>
              <w:rPr>
                <w:rFonts w:ascii="Arial" w:cs="Arial" w:eastAsia="Arial" w:hAnsi="Arial"/>
                <w:sz w:val="12"/>
                <w:szCs w:val="12"/>
                <w:b w:val="1"/>
                <w:bCs w:val="1"/>
                <w:color w:val="auto"/>
                <w:w w:val="93"/>
              </w:rPr>
              <w:t>Carrying</w:t>
            </w:r>
          </w:p>
        </w:tc>
        <w:tc>
          <w:tcPr>
            <w:tcW w:w="780" w:type="dxa"/>
            <w:vAlign w:val="bottom"/>
            <w:gridSpan w:val="2"/>
          </w:tcPr>
          <w:p>
            <w:pPr>
              <w:jc w:val="center"/>
              <w:ind w:right="100"/>
              <w:spacing w:after="0" w:line="130" w:lineRule="exact"/>
              <w:rPr>
                <w:sz w:val="20"/>
                <w:szCs w:val="20"/>
                <w:color w:val="auto"/>
              </w:rPr>
            </w:pPr>
            <w:r>
              <w:rPr>
                <w:rFonts w:ascii="Arial" w:cs="Arial" w:eastAsia="Arial" w:hAnsi="Arial"/>
                <w:sz w:val="12"/>
                <w:szCs w:val="12"/>
                <w:b w:val="1"/>
                <w:bCs w:val="1"/>
                <w:color w:val="auto"/>
                <w:w w:val="91"/>
              </w:rPr>
              <w:t>underlying</w:t>
            </w:r>
          </w:p>
        </w:tc>
      </w:tr>
      <w:tr>
        <w:trPr>
          <w:trHeight w:val="148"/>
        </w:trPr>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2"/>
          </w:tcPr>
          <w:p>
            <w:pPr>
              <w:ind w:left="40"/>
              <w:spacing w:after="0"/>
              <w:rPr>
                <w:sz w:val="20"/>
                <w:szCs w:val="20"/>
                <w:color w:val="auto"/>
              </w:rPr>
            </w:pPr>
            <w:r>
              <w:rPr>
                <w:rFonts w:ascii="Arial" w:cs="Arial" w:eastAsia="Arial" w:hAnsi="Arial"/>
                <w:sz w:val="12"/>
                <w:szCs w:val="12"/>
                <w:b w:val="1"/>
                <w:bCs w:val="1"/>
                <w:color w:val="auto"/>
              </w:rPr>
              <w:t>Currency</w:t>
            </w:r>
          </w:p>
        </w:tc>
        <w:tc>
          <w:tcPr>
            <w:tcW w:w="800" w:type="dxa"/>
            <w:vAlign w:val="bottom"/>
            <w:gridSpan w:val="2"/>
          </w:tcPr>
          <w:p>
            <w:pPr>
              <w:jc w:val="right"/>
              <w:ind w:right="180"/>
              <w:spacing w:after="0"/>
              <w:rPr>
                <w:sz w:val="20"/>
                <w:szCs w:val="20"/>
                <w:color w:val="auto"/>
              </w:rPr>
            </w:pPr>
            <w:r>
              <w:rPr>
                <w:rFonts w:ascii="Arial" w:cs="Arial" w:eastAsia="Arial" w:hAnsi="Arial"/>
                <w:sz w:val="12"/>
                <w:szCs w:val="12"/>
                <w:b w:val="1"/>
                <w:bCs w:val="1"/>
                <w:color w:val="auto"/>
                <w:w w:val="87"/>
              </w:rPr>
              <w:t>interest rate</w:t>
            </w:r>
          </w:p>
        </w:tc>
        <w:tc>
          <w:tcPr>
            <w:tcW w:w="840" w:type="dxa"/>
            <w:vAlign w:val="bottom"/>
            <w:gridSpan w:val="2"/>
          </w:tcPr>
          <w:p>
            <w:pPr>
              <w:spacing w:after="0"/>
              <w:rPr>
                <w:sz w:val="20"/>
                <w:szCs w:val="20"/>
                <w:color w:val="auto"/>
              </w:rPr>
            </w:pPr>
            <w:r>
              <w:rPr>
                <w:rFonts w:ascii="Arial" w:cs="Arial" w:eastAsia="Arial" w:hAnsi="Arial"/>
                <w:sz w:val="12"/>
                <w:szCs w:val="12"/>
                <w:b w:val="1"/>
                <w:bCs w:val="1"/>
                <w:color w:val="auto"/>
              </w:rPr>
              <w:t>Up to 3 days</w:t>
            </w:r>
          </w:p>
        </w:tc>
        <w:tc>
          <w:tcPr>
            <w:tcW w:w="860" w:type="dxa"/>
            <w:vAlign w:val="bottom"/>
            <w:gridSpan w:val="2"/>
          </w:tcPr>
          <w:p>
            <w:pPr>
              <w:jc w:val="center"/>
              <w:ind w:right="180"/>
              <w:spacing w:after="0"/>
              <w:rPr>
                <w:sz w:val="20"/>
                <w:szCs w:val="20"/>
                <w:color w:val="auto"/>
              </w:rPr>
            </w:pPr>
            <w:r>
              <w:rPr>
                <w:rFonts w:ascii="Arial" w:cs="Arial" w:eastAsia="Arial" w:hAnsi="Arial"/>
                <w:sz w:val="12"/>
                <w:szCs w:val="12"/>
                <w:b w:val="1"/>
                <w:bCs w:val="1"/>
                <w:color w:val="auto"/>
                <w:w w:val="87"/>
              </w:rPr>
              <w:t>days</w:t>
            </w:r>
          </w:p>
        </w:tc>
        <w:tc>
          <w:tcPr>
            <w:tcW w:w="820" w:type="dxa"/>
            <w:vAlign w:val="bottom"/>
            <w:gridSpan w:val="2"/>
          </w:tcPr>
          <w:p>
            <w:pPr>
              <w:jc w:val="center"/>
              <w:ind w:right="160"/>
              <w:spacing w:after="0"/>
              <w:rPr>
                <w:sz w:val="20"/>
                <w:szCs w:val="20"/>
                <w:color w:val="auto"/>
              </w:rPr>
            </w:pPr>
            <w:r>
              <w:rPr>
                <w:rFonts w:ascii="Arial" w:cs="Arial" w:eastAsia="Arial" w:hAnsi="Arial"/>
                <w:sz w:val="12"/>
                <w:szCs w:val="12"/>
                <w:b w:val="1"/>
                <w:bCs w:val="1"/>
                <w:color w:val="auto"/>
                <w:w w:val="86"/>
              </w:rPr>
              <w:t>30 days</w:t>
            </w:r>
          </w:p>
        </w:tc>
        <w:tc>
          <w:tcPr>
            <w:tcW w:w="820" w:type="dxa"/>
            <w:vAlign w:val="bottom"/>
            <w:gridSpan w:val="2"/>
          </w:tcPr>
          <w:p>
            <w:pPr>
              <w:jc w:val="right"/>
              <w:ind w:right="300"/>
              <w:spacing w:after="0"/>
              <w:rPr>
                <w:sz w:val="20"/>
                <w:szCs w:val="20"/>
                <w:color w:val="auto"/>
              </w:rPr>
            </w:pPr>
            <w:r>
              <w:rPr>
                <w:rFonts w:ascii="Arial" w:cs="Arial" w:eastAsia="Arial" w:hAnsi="Arial"/>
                <w:sz w:val="12"/>
                <w:szCs w:val="12"/>
                <w:b w:val="1"/>
                <w:bCs w:val="1"/>
                <w:color w:val="auto"/>
              </w:rPr>
              <w:t>amount</w:t>
            </w:r>
          </w:p>
        </w:tc>
        <w:tc>
          <w:tcPr>
            <w:tcW w:w="780" w:type="dxa"/>
            <w:vAlign w:val="bottom"/>
            <w:gridSpan w:val="2"/>
          </w:tcPr>
          <w:p>
            <w:pPr>
              <w:jc w:val="center"/>
              <w:ind w:right="80"/>
              <w:spacing w:after="0"/>
              <w:rPr>
                <w:sz w:val="20"/>
                <w:szCs w:val="20"/>
                <w:color w:val="auto"/>
              </w:rPr>
            </w:pPr>
            <w:r>
              <w:rPr>
                <w:rFonts w:ascii="Arial" w:cs="Arial" w:eastAsia="Arial" w:hAnsi="Arial"/>
                <w:sz w:val="12"/>
                <w:szCs w:val="12"/>
                <w:b w:val="1"/>
                <w:bCs w:val="1"/>
                <w:color w:val="auto"/>
                <w:w w:val="80"/>
              </w:rPr>
              <w:t>assets</w:t>
            </w:r>
          </w:p>
        </w:tc>
        <w:tc>
          <w:tcPr>
            <w:tcW w:w="900" w:type="dxa"/>
            <w:vAlign w:val="bottom"/>
            <w:gridSpan w:val="3"/>
          </w:tcPr>
          <w:p>
            <w:pPr>
              <w:jc w:val="right"/>
              <w:ind w:right="180"/>
              <w:spacing w:after="0"/>
              <w:rPr>
                <w:sz w:val="20"/>
                <w:szCs w:val="20"/>
                <w:color w:val="auto"/>
              </w:rPr>
            </w:pPr>
            <w:r>
              <w:rPr>
                <w:rFonts w:ascii="Arial" w:cs="Arial" w:eastAsia="Arial" w:hAnsi="Arial"/>
                <w:sz w:val="12"/>
                <w:szCs w:val="12"/>
                <w:b w:val="1"/>
                <w:bCs w:val="1"/>
                <w:color w:val="auto"/>
              </w:rPr>
              <w:t>interest rate</w:t>
            </w:r>
          </w:p>
        </w:tc>
        <w:tc>
          <w:tcPr>
            <w:tcW w:w="720" w:type="dxa"/>
            <w:vAlign w:val="bottom"/>
            <w:gridSpan w:val="2"/>
          </w:tcPr>
          <w:p>
            <w:pPr>
              <w:jc w:val="center"/>
              <w:ind w:right="160"/>
              <w:spacing w:after="0"/>
              <w:rPr>
                <w:sz w:val="20"/>
                <w:szCs w:val="20"/>
                <w:color w:val="auto"/>
              </w:rPr>
            </w:pPr>
            <w:r>
              <w:rPr>
                <w:rFonts w:ascii="Arial" w:cs="Arial" w:eastAsia="Arial" w:hAnsi="Arial"/>
                <w:sz w:val="12"/>
                <w:szCs w:val="12"/>
                <w:b w:val="1"/>
                <w:bCs w:val="1"/>
                <w:color w:val="auto"/>
                <w:w w:val="87"/>
              </w:rPr>
              <w:t>days</w:t>
            </w:r>
          </w:p>
        </w:tc>
        <w:tc>
          <w:tcPr>
            <w:tcW w:w="740" w:type="dxa"/>
            <w:vAlign w:val="bottom"/>
            <w:gridSpan w:val="2"/>
          </w:tcPr>
          <w:p>
            <w:pPr>
              <w:jc w:val="center"/>
              <w:ind w:right="160"/>
              <w:spacing w:after="0"/>
              <w:rPr>
                <w:sz w:val="20"/>
                <w:szCs w:val="20"/>
                <w:color w:val="auto"/>
              </w:rPr>
            </w:pPr>
            <w:r>
              <w:rPr>
                <w:rFonts w:ascii="Arial" w:cs="Arial" w:eastAsia="Arial" w:hAnsi="Arial"/>
                <w:sz w:val="12"/>
                <w:szCs w:val="12"/>
                <w:b w:val="1"/>
                <w:bCs w:val="1"/>
                <w:color w:val="auto"/>
                <w:w w:val="86"/>
              </w:rPr>
              <w:t>30 days</w:t>
            </w:r>
          </w:p>
        </w:tc>
        <w:tc>
          <w:tcPr>
            <w:tcW w:w="820" w:type="dxa"/>
            <w:vAlign w:val="bottom"/>
            <w:gridSpan w:val="2"/>
          </w:tcPr>
          <w:p>
            <w:pPr>
              <w:jc w:val="center"/>
              <w:ind w:right="160"/>
              <w:spacing w:after="0"/>
              <w:rPr>
                <w:sz w:val="20"/>
                <w:szCs w:val="20"/>
                <w:color w:val="auto"/>
              </w:rPr>
            </w:pPr>
            <w:r>
              <w:rPr>
                <w:rFonts w:ascii="Arial" w:cs="Arial" w:eastAsia="Arial" w:hAnsi="Arial"/>
                <w:sz w:val="12"/>
                <w:szCs w:val="12"/>
                <w:b w:val="1"/>
                <w:bCs w:val="1"/>
                <w:color w:val="auto"/>
                <w:w w:val="86"/>
              </w:rPr>
              <w:t>30 days</w:t>
            </w:r>
          </w:p>
        </w:tc>
        <w:tc>
          <w:tcPr>
            <w:tcW w:w="820" w:type="dxa"/>
            <w:vAlign w:val="bottom"/>
            <w:gridSpan w:val="2"/>
          </w:tcPr>
          <w:p>
            <w:pPr>
              <w:jc w:val="center"/>
              <w:ind w:right="180"/>
              <w:spacing w:after="0"/>
              <w:rPr>
                <w:sz w:val="20"/>
                <w:szCs w:val="20"/>
                <w:color w:val="auto"/>
              </w:rPr>
            </w:pPr>
            <w:r>
              <w:rPr>
                <w:rFonts w:ascii="Arial" w:cs="Arial" w:eastAsia="Arial" w:hAnsi="Arial"/>
                <w:sz w:val="12"/>
                <w:szCs w:val="12"/>
                <w:b w:val="1"/>
                <w:bCs w:val="1"/>
                <w:color w:val="auto"/>
                <w:w w:val="92"/>
              </w:rPr>
              <w:t>amount</w:t>
            </w:r>
          </w:p>
        </w:tc>
        <w:tc>
          <w:tcPr>
            <w:tcW w:w="780" w:type="dxa"/>
            <w:vAlign w:val="bottom"/>
            <w:gridSpan w:val="2"/>
          </w:tcPr>
          <w:p>
            <w:pPr>
              <w:jc w:val="center"/>
              <w:ind w:right="80"/>
              <w:spacing w:after="0"/>
              <w:rPr>
                <w:sz w:val="20"/>
                <w:szCs w:val="20"/>
                <w:color w:val="auto"/>
              </w:rPr>
            </w:pPr>
            <w:r>
              <w:rPr>
                <w:rFonts w:ascii="Arial" w:cs="Arial" w:eastAsia="Arial" w:hAnsi="Arial"/>
                <w:sz w:val="12"/>
                <w:szCs w:val="12"/>
                <w:b w:val="1"/>
                <w:bCs w:val="1"/>
                <w:color w:val="auto"/>
                <w:w w:val="80"/>
              </w:rPr>
              <w:t>assets</w:t>
            </w:r>
          </w:p>
        </w:tc>
      </w:tr>
      <w:tr>
        <w:trPr>
          <w:trHeight w:val="151"/>
        </w:trPr>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top w:val="single" w:sz="8" w:color="auto"/>
            </w:tcBorders>
          </w:tcPr>
          <w:p>
            <w:pPr>
              <w:jc w:val="right"/>
              <w:ind w:right="179"/>
              <w:spacing w:after="0"/>
              <w:rPr>
                <w:sz w:val="20"/>
                <w:szCs w:val="20"/>
                <w:color w:val="auto"/>
              </w:rPr>
            </w:pPr>
            <w:r>
              <w:rPr>
                <w:rFonts w:ascii="Arial" w:cs="Arial" w:eastAsia="Arial" w:hAnsi="Arial"/>
                <w:sz w:val="12"/>
                <w:szCs w:val="12"/>
                <w:b w:val="1"/>
                <w:bCs w:val="1"/>
                <w:color w:val="auto"/>
              </w:rPr>
              <w:t>%</w:t>
            </w:r>
          </w:p>
        </w:tc>
        <w:tc>
          <w:tcPr>
            <w:tcW w:w="180" w:type="dxa"/>
            <w:vAlign w:val="bottom"/>
          </w:tcPr>
          <w:p>
            <w:pPr>
              <w:spacing w:after="0"/>
              <w:rPr>
                <w:sz w:val="13"/>
                <w:szCs w:val="13"/>
                <w:color w:val="auto"/>
              </w:rPr>
            </w:pPr>
          </w:p>
        </w:tc>
        <w:tc>
          <w:tcPr>
            <w:tcW w:w="660" w:type="dxa"/>
            <w:vAlign w:val="bottom"/>
            <w:tcBorders>
              <w:top w:val="single" w:sz="8" w:color="auto"/>
            </w:tcBorders>
          </w:tcPr>
          <w:p>
            <w:pPr>
              <w:jc w:val="right"/>
              <w:ind w:right="79"/>
              <w:spacing w:after="0"/>
              <w:rPr>
                <w:sz w:val="20"/>
                <w:szCs w:val="20"/>
                <w:color w:val="auto"/>
              </w:rPr>
            </w:pPr>
            <w:r>
              <w:rPr>
                <w:rFonts w:ascii="Arial" w:cs="Arial" w:eastAsia="Arial" w:hAnsi="Arial"/>
                <w:sz w:val="12"/>
                <w:szCs w:val="12"/>
                <w:b w:val="1"/>
                <w:bCs w:val="1"/>
                <w:color w:val="auto"/>
              </w:rPr>
              <w:t>S/(000)</w:t>
            </w:r>
          </w:p>
        </w:tc>
        <w:tc>
          <w:tcPr>
            <w:tcW w:w="180" w:type="dxa"/>
            <w:vAlign w:val="bottom"/>
          </w:tcPr>
          <w:p>
            <w:pPr>
              <w:spacing w:after="0"/>
              <w:rPr>
                <w:sz w:val="13"/>
                <w:szCs w:val="13"/>
                <w:color w:val="auto"/>
              </w:rPr>
            </w:pPr>
          </w:p>
        </w:tc>
        <w:tc>
          <w:tcPr>
            <w:tcW w:w="680" w:type="dxa"/>
            <w:vAlign w:val="bottom"/>
            <w:tcBorders>
              <w:top w:val="single" w:sz="8" w:color="auto"/>
            </w:tcBorders>
          </w:tcPr>
          <w:p>
            <w:pPr>
              <w:jc w:val="center"/>
              <w:spacing w:after="0"/>
              <w:rPr>
                <w:sz w:val="20"/>
                <w:szCs w:val="20"/>
                <w:color w:val="auto"/>
              </w:rPr>
            </w:pPr>
            <w:r>
              <w:rPr>
                <w:rFonts w:ascii="Arial" w:cs="Arial" w:eastAsia="Arial" w:hAnsi="Arial"/>
                <w:sz w:val="12"/>
                <w:szCs w:val="12"/>
                <w:b w:val="1"/>
                <w:bCs w:val="1"/>
                <w:color w:val="auto"/>
                <w:w w:val="91"/>
              </w:rPr>
              <w:t>S/(000)</w:t>
            </w:r>
          </w:p>
        </w:tc>
        <w:tc>
          <w:tcPr>
            <w:tcW w:w="180" w:type="dxa"/>
            <w:vAlign w:val="bottom"/>
          </w:tcPr>
          <w:p>
            <w:pPr>
              <w:spacing w:after="0"/>
              <w:rPr>
                <w:sz w:val="13"/>
                <w:szCs w:val="13"/>
                <w:color w:val="auto"/>
              </w:rPr>
            </w:pPr>
          </w:p>
        </w:tc>
        <w:tc>
          <w:tcPr>
            <w:tcW w:w="640" w:type="dxa"/>
            <w:vAlign w:val="bottom"/>
            <w:tcBorders>
              <w:top w:val="single" w:sz="8" w:color="auto"/>
            </w:tcBorders>
          </w:tcPr>
          <w:p>
            <w:pPr>
              <w:jc w:val="center"/>
              <w:spacing w:after="0"/>
              <w:rPr>
                <w:sz w:val="20"/>
                <w:szCs w:val="20"/>
                <w:color w:val="auto"/>
              </w:rPr>
            </w:pPr>
            <w:r>
              <w:rPr>
                <w:rFonts w:ascii="Arial" w:cs="Arial" w:eastAsia="Arial" w:hAnsi="Arial"/>
                <w:sz w:val="12"/>
                <w:szCs w:val="12"/>
                <w:b w:val="1"/>
                <w:bCs w:val="1"/>
                <w:color w:val="auto"/>
                <w:w w:val="91"/>
              </w:rPr>
              <w:t>S/(000)</w:t>
            </w:r>
          </w:p>
        </w:tc>
        <w:tc>
          <w:tcPr>
            <w:tcW w:w="180" w:type="dxa"/>
            <w:vAlign w:val="bottom"/>
          </w:tcPr>
          <w:p>
            <w:pPr>
              <w:spacing w:after="0"/>
              <w:rPr>
                <w:sz w:val="13"/>
                <w:szCs w:val="13"/>
                <w:color w:val="auto"/>
              </w:rPr>
            </w:pPr>
          </w:p>
        </w:tc>
        <w:tc>
          <w:tcPr>
            <w:tcW w:w="640" w:type="dxa"/>
            <w:vAlign w:val="bottom"/>
            <w:tcBorders>
              <w:top w:val="single" w:sz="8" w:color="auto"/>
            </w:tcBorders>
          </w:tcPr>
          <w:p>
            <w:pPr>
              <w:jc w:val="right"/>
              <w:ind w:right="79"/>
              <w:spacing w:after="0"/>
              <w:rPr>
                <w:sz w:val="20"/>
                <w:szCs w:val="20"/>
                <w:color w:val="auto"/>
              </w:rPr>
            </w:pPr>
            <w:r>
              <w:rPr>
                <w:rFonts w:ascii="Arial" w:cs="Arial" w:eastAsia="Arial" w:hAnsi="Arial"/>
                <w:sz w:val="12"/>
                <w:szCs w:val="12"/>
                <w:b w:val="1"/>
                <w:bCs w:val="1"/>
                <w:color w:val="auto"/>
              </w:rPr>
              <w:t>S/(000)</w:t>
            </w:r>
          </w:p>
        </w:tc>
        <w:tc>
          <w:tcPr>
            <w:tcW w:w="180" w:type="dxa"/>
            <w:vAlign w:val="bottom"/>
          </w:tcPr>
          <w:p>
            <w:pPr>
              <w:spacing w:after="0"/>
              <w:rPr>
                <w:sz w:val="13"/>
                <w:szCs w:val="13"/>
                <w:color w:val="auto"/>
              </w:rPr>
            </w:pPr>
          </w:p>
        </w:tc>
        <w:tc>
          <w:tcPr>
            <w:tcW w:w="700" w:type="dxa"/>
            <w:vAlign w:val="bottom"/>
            <w:tcBorders>
              <w:top w:val="single" w:sz="8" w:color="auto"/>
            </w:tcBorders>
          </w:tcPr>
          <w:p>
            <w:pPr>
              <w:jc w:val="center"/>
              <w:spacing w:after="0"/>
              <w:rPr>
                <w:sz w:val="20"/>
                <w:szCs w:val="20"/>
                <w:color w:val="auto"/>
              </w:rPr>
            </w:pPr>
            <w:r>
              <w:rPr>
                <w:rFonts w:ascii="Arial" w:cs="Arial" w:eastAsia="Arial" w:hAnsi="Arial"/>
                <w:sz w:val="12"/>
                <w:szCs w:val="12"/>
                <w:b w:val="1"/>
                <w:bCs w:val="1"/>
                <w:color w:val="auto"/>
                <w:w w:val="91"/>
              </w:rPr>
              <w:t>S/(000)</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top w:val="single" w:sz="8" w:color="auto"/>
            </w:tcBorders>
          </w:tcPr>
          <w:p>
            <w:pPr>
              <w:jc w:val="right"/>
              <w:ind w:right="199"/>
              <w:spacing w:after="0"/>
              <w:rPr>
                <w:sz w:val="20"/>
                <w:szCs w:val="20"/>
                <w:color w:val="auto"/>
              </w:rPr>
            </w:pPr>
            <w:r>
              <w:rPr>
                <w:rFonts w:ascii="Arial" w:cs="Arial" w:eastAsia="Arial" w:hAnsi="Arial"/>
                <w:sz w:val="12"/>
                <w:szCs w:val="12"/>
                <w:b w:val="1"/>
                <w:bCs w:val="1"/>
                <w:color w:val="auto"/>
              </w:rPr>
              <w:t>%</w:t>
            </w:r>
          </w:p>
        </w:tc>
        <w:tc>
          <w:tcPr>
            <w:tcW w:w="180" w:type="dxa"/>
            <w:vAlign w:val="bottom"/>
          </w:tcPr>
          <w:p>
            <w:pPr>
              <w:spacing w:after="0"/>
              <w:rPr>
                <w:sz w:val="13"/>
                <w:szCs w:val="13"/>
                <w:color w:val="auto"/>
              </w:rPr>
            </w:pPr>
          </w:p>
        </w:tc>
        <w:tc>
          <w:tcPr>
            <w:tcW w:w="540" w:type="dxa"/>
            <w:vAlign w:val="bottom"/>
            <w:tcBorders>
              <w:top w:val="single" w:sz="8" w:color="auto"/>
            </w:tcBorders>
          </w:tcPr>
          <w:p>
            <w:pPr>
              <w:jc w:val="center"/>
              <w:spacing w:after="0"/>
              <w:rPr>
                <w:sz w:val="20"/>
                <w:szCs w:val="20"/>
                <w:color w:val="auto"/>
              </w:rPr>
            </w:pPr>
            <w:r>
              <w:rPr>
                <w:rFonts w:ascii="Arial" w:cs="Arial" w:eastAsia="Arial" w:hAnsi="Arial"/>
                <w:sz w:val="12"/>
                <w:szCs w:val="12"/>
                <w:b w:val="1"/>
                <w:bCs w:val="1"/>
                <w:color w:val="auto"/>
                <w:w w:val="91"/>
              </w:rPr>
              <w:t>S/(000)</w:t>
            </w:r>
          </w:p>
        </w:tc>
        <w:tc>
          <w:tcPr>
            <w:tcW w:w="180" w:type="dxa"/>
            <w:vAlign w:val="bottom"/>
          </w:tcPr>
          <w:p>
            <w:pPr>
              <w:spacing w:after="0"/>
              <w:rPr>
                <w:sz w:val="13"/>
                <w:szCs w:val="13"/>
                <w:color w:val="auto"/>
              </w:rPr>
            </w:pPr>
          </w:p>
        </w:tc>
        <w:tc>
          <w:tcPr>
            <w:tcW w:w="560" w:type="dxa"/>
            <w:vAlign w:val="bottom"/>
            <w:tcBorders>
              <w:top w:val="single" w:sz="8" w:color="auto"/>
            </w:tcBorders>
          </w:tcPr>
          <w:p>
            <w:pPr>
              <w:jc w:val="center"/>
              <w:spacing w:after="0"/>
              <w:rPr>
                <w:sz w:val="20"/>
                <w:szCs w:val="20"/>
                <w:color w:val="auto"/>
              </w:rPr>
            </w:pPr>
            <w:r>
              <w:rPr>
                <w:rFonts w:ascii="Arial" w:cs="Arial" w:eastAsia="Arial" w:hAnsi="Arial"/>
                <w:sz w:val="12"/>
                <w:szCs w:val="12"/>
                <w:b w:val="1"/>
                <w:bCs w:val="1"/>
                <w:color w:val="auto"/>
                <w:w w:val="91"/>
              </w:rPr>
              <w:t>S/(000)</w:t>
            </w:r>
          </w:p>
        </w:tc>
        <w:tc>
          <w:tcPr>
            <w:tcW w:w="180" w:type="dxa"/>
            <w:vAlign w:val="bottom"/>
          </w:tcPr>
          <w:p>
            <w:pPr>
              <w:spacing w:after="0"/>
              <w:rPr>
                <w:sz w:val="13"/>
                <w:szCs w:val="13"/>
                <w:color w:val="auto"/>
              </w:rPr>
            </w:pPr>
          </w:p>
        </w:tc>
        <w:tc>
          <w:tcPr>
            <w:tcW w:w="640" w:type="dxa"/>
            <w:vAlign w:val="bottom"/>
            <w:tcBorders>
              <w:top w:val="single" w:sz="8" w:color="auto"/>
            </w:tcBorders>
          </w:tcPr>
          <w:p>
            <w:pPr>
              <w:jc w:val="center"/>
              <w:spacing w:after="0"/>
              <w:rPr>
                <w:sz w:val="20"/>
                <w:szCs w:val="20"/>
                <w:color w:val="auto"/>
              </w:rPr>
            </w:pPr>
            <w:r>
              <w:rPr>
                <w:rFonts w:ascii="Arial" w:cs="Arial" w:eastAsia="Arial" w:hAnsi="Arial"/>
                <w:sz w:val="12"/>
                <w:szCs w:val="12"/>
                <w:b w:val="1"/>
                <w:bCs w:val="1"/>
                <w:color w:val="auto"/>
                <w:w w:val="91"/>
              </w:rPr>
              <w:t>S/(000)</w:t>
            </w:r>
          </w:p>
        </w:tc>
        <w:tc>
          <w:tcPr>
            <w:tcW w:w="180" w:type="dxa"/>
            <w:vAlign w:val="bottom"/>
          </w:tcPr>
          <w:p>
            <w:pPr>
              <w:spacing w:after="0"/>
              <w:rPr>
                <w:sz w:val="13"/>
                <w:szCs w:val="13"/>
                <w:color w:val="auto"/>
              </w:rPr>
            </w:pPr>
          </w:p>
        </w:tc>
        <w:tc>
          <w:tcPr>
            <w:tcW w:w="640" w:type="dxa"/>
            <w:vAlign w:val="bottom"/>
            <w:tcBorders>
              <w:top w:val="single" w:sz="8" w:color="auto"/>
            </w:tcBorders>
          </w:tcPr>
          <w:p>
            <w:pPr>
              <w:jc w:val="center"/>
              <w:spacing w:after="0"/>
              <w:rPr>
                <w:sz w:val="20"/>
                <w:szCs w:val="20"/>
                <w:color w:val="auto"/>
              </w:rPr>
            </w:pPr>
            <w:r>
              <w:rPr>
                <w:rFonts w:ascii="Arial" w:cs="Arial" w:eastAsia="Arial" w:hAnsi="Arial"/>
                <w:sz w:val="12"/>
                <w:szCs w:val="12"/>
                <w:b w:val="1"/>
                <w:bCs w:val="1"/>
                <w:color w:val="auto"/>
                <w:w w:val="91"/>
              </w:rPr>
              <w:t>S/(000)</w:t>
            </w:r>
          </w:p>
        </w:tc>
        <w:tc>
          <w:tcPr>
            <w:tcW w:w="180" w:type="dxa"/>
            <w:vAlign w:val="bottom"/>
          </w:tcPr>
          <w:p>
            <w:pPr>
              <w:spacing w:after="0"/>
              <w:rPr>
                <w:sz w:val="13"/>
                <w:szCs w:val="13"/>
                <w:color w:val="auto"/>
              </w:rPr>
            </w:pPr>
          </w:p>
        </w:tc>
        <w:tc>
          <w:tcPr>
            <w:tcW w:w="700" w:type="dxa"/>
            <w:vAlign w:val="bottom"/>
            <w:tcBorders>
              <w:top w:val="single" w:sz="8" w:color="auto"/>
            </w:tcBorders>
          </w:tcPr>
          <w:p>
            <w:pPr>
              <w:jc w:val="center"/>
              <w:spacing w:after="0"/>
              <w:rPr>
                <w:sz w:val="20"/>
                <w:szCs w:val="20"/>
                <w:color w:val="auto"/>
              </w:rPr>
            </w:pPr>
            <w:r>
              <w:rPr>
                <w:rFonts w:ascii="Arial" w:cs="Arial" w:eastAsia="Arial" w:hAnsi="Arial"/>
                <w:sz w:val="12"/>
                <w:szCs w:val="12"/>
                <w:b w:val="1"/>
                <w:bCs w:val="1"/>
                <w:color w:val="auto"/>
                <w:w w:val="96"/>
              </w:rPr>
              <w:t>S/(000)</w:t>
            </w:r>
          </w:p>
        </w:tc>
        <w:tc>
          <w:tcPr>
            <w:tcW w:w="80" w:type="dxa"/>
            <w:vAlign w:val="bottom"/>
          </w:tcPr>
          <w:p>
            <w:pPr>
              <w:spacing w:after="0"/>
              <w:rPr>
                <w:sz w:val="13"/>
                <w:szCs w:val="13"/>
                <w:color w:val="auto"/>
              </w:rPr>
            </w:pPr>
          </w:p>
        </w:tc>
      </w:tr>
      <w:tr>
        <w:trPr>
          <w:trHeight w:val="102"/>
        </w:trPr>
        <w:tc>
          <w:tcPr>
            <w:tcW w:w="98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6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8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8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 w:type="dxa"/>
            <w:vAlign w:val="bottom"/>
          </w:tcPr>
          <w:p>
            <w:pPr>
              <w:spacing w:after="0"/>
              <w:rPr>
                <w:sz w:val="8"/>
                <w:szCs w:val="8"/>
                <w:color w:val="auto"/>
              </w:rPr>
            </w:pPr>
          </w:p>
        </w:tc>
      </w:tr>
      <w:tr>
        <w:trPr>
          <w:trHeight w:val="116"/>
        </w:trPr>
        <w:tc>
          <w:tcPr>
            <w:tcW w:w="980" w:type="dxa"/>
            <w:vAlign w:val="bottom"/>
            <w:shd w:val="clear" w:color="auto" w:fill="CCEEFF"/>
          </w:tcPr>
          <w:p>
            <w:pPr>
              <w:spacing w:after="0" w:line="116" w:lineRule="exact"/>
              <w:rPr>
                <w:sz w:val="20"/>
                <w:szCs w:val="20"/>
                <w:color w:val="auto"/>
              </w:rPr>
            </w:pPr>
            <w:r>
              <w:rPr>
                <w:rFonts w:ascii="Arial" w:cs="Arial" w:eastAsia="Arial" w:hAnsi="Arial"/>
                <w:sz w:val="12"/>
                <w:szCs w:val="12"/>
                <w:color w:val="auto"/>
                <w:w w:val="95"/>
              </w:rPr>
              <w:t>Instruments issued</w:t>
            </w: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r>
      <w:tr>
        <w:trPr>
          <w:trHeight w:val="130"/>
        </w:trPr>
        <w:tc>
          <w:tcPr>
            <w:tcW w:w="980" w:type="dxa"/>
            <w:vAlign w:val="bottom"/>
            <w:shd w:val="clear" w:color="auto" w:fill="CCEEFF"/>
          </w:tcPr>
          <w:p>
            <w:pPr>
              <w:spacing w:after="0" w:line="130" w:lineRule="exact"/>
              <w:rPr>
                <w:sz w:val="20"/>
                <w:szCs w:val="20"/>
                <w:color w:val="auto"/>
              </w:rPr>
            </w:pPr>
            <w:r>
              <w:rPr>
                <w:rFonts w:ascii="Arial" w:cs="Arial" w:eastAsia="Arial" w:hAnsi="Arial"/>
                <w:sz w:val="12"/>
                <w:szCs w:val="12"/>
                <w:color w:val="auto"/>
              </w:rPr>
              <w:t>by the Colombian</w:t>
            </w:r>
          </w:p>
        </w:tc>
        <w:tc>
          <w:tcPr>
            <w:tcW w:w="740" w:type="dxa"/>
            <w:vAlign w:val="bottom"/>
            <w:gridSpan w:val="3"/>
            <w:shd w:val="clear" w:color="auto" w:fill="CCEEFF"/>
          </w:tcPr>
          <w:p>
            <w:pPr>
              <w:ind w:left="80"/>
              <w:spacing w:after="0" w:line="130" w:lineRule="exact"/>
              <w:rPr>
                <w:sz w:val="20"/>
                <w:szCs w:val="20"/>
                <w:color w:val="auto"/>
              </w:rPr>
            </w:pPr>
            <w:r>
              <w:rPr>
                <w:rFonts w:ascii="Arial" w:cs="Arial" w:eastAsia="Arial" w:hAnsi="Arial"/>
                <w:sz w:val="12"/>
                <w:szCs w:val="12"/>
                <w:color w:val="auto"/>
              </w:rPr>
              <w:t>Colombian</w:t>
            </w:r>
          </w:p>
        </w:tc>
        <w:tc>
          <w:tcPr>
            <w:tcW w:w="6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r>
      <w:tr>
        <w:trPr>
          <w:trHeight w:val="144"/>
        </w:trPr>
        <w:tc>
          <w:tcPr>
            <w:tcW w:w="980" w:type="dxa"/>
            <w:vAlign w:val="bottom"/>
            <w:shd w:val="clear" w:color="auto" w:fill="CCEEFF"/>
          </w:tcPr>
          <w:p>
            <w:pPr>
              <w:spacing w:after="0"/>
              <w:rPr>
                <w:sz w:val="20"/>
                <w:szCs w:val="20"/>
                <w:color w:val="auto"/>
              </w:rPr>
            </w:pPr>
            <w:r>
              <w:rPr>
                <w:rFonts w:ascii="Arial" w:cs="Arial" w:eastAsia="Arial" w:hAnsi="Arial"/>
                <w:sz w:val="12"/>
                <w:szCs w:val="12"/>
                <w:color w:val="auto"/>
              </w:rPr>
              <w:t>Government</w:t>
            </w:r>
          </w:p>
        </w:tc>
        <w:tc>
          <w:tcPr>
            <w:tcW w:w="740" w:type="dxa"/>
            <w:vAlign w:val="bottom"/>
            <w:gridSpan w:val="3"/>
            <w:shd w:val="clear" w:color="auto" w:fill="CCEEFF"/>
          </w:tcPr>
          <w:p>
            <w:pPr>
              <w:ind w:left="80"/>
              <w:spacing w:after="0"/>
              <w:rPr>
                <w:sz w:val="20"/>
                <w:szCs w:val="20"/>
                <w:color w:val="auto"/>
              </w:rPr>
            </w:pPr>
            <w:r>
              <w:rPr>
                <w:rFonts w:ascii="Arial" w:cs="Arial" w:eastAsia="Arial" w:hAnsi="Arial"/>
                <w:sz w:val="12"/>
                <w:szCs w:val="12"/>
                <w:color w:val="auto"/>
              </w:rPr>
              <w:t>pesos</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6.62</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1,291,621</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1,291,621</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1,292,272</w:t>
            </w:r>
          </w:p>
        </w:tc>
        <w:tc>
          <w:tcPr>
            <w:tcW w:w="900" w:type="dxa"/>
            <w:vAlign w:val="bottom"/>
            <w:gridSpan w:val="3"/>
            <w:shd w:val="clear" w:color="auto" w:fill="CCEEFF"/>
          </w:tcPr>
          <w:p>
            <w:pPr>
              <w:jc w:val="right"/>
              <w:ind w:right="180"/>
              <w:spacing w:after="0"/>
              <w:rPr>
                <w:sz w:val="20"/>
                <w:szCs w:val="20"/>
                <w:color w:val="auto"/>
              </w:rPr>
            </w:pPr>
            <w:r>
              <w:rPr>
                <w:rFonts w:ascii="Arial" w:cs="Arial" w:eastAsia="Arial" w:hAnsi="Arial"/>
                <w:sz w:val="12"/>
                <w:szCs w:val="12"/>
                <w:color w:val="auto"/>
              </w:rPr>
              <w:t>7.60</w:t>
            </w: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63,267</w:t>
            </w: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864,071</w:t>
            </w:r>
          </w:p>
        </w:tc>
        <w:tc>
          <w:tcPr>
            <w:tcW w:w="1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927,338</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927,865</w:t>
            </w:r>
          </w:p>
        </w:tc>
      </w:tr>
      <w:tr>
        <w:trPr>
          <w:trHeight w:val="116"/>
        </w:trPr>
        <w:tc>
          <w:tcPr>
            <w:tcW w:w="980" w:type="dxa"/>
            <w:vAlign w:val="bottom"/>
          </w:tcPr>
          <w:p>
            <w:pPr>
              <w:spacing w:after="0" w:line="116" w:lineRule="exact"/>
              <w:rPr>
                <w:sz w:val="20"/>
                <w:szCs w:val="20"/>
                <w:color w:val="auto"/>
              </w:rPr>
            </w:pPr>
            <w:r>
              <w:rPr>
                <w:rFonts w:ascii="Arial" w:cs="Arial" w:eastAsia="Arial" w:hAnsi="Arial"/>
                <w:sz w:val="12"/>
                <w:szCs w:val="12"/>
                <w:color w:val="auto"/>
                <w:w w:val="95"/>
              </w:rPr>
              <w:t>Instruments issued</w:t>
            </w: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r>
      <w:tr>
        <w:trPr>
          <w:trHeight w:val="130"/>
        </w:trPr>
        <w:tc>
          <w:tcPr>
            <w:tcW w:w="980" w:type="dxa"/>
            <w:vAlign w:val="bottom"/>
          </w:tcPr>
          <w:p>
            <w:pPr>
              <w:spacing w:after="0" w:line="130" w:lineRule="exact"/>
              <w:rPr>
                <w:sz w:val="20"/>
                <w:szCs w:val="20"/>
                <w:color w:val="auto"/>
              </w:rPr>
            </w:pPr>
            <w:r>
              <w:rPr>
                <w:rFonts w:ascii="Arial" w:cs="Arial" w:eastAsia="Arial" w:hAnsi="Arial"/>
                <w:sz w:val="12"/>
                <w:szCs w:val="12"/>
                <w:color w:val="auto"/>
              </w:rPr>
              <w:t>by the Chilean</w:t>
            </w:r>
          </w:p>
        </w:tc>
        <w:tc>
          <w:tcPr>
            <w:tcW w:w="740" w:type="dxa"/>
            <w:vAlign w:val="bottom"/>
            <w:gridSpan w:val="3"/>
          </w:tcPr>
          <w:p>
            <w:pPr>
              <w:ind w:left="80"/>
              <w:spacing w:after="0" w:line="130" w:lineRule="exact"/>
              <w:rPr>
                <w:sz w:val="20"/>
                <w:szCs w:val="20"/>
                <w:color w:val="auto"/>
              </w:rPr>
            </w:pPr>
            <w:r>
              <w:rPr>
                <w:rFonts w:ascii="Arial" w:cs="Arial" w:eastAsia="Arial" w:hAnsi="Arial"/>
                <w:sz w:val="12"/>
                <w:szCs w:val="12"/>
                <w:color w:val="auto"/>
              </w:rPr>
              <w:t>Chilean</w:t>
            </w: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44"/>
        </w:trPr>
        <w:tc>
          <w:tcPr>
            <w:tcW w:w="980" w:type="dxa"/>
            <w:vAlign w:val="bottom"/>
          </w:tcPr>
          <w:p>
            <w:pPr>
              <w:spacing w:after="0"/>
              <w:rPr>
                <w:sz w:val="20"/>
                <w:szCs w:val="20"/>
                <w:color w:val="auto"/>
              </w:rPr>
            </w:pPr>
            <w:r>
              <w:rPr>
                <w:rFonts w:ascii="Arial" w:cs="Arial" w:eastAsia="Arial" w:hAnsi="Arial"/>
                <w:sz w:val="12"/>
                <w:szCs w:val="12"/>
                <w:color w:val="auto"/>
              </w:rPr>
              <w:t>Government</w:t>
            </w:r>
          </w:p>
        </w:tc>
        <w:tc>
          <w:tcPr>
            <w:tcW w:w="740" w:type="dxa"/>
            <w:vAlign w:val="bottom"/>
            <w:gridSpan w:val="3"/>
          </w:tcPr>
          <w:p>
            <w:pPr>
              <w:ind w:left="80"/>
              <w:spacing w:after="0"/>
              <w:rPr>
                <w:sz w:val="20"/>
                <w:szCs w:val="20"/>
                <w:color w:val="auto"/>
              </w:rPr>
            </w:pPr>
            <w:r>
              <w:rPr>
                <w:rFonts w:ascii="Arial" w:cs="Arial" w:eastAsia="Arial" w:hAnsi="Arial"/>
                <w:sz w:val="12"/>
                <w:szCs w:val="12"/>
                <w:color w:val="auto"/>
              </w:rPr>
              <w:t>pesos</w:t>
            </w:r>
          </w:p>
        </w:tc>
        <w:tc>
          <w:tcPr>
            <w:tcW w:w="800" w:type="dxa"/>
            <w:vAlign w:val="bottom"/>
            <w:gridSpan w:val="2"/>
          </w:tcPr>
          <w:p>
            <w:pPr>
              <w:jc w:val="right"/>
              <w:ind w:right="180"/>
              <w:spacing w:after="0"/>
              <w:rPr>
                <w:sz w:val="20"/>
                <w:szCs w:val="20"/>
                <w:color w:val="auto"/>
              </w:rPr>
            </w:pPr>
            <w:r>
              <w:rPr>
                <w:rFonts w:ascii="Arial" w:cs="Arial" w:eastAsia="Arial" w:hAnsi="Arial"/>
                <w:sz w:val="12"/>
                <w:szCs w:val="12"/>
                <w:color w:val="auto"/>
              </w:rPr>
              <w:t>0.23</w:t>
            </w:r>
          </w:p>
        </w:tc>
        <w:tc>
          <w:tcPr>
            <w:tcW w:w="660" w:type="dxa"/>
            <w:vAlign w:val="bottom"/>
          </w:tcPr>
          <w:p>
            <w:pPr>
              <w:jc w:val="right"/>
              <w:spacing w:after="0"/>
              <w:rPr>
                <w:sz w:val="20"/>
                <w:szCs w:val="20"/>
                <w:color w:val="auto"/>
              </w:rPr>
            </w:pPr>
            <w:r>
              <w:rPr>
                <w:rFonts w:ascii="Arial" w:cs="Arial" w:eastAsia="Arial" w:hAnsi="Arial"/>
                <w:sz w:val="12"/>
                <w:szCs w:val="12"/>
                <w:color w:val="auto"/>
              </w:rPr>
              <w:t>249,186</w:t>
            </w:r>
          </w:p>
        </w:tc>
        <w:tc>
          <w:tcPr>
            <w:tcW w:w="180" w:type="dxa"/>
            <w:vAlign w:val="bottom"/>
          </w:tcPr>
          <w:p>
            <w:pPr>
              <w:spacing w:after="0"/>
              <w:rPr>
                <w:sz w:val="12"/>
                <w:szCs w:val="12"/>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820" w:type="dxa"/>
            <w:vAlign w:val="bottom"/>
            <w:gridSpan w:val="2"/>
          </w:tcPr>
          <w:p>
            <w:pPr>
              <w:jc w:val="right"/>
              <w:ind w:right="180"/>
              <w:spacing w:after="0"/>
              <w:rPr>
                <w:sz w:val="20"/>
                <w:szCs w:val="20"/>
                <w:color w:val="auto"/>
              </w:rPr>
            </w:pPr>
            <w:r>
              <w:rPr>
                <w:rFonts w:ascii="Arial" w:cs="Arial" w:eastAsia="Arial" w:hAnsi="Arial"/>
                <w:sz w:val="12"/>
                <w:szCs w:val="12"/>
                <w:color w:val="auto"/>
              </w:rPr>
              <w:t>236</w:t>
            </w:r>
          </w:p>
        </w:tc>
        <w:tc>
          <w:tcPr>
            <w:tcW w:w="820" w:type="dxa"/>
            <w:vAlign w:val="bottom"/>
            <w:gridSpan w:val="2"/>
          </w:tcPr>
          <w:p>
            <w:pPr>
              <w:jc w:val="right"/>
              <w:ind w:right="180"/>
              <w:spacing w:after="0"/>
              <w:rPr>
                <w:sz w:val="20"/>
                <w:szCs w:val="20"/>
                <w:color w:val="auto"/>
              </w:rPr>
            </w:pPr>
            <w:r>
              <w:rPr>
                <w:rFonts w:ascii="Arial" w:cs="Arial" w:eastAsia="Arial" w:hAnsi="Arial"/>
                <w:sz w:val="12"/>
                <w:szCs w:val="12"/>
                <w:color w:val="auto"/>
              </w:rPr>
              <w:t>249,422</w:t>
            </w:r>
          </w:p>
        </w:tc>
        <w:tc>
          <w:tcPr>
            <w:tcW w:w="780" w:type="dxa"/>
            <w:vAlign w:val="bottom"/>
            <w:gridSpan w:val="2"/>
          </w:tcPr>
          <w:p>
            <w:pPr>
              <w:jc w:val="right"/>
              <w:ind w:right="80"/>
              <w:spacing w:after="0"/>
              <w:rPr>
                <w:sz w:val="20"/>
                <w:szCs w:val="20"/>
                <w:color w:val="auto"/>
              </w:rPr>
            </w:pPr>
            <w:r>
              <w:rPr>
                <w:rFonts w:ascii="Arial" w:cs="Arial" w:eastAsia="Arial" w:hAnsi="Arial"/>
                <w:sz w:val="12"/>
                <w:szCs w:val="12"/>
                <w:color w:val="auto"/>
              </w:rPr>
              <w:t>249,422</w:t>
            </w:r>
          </w:p>
        </w:tc>
        <w:tc>
          <w:tcPr>
            <w:tcW w:w="900" w:type="dxa"/>
            <w:vAlign w:val="bottom"/>
            <w:gridSpan w:val="3"/>
          </w:tcPr>
          <w:p>
            <w:pPr>
              <w:jc w:val="right"/>
              <w:ind w:right="180"/>
              <w:spacing w:after="0"/>
              <w:rPr>
                <w:sz w:val="20"/>
                <w:szCs w:val="20"/>
                <w:color w:val="auto"/>
              </w:rPr>
            </w:pPr>
            <w:r>
              <w:rPr>
                <w:rFonts w:ascii="Arial" w:cs="Arial" w:eastAsia="Arial" w:hAnsi="Arial"/>
                <w:sz w:val="12"/>
                <w:szCs w:val="12"/>
                <w:color w:val="auto"/>
              </w:rPr>
              <w:t>0.34</w:t>
            </w:r>
          </w:p>
        </w:tc>
        <w:tc>
          <w:tcPr>
            <w:tcW w:w="720" w:type="dxa"/>
            <w:vAlign w:val="bottom"/>
            <w:gridSpan w:val="2"/>
          </w:tcPr>
          <w:p>
            <w:pPr>
              <w:jc w:val="right"/>
              <w:ind w:right="180"/>
              <w:spacing w:after="0"/>
              <w:rPr>
                <w:sz w:val="20"/>
                <w:szCs w:val="20"/>
                <w:color w:val="auto"/>
              </w:rPr>
            </w:pPr>
            <w:r>
              <w:rPr>
                <w:rFonts w:ascii="Arial" w:cs="Arial" w:eastAsia="Arial" w:hAnsi="Arial"/>
                <w:sz w:val="12"/>
                <w:szCs w:val="12"/>
                <w:color w:val="auto"/>
              </w:rPr>
              <w:t>231,667</w:t>
            </w:r>
          </w:p>
        </w:tc>
        <w:tc>
          <w:tcPr>
            <w:tcW w:w="74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82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820" w:type="dxa"/>
            <w:vAlign w:val="bottom"/>
            <w:gridSpan w:val="2"/>
          </w:tcPr>
          <w:p>
            <w:pPr>
              <w:jc w:val="right"/>
              <w:ind w:right="180"/>
              <w:spacing w:after="0"/>
              <w:rPr>
                <w:sz w:val="20"/>
                <w:szCs w:val="20"/>
                <w:color w:val="auto"/>
              </w:rPr>
            </w:pPr>
            <w:r>
              <w:rPr>
                <w:rFonts w:ascii="Arial" w:cs="Arial" w:eastAsia="Arial" w:hAnsi="Arial"/>
                <w:sz w:val="12"/>
                <w:szCs w:val="12"/>
                <w:color w:val="auto"/>
              </w:rPr>
              <w:t>231,667</w:t>
            </w:r>
          </w:p>
        </w:tc>
        <w:tc>
          <w:tcPr>
            <w:tcW w:w="780" w:type="dxa"/>
            <w:vAlign w:val="bottom"/>
            <w:gridSpan w:val="2"/>
          </w:tcPr>
          <w:p>
            <w:pPr>
              <w:jc w:val="right"/>
              <w:ind w:right="80"/>
              <w:spacing w:after="0"/>
              <w:rPr>
                <w:sz w:val="20"/>
                <w:szCs w:val="20"/>
                <w:color w:val="auto"/>
              </w:rPr>
            </w:pPr>
            <w:r>
              <w:rPr>
                <w:rFonts w:ascii="Arial" w:cs="Arial" w:eastAsia="Arial" w:hAnsi="Arial"/>
                <w:sz w:val="12"/>
                <w:szCs w:val="12"/>
                <w:color w:val="auto"/>
              </w:rPr>
              <w:t>233,108</w:t>
            </w:r>
          </w:p>
        </w:tc>
      </w:tr>
      <w:tr>
        <w:trPr>
          <w:trHeight w:val="130"/>
        </w:trPr>
        <w:tc>
          <w:tcPr>
            <w:tcW w:w="980" w:type="dxa"/>
            <w:vAlign w:val="bottom"/>
            <w:shd w:val="clear" w:color="auto" w:fill="CCEEFF"/>
          </w:tcPr>
          <w:p>
            <w:pPr>
              <w:spacing w:after="0" w:line="130" w:lineRule="exact"/>
              <w:rPr>
                <w:sz w:val="20"/>
                <w:szCs w:val="20"/>
                <w:color w:val="auto"/>
              </w:rPr>
            </w:pPr>
            <w:r>
              <w:rPr>
                <w:rFonts w:ascii="Arial" w:cs="Arial" w:eastAsia="Arial" w:hAnsi="Arial"/>
                <w:sz w:val="12"/>
                <w:szCs w:val="12"/>
                <w:color w:val="auto"/>
              </w:rPr>
              <w:t>Other instruments</w:t>
            </w: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80"/>
              <w:spacing w:after="0" w:line="130" w:lineRule="exact"/>
              <w:rPr>
                <w:sz w:val="20"/>
                <w:szCs w:val="20"/>
                <w:color w:val="auto"/>
              </w:rPr>
            </w:pPr>
            <w:r>
              <w:rPr>
                <w:rFonts w:ascii="Arial" w:cs="Arial" w:eastAsia="Arial" w:hAnsi="Arial"/>
                <w:sz w:val="12"/>
                <w:szCs w:val="12"/>
                <w:color w:val="auto"/>
              </w:rPr>
              <w:t>-</w:t>
            </w:r>
          </w:p>
        </w:tc>
        <w:tc>
          <w:tcPr>
            <w:tcW w:w="840" w:type="dxa"/>
            <w:vAlign w:val="bottom"/>
            <w:gridSpan w:val="2"/>
            <w:shd w:val="clear" w:color="auto" w:fill="CCEEFF"/>
          </w:tcPr>
          <w:p>
            <w:pPr>
              <w:jc w:val="right"/>
              <w:ind w:right="180"/>
              <w:spacing w:after="0" w:line="130" w:lineRule="exact"/>
              <w:rPr>
                <w:sz w:val="20"/>
                <w:szCs w:val="20"/>
                <w:color w:val="auto"/>
              </w:rPr>
            </w:pPr>
            <w:r>
              <w:rPr>
                <w:rFonts w:ascii="Arial" w:cs="Arial" w:eastAsia="Arial" w:hAnsi="Arial"/>
                <w:sz w:val="12"/>
                <w:szCs w:val="12"/>
                <w:color w:val="auto"/>
              </w:rPr>
              <w:t>-</w:t>
            </w:r>
          </w:p>
        </w:tc>
        <w:tc>
          <w:tcPr>
            <w:tcW w:w="860" w:type="dxa"/>
            <w:vAlign w:val="bottom"/>
            <w:gridSpan w:val="2"/>
            <w:shd w:val="clear" w:color="auto" w:fill="CCEEFF"/>
          </w:tcPr>
          <w:p>
            <w:pPr>
              <w:jc w:val="right"/>
              <w:ind w:right="180"/>
              <w:spacing w:after="0" w:line="130" w:lineRule="exact"/>
              <w:rPr>
                <w:sz w:val="20"/>
                <w:szCs w:val="20"/>
                <w:color w:val="auto"/>
              </w:rPr>
            </w:pPr>
            <w:r>
              <w:rPr>
                <w:rFonts w:ascii="Arial" w:cs="Arial" w:eastAsia="Arial" w:hAnsi="Arial"/>
                <w:sz w:val="12"/>
                <w:szCs w:val="12"/>
                <w:color w:val="auto"/>
              </w:rPr>
              <w:t>-</w:t>
            </w:r>
          </w:p>
        </w:tc>
        <w:tc>
          <w:tcPr>
            <w:tcW w:w="820" w:type="dxa"/>
            <w:vAlign w:val="bottom"/>
            <w:gridSpan w:val="2"/>
            <w:shd w:val="clear" w:color="auto" w:fill="CCEEFF"/>
          </w:tcPr>
          <w:p>
            <w:pPr>
              <w:jc w:val="right"/>
              <w:ind w:right="180"/>
              <w:spacing w:after="0" w:line="130" w:lineRule="exact"/>
              <w:rPr>
                <w:sz w:val="20"/>
                <w:szCs w:val="20"/>
                <w:color w:val="auto"/>
              </w:rPr>
            </w:pPr>
            <w:r>
              <w:rPr>
                <w:rFonts w:ascii="Arial" w:cs="Arial" w:eastAsia="Arial" w:hAnsi="Arial"/>
                <w:sz w:val="12"/>
                <w:szCs w:val="12"/>
                <w:color w:val="auto"/>
              </w:rPr>
              <w:t>-</w:t>
            </w:r>
          </w:p>
        </w:tc>
        <w:tc>
          <w:tcPr>
            <w:tcW w:w="820" w:type="dxa"/>
            <w:vAlign w:val="bottom"/>
            <w:gridSpan w:val="2"/>
            <w:shd w:val="clear" w:color="auto" w:fill="CCEEFF"/>
          </w:tcPr>
          <w:p>
            <w:pPr>
              <w:jc w:val="right"/>
              <w:ind w:right="180"/>
              <w:spacing w:after="0" w:line="130" w:lineRule="exact"/>
              <w:rPr>
                <w:sz w:val="20"/>
                <w:szCs w:val="20"/>
                <w:color w:val="auto"/>
              </w:rPr>
            </w:pPr>
            <w:r>
              <w:rPr>
                <w:rFonts w:ascii="Arial" w:cs="Arial" w:eastAsia="Arial" w:hAnsi="Arial"/>
                <w:sz w:val="12"/>
                <w:szCs w:val="12"/>
                <w:color w:val="auto"/>
              </w:rPr>
              <w:t>-</w:t>
            </w:r>
          </w:p>
        </w:tc>
        <w:tc>
          <w:tcPr>
            <w:tcW w:w="780" w:type="dxa"/>
            <w:vAlign w:val="bottom"/>
            <w:gridSpan w:val="2"/>
            <w:shd w:val="clear" w:color="auto" w:fill="CCEEFF"/>
          </w:tcPr>
          <w:p>
            <w:pPr>
              <w:jc w:val="right"/>
              <w:ind w:right="80"/>
              <w:spacing w:after="0" w:line="130" w:lineRule="exact"/>
              <w:rPr>
                <w:sz w:val="20"/>
                <w:szCs w:val="20"/>
                <w:color w:val="auto"/>
              </w:rPr>
            </w:pPr>
            <w:r>
              <w:rPr>
                <w:rFonts w:ascii="Arial" w:cs="Arial" w:eastAsia="Arial" w:hAnsi="Arial"/>
                <w:sz w:val="12"/>
                <w:szCs w:val="12"/>
                <w:color w:val="auto"/>
              </w:rPr>
              <w:t>-</w:t>
            </w:r>
          </w:p>
        </w:tc>
        <w:tc>
          <w:tcPr>
            <w:tcW w:w="900" w:type="dxa"/>
            <w:vAlign w:val="bottom"/>
            <w:gridSpan w:val="3"/>
            <w:shd w:val="clear" w:color="auto" w:fill="CCEEFF"/>
          </w:tcPr>
          <w:p>
            <w:pPr>
              <w:jc w:val="right"/>
              <w:ind w:right="180"/>
              <w:spacing w:after="0" w:line="130" w:lineRule="exact"/>
              <w:rPr>
                <w:sz w:val="20"/>
                <w:szCs w:val="20"/>
                <w:color w:val="auto"/>
              </w:rPr>
            </w:pPr>
            <w:r>
              <w:rPr>
                <w:rFonts w:ascii="Arial" w:cs="Arial" w:eastAsia="Arial" w:hAnsi="Arial"/>
                <w:sz w:val="12"/>
                <w:szCs w:val="12"/>
                <w:color w:val="auto"/>
              </w:rPr>
              <w:t>5.97</w:t>
            </w:r>
          </w:p>
        </w:tc>
        <w:tc>
          <w:tcPr>
            <w:tcW w:w="720" w:type="dxa"/>
            <w:vAlign w:val="bottom"/>
            <w:gridSpan w:val="2"/>
            <w:shd w:val="clear" w:color="auto" w:fill="CCEEFF"/>
          </w:tcPr>
          <w:p>
            <w:pPr>
              <w:jc w:val="right"/>
              <w:ind w:right="180"/>
              <w:spacing w:after="0" w:line="130" w:lineRule="exact"/>
              <w:rPr>
                <w:sz w:val="20"/>
                <w:szCs w:val="20"/>
                <w:color w:val="auto"/>
              </w:rPr>
            </w:pPr>
            <w:r>
              <w:rPr>
                <w:rFonts w:ascii="Arial" w:cs="Arial" w:eastAsia="Arial" w:hAnsi="Arial"/>
                <w:sz w:val="12"/>
                <w:szCs w:val="12"/>
                <w:color w:val="auto"/>
              </w:rPr>
              <w:t>-</w:t>
            </w:r>
          </w:p>
        </w:tc>
        <w:tc>
          <w:tcPr>
            <w:tcW w:w="560" w:type="dxa"/>
            <w:vAlign w:val="bottom"/>
            <w:shd w:val="clear" w:color="auto" w:fill="CCEEFF"/>
          </w:tcPr>
          <w:p>
            <w:pPr>
              <w:jc w:val="right"/>
              <w:spacing w:after="0" w:line="130" w:lineRule="exact"/>
              <w:rPr>
                <w:sz w:val="20"/>
                <w:szCs w:val="20"/>
                <w:color w:val="auto"/>
              </w:rPr>
            </w:pPr>
            <w:r>
              <w:rPr>
                <w:rFonts w:ascii="Arial" w:cs="Arial" w:eastAsia="Arial" w:hAnsi="Arial"/>
                <w:sz w:val="12"/>
                <w:szCs w:val="12"/>
                <w:color w:val="auto"/>
              </w:rPr>
              <w:t>133,494</w:t>
            </w:r>
          </w:p>
        </w:tc>
        <w:tc>
          <w:tcPr>
            <w:tcW w:w="18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180"/>
              <w:spacing w:after="0" w:line="130" w:lineRule="exact"/>
              <w:rPr>
                <w:sz w:val="20"/>
                <w:szCs w:val="20"/>
                <w:color w:val="auto"/>
              </w:rPr>
            </w:pPr>
            <w:r>
              <w:rPr>
                <w:rFonts w:ascii="Arial" w:cs="Arial" w:eastAsia="Arial" w:hAnsi="Arial"/>
                <w:sz w:val="12"/>
                <w:szCs w:val="12"/>
                <w:color w:val="auto"/>
              </w:rPr>
              <w:t>-</w:t>
            </w:r>
          </w:p>
        </w:tc>
        <w:tc>
          <w:tcPr>
            <w:tcW w:w="820" w:type="dxa"/>
            <w:vAlign w:val="bottom"/>
            <w:gridSpan w:val="2"/>
            <w:shd w:val="clear" w:color="auto" w:fill="CCEEFF"/>
          </w:tcPr>
          <w:p>
            <w:pPr>
              <w:jc w:val="right"/>
              <w:ind w:right="180"/>
              <w:spacing w:after="0" w:line="130" w:lineRule="exact"/>
              <w:rPr>
                <w:sz w:val="20"/>
                <w:szCs w:val="20"/>
                <w:color w:val="auto"/>
              </w:rPr>
            </w:pPr>
            <w:r>
              <w:rPr>
                <w:rFonts w:ascii="Arial" w:cs="Arial" w:eastAsia="Arial" w:hAnsi="Arial"/>
                <w:sz w:val="12"/>
                <w:szCs w:val="12"/>
                <w:color w:val="auto"/>
              </w:rPr>
              <w:t>133,494</w:t>
            </w:r>
          </w:p>
        </w:tc>
        <w:tc>
          <w:tcPr>
            <w:tcW w:w="780" w:type="dxa"/>
            <w:vAlign w:val="bottom"/>
            <w:gridSpan w:val="2"/>
            <w:shd w:val="clear" w:color="auto" w:fill="CCEEFF"/>
          </w:tcPr>
          <w:p>
            <w:pPr>
              <w:jc w:val="right"/>
              <w:ind w:right="80"/>
              <w:spacing w:after="0" w:line="130" w:lineRule="exact"/>
              <w:rPr>
                <w:sz w:val="20"/>
                <w:szCs w:val="20"/>
                <w:color w:val="auto"/>
              </w:rPr>
            </w:pPr>
            <w:r>
              <w:rPr>
                <w:rFonts w:ascii="Arial" w:cs="Arial" w:eastAsia="Arial" w:hAnsi="Arial"/>
                <w:sz w:val="12"/>
                <w:szCs w:val="12"/>
                <w:color w:val="auto"/>
              </w:rPr>
              <w:t>133,421</w:t>
            </w:r>
          </w:p>
        </w:tc>
      </w:tr>
      <w:tr>
        <w:trPr>
          <w:trHeight w:val="116"/>
        </w:trPr>
        <w:tc>
          <w:tcPr>
            <w:tcW w:w="980" w:type="dxa"/>
            <w:vAlign w:val="bottom"/>
          </w:tcPr>
          <w:p>
            <w:pPr>
              <w:spacing w:after="0" w:line="116" w:lineRule="exact"/>
              <w:rPr>
                <w:sz w:val="20"/>
                <w:szCs w:val="20"/>
                <w:color w:val="auto"/>
              </w:rPr>
            </w:pPr>
            <w:r>
              <w:rPr>
                <w:rFonts w:ascii="Arial" w:cs="Arial" w:eastAsia="Arial" w:hAnsi="Arial"/>
                <w:sz w:val="12"/>
                <w:szCs w:val="12"/>
                <w:color w:val="auto"/>
              </w:rPr>
              <w:t>Debt instruments</w:t>
            </w: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r>
      <w:tr>
        <w:trPr>
          <w:trHeight w:val="144"/>
        </w:trPr>
        <w:tc>
          <w:tcPr>
            <w:tcW w:w="980" w:type="dxa"/>
            <w:vAlign w:val="bottom"/>
          </w:tcPr>
          <w:p>
            <w:pPr>
              <w:spacing w:after="0"/>
              <w:rPr>
                <w:sz w:val="20"/>
                <w:szCs w:val="20"/>
                <w:color w:val="auto"/>
              </w:rPr>
            </w:pPr>
            <w:r>
              <w:rPr>
                <w:rFonts w:ascii="Arial" w:cs="Arial" w:eastAsia="Arial" w:hAnsi="Arial"/>
                <w:sz w:val="12"/>
                <w:szCs w:val="12"/>
                <w:color w:val="auto"/>
              </w:rPr>
              <w:t>(c)</w:t>
            </w: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8,921</w:t>
            </w:r>
          </w:p>
        </w:tc>
        <w:tc>
          <w:tcPr>
            <w:tcW w:w="180" w:type="dxa"/>
            <w:vAlign w:val="bottom"/>
          </w:tcPr>
          <w:p>
            <w:pPr>
              <w:spacing w:after="0"/>
              <w:rPr>
                <w:sz w:val="12"/>
                <w:szCs w:val="12"/>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2"/>
                <w:szCs w:val="12"/>
                <w:color w:val="auto"/>
              </w:rPr>
              <w:t>47,946</w:t>
            </w:r>
          </w:p>
        </w:tc>
        <w:tc>
          <w:tcPr>
            <w:tcW w:w="640" w:type="dxa"/>
            <w:vAlign w:val="bottom"/>
          </w:tcPr>
          <w:p>
            <w:pPr>
              <w:jc w:val="right"/>
              <w:spacing w:after="0"/>
              <w:rPr>
                <w:sz w:val="20"/>
                <w:szCs w:val="20"/>
                <w:color w:val="auto"/>
              </w:rPr>
            </w:pPr>
            <w:r>
              <w:rPr>
                <w:rFonts w:ascii="Arial" w:cs="Arial" w:eastAsia="Arial" w:hAnsi="Arial"/>
                <w:sz w:val="12"/>
                <w:szCs w:val="12"/>
                <w:color w:val="auto"/>
              </w:rPr>
              <w:t>11,817,933</w:t>
            </w:r>
          </w:p>
        </w:tc>
        <w:tc>
          <w:tcPr>
            <w:tcW w:w="180" w:type="dxa"/>
            <w:vAlign w:val="bottom"/>
          </w:tcPr>
          <w:p>
            <w:pPr>
              <w:spacing w:after="0"/>
              <w:rPr>
                <w:sz w:val="12"/>
                <w:szCs w:val="12"/>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2"/>
                <w:szCs w:val="12"/>
                <w:color w:val="auto"/>
              </w:rPr>
              <w:t>11,874,800</w:t>
            </w:r>
          </w:p>
        </w:tc>
        <w:tc>
          <w:tcPr>
            <w:tcW w:w="780" w:type="dxa"/>
            <w:vAlign w:val="bottom"/>
            <w:gridSpan w:val="2"/>
          </w:tcPr>
          <w:p>
            <w:pPr>
              <w:jc w:val="right"/>
              <w:ind w:right="80"/>
              <w:spacing w:after="0"/>
              <w:rPr>
                <w:sz w:val="20"/>
                <w:szCs w:val="20"/>
                <w:color w:val="auto"/>
              </w:rPr>
            </w:pPr>
            <w:r>
              <w:rPr>
                <w:rFonts w:ascii="Arial" w:cs="Arial" w:eastAsia="Arial" w:hAnsi="Arial"/>
                <w:sz w:val="12"/>
                <w:szCs w:val="12"/>
                <w:color w:val="auto"/>
              </w:rPr>
              <w:t>12,392,983</w:t>
            </w: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74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820" w:type="dxa"/>
            <w:vAlign w:val="bottom"/>
            <w:gridSpan w:val="2"/>
          </w:tcPr>
          <w:p>
            <w:pPr>
              <w:jc w:val="right"/>
              <w:ind w:right="180"/>
              <w:spacing w:after="0"/>
              <w:rPr>
                <w:sz w:val="20"/>
                <w:szCs w:val="20"/>
                <w:color w:val="auto"/>
              </w:rPr>
            </w:pPr>
            <w:r>
              <w:rPr>
                <w:rFonts w:ascii="Arial" w:cs="Arial" w:eastAsia="Arial" w:hAnsi="Arial"/>
                <w:sz w:val="12"/>
                <w:szCs w:val="12"/>
                <w:color w:val="auto"/>
              </w:rPr>
              <w:t>13,835,500</w:t>
            </w:r>
          </w:p>
        </w:tc>
        <w:tc>
          <w:tcPr>
            <w:tcW w:w="820" w:type="dxa"/>
            <w:vAlign w:val="bottom"/>
            <w:gridSpan w:val="2"/>
          </w:tcPr>
          <w:p>
            <w:pPr>
              <w:jc w:val="right"/>
              <w:ind w:right="180"/>
              <w:spacing w:after="0"/>
              <w:rPr>
                <w:sz w:val="20"/>
                <w:szCs w:val="20"/>
                <w:color w:val="auto"/>
              </w:rPr>
            </w:pPr>
            <w:r>
              <w:rPr>
                <w:rFonts w:ascii="Arial" w:cs="Arial" w:eastAsia="Arial" w:hAnsi="Arial"/>
                <w:sz w:val="12"/>
                <w:szCs w:val="12"/>
                <w:color w:val="auto"/>
              </w:rPr>
              <w:t>13,835,500</w:t>
            </w:r>
          </w:p>
        </w:tc>
        <w:tc>
          <w:tcPr>
            <w:tcW w:w="780" w:type="dxa"/>
            <w:vAlign w:val="bottom"/>
            <w:gridSpan w:val="2"/>
          </w:tcPr>
          <w:p>
            <w:pPr>
              <w:jc w:val="right"/>
              <w:ind w:right="80"/>
              <w:spacing w:after="0"/>
              <w:rPr>
                <w:sz w:val="20"/>
                <w:szCs w:val="20"/>
                <w:color w:val="auto"/>
              </w:rPr>
            </w:pPr>
            <w:r>
              <w:rPr>
                <w:rFonts w:ascii="Arial" w:cs="Arial" w:eastAsia="Arial" w:hAnsi="Arial"/>
                <w:sz w:val="12"/>
                <w:szCs w:val="12"/>
                <w:color w:val="auto"/>
              </w:rPr>
              <w:t>14,065,528</w:t>
            </w:r>
          </w:p>
        </w:tc>
      </w:tr>
      <w:tr>
        <w:trPr>
          <w:trHeight w:val="136"/>
        </w:trPr>
        <w:tc>
          <w:tcPr>
            <w:tcW w:w="98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56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620" w:type="dxa"/>
            <w:vAlign w:val="bottom"/>
            <w:tcBorders>
              <w:top w:val="single" w:sz="8" w:color="CCEEFF"/>
              <w:bottom w:val="single" w:sz="8" w:color="CCEEFF"/>
            </w:tcBorders>
            <w:shd w:val="clear" w:color="auto" w:fill="CCEEFF"/>
          </w:tcPr>
          <w:p>
            <w:pPr>
              <w:spacing w:after="0"/>
              <w:rPr>
                <w:sz w:val="11"/>
                <w:szCs w:val="11"/>
                <w:color w:val="auto"/>
              </w:rPr>
            </w:pPr>
          </w:p>
        </w:tc>
        <w:tc>
          <w:tcPr>
            <w:tcW w:w="180" w:type="dxa"/>
            <w:vAlign w:val="bottom"/>
            <w:tcBorders>
              <w:top w:val="single" w:sz="8" w:color="CCEEFF"/>
              <w:bottom w:val="single" w:sz="8" w:color="CCEEFF"/>
            </w:tcBorders>
            <w:shd w:val="clear" w:color="auto" w:fill="CCEEFF"/>
          </w:tcPr>
          <w:p>
            <w:pPr>
              <w:spacing w:after="0"/>
              <w:rPr>
                <w:sz w:val="11"/>
                <w:szCs w:val="11"/>
                <w:color w:val="auto"/>
              </w:rPr>
            </w:pPr>
          </w:p>
        </w:tc>
        <w:tc>
          <w:tcPr>
            <w:tcW w:w="660" w:type="dxa"/>
            <w:vAlign w:val="bottom"/>
            <w:tcBorders>
              <w:top w:val="single" w:sz="8" w:color="auto"/>
              <w:bottom w:val="single" w:sz="8" w:color="auto"/>
            </w:tcBorders>
            <w:shd w:val="clear" w:color="auto" w:fill="CCEEFF"/>
          </w:tcPr>
          <w:p>
            <w:pPr>
              <w:jc w:val="right"/>
              <w:spacing w:after="0" w:line="136" w:lineRule="exact"/>
              <w:rPr>
                <w:sz w:val="20"/>
                <w:szCs w:val="20"/>
                <w:color w:val="auto"/>
              </w:rPr>
            </w:pPr>
            <w:r>
              <w:rPr>
                <w:rFonts w:ascii="Arial" w:cs="Arial" w:eastAsia="Arial" w:hAnsi="Arial"/>
                <w:sz w:val="12"/>
                <w:szCs w:val="12"/>
                <w:color w:val="auto"/>
              </w:rPr>
              <w:t>258,107</w:t>
            </w:r>
          </w:p>
        </w:tc>
        <w:tc>
          <w:tcPr>
            <w:tcW w:w="180" w:type="dxa"/>
            <w:vAlign w:val="bottom"/>
            <w:tcBorders>
              <w:top w:val="single" w:sz="8" w:color="CCEEFF"/>
              <w:bottom w:val="single" w:sz="8" w:color="CCEEFF"/>
            </w:tcBorders>
            <w:shd w:val="clear" w:color="auto" w:fill="CCEEFF"/>
          </w:tcPr>
          <w:p>
            <w:pPr>
              <w:spacing w:after="0"/>
              <w:rPr>
                <w:sz w:val="11"/>
                <w:szCs w:val="11"/>
                <w:color w:val="auto"/>
              </w:rPr>
            </w:pPr>
          </w:p>
        </w:tc>
        <w:tc>
          <w:tcPr>
            <w:tcW w:w="680" w:type="dxa"/>
            <w:vAlign w:val="bottom"/>
            <w:tcBorders>
              <w:top w:val="single" w:sz="8" w:color="auto"/>
              <w:bottom w:val="single" w:sz="8" w:color="auto"/>
            </w:tcBorders>
            <w:shd w:val="clear" w:color="auto" w:fill="CCEEFF"/>
          </w:tcPr>
          <w:p>
            <w:pPr>
              <w:jc w:val="right"/>
              <w:spacing w:after="0" w:line="136" w:lineRule="exact"/>
              <w:rPr>
                <w:sz w:val="20"/>
                <w:szCs w:val="20"/>
                <w:color w:val="auto"/>
              </w:rPr>
            </w:pPr>
            <w:r>
              <w:rPr>
                <w:rFonts w:ascii="Arial" w:cs="Arial" w:eastAsia="Arial" w:hAnsi="Arial"/>
                <w:sz w:val="12"/>
                <w:szCs w:val="12"/>
                <w:color w:val="auto"/>
              </w:rPr>
              <w:t>1,339,567</w:t>
            </w:r>
          </w:p>
        </w:tc>
        <w:tc>
          <w:tcPr>
            <w:tcW w:w="180" w:type="dxa"/>
            <w:vAlign w:val="bottom"/>
            <w:tcBorders>
              <w:top w:val="single" w:sz="8" w:color="CCEEFF"/>
              <w:bottom w:val="single" w:sz="8" w:color="CCEEFF"/>
            </w:tcBorders>
            <w:shd w:val="clear" w:color="auto" w:fill="CCEEFF"/>
          </w:tcPr>
          <w:p>
            <w:pPr>
              <w:spacing w:after="0"/>
              <w:rPr>
                <w:sz w:val="11"/>
                <w:szCs w:val="11"/>
                <w:color w:val="auto"/>
              </w:rPr>
            </w:pPr>
          </w:p>
        </w:tc>
        <w:tc>
          <w:tcPr>
            <w:tcW w:w="640" w:type="dxa"/>
            <w:vAlign w:val="bottom"/>
            <w:tcBorders>
              <w:top w:val="single" w:sz="8" w:color="auto"/>
              <w:bottom w:val="single" w:sz="8" w:color="auto"/>
            </w:tcBorders>
            <w:shd w:val="clear" w:color="auto" w:fill="CCEEFF"/>
          </w:tcPr>
          <w:p>
            <w:pPr>
              <w:jc w:val="right"/>
              <w:spacing w:after="0" w:line="136" w:lineRule="exact"/>
              <w:rPr>
                <w:sz w:val="20"/>
                <w:szCs w:val="20"/>
                <w:color w:val="auto"/>
              </w:rPr>
            </w:pPr>
            <w:r>
              <w:rPr>
                <w:rFonts w:ascii="Arial" w:cs="Arial" w:eastAsia="Arial" w:hAnsi="Arial"/>
                <w:sz w:val="12"/>
                <w:szCs w:val="12"/>
                <w:color w:val="auto"/>
              </w:rPr>
              <w:t>11,818,169</w:t>
            </w:r>
          </w:p>
        </w:tc>
        <w:tc>
          <w:tcPr>
            <w:tcW w:w="180" w:type="dxa"/>
            <w:vAlign w:val="bottom"/>
            <w:tcBorders>
              <w:top w:val="single" w:sz="8" w:color="CCEEFF"/>
              <w:bottom w:val="single" w:sz="8" w:color="CCEEFF"/>
            </w:tcBorders>
            <w:shd w:val="clear" w:color="auto" w:fill="CCEEFF"/>
          </w:tcPr>
          <w:p>
            <w:pPr>
              <w:spacing w:after="0"/>
              <w:rPr>
                <w:sz w:val="11"/>
                <w:szCs w:val="11"/>
                <w:color w:val="auto"/>
              </w:rPr>
            </w:pPr>
          </w:p>
        </w:tc>
        <w:tc>
          <w:tcPr>
            <w:tcW w:w="640" w:type="dxa"/>
            <w:vAlign w:val="bottom"/>
            <w:tcBorders>
              <w:top w:val="single" w:sz="8" w:color="auto"/>
              <w:bottom w:val="single" w:sz="8" w:color="auto"/>
            </w:tcBorders>
            <w:shd w:val="clear" w:color="auto" w:fill="CCEEFF"/>
          </w:tcPr>
          <w:p>
            <w:pPr>
              <w:jc w:val="right"/>
              <w:spacing w:after="0" w:line="136" w:lineRule="exact"/>
              <w:rPr>
                <w:sz w:val="20"/>
                <w:szCs w:val="20"/>
                <w:color w:val="auto"/>
              </w:rPr>
            </w:pPr>
            <w:r>
              <w:rPr>
                <w:rFonts w:ascii="Arial" w:cs="Arial" w:eastAsia="Arial" w:hAnsi="Arial"/>
                <w:sz w:val="12"/>
                <w:szCs w:val="12"/>
                <w:color w:val="auto"/>
              </w:rPr>
              <w:t>13,415,843</w:t>
            </w:r>
          </w:p>
        </w:tc>
        <w:tc>
          <w:tcPr>
            <w:tcW w:w="180" w:type="dxa"/>
            <w:vAlign w:val="bottom"/>
            <w:tcBorders>
              <w:top w:val="single" w:sz="8" w:color="CCEEFF"/>
              <w:bottom w:val="single" w:sz="8" w:color="CCEEFF"/>
            </w:tcBorders>
            <w:shd w:val="clear" w:color="auto" w:fill="CCEEFF"/>
          </w:tcPr>
          <w:p>
            <w:pPr>
              <w:spacing w:after="0"/>
              <w:rPr>
                <w:sz w:val="11"/>
                <w:szCs w:val="11"/>
                <w:color w:val="auto"/>
              </w:rPr>
            </w:pPr>
          </w:p>
        </w:tc>
        <w:tc>
          <w:tcPr>
            <w:tcW w:w="700" w:type="dxa"/>
            <w:vAlign w:val="bottom"/>
            <w:tcBorders>
              <w:top w:val="single" w:sz="8" w:color="auto"/>
              <w:bottom w:val="single" w:sz="8" w:color="auto"/>
            </w:tcBorders>
            <w:shd w:val="clear" w:color="auto" w:fill="CCEEFF"/>
          </w:tcPr>
          <w:p>
            <w:pPr>
              <w:jc w:val="right"/>
              <w:spacing w:after="0" w:line="136" w:lineRule="exact"/>
              <w:rPr>
                <w:sz w:val="20"/>
                <w:szCs w:val="20"/>
                <w:color w:val="auto"/>
              </w:rPr>
            </w:pPr>
            <w:r>
              <w:rPr>
                <w:rFonts w:ascii="Arial" w:cs="Arial" w:eastAsia="Arial" w:hAnsi="Arial"/>
                <w:sz w:val="12"/>
                <w:szCs w:val="12"/>
                <w:color w:val="auto"/>
              </w:rPr>
              <w:t>13,934,677</w:t>
            </w: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620" w:type="dxa"/>
            <w:vAlign w:val="bottom"/>
            <w:tcBorders>
              <w:top w:val="single" w:sz="8" w:color="CCEEFF"/>
              <w:bottom w:val="single" w:sz="8" w:color="CCEEFF"/>
            </w:tcBorders>
            <w:shd w:val="clear" w:color="auto" w:fill="CCEEFF"/>
          </w:tcPr>
          <w:p>
            <w:pPr>
              <w:spacing w:after="0"/>
              <w:rPr>
                <w:sz w:val="11"/>
                <w:szCs w:val="11"/>
                <w:color w:val="auto"/>
              </w:rPr>
            </w:pPr>
          </w:p>
        </w:tc>
        <w:tc>
          <w:tcPr>
            <w:tcW w:w="180" w:type="dxa"/>
            <w:vAlign w:val="bottom"/>
            <w:tcBorders>
              <w:top w:val="single" w:sz="8" w:color="CCEEFF"/>
              <w:bottom w:val="single" w:sz="8" w:color="CCEEFF"/>
            </w:tcBorders>
            <w:shd w:val="clear" w:color="auto" w:fill="CCEEFF"/>
          </w:tcPr>
          <w:p>
            <w:pPr>
              <w:spacing w:after="0"/>
              <w:rPr>
                <w:sz w:val="11"/>
                <w:szCs w:val="11"/>
                <w:color w:val="auto"/>
              </w:rPr>
            </w:pPr>
          </w:p>
        </w:tc>
        <w:tc>
          <w:tcPr>
            <w:tcW w:w="540" w:type="dxa"/>
            <w:vAlign w:val="bottom"/>
            <w:tcBorders>
              <w:top w:val="single" w:sz="8" w:color="auto"/>
              <w:bottom w:val="single" w:sz="8" w:color="auto"/>
            </w:tcBorders>
            <w:shd w:val="clear" w:color="auto" w:fill="CCEEFF"/>
          </w:tcPr>
          <w:p>
            <w:pPr>
              <w:jc w:val="right"/>
              <w:spacing w:after="0" w:line="136" w:lineRule="exact"/>
              <w:rPr>
                <w:sz w:val="20"/>
                <w:szCs w:val="20"/>
                <w:color w:val="auto"/>
              </w:rPr>
            </w:pPr>
            <w:r>
              <w:rPr>
                <w:rFonts w:ascii="Arial" w:cs="Arial" w:eastAsia="Arial" w:hAnsi="Arial"/>
                <w:sz w:val="12"/>
                <w:szCs w:val="12"/>
                <w:color w:val="auto"/>
              </w:rPr>
              <w:t>294,934</w:t>
            </w:r>
          </w:p>
        </w:tc>
        <w:tc>
          <w:tcPr>
            <w:tcW w:w="180" w:type="dxa"/>
            <w:vAlign w:val="bottom"/>
            <w:tcBorders>
              <w:top w:val="single" w:sz="8" w:color="CCEEFF"/>
              <w:bottom w:val="single" w:sz="8" w:color="CCEEFF"/>
            </w:tcBorders>
            <w:shd w:val="clear" w:color="auto" w:fill="CCEEFF"/>
          </w:tcPr>
          <w:p>
            <w:pPr>
              <w:spacing w:after="0"/>
              <w:rPr>
                <w:sz w:val="11"/>
                <w:szCs w:val="11"/>
                <w:color w:val="auto"/>
              </w:rPr>
            </w:pPr>
          </w:p>
        </w:tc>
        <w:tc>
          <w:tcPr>
            <w:tcW w:w="560" w:type="dxa"/>
            <w:vAlign w:val="bottom"/>
            <w:tcBorders>
              <w:top w:val="single" w:sz="8" w:color="auto"/>
              <w:bottom w:val="single" w:sz="8" w:color="auto"/>
            </w:tcBorders>
            <w:shd w:val="clear" w:color="auto" w:fill="CCEEFF"/>
          </w:tcPr>
          <w:p>
            <w:pPr>
              <w:jc w:val="right"/>
              <w:spacing w:after="0" w:line="136" w:lineRule="exact"/>
              <w:rPr>
                <w:sz w:val="20"/>
                <w:szCs w:val="20"/>
                <w:color w:val="auto"/>
              </w:rPr>
            </w:pPr>
            <w:r>
              <w:rPr>
                <w:rFonts w:ascii="Arial" w:cs="Arial" w:eastAsia="Arial" w:hAnsi="Arial"/>
                <w:sz w:val="12"/>
                <w:szCs w:val="12"/>
                <w:color w:val="auto"/>
              </w:rPr>
              <w:t>997,565</w:t>
            </w:r>
          </w:p>
        </w:tc>
        <w:tc>
          <w:tcPr>
            <w:tcW w:w="180" w:type="dxa"/>
            <w:vAlign w:val="bottom"/>
            <w:tcBorders>
              <w:top w:val="single" w:sz="8" w:color="CCEEFF"/>
              <w:bottom w:val="single" w:sz="8" w:color="CCEEFF"/>
            </w:tcBorders>
            <w:shd w:val="clear" w:color="auto" w:fill="CCEEFF"/>
          </w:tcPr>
          <w:p>
            <w:pPr>
              <w:spacing w:after="0"/>
              <w:rPr>
                <w:sz w:val="11"/>
                <w:szCs w:val="11"/>
                <w:color w:val="auto"/>
              </w:rPr>
            </w:pPr>
          </w:p>
        </w:tc>
        <w:tc>
          <w:tcPr>
            <w:tcW w:w="640" w:type="dxa"/>
            <w:vAlign w:val="bottom"/>
            <w:tcBorders>
              <w:top w:val="single" w:sz="8" w:color="auto"/>
              <w:bottom w:val="single" w:sz="8" w:color="auto"/>
            </w:tcBorders>
            <w:shd w:val="clear" w:color="auto" w:fill="CCEEFF"/>
          </w:tcPr>
          <w:p>
            <w:pPr>
              <w:jc w:val="right"/>
              <w:spacing w:after="0" w:line="136" w:lineRule="exact"/>
              <w:rPr>
                <w:sz w:val="20"/>
                <w:szCs w:val="20"/>
                <w:color w:val="auto"/>
              </w:rPr>
            </w:pPr>
            <w:r>
              <w:rPr>
                <w:rFonts w:ascii="Arial" w:cs="Arial" w:eastAsia="Arial" w:hAnsi="Arial"/>
                <w:sz w:val="12"/>
                <w:szCs w:val="12"/>
                <w:color w:val="auto"/>
              </w:rPr>
              <w:t>13,835,500</w:t>
            </w:r>
          </w:p>
        </w:tc>
        <w:tc>
          <w:tcPr>
            <w:tcW w:w="180" w:type="dxa"/>
            <w:vAlign w:val="bottom"/>
            <w:tcBorders>
              <w:top w:val="single" w:sz="8" w:color="CCEEFF"/>
              <w:bottom w:val="single" w:sz="8" w:color="CCEEFF"/>
            </w:tcBorders>
            <w:shd w:val="clear" w:color="auto" w:fill="CCEEFF"/>
          </w:tcPr>
          <w:p>
            <w:pPr>
              <w:spacing w:after="0"/>
              <w:rPr>
                <w:sz w:val="11"/>
                <w:szCs w:val="11"/>
                <w:color w:val="auto"/>
              </w:rPr>
            </w:pPr>
          </w:p>
        </w:tc>
        <w:tc>
          <w:tcPr>
            <w:tcW w:w="640" w:type="dxa"/>
            <w:vAlign w:val="bottom"/>
            <w:tcBorders>
              <w:top w:val="single" w:sz="8" w:color="auto"/>
              <w:bottom w:val="single" w:sz="8" w:color="auto"/>
            </w:tcBorders>
            <w:shd w:val="clear" w:color="auto" w:fill="CCEEFF"/>
          </w:tcPr>
          <w:p>
            <w:pPr>
              <w:jc w:val="right"/>
              <w:spacing w:after="0" w:line="136" w:lineRule="exact"/>
              <w:rPr>
                <w:sz w:val="20"/>
                <w:szCs w:val="20"/>
                <w:color w:val="auto"/>
              </w:rPr>
            </w:pPr>
            <w:r>
              <w:rPr>
                <w:rFonts w:ascii="Arial" w:cs="Arial" w:eastAsia="Arial" w:hAnsi="Arial"/>
                <w:sz w:val="12"/>
                <w:szCs w:val="12"/>
                <w:color w:val="auto"/>
              </w:rPr>
              <w:t>15,127,999</w:t>
            </w:r>
          </w:p>
        </w:tc>
        <w:tc>
          <w:tcPr>
            <w:tcW w:w="180" w:type="dxa"/>
            <w:vAlign w:val="bottom"/>
            <w:tcBorders>
              <w:top w:val="single" w:sz="8" w:color="CCEEFF"/>
              <w:bottom w:val="single" w:sz="8" w:color="CCEEFF"/>
            </w:tcBorders>
            <w:shd w:val="clear" w:color="auto" w:fill="CCEEFF"/>
          </w:tcPr>
          <w:p>
            <w:pPr>
              <w:spacing w:after="0"/>
              <w:rPr>
                <w:sz w:val="11"/>
                <w:szCs w:val="11"/>
                <w:color w:val="auto"/>
              </w:rPr>
            </w:pPr>
          </w:p>
        </w:tc>
        <w:tc>
          <w:tcPr>
            <w:tcW w:w="700" w:type="dxa"/>
            <w:vAlign w:val="bottom"/>
            <w:tcBorders>
              <w:top w:val="single" w:sz="8" w:color="auto"/>
              <w:bottom w:val="single" w:sz="8" w:color="auto"/>
            </w:tcBorders>
            <w:shd w:val="clear" w:color="auto" w:fill="CCEEFF"/>
          </w:tcPr>
          <w:p>
            <w:pPr>
              <w:jc w:val="right"/>
              <w:spacing w:after="0" w:line="136" w:lineRule="exact"/>
              <w:rPr>
                <w:sz w:val="20"/>
                <w:szCs w:val="20"/>
                <w:color w:val="auto"/>
              </w:rPr>
            </w:pPr>
            <w:r>
              <w:rPr>
                <w:rFonts w:ascii="Arial" w:cs="Arial" w:eastAsia="Arial" w:hAnsi="Arial"/>
                <w:sz w:val="12"/>
                <w:szCs w:val="12"/>
                <w:color w:val="auto"/>
              </w:rPr>
              <w:t>15,359,922</w:t>
            </w: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r>
      <w:tr>
        <w:trPr>
          <w:trHeight w:val="20"/>
        </w:trPr>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- 54 -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15875</wp:posOffset>
            </wp:positionV>
            <wp:extent cx="725170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51700" cy="8255"/>
                    </a:xfrm>
                    <a:prstGeom prst="rect">
                      <a:avLst/>
                    </a:prstGeom>
                    <a:noFill/>
                  </pic:spPr>
                </pic:pic>
              </a:graphicData>
            </a:graphic>
          </wp:anchor>
        </w:drawing>
      </w:r>
    </w:p>
    <w:p>
      <w:pPr>
        <w:sectPr>
          <w:pgSz w:w="11900" w:h="16838" w:orient="portrait"/>
          <w:cols w:equalWidth="0" w:num="1">
            <w:col w:w="11420"/>
          </w:cols>
          <w:pgMar w:left="240" w:top="1141" w:right="239" w:bottom="1440" w:gutter="0" w:footer="0" w:header="0"/>
        </w:sectPr>
      </w:pPr>
    </w:p>
    <w:bookmarkStart w:id="60" w:name="page61"/>
    <w:bookmarkEnd w:id="60"/>
    <w:p>
      <w:pPr>
        <w:ind w:left="316" w:hanging="316"/>
        <w:spacing w:after="0" w:line="285" w:lineRule="auto"/>
        <w:tabs>
          <w:tab w:leader="none" w:pos="316" w:val="left"/>
        </w:tabs>
        <w:numPr>
          <w:ilvl w:val="0"/>
          <w:numId w:val="66"/>
        </w:numPr>
        <w:rPr>
          <w:rFonts w:ascii="Arial" w:cs="Arial" w:eastAsia="Arial" w:hAnsi="Arial"/>
          <w:sz w:val="17"/>
          <w:szCs w:val="17"/>
          <w:color w:val="auto"/>
        </w:rPr>
      </w:pPr>
      <w:r>
        <w:rPr>
          <w:rFonts w:ascii="Arial" w:cs="Arial" w:eastAsia="Arial" w:hAnsi="Arial"/>
          <w:sz w:val="17"/>
          <w:szCs w:val="17"/>
          <w:color w:val="auto"/>
        </w:rPr>
        <w:t>At December 31, 2017, and 2016 the Group has repurchase agreements secured with: (i) cash, See Note 5(a), and (ii) available-for-sale investments and held-to-maturity investments, See Note 6(b). This item consists of the following:</w:t>
      </w:r>
    </w:p>
    <w:p>
      <w:pPr>
        <w:spacing w:after="0" w:line="162" w:lineRule="exact"/>
        <w:rPr>
          <w:sz w:val="20"/>
          <w:szCs w:val="20"/>
          <w:color w:val="auto"/>
        </w:rPr>
      </w:pPr>
    </w:p>
    <w:tbl>
      <w:tblPr>
        <w:tblLayout w:type="fixed"/>
        <w:tblInd w:w="316" w:type="dxa"/>
        <w:tblCellMar>
          <w:top w:w="0" w:type="dxa"/>
          <w:left w:w="0" w:type="dxa"/>
          <w:bottom w:w="0" w:type="dxa"/>
          <w:right w:w="0" w:type="dxa"/>
        </w:tblCellMar>
      </w:tblPr>
      <w:tr>
        <w:trPr>
          <w:trHeight w:val="165"/>
        </w:trPr>
        <w:tc>
          <w:tcPr>
            <w:tcW w:w="17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Counterparties</w:t>
            </w: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840" w:type="dxa"/>
            <w:vAlign w:val="bottom"/>
            <w:tcBorders>
              <w:bottom w:val="single" w:sz="8" w:color="auto"/>
            </w:tcBorders>
            <w:gridSpan w:val="4"/>
          </w:tcPr>
          <w:p>
            <w:pPr>
              <w:ind w:left="160"/>
              <w:spacing w:after="0"/>
              <w:rPr>
                <w:sz w:val="20"/>
                <w:szCs w:val="20"/>
                <w:color w:val="auto"/>
              </w:rPr>
            </w:pPr>
            <w:r>
              <w:rPr>
                <w:rFonts w:ascii="Arial" w:cs="Arial" w:eastAsia="Arial" w:hAnsi="Arial"/>
                <w:sz w:val="14"/>
                <w:szCs w:val="14"/>
                <w:b w:val="1"/>
                <w:bCs w:val="1"/>
                <w:color w:val="auto"/>
              </w:rPr>
              <w:t>At December 31, 2017</w:t>
            </w:r>
          </w:p>
        </w:tc>
        <w:tc>
          <w:tcPr>
            <w:tcW w:w="120" w:type="dxa"/>
            <w:vAlign w:val="bottom"/>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820" w:type="dxa"/>
            <w:vAlign w:val="bottom"/>
            <w:tcBorders>
              <w:bottom w:val="single" w:sz="8" w:color="auto"/>
            </w:tcBorders>
            <w:gridSpan w:val="3"/>
          </w:tcPr>
          <w:p>
            <w:pPr>
              <w:ind w:left="180"/>
              <w:spacing w:after="0"/>
              <w:rPr>
                <w:sz w:val="20"/>
                <w:szCs w:val="20"/>
                <w:color w:val="auto"/>
              </w:rPr>
            </w:pPr>
            <w:r>
              <w:rPr>
                <w:rFonts w:ascii="Arial" w:cs="Arial" w:eastAsia="Arial" w:hAnsi="Arial"/>
                <w:sz w:val="14"/>
                <w:szCs w:val="14"/>
                <w:b w:val="1"/>
                <w:bCs w:val="1"/>
                <w:color w:val="auto"/>
              </w:rPr>
              <w:t>At December 31, 2016</w:t>
            </w:r>
          </w:p>
        </w:tc>
        <w:tc>
          <w:tcPr>
            <w:tcW w:w="0" w:type="dxa"/>
            <w:vAlign w:val="bottom"/>
          </w:tcPr>
          <w:p>
            <w:pPr>
              <w:spacing w:after="0"/>
              <w:rPr>
                <w:sz w:val="1"/>
                <w:szCs w:val="1"/>
                <w:color w:val="auto"/>
              </w:rPr>
            </w:pPr>
          </w:p>
        </w:tc>
      </w:tr>
      <w:tr>
        <w:trPr>
          <w:trHeight w:val="113"/>
        </w:trPr>
        <w:tc>
          <w:tcPr>
            <w:tcW w:w="1760" w:type="dxa"/>
            <w:vAlign w:val="bottom"/>
            <w:gridSpan w:val="2"/>
            <w:vMerge w:val="continue"/>
          </w:tcPr>
          <w:p>
            <w:pPr>
              <w:spacing w:after="0"/>
              <w:rPr>
                <w:sz w:val="9"/>
                <w:szCs w:val="9"/>
                <w:color w:val="auto"/>
              </w:rPr>
            </w:pPr>
          </w:p>
        </w:tc>
        <w:tc>
          <w:tcPr>
            <w:tcW w:w="100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1"/>
              </w:rPr>
              <w:t>Currency</w:t>
            </w:r>
          </w:p>
        </w:tc>
        <w:tc>
          <w:tcPr>
            <w:tcW w:w="122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9"/>
              </w:rPr>
              <w:t>Maturity</w:t>
            </w:r>
          </w:p>
        </w:tc>
        <w:tc>
          <w:tcPr>
            <w:tcW w:w="1100" w:type="dxa"/>
            <w:vAlign w:val="bottom"/>
            <w:gridSpan w:val="2"/>
          </w:tcPr>
          <w:p>
            <w:pPr>
              <w:jc w:val="center"/>
              <w:ind w:right="80"/>
              <w:spacing w:after="0" w:line="114" w:lineRule="exact"/>
              <w:rPr>
                <w:sz w:val="20"/>
                <w:szCs w:val="20"/>
                <w:color w:val="auto"/>
              </w:rPr>
            </w:pPr>
            <w:r>
              <w:rPr>
                <w:rFonts w:ascii="Arial" w:cs="Arial" w:eastAsia="Arial" w:hAnsi="Arial"/>
                <w:sz w:val="13"/>
                <w:szCs w:val="13"/>
                <w:b w:val="1"/>
                <w:bCs w:val="1"/>
                <w:color w:val="auto"/>
              </w:rPr>
              <w:t>Carrying</w:t>
            </w:r>
          </w:p>
        </w:tc>
        <w:tc>
          <w:tcPr>
            <w:tcW w:w="120" w:type="dxa"/>
            <w:vAlign w:val="bottom"/>
          </w:tcPr>
          <w:p>
            <w:pPr>
              <w:spacing w:after="0"/>
              <w:rPr>
                <w:sz w:val="9"/>
                <w:szCs w:val="9"/>
                <w:color w:val="auto"/>
              </w:rPr>
            </w:pPr>
          </w:p>
        </w:tc>
        <w:tc>
          <w:tcPr>
            <w:tcW w:w="1740" w:type="dxa"/>
            <w:vAlign w:val="bottom"/>
            <w:gridSpan w:val="2"/>
            <w:vMerge w:val="restart"/>
          </w:tcPr>
          <w:p>
            <w:pPr>
              <w:ind w:left="520"/>
              <w:spacing w:after="0"/>
              <w:rPr>
                <w:sz w:val="20"/>
                <w:szCs w:val="20"/>
                <w:color w:val="auto"/>
              </w:rPr>
            </w:pPr>
            <w:r>
              <w:rPr>
                <w:rFonts w:ascii="Arial" w:cs="Arial" w:eastAsia="Arial" w:hAnsi="Arial"/>
                <w:sz w:val="14"/>
                <w:szCs w:val="14"/>
                <w:b w:val="1"/>
                <w:bCs w:val="1"/>
                <w:color w:val="auto"/>
              </w:rPr>
              <w:t>Collateral</w:t>
            </w:r>
          </w:p>
        </w:tc>
        <w:tc>
          <w:tcPr>
            <w:tcW w:w="118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5"/>
              </w:rPr>
              <w:t>Maturity</w:t>
            </w:r>
          </w:p>
        </w:tc>
        <w:tc>
          <w:tcPr>
            <w:tcW w:w="1200" w:type="dxa"/>
            <w:vAlign w:val="bottom"/>
            <w:gridSpan w:val="2"/>
          </w:tcPr>
          <w:p>
            <w:pPr>
              <w:jc w:val="center"/>
              <w:ind w:right="220"/>
              <w:spacing w:after="0" w:line="114" w:lineRule="exact"/>
              <w:rPr>
                <w:sz w:val="20"/>
                <w:szCs w:val="20"/>
                <w:color w:val="auto"/>
              </w:rPr>
            </w:pPr>
            <w:r>
              <w:rPr>
                <w:rFonts w:ascii="Arial" w:cs="Arial" w:eastAsia="Arial" w:hAnsi="Arial"/>
                <w:sz w:val="13"/>
                <w:szCs w:val="13"/>
                <w:b w:val="1"/>
                <w:bCs w:val="1"/>
                <w:color w:val="auto"/>
              </w:rPr>
              <w:t>Carrying</w:t>
            </w:r>
          </w:p>
        </w:tc>
        <w:tc>
          <w:tcPr>
            <w:tcW w:w="1620" w:type="dxa"/>
            <w:vAlign w:val="bottom"/>
            <w:vMerge w:val="restart"/>
          </w:tcPr>
          <w:p>
            <w:pPr>
              <w:ind w:left="520"/>
              <w:spacing w:after="0"/>
              <w:rPr>
                <w:sz w:val="20"/>
                <w:szCs w:val="20"/>
                <w:color w:val="auto"/>
              </w:rPr>
            </w:pPr>
            <w:r>
              <w:rPr>
                <w:rFonts w:ascii="Arial" w:cs="Arial" w:eastAsia="Arial" w:hAnsi="Arial"/>
                <w:sz w:val="14"/>
                <w:szCs w:val="14"/>
                <w:b w:val="1"/>
                <w:bCs w:val="1"/>
                <w:color w:val="auto"/>
              </w:rPr>
              <w:t>Collateral</w:t>
            </w:r>
          </w:p>
        </w:tc>
        <w:tc>
          <w:tcPr>
            <w:tcW w:w="0" w:type="dxa"/>
            <w:vAlign w:val="bottom"/>
          </w:tcPr>
          <w:p>
            <w:pPr>
              <w:spacing w:after="0"/>
              <w:rPr>
                <w:sz w:val="1"/>
                <w:szCs w:val="1"/>
                <w:color w:val="auto"/>
              </w:rPr>
            </w:pPr>
          </w:p>
        </w:tc>
      </w:tr>
      <w:tr>
        <w:trPr>
          <w:trHeight w:val="165"/>
        </w:trPr>
        <w:tc>
          <w:tcPr>
            <w:tcW w:w="1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11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0"/>
              </w:rPr>
              <w:t>amount</w:t>
            </w:r>
          </w:p>
        </w:tc>
        <w:tc>
          <w:tcPr>
            <w:tcW w:w="120" w:type="dxa"/>
            <w:vAlign w:val="bottom"/>
          </w:tcPr>
          <w:p>
            <w:pPr>
              <w:spacing w:after="0"/>
              <w:rPr>
                <w:sz w:val="14"/>
                <w:szCs w:val="14"/>
                <w:color w:val="auto"/>
              </w:rPr>
            </w:pPr>
          </w:p>
        </w:tc>
        <w:tc>
          <w:tcPr>
            <w:tcW w:w="1740" w:type="dxa"/>
            <w:vAlign w:val="bottom"/>
            <w:gridSpan w:val="2"/>
            <w:vMerge w:val="continue"/>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12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amount</w:t>
            </w:r>
          </w:p>
        </w:tc>
        <w:tc>
          <w:tcPr>
            <w:tcW w:w="16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164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Borders>
              <w:top w:val="single" w:sz="8" w:color="auto"/>
            </w:tcBorders>
          </w:tcPr>
          <w:p>
            <w:pPr>
              <w:jc w:val="center"/>
              <w:spacing w:after="0" w:line="136" w:lineRule="exact"/>
              <w:rPr>
                <w:sz w:val="20"/>
                <w:szCs w:val="20"/>
                <w:color w:val="auto"/>
              </w:rPr>
            </w:pPr>
            <w:r>
              <w:rPr>
                <w:rFonts w:ascii="Arial" w:cs="Arial" w:eastAsia="Arial" w:hAnsi="Arial"/>
                <w:sz w:val="14"/>
                <w:szCs w:val="14"/>
                <w:b w:val="1"/>
                <w:bCs w:val="1"/>
                <w:color w:val="auto"/>
                <w:w w:val="91"/>
              </w:rPr>
              <w:t>S/(000)</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2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Borders>
              <w:top w:val="single" w:sz="8" w:color="auto"/>
            </w:tcBorders>
          </w:tcPr>
          <w:p>
            <w:pPr>
              <w:jc w:val="center"/>
              <w:spacing w:after="0" w:line="136" w:lineRule="exact"/>
              <w:rPr>
                <w:sz w:val="20"/>
                <w:szCs w:val="20"/>
                <w:color w:val="auto"/>
              </w:rPr>
            </w:pPr>
            <w:r>
              <w:rPr>
                <w:rFonts w:ascii="Arial" w:cs="Arial" w:eastAsia="Arial" w:hAnsi="Arial"/>
                <w:sz w:val="14"/>
                <w:szCs w:val="14"/>
                <w:b w:val="1"/>
                <w:bCs w:val="1"/>
                <w:color w:val="auto"/>
                <w:w w:val="91"/>
              </w:rPr>
              <w:t>S/(000)</w:t>
            </w:r>
          </w:p>
        </w:tc>
        <w:tc>
          <w:tcPr>
            <w:tcW w:w="220" w:type="dxa"/>
            <w:vAlign w:val="bottom"/>
          </w:tcPr>
          <w:p>
            <w:pPr>
              <w:spacing w:after="0"/>
              <w:rPr>
                <w:sz w:val="11"/>
                <w:szCs w:val="11"/>
                <w:color w:val="auto"/>
              </w:rPr>
            </w:pPr>
          </w:p>
        </w:tc>
        <w:tc>
          <w:tcPr>
            <w:tcW w:w="162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24"/>
        </w:trPr>
        <w:tc>
          <w:tcPr>
            <w:tcW w:w="1760" w:type="dxa"/>
            <w:vAlign w:val="bottom"/>
            <w:gridSpan w:val="2"/>
            <w:shd w:val="clear" w:color="auto" w:fill="CCEEFF"/>
          </w:tcPr>
          <w:p>
            <w:pPr>
              <w:spacing w:after="0" w:line="125" w:lineRule="exact"/>
              <w:rPr>
                <w:sz w:val="20"/>
                <w:szCs w:val="20"/>
                <w:color w:val="auto"/>
              </w:rPr>
            </w:pPr>
            <w:r>
              <w:rPr>
                <w:rFonts w:ascii="Arial" w:cs="Arial" w:eastAsia="Arial" w:hAnsi="Arial"/>
                <w:sz w:val="14"/>
                <w:szCs w:val="14"/>
                <w:color w:val="auto"/>
              </w:rPr>
              <w:t>BCRP, Note 5(a)(i)</w:t>
            </w:r>
          </w:p>
        </w:tc>
        <w:tc>
          <w:tcPr>
            <w:tcW w:w="8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20" w:type="dxa"/>
            <w:vAlign w:val="bottom"/>
            <w:gridSpan w:val="2"/>
            <w:shd w:val="clear" w:color="auto" w:fill="CCEEFF"/>
          </w:tcPr>
          <w:p>
            <w:pPr>
              <w:jc w:val="center"/>
              <w:ind w:right="120"/>
              <w:spacing w:after="0" w:line="125" w:lineRule="exact"/>
              <w:rPr>
                <w:sz w:val="20"/>
                <w:szCs w:val="20"/>
                <w:color w:val="auto"/>
              </w:rPr>
            </w:pPr>
            <w:r>
              <w:rPr>
                <w:rFonts w:ascii="Arial" w:cs="Arial" w:eastAsia="Arial" w:hAnsi="Arial"/>
                <w:sz w:val="14"/>
                <w:szCs w:val="14"/>
                <w:color w:val="auto"/>
                <w:w w:val="88"/>
              </w:rPr>
              <w:t>January 2018 /</w:t>
            </w:r>
          </w:p>
        </w:tc>
        <w:tc>
          <w:tcPr>
            <w:tcW w:w="10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860" w:type="dxa"/>
            <w:vAlign w:val="bottom"/>
            <w:gridSpan w:val="3"/>
            <w:shd w:val="clear" w:color="auto" w:fill="CCEEFF"/>
          </w:tcPr>
          <w:p>
            <w:pPr>
              <w:ind w:left="120"/>
              <w:spacing w:after="0" w:line="125" w:lineRule="exact"/>
              <w:rPr>
                <w:sz w:val="20"/>
                <w:szCs w:val="20"/>
                <w:color w:val="auto"/>
              </w:rPr>
            </w:pPr>
            <w:r>
              <w:rPr>
                <w:rFonts w:ascii="Arial" w:cs="Arial" w:eastAsia="Arial" w:hAnsi="Arial"/>
                <w:sz w:val="14"/>
                <w:szCs w:val="14"/>
                <w:color w:val="auto"/>
              </w:rPr>
              <w:t>Cash with BCRP</w:t>
            </w:r>
          </w:p>
        </w:tc>
        <w:tc>
          <w:tcPr>
            <w:tcW w:w="1180" w:type="dxa"/>
            <w:vAlign w:val="bottom"/>
            <w:gridSpan w:val="2"/>
            <w:shd w:val="clear" w:color="auto" w:fill="CCEEFF"/>
          </w:tcPr>
          <w:p>
            <w:pPr>
              <w:jc w:val="center"/>
              <w:ind w:right="100"/>
              <w:spacing w:after="0" w:line="125" w:lineRule="exact"/>
              <w:rPr>
                <w:sz w:val="20"/>
                <w:szCs w:val="20"/>
                <w:color w:val="auto"/>
              </w:rPr>
            </w:pPr>
            <w:r>
              <w:rPr>
                <w:rFonts w:ascii="Arial" w:cs="Arial" w:eastAsia="Arial" w:hAnsi="Arial"/>
                <w:sz w:val="14"/>
                <w:szCs w:val="14"/>
                <w:color w:val="auto"/>
                <w:w w:val="86"/>
              </w:rPr>
              <w:t>January 2017 /</w:t>
            </w:r>
          </w:p>
        </w:tc>
        <w:tc>
          <w:tcPr>
            <w:tcW w:w="9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620" w:type="dxa"/>
            <w:vAlign w:val="bottom"/>
            <w:shd w:val="clear" w:color="auto" w:fill="CCEEFF"/>
          </w:tcPr>
          <w:p>
            <w:pPr>
              <w:spacing w:after="0" w:line="125" w:lineRule="exact"/>
              <w:rPr>
                <w:sz w:val="20"/>
                <w:szCs w:val="20"/>
                <w:color w:val="auto"/>
              </w:rPr>
            </w:pPr>
            <w:r>
              <w:rPr>
                <w:rFonts w:ascii="Arial" w:cs="Arial" w:eastAsia="Arial" w:hAnsi="Arial"/>
                <w:sz w:val="14"/>
                <w:szCs w:val="14"/>
                <w:color w:val="auto"/>
              </w:rPr>
              <w:t>Cash with BCRP</w:t>
            </w:r>
          </w:p>
        </w:tc>
        <w:tc>
          <w:tcPr>
            <w:tcW w:w="0" w:type="dxa"/>
            <w:vAlign w:val="bottom"/>
          </w:tcPr>
          <w:p>
            <w:pPr>
              <w:spacing w:after="0"/>
              <w:rPr>
                <w:sz w:val="1"/>
                <w:szCs w:val="1"/>
                <w:color w:val="auto"/>
              </w:rPr>
            </w:pPr>
          </w:p>
        </w:tc>
      </w:tr>
      <w:tr>
        <w:trPr>
          <w:trHeight w:val="161"/>
        </w:trPr>
        <w:tc>
          <w:tcPr>
            <w:tcW w:w="16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85"/>
              </w:rPr>
              <w:t>Soles</w:t>
            </w:r>
          </w:p>
        </w:tc>
        <w:tc>
          <w:tcPr>
            <w:tcW w:w="122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89"/>
              </w:rPr>
              <w:t>October 2020</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6,575,800</w:t>
            </w:r>
          </w:p>
        </w:tc>
        <w:tc>
          <w:tcPr>
            <w:tcW w:w="120" w:type="dxa"/>
            <w:vAlign w:val="bottom"/>
            <w:shd w:val="clear" w:color="auto" w:fill="CCEEFF"/>
          </w:tcPr>
          <w:p>
            <w:pPr>
              <w:spacing w:after="0"/>
              <w:rPr>
                <w:sz w:val="14"/>
                <w:szCs w:val="14"/>
                <w:color w:val="auto"/>
              </w:rPr>
            </w:pPr>
          </w:p>
        </w:tc>
        <w:tc>
          <w:tcPr>
            <w:tcW w:w="16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89"/>
              </w:rPr>
              <w:t>October 2020</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10,008,700</w:t>
            </w:r>
          </w:p>
        </w:tc>
        <w:tc>
          <w:tcPr>
            <w:tcW w:w="220" w:type="dxa"/>
            <w:vAlign w:val="bottom"/>
            <w:shd w:val="clear" w:color="auto" w:fill="CCEEFF"/>
          </w:tcPr>
          <w:p>
            <w:pPr>
              <w:spacing w:after="0"/>
              <w:rPr>
                <w:sz w:val="14"/>
                <w:szCs w:val="14"/>
                <w:color w:val="auto"/>
              </w:rPr>
            </w:pPr>
          </w:p>
        </w:tc>
        <w:tc>
          <w:tcPr>
            <w:tcW w:w="16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4"/>
        </w:trPr>
        <w:tc>
          <w:tcPr>
            <w:tcW w:w="1760" w:type="dxa"/>
            <w:vAlign w:val="bottom"/>
            <w:gridSpan w:val="2"/>
          </w:tcPr>
          <w:p>
            <w:pPr>
              <w:spacing w:after="0" w:line="125" w:lineRule="exact"/>
              <w:rPr>
                <w:sz w:val="20"/>
                <w:szCs w:val="20"/>
                <w:color w:val="auto"/>
              </w:rPr>
            </w:pPr>
            <w:r>
              <w:rPr>
                <w:rFonts w:ascii="Arial" w:cs="Arial" w:eastAsia="Arial" w:hAnsi="Arial"/>
                <w:sz w:val="14"/>
                <w:szCs w:val="14"/>
                <w:color w:val="auto"/>
              </w:rPr>
              <w:t>BCRP</w:t>
            </w:r>
          </w:p>
        </w:tc>
        <w:tc>
          <w:tcPr>
            <w:tcW w:w="8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60" w:type="dxa"/>
            <w:vAlign w:val="bottom"/>
            <w:gridSpan w:val="3"/>
          </w:tcPr>
          <w:p>
            <w:pPr>
              <w:ind w:left="120"/>
              <w:spacing w:after="0" w:line="125" w:lineRule="exact"/>
              <w:rPr>
                <w:sz w:val="20"/>
                <w:szCs w:val="20"/>
                <w:color w:val="auto"/>
              </w:rPr>
            </w:pPr>
            <w:r>
              <w:rPr>
                <w:rFonts w:ascii="Arial" w:cs="Arial" w:eastAsia="Arial" w:hAnsi="Arial"/>
                <w:sz w:val="14"/>
                <w:szCs w:val="14"/>
                <w:color w:val="auto"/>
              </w:rPr>
              <w:t>Available-for-sale</w:t>
            </w:r>
          </w:p>
        </w:tc>
        <w:tc>
          <w:tcPr>
            <w:tcW w:w="1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20" w:type="dxa"/>
            <w:vAlign w:val="bottom"/>
          </w:tcPr>
          <w:p>
            <w:pPr>
              <w:spacing w:after="0" w:line="125" w:lineRule="exact"/>
              <w:rPr>
                <w:sz w:val="20"/>
                <w:szCs w:val="20"/>
                <w:color w:val="auto"/>
              </w:rPr>
            </w:pPr>
            <w:r>
              <w:rPr>
                <w:rFonts w:ascii="Arial" w:cs="Arial" w:eastAsia="Arial" w:hAnsi="Arial"/>
                <w:sz w:val="14"/>
                <w:szCs w:val="14"/>
                <w:color w:val="auto"/>
              </w:rPr>
              <w:t>Available-for-sale</w:t>
            </w:r>
          </w:p>
        </w:tc>
        <w:tc>
          <w:tcPr>
            <w:tcW w:w="0" w:type="dxa"/>
            <w:vAlign w:val="bottom"/>
          </w:tcPr>
          <w:p>
            <w:pPr>
              <w:spacing w:after="0"/>
              <w:rPr>
                <w:sz w:val="1"/>
                <w:szCs w:val="1"/>
                <w:color w:val="auto"/>
              </w:rPr>
            </w:pPr>
          </w:p>
        </w:tc>
      </w:tr>
      <w:tr>
        <w:trPr>
          <w:trHeight w:val="143"/>
        </w:trPr>
        <w:tc>
          <w:tcPr>
            <w:tcW w:w="1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tcPr>
          <w:p>
            <w:pPr>
              <w:jc w:val="center"/>
              <w:ind w:right="100"/>
              <w:spacing w:after="0" w:line="143" w:lineRule="exact"/>
              <w:rPr>
                <w:sz w:val="20"/>
                <w:szCs w:val="20"/>
                <w:color w:val="auto"/>
              </w:rPr>
            </w:pPr>
            <w:r>
              <w:rPr>
                <w:rFonts w:ascii="Arial" w:cs="Arial" w:eastAsia="Arial" w:hAnsi="Arial"/>
                <w:sz w:val="14"/>
                <w:szCs w:val="14"/>
                <w:color w:val="auto"/>
                <w:w w:val="88"/>
              </w:rPr>
              <w:t>January 2018 / July</w:t>
            </w: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60" w:type="dxa"/>
            <w:vAlign w:val="bottom"/>
            <w:gridSpan w:val="3"/>
          </w:tcPr>
          <w:p>
            <w:pPr>
              <w:ind w:left="120"/>
              <w:spacing w:after="0" w:line="143" w:lineRule="exact"/>
              <w:rPr>
                <w:sz w:val="20"/>
                <w:szCs w:val="20"/>
                <w:color w:val="auto"/>
              </w:rPr>
            </w:pPr>
            <w:r>
              <w:rPr>
                <w:rFonts w:ascii="Arial" w:cs="Arial" w:eastAsia="Arial" w:hAnsi="Arial"/>
                <w:sz w:val="14"/>
                <w:szCs w:val="14"/>
                <w:color w:val="auto"/>
              </w:rPr>
              <w:t>investments and held-to-</w:t>
            </w:r>
          </w:p>
        </w:tc>
        <w:tc>
          <w:tcPr>
            <w:tcW w:w="1180" w:type="dxa"/>
            <w:vAlign w:val="bottom"/>
            <w:gridSpan w:val="2"/>
          </w:tcPr>
          <w:p>
            <w:pPr>
              <w:jc w:val="center"/>
              <w:ind w:right="100"/>
              <w:spacing w:after="0" w:line="143" w:lineRule="exact"/>
              <w:rPr>
                <w:sz w:val="20"/>
                <w:szCs w:val="20"/>
                <w:color w:val="auto"/>
              </w:rPr>
            </w:pPr>
            <w:r>
              <w:rPr>
                <w:rFonts w:ascii="Arial" w:cs="Arial" w:eastAsia="Arial" w:hAnsi="Arial"/>
                <w:sz w:val="14"/>
                <w:szCs w:val="14"/>
                <w:color w:val="auto"/>
                <w:w w:val="86"/>
              </w:rPr>
              <w:t>January 2017 /</w:t>
            </w: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20" w:type="dxa"/>
            <w:vAlign w:val="bottom"/>
          </w:tcPr>
          <w:p>
            <w:pPr>
              <w:spacing w:after="0" w:line="143" w:lineRule="exact"/>
              <w:rPr>
                <w:sz w:val="20"/>
                <w:szCs w:val="20"/>
                <w:color w:val="auto"/>
              </w:rPr>
            </w:pPr>
            <w:r>
              <w:rPr>
                <w:rFonts w:ascii="Arial" w:cs="Arial" w:eastAsia="Arial" w:hAnsi="Arial"/>
                <w:sz w:val="14"/>
                <w:szCs w:val="14"/>
                <w:color w:val="auto"/>
              </w:rPr>
              <w:t>investments</w:t>
            </w:r>
          </w:p>
        </w:tc>
        <w:tc>
          <w:tcPr>
            <w:tcW w:w="0" w:type="dxa"/>
            <w:vAlign w:val="bottom"/>
          </w:tcPr>
          <w:p>
            <w:pPr>
              <w:spacing w:after="0"/>
              <w:rPr>
                <w:sz w:val="1"/>
                <w:szCs w:val="1"/>
                <w:color w:val="auto"/>
              </w:rPr>
            </w:pPr>
          </w:p>
        </w:tc>
      </w:tr>
      <w:tr>
        <w:trPr>
          <w:trHeight w:val="161"/>
        </w:trPr>
        <w:tc>
          <w:tcPr>
            <w:tcW w:w="1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center"/>
              <w:ind w:right="100"/>
              <w:spacing w:after="0"/>
              <w:rPr>
                <w:sz w:val="20"/>
                <w:szCs w:val="20"/>
                <w:color w:val="auto"/>
              </w:rPr>
            </w:pPr>
            <w:r>
              <w:rPr>
                <w:rFonts w:ascii="Arial" w:cs="Arial" w:eastAsia="Arial" w:hAnsi="Arial"/>
                <w:sz w:val="14"/>
                <w:szCs w:val="14"/>
                <w:color w:val="auto"/>
                <w:w w:val="85"/>
              </w:rPr>
              <w:t>Soles</w:t>
            </w:r>
          </w:p>
        </w:tc>
        <w:tc>
          <w:tcPr>
            <w:tcW w:w="1100" w:type="dxa"/>
            <w:vAlign w:val="bottom"/>
          </w:tcPr>
          <w:p>
            <w:pPr>
              <w:jc w:val="right"/>
              <w:ind w:right="331"/>
              <w:spacing w:after="0"/>
              <w:rPr>
                <w:sz w:val="20"/>
                <w:szCs w:val="20"/>
                <w:color w:val="auto"/>
              </w:rPr>
            </w:pPr>
            <w:r>
              <w:rPr>
                <w:rFonts w:ascii="Arial" w:cs="Arial" w:eastAsia="Arial" w:hAnsi="Arial"/>
                <w:sz w:val="14"/>
                <w:szCs w:val="14"/>
                <w:color w:val="auto"/>
              </w:rPr>
              <w:t>2020</w:t>
            </w:r>
          </w:p>
        </w:tc>
        <w:tc>
          <w:tcPr>
            <w:tcW w:w="120" w:type="dxa"/>
            <w:vAlign w:val="bottom"/>
          </w:tcPr>
          <w:p>
            <w:pPr>
              <w:spacing w:after="0"/>
              <w:rPr>
                <w:sz w:val="14"/>
                <w:szCs w:val="14"/>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4"/>
                <w:szCs w:val="14"/>
                <w:color w:val="auto"/>
              </w:rPr>
              <w:t>2,710,232</w:t>
            </w:r>
          </w:p>
        </w:tc>
        <w:tc>
          <w:tcPr>
            <w:tcW w:w="1860" w:type="dxa"/>
            <w:vAlign w:val="bottom"/>
            <w:gridSpan w:val="3"/>
          </w:tcPr>
          <w:p>
            <w:pPr>
              <w:ind w:left="120"/>
              <w:spacing w:after="0"/>
              <w:rPr>
                <w:sz w:val="20"/>
                <w:szCs w:val="20"/>
                <w:color w:val="auto"/>
              </w:rPr>
            </w:pPr>
            <w:r>
              <w:rPr>
                <w:rFonts w:ascii="Arial" w:cs="Arial" w:eastAsia="Arial" w:hAnsi="Arial"/>
                <w:sz w:val="14"/>
                <w:szCs w:val="14"/>
                <w:color w:val="auto"/>
              </w:rPr>
              <w:t>maturity investments</w:t>
            </w:r>
          </w:p>
        </w:tc>
        <w:tc>
          <w:tcPr>
            <w:tcW w:w="1180" w:type="dxa"/>
            <w:vAlign w:val="bottom"/>
            <w:gridSpan w:val="2"/>
          </w:tcPr>
          <w:p>
            <w:pPr>
              <w:jc w:val="center"/>
              <w:ind w:right="100"/>
              <w:spacing w:after="0"/>
              <w:rPr>
                <w:sz w:val="20"/>
                <w:szCs w:val="20"/>
                <w:color w:val="auto"/>
              </w:rPr>
            </w:pPr>
            <w:r>
              <w:rPr>
                <w:rFonts w:ascii="Arial" w:cs="Arial" w:eastAsia="Arial" w:hAnsi="Arial"/>
                <w:sz w:val="14"/>
                <w:szCs w:val="14"/>
                <w:color w:val="auto"/>
                <w:w w:val="85"/>
              </w:rPr>
              <w:t>June 2017</w:t>
            </w:r>
          </w:p>
        </w:tc>
        <w:tc>
          <w:tcPr>
            <w:tcW w:w="980" w:type="dxa"/>
            <w:vAlign w:val="bottom"/>
          </w:tcPr>
          <w:p>
            <w:pPr>
              <w:jc w:val="right"/>
              <w:spacing w:after="0"/>
              <w:rPr>
                <w:sz w:val="20"/>
                <w:szCs w:val="20"/>
                <w:color w:val="auto"/>
              </w:rPr>
            </w:pPr>
            <w:r>
              <w:rPr>
                <w:rFonts w:ascii="Arial" w:cs="Arial" w:eastAsia="Arial" w:hAnsi="Arial"/>
                <w:sz w:val="14"/>
                <w:szCs w:val="14"/>
                <w:color w:val="auto"/>
              </w:rPr>
              <w:t>1,256,706</w:t>
            </w:r>
          </w:p>
        </w:tc>
        <w:tc>
          <w:tcPr>
            <w:tcW w:w="2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4"/>
        </w:trPr>
        <w:tc>
          <w:tcPr>
            <w:tcW w:w="1760" w:type="dxa"/>
            <w:vAlign w:val="bottom"/>
            <w:gridSpan w:val="2"/>
            <w:shd w:val="clear" w:color="auto" w:fill="CCEEFF"/>
          </w:tcPr>
          <w:p>
            <w:pPr>
              <w:spacing w:after="0" w:line="125" w:lineRule="exact"/>
              <w:rPr>
                <w:sz w:val="20"/>
                <w:szCs w:val="20"/>
                <w:color w:val="auto"/>
              </w:rPr>
            </w:pPr>
            <w:r>
              <w:rPr>
                <w:rFonts w:ascii="Arial" w:cs="Arial" w:eastAsia="Arial" w:hAnsi="Arial"/>
                <w:sz w:val="14"/>
                <w:szCs w:val="14"/>
                <w:color w:val="auto"/>
              </w:rPr>
              <w:t>Natixis S.A.</w:t>
            </w:r>
          </w:p>
        </w:tc>
        <w:tc>
          <w:tcPr>
            <w:tcW w:w="8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20" w:type="dxa"/>
            <w:vAlign w:val="bottom"/>
            <w:gridSpan w:val="2"/>
            <w:shd w:val="clear" w:color="auto" w:fill="CCEEFF"/>
          </w:tcPr>
          <w:p>
            <w:pPr>
              <w:jc w:val="center"/>
              <w:ind w:right="120"/>
              <w:spacing w:after="0" w:line="125" w:lineRule="exact"/>
              <w:rPr>
                <w:sz w:val="20"/>
                <w:szCs w:val="20"/>
                <w:color w:val="auto"/>
              </w:rPr>
            </w:pPr>
            <w:r>
              <w:rPr>
                <w:rFonts w:ascii="Arial" w:cs="Arial" w:eastAsia="Arial" w:hAnsi="Arial"/>
                <w:sz w:val="14"/>
                <w:szCs w:val="14"/>
                <w:color w:val="auto"/>
                <w:w w:val="90"/>
              </w:rPr>
              <w:t>August 2020 /</w:t>
            </w:r>
          </w:p>
        </w:tc>
        <w:tc>
          <w:tcPr>
            <w:tcW w:w="10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860" w:type="dxa"/>
            <w:vAlign w:val="bottom"/>
            <w:gridSpan w:val="3"/>
            <w:shd w:val="clear" w:color="auto" w:fill="CCEEFF"/>
          </w:tcPr>
          <w:p>
            <w:pPr>
              <w:ind w:left="120"/>
              <w:spacing w:after="0" w:line="125" w:lineRule="exact"/>
              <w:rPr>
                <w:sz w:val="20"/>
                <w:szCs w:val="20"/>
                <w:color w:val="auto"/>
              </w:rPr>
            </w:pPr>
            <w:r>
              <w:rPr>
                <w:rFonts w:ascii="Arial" w:cs="Arial" w:eastAsia="Arial" w:hAnsi="Arial"/>
                <w:sz w:val="14"/>
                <w:szCs w:val="14"/>
                <w:color w:val="auto"/>
                <w:w w:val="96"/>
              </w:rPr>
              <w:t>Held-to-maturity investments</w:t>
            </w:r>
          </w:p>
        </w:tc>
        <w:tc>
          <w:tcPr>
            <w:tcW w:w="1180" w:type="dxa"/>
            <w:vAlign w:val="bottom"/>
            <w:gridSpan w:val="2"/>
            <w:shd w:val="clear" w:color="auto" w:fill="CCEEFF"/>
          </w:tcPr>
          <w:p>
            <w:pPr>
              <w:jc w:val="center"/>
              <w:ind w:right="100"/>
              <w:spacing w:after="0" w:line="125" w:lineRule="exact"/>
              <w:rPr>
                <w:sz w:val="20"/>
                <w:szCs w:val="20"/>
                <w:color w:val="auto"/>
              </w:rPr>
            </w:pPr>
            <w:r>
              <w:rPr>
                <w:rFonts w:ascii="Arial" w:cs="Arial" w:eastAsia="Arial" w:hAnsi="Arial"/>
                <w:sz w:val="14"/>
                <w:szCs w:val="14"/>
                <w:color w:val="auto"/>
                <w:w w:val="92"/>
              </w:rPr>
              <w:t>August 2017 /</w:t>
            </w:r>
          </w:p>
        </w:tc>
        <w:tc>
          <w:tcPr>
            <w:tcW w:w="9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620" w:type="dxa"/>
            <w:vAlign w:val="bottom"/>
            <w:shd w:val="clear" w:color="auto" w:fill="CCEEFF"/>
          </w:tcPr>
          <w:p>
            <w:pPr>
              <w:spacing w:after="0" w:line="125" w:lineRule="exact"/>
              <w:rPr>
                <w:sz w:val="20"/>
                <w:szCs w:val="20"/>
                <w:color w:val="auto"/>
              </w:rPr>
            </w:pPr>
            <w:r>
              <w:rPr>
                <w:rFonts w:ascii="Arial" w:cs="Arial" w:eastAsia="Arial" w:hAnsi="Arial"/>
                <w:sz w:val="14"/>
                <w:szCs w:val="14"/>
                <w:color w:val="auto"/>
                <w:w w:val="89"/>
              </w:rPr>
              <w:t>Held-to-maturity investments</w:t>
            </w:r>
          </w:p>
        </w:tc>
        <w:tc>
          <w:tcPr>
            <w:tcW w:w="0" w:type="dxa"/>
            <w:vAlign w:val="bottom"/>
          </w:tcPr>
          <w:p>
            <w:pPr>
              <w:spacing w:after="0"/>
              <w:rPr>
                <w:sz w:val="1"/>
                <w:szCs w:val="1"/>
                <w:color w:val="auto"/>
              </w:rPr>
            </w:pPr>
          </w:p>
        </w:tc>
      </w:tr>
      <w:tr>
        <w:trPr>
          <w:trHeight w:val="161"/>
        </w:trPr>
        <w:tc>
          <w:tcPr>
            <w:tcW w:w="16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85"/>
              </w:rPr>
              <w:t>Soles</w:t>
            </w:r>
          </w:p>
        </w:tc>
        <w:tc>
          <w:tcPr>
            <w:tcW w:w="122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1"/>
              </w:rPr>
              <w:t>August 2028</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570,000</w:t>
            </w:r>
          </w:p>
        </w:tc>
        <w:tc>
          <w:tcPr>
            <w:tcW w:w="120" w:type="dxa"/>
            <w:vAlign w:val="bottom"/>
            <w:shd w:val="clear" w:color="auto" w:fill="CCEEFF"/>
          </w:tcPr>
          <w:p>
            <w:pPr>
              <w:spacing w:after="0"/>
              <w:rPr>
                <w:sz w:val="14"/>
                <w:szCs w:val="14"/>
                <w:color w:val="auto"/>
              </w:rPr>
            </w:pPr>
          </w:p>
        </w:tc>
        <w:tc>
          <w:tcPr>
            <w:tcW w:w="16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1"/>
              </w:rPr>
              <w:t>August 2020</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600,000</w:t>
            </w:r>
          </w:p>
        </w:tc>
        <w:tc>
          <w:tcPr>
            <w:tcW w:w="16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4"/>
        </w:trPr>
        <w:tc>
          <w:tcPr>
            <w:tcW w:w="1760" w:type="dxa"/>
            <w:vAlign w:val="bottom"/>
            <w:gridSpan w:val="2"/>
          </w:tcPr>
          <w:p>
            <w:pPr>
              <w:spacing w:after="0" w:line="125" w:lineRule="exact"/>
              <w:rPr>
                <w:sz w:val="20"/>
                <w:szCs w:val="20"/>
                <w:color w:val="auto"/>
              </w:rPr>
            </w:pPr>
            <w:r>
              <w:rPr>
                <w:rFonts w:ascii="Arial" w:cs="Arial" w:eastAsia="Arial" w:hAnsi="Arial"/>
                <w:sz w:val="14"/>
                <w:szCs w:val="14"/>
                <w:color w:val="auto"/>
                <w:w w:val="97"/>
              </w:rPr>
              <w:t>Nomura International PLC (i)</w:t>
            </w:r>
          </w:p>
        </w:tc>
        <w:tc>
          <w:tcPr>
            <w:tcW w:w="8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20" w:type="dxa"/>
            <w:vAlign w:val="bottom"/>
            <w:gridSpan w:val="2"/>
          </w:tcPr>
          <w:p>
            <w:pPr>
              <w:jc w:val="center"/>
              <w:ind w:right="120"/>
              <w:spacing w:after="0" w:line="125" w:lineRule="exact"/>
              <w:rPr>
                <w:sz w:val="20"/>
                <w:szCs w:val="20"/>
                <w:color w:val="auto"/>
              </w:rPr>
            </w:pPr>
            <w:r>
              <w:rPr>
                <w:rFonts w:ascii="Arial" w:cs="Arial" w:eastAsia="Arial" w:hAnsi="Arial"/>
                <w:sz w:val="14"/>
                <w:szCs w:val="14"/>
                <w:color w:val="auto"/>
                <w:w w:val="90"/>
              </w:rPr>
              <w:t>March 2019 /</w:t>
            </w: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60" w:type="dxa"/>
            <w:vAlign w:val="bottom"/>
            <w:gridSpan w:val="3"/>
          </w:tcPr>
          <w:p>
            <w:pPr>
              <w:ind w:left="120"/>
              <w:spacing w:after="0" w:line="125" w:lineRule="exact"/>
              <w:rPr>
                <w:sz w:val="20"/>
                <w:szCs w:val="20"/>
                <w:color w:val="auto"/>
              </w:rPr>
            </w:pPr>
            <w:r>
              <w:rPr>
                <w:rFonts w:ascii="Arial" w:cs="Arial" w:eastAsia="Arial" w:hAnsi="Arial"/>
                <w:sz w:val="14"/>
                <w:szCs w:val="14"/>
                <w:color w:val="auto"/>
                <w:w w:val="96"/>
              </w:rPr>
              <w:t>Held-to-maturity investments</w:t>
            </w:r>
          </w:p>
        </w:tc>
        <w:tc>
          <w:tcPr>
            <w:tcW w:w="1180" w:type="dxa"/>
            <w:vAlign w:val="bottom"/>
            <w:gridSpan w:val="2"/>
          </w:tcPr>
          <w:p>
            <w:pPr>
              <w:jc w:val="center"/>
              <w:ind w:right="100"/>
              <w:spacing w:after="0" w:line="125" w:lineRule="exact"/>
              <w:rPr>
                <w:sz w:val="20"/>
                <w:szCs w:val="20"/>
                <w:color w:val="auto"/>
              </w:rPr>
            </w:pPr>
            <w:r>
              <w:rPr>
                <w:rFonts w:ascii="Arial" w:cs="Arial" w:eastAsia="Arial" w:hAnsi="Arial"/>
                <w:sz w:val="14"/>
                <w:szCs w:val="14"/>
                <w:color w:val="auto"/>
                <w:w w:val="92"/>
              </w:rPr>
              <w:t>March 2019 /</w:t>
            </w:r>
          </w:p>
        </w:tc>
        <w:tc>
          <w:tcPr>
            <w:tcW w:w="9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20" w:type="dxa"/>
            <w:vAlign w:val="bottom"/>
          </w:tcPr>
          <w:p>
            <w:pPr>
              <w:spacing w:after="0" w:line="125" w:lineRule="exact"/>
              <w:rPr>
                <w:sz w:val="20"/>
                <w:szCs w:val="20"/>
                <w:color w:val="auto"/>
              </w:rPr>
            </w:pPr>
            <w:r>
              <w:rPr>
                <w:rFonts w:ascii="Arial" w:cs="Arial" w:eastAsia="Arial" w:hAnsi="Arial"/>
                <w:sz w:val="14"/>
                <w:szCs w:val="14"/>
                <w:color w:val="auto"/>
                <w:w w:val="89"/>
              </w:rPr>
              <w:t>Held-to-maturity investments</w:t>
            </w:r>
          </w:p>
        </w:tc>
        <w:tc>
          <w:tcPr>
            <w:tcW w:w="0" w:type="dxa"/>
            <w:vAlign w:val="bottom"/>
          </w:tcPr>
          <w:p>
            <w:pPr>
              <w:spacing w:after="0"/>
              <w:rPr>
                <w:sz w:val="1"/>
                <w:szCs w:val="1"/>
                <w:color w:val="auto"/>
              </w:rPr>
            </w:pPr>
          </w:p>
        </w:tc>
      </w:tr>
      <w:tr>
        <w:trPr>
          <w:trHeight w:val="161"/>
        </w:trPr>
        <w:tc>
          <w:tcPr>
            <w:tcW w:w="1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center"/>
              <w:ind w:right="120"/>
              <w:spacing w:after="0"/>
              <w:rPr>
                <w:sz w:val="20"/>
                <w:szCs w:val="20"/>
                <w:color w:val="auto"/>
              </w:rPr>
            </w:pPr>
            <w:r>
              <w:rPr>
                <w:rFonts w:ascii="Arial" w:cs="Arial" w:eastAsia="Arial" w:hAnsi="Arial"/>
                <w:sz w:val="14"/>
                <w:szCs w:val="14"/>
                <w:color w:val="auto"/>
                <w:w w:val="91"/>
              </w:rPr>
              <w:t>U.S. dollar</w:t>
            </w:r>
          </w:p>
        </w:tc>
        <w:tc>
          <w:tcPr>
            <w:tcW w:w="1220" w:type="dxa"/>
            <w:vAlign w:val="bottom"/>
            <w:gridSpan w:val="2"/>
          </w:tcPr>
          <w:p>
            <w:pPr>
              <w:jc w:val="center"/>
              <w:ind w:right="100"/>
              <w:spacing w:after="0"/>
              <w:rPr>
                <w:sz w:val="20"/>
                <w:szCs w:val="20"/>
                <w:color w:val="auto"/>
              </w:rPr>
            </w:pPr>
            <w:r>
              <w:rPr>
                <w:rFonts w:ascii="Arial" w:cs="Arial" w:eastAsia="Arial" w:hAnsi="Arial"/>
                <w:sz w:val="14"/>
                <w:szCs w:val="14"/>
                <w:color w:val="auto"/>
                <w:w w:val="88"/>
              </w:rPr>
              <w:t>December 2019</w:t>
            </w:r>
          </w:p>
        </w:tc>
        <w:tc>
          <w:tcPr>
            <w:tcW w:w="1100" w:type="dxa"/>
            <w:vAlign w:val="bottom"/>
            <w:gridSpan w:val="2"/>
          </w:tcPr>
          <w:p>
            <w:pPr>
              <w:jc w:val="right"/>
              <w:ind w:right="100"/>
              <w:spacing w:after="0"/>
              <w:rPr>
                <w:sz w:val="20"/>
                <w:szCs w:val="20"/>
                <w:color w:val="auto"/>
              </w:rPr>
            </w:pPr>
            <w:r>
              <w:rPr>
                <w:rFonts w:ascii="Arial" w:cs="Arial" w:eastAsia="Arial" w:hAnsi="Arial"/>
                <w:sz w:val="14"/>
                <w:szCs w:val="14"/>
                <w:color w:val="auto"/>
              </w:rPr>
              <w:t>486,150</w:t>
            </w:r>
          </w:p>
        </w:tc>
        <w:tc>
          <w:tcPr>
            <w:tcW w:w="1860" w:type="dxa"/>
            <w:vAlign w:val="bottom"/>
            <w:gridSpan w:val="3"/>
          </w:tcPr>
          <w:p>
            <w:pPr>
              <w:ind w:left="120"/>
              <w:spacing w:after="0"/>
              <w:rPr>
                <w:sz w:val="20"/>
                <w:szCs w:val="20"/>
                <w:color w:val="auto"/>
              </w:rPr>
            </w:pPr>
            <w:r>
              <w:rPr>
                <w:rFonts w:ascii="Arial" w:cs="Arial" w:eastAsia="Arial" w:hAnsi="Arial"/>
                <w:sz w:val="14"/>
                <w:szCs w:val="14"/>
                <w:color w:val="auto"/>
              </w:rPr>
              <w:t>and cash</w:t>
            </w:r>
          </w:p>
        </w:tc>
        <w:tc>
          <w:tcPr>
            <w:tcW w:w="1180" w:type="dxa"/>
            <w:vAlign w:val="bottom"/>
            <w:gridSpan w:val="2"/>
          </w:tcPr>
          <w:p>
            <w:pPr>
              <w:jc w:val="center"/>
              <w:ind w:right="100"/>
              <w:spacing w:after="0"/>
              <w:rPr>
                <w:sz w:val="20"/>
                <w:szCs w:val="20"/>
                <w:color w:val="auto"/>
              </w:rPr>
            </w:pPr>
            <w:r>
              <w:rPr>
                <w:rFonts w:ascii="Arial" w:cs="Arial" w:eastAsia="Arial" w:hAnsi="Arial"/>
                <w:sz w:val="14"/>
                <w:szCs w:val="14"/>
                <w:color w:val="auto"/>
                <w:w w:val="88"/>
              </w:rPr>
              <w:t>December 2019</w:t>
            </w: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503,400</w:t>
            </w:r>
          </w:p>
        </w:tc>
        <w:tc>
          <w:tcPr>
            <w:tcW w:w="1620" w:type="dxa"/>
            <w:vAlign w:val="bottom"/>
          </w:tcPr>
          <w:p>
            <w:pPr>
              <w:spacing w:after="0"/>
              <w:rPr>
                <w:sz w:val="20"/>
                <w:szCs w:val="20"/>
                <w:color w:val="auto"/>
              </w:rPr>
            </w:pPr>
            <w:r>
              <w:rPr>
                <w:rFonts w:ascii="Arial" w:cs="Arial" w:eastAsia="Arial" w:hAnsi="Arial"/>
                <w:sz w:val="14"/>
                <w:szCs w:val="14"/>
                <w:color w:val="auto"/>
              </w:rPr>
              <w:t>and cash</w:t>
            </w:r>
          </w:p>
        </w:tc>
        <w:tc>
          <w:tcPr>
            <w:tcW w:w="0" w:type="dxa"/>
            <w:vAlign w:val="bottom"/>
          </w:tcPr>
          <w:p>
            <w:pPr>
              <w:spacing w:after="0"/>
              <w:rPr>
                <w:sz w:val="1"/>
                <w:szCs w:val="1"/>
                <w:color w:val="auto"/>
              </w:rPr>
            </w:pPr>
          </w:p>
        </w:tc>
      </w:tr>
      <w:tr>
        <w:trPr>
          <w:trHeight w:val="124"/>
        </w:trPr>
        <w:tc>
          <w:tcPr>
            <w:tcW w:w="1760" w:type="dxa"/>
            <w:vAlign w:val="bottom"/>
            <w:gridSpan w:val="2"/>
            <w:shd w:val="clear" w:color="auto" w:fill="CCEEFF"/>
          </w:tcPr>
          <w:p>
            <w:pPr>
              <w:spacing w:after="0" w:line="125" w:lineRule="exact"/>
              <w:rPr>
                <w:sz w:val="20"/>
                <w:szCs w:val="20"/>
                <w:color w:val="auto"/>
              </w:rPr>
            </w:pPr>
            <w:r>
              <w:rPr>
                <w:rFonts w:ascii="Arial" w:cs="Arial" w:eastAsia="Arial" w:hAnsi="Arial"/>
                <w:sz w:val="14"/>
                <w:szCs w:val="14"/>
                <w:color w:val="auto"/>
              </w:rPr>
              <w:t>Barclays PLC</w:t>
            </w:r>
          </w:p>
        </w:tc>
        <w:tc>
          <w:tcPr>
            <w:tcW w:w="8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860" w:type="dxa"/>
            <w:vAlign w:val="bottom"/>
            <w:gridSpan w:val="3"/>
            <w:shd w:val="clear" w:color="auto" w:fill="CCEEFF"/>
          </w:tcPr>
          <w:p>
            <w:pPr>
              <w:ind w:left="120"/>
              <w:spacing w:after="0" w:line="125" w:lineRule="exact"/>
              <w:rPr>
                <w:sz w:val="20"/>
                <w:szCs w:val="20"/>
                <w:color w:val="auto"/>
              </w:rPr>
            </w:pPr>
            <w:r>
              <w:rPr>
                <w:rFonts w:ascii="Arial" w:cs="Arial" w:eastAsia="Arial" w:hAnsi="Arial"/>
                <w:sz w:val="14"/>
                <w:szCs w:val="14"/>
                <w:color w:val="auto"/>
              </w:rPr>
              <w:t>Available-for-sale</w:t>
            </w:r>
          </w:p>
        </w:tc>
        <w:tc>
          <w:tcPr>
            <w:tcW w:w="10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6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1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center"/>
              <w:ind w:right="120"/>
              <w:spacing w:after="0" w:line="143" w:lineRule="exact"/>
              <w:rPr>
                <w:sz w:val="20"/>
                <w:szCs w:val="20"/>
                <w:color w:val="auto"/>
              </w:rPr>
            </w:pPr>
            <w:r>
              <w:rPr>
                <w:rFonts w:ascii="Arial" w:cs="Arial" w:eastAsia="Arial" w:hAnsi="Arial"/>
                <w:sz w:val="14"/>
                <w:szCs w:val="14"/>
                <w:color w:val="auto"/>
                <w:w w:val="88"/>
              </w:rPr>
              <w:t>January 2018 /</w:t>
            </w:r>
          </w:p>
        </w:tc>
        <w:tc>
          <w:tcPr>
            <w:tcW w:w="10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60" w:type="dxa"/>
            <w:vAlign w:val="bottom"/>
            <w:gridSpan w:val="3"/>
            <w:shd w:val="clear" w:color="auto" w:fill="CCEEFF"/>
          </w:tcPr>
          <w:p>
            <w:pPr>
              <w:ind w:left="120"/>
              <w:spacing w:after="0" w:line="143" w:lineRule="exact"/>
              <w:rPr>
                <w:sz w:val="20"/>
                <w:szCs w:val="20"/>
                <w:color w:val="auto"/>
              </w:rPr>
            </w:pPr>
            <w:r>
              <w:rPr>
                <w:rFonts w:ascii="Arial" w:cs="Arial" w:eastAsia="Arial" w:hAnsi="Arial"/>
                <w:sz w:val="14"/>
                <w:szCs w:val="14"/>
                <w:color w:val="auto"/>
              </w:rPr>
              <w:t>investments and held-to-</w:t>
            </w:r>
          </w:p>
        </w:tc>
        <w:tc>
          <w:tcPr>
            <w:tcW w:w="10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16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1"/>
              </w:rPr>
              <w:t>U.S. dollar</w:t>
            </w:r>
          </w:p>
        </w:tc>
        <w:tc>
          <w:tcPr>
            <w:tcW w:w="122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0"/>
              </w:rPr>
              <w:t>Julio 2018</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293,944</w:t>
            </w:r>
          </w:p>
        </w:tc>
        <w:tc>
          <w:tcPr>
            <w:tcW w:w="186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maturity investments</w:t>
            </w:r>
          </w:p>
        </w:tc>
        <w:tc>
          <w:tcPr>
            <w:tcW w:w="10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4"/>
              </w:rPr>
              <w:t>-</w:t>
            </w:r>
          </w:p>
        </w:tc>
        <w:tc>
          <w:tcPr>
            <w:tcW w:w="10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2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24"/>
        </w:trPr>
        <w:tc>
          <w:tcPr>
            <w:tcW w:w="1760" w:type="dxa"/>
            <w:vAlign w:val="bottom"/>
            <w:gridSpan w:val="2"/>
          </w:tcPr>
          <w:p>
            <w:pPr>
              <w:spacing w:after="0" w:line="125" w:lineRule="exact"/>
              <w:rPr>
                <w:sz w:val="20"/>
                <w:szCs w:val="20"/>
                <w:color w:val="auto"/>
              </w:rPr>
            </w:pPr>
            <w:r>
              <w:rPr>
                <w:rFonts w:ascii="Arial" w:cs="Arial" w:eastAsia="Arial" w:hAnsi="Arial"/>
                <w:sz w:val="14"/>
                <w:szCs w:val="14"/>
                <w:color w:val="auto"/>
              </w:rPr>
              <w:t>Nomura International PLC</w:t>
            </w:r>
          </w:p>
        </w:tc>
        <w:tc>
          <w:tcPr>
            <w:tcW w:w="8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60" w:type="dxa"/>
            <w:vAlign w:val="bottom"/>
            <w:gridSpan w:val="3"/>
          </w:tcPr>
          <w:p>
            <w:pPr>
              <w:ind w:left="120"/>
              <w:spacing w:after="0" w:line="125" w:lineRule="exact"/>
              <w:rPr>
                <w:sz w:val="20"/>
                <w:szCs w:val="20"/>
                <w:color w:val="auto"/>
              </w:rPr>
            </w:pPr>
            <w:r>
              <w:rPr>
                <w:rFonts w:ascii="Arial" w:cs="Arial" w:eastAsia="Arial" w:hAnsi="Arial"/>
                <w:sz w:val="14"/>
                <w:szCs w:val="14"/>
                <w:color w:val="auto"/>
                <w:w w:val="96"/>
              </w:rPr>
              <w:t>Held-to-maturity investments</w:t>
            </w:r>
          </w:p>
        </w:tc>
        <w:tc>
          <w:tcPr>
            <w:tcW w:w="1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20" w:type="dxa"/>
            <w:vAlign w:val="bottom"/>
          </w:tcPr>
          <w:p>
            <w:pPr>
              <w:spacing w:after="0" w:line="125" w:lineRule="exact"/>
              <w:rPr>
                <w:sz w:val="20"/>
                <w:szCs w:val="20"/>
                <w:color w:val="auto"/>
              </w:rPr>
            </w:pPr>
            <w:r>
              <w:rPr>
                <w:rFonts w:ascii="Arial" w:cs="Arial" w:eastAsia="Arial" w:hAnsi="Arial"/>
                <w:sz w:val="14"/>
                <w:szCs w:val="14"/>
                <w:color w:val="auto"/>
                <w:w w:val="89"/>
              </w:rPr>
              <w:t>Held-to-maturity investments</w:t>
            </w:r>
          </w:p>
        </w:tc>
        <w:tc>
          <w:tcPr>
            <w:tcW w:w="0" w:type="dxa"/>
            <w:vAlign w:val="bottom"/>
          </w:tcPr>
          <w:p>
            <w:pPr>
              <w:spacing w:after="0"/>
              <w:rPr>
                <w:sz w:val="1"/>
                <w:szCs w:val="1"/>
                <w:color w:val="auto"/>
              </w:rPr>
            </w:pPr>
          </w:p>
        </w:tc>
      </w:tr>
      <w:tr>
        <w:trPr>
          <w:trHeight w:val="161"/>
        </w:trPr>
        <w:tc>
          <w:tcPr>
            <w:tcW w:w="1760" w:type="dxa"/>
            <w:vAlign w:val="bottom"/>
            <w:gridSpan w:val="2"/>
          </w:tcPr>
          <w:p>
            <w:pPr>
              <w:spacing w:after="0"/>
              <w:rPr>
                <w:sz w:val="20"/>
                <w:szCs w:val="20"/>
                <w:color w:val="auto"/>
              </w:rPr>
            </w:pPr>
            <w:r>
              <w:rPr>
                <w:rFonts w:ascii="Arial" w:cs="Arial" w:eastAsia="Arial" w:hAnsi="Arial"/>
                <w:sz w:val="14"/>
                <w:szCs w:val="14"/>
                <w:color w:val="auto"/>
              </w:rPr>
              <w:t>(ii)</w:t>
            </w:r>
          </w:p>
        </w:tc>
        <w:tc>
          <w:tcPr>
            <w:tcW w:w="1000" w:type="dxa"/>
            <w:vAlign w:val="bottom"/>
            <w:gridSpan w:val="2"/>
          </w:tcPr>
          <w:p>
            <w:pPr>
              <w:jc w:val="center"/>
              <w:ind w:right="120"/>
              <w:spacing w:after="0"/>
              <w:rPr>
                <w:sz w:val="20"/>
                <w:szCs w:val="20"/>
                <w:color w:val="auto"/>
              </w:rPr>
            </w:pPr>
            <w:r>
              <w:rPr>
                <w:rFonts w:ascii="Arial" w:cs="Arial" w:eastAsia="Arial" w:hAnsi="Arial"/>
                <w:sz w:val="14"/>
                <w:szCs w:val="14"/>
                <w:color w:val="auto"/>
                <w:w w:val="91"/>
              </w:rPr>
              <w:t>U.S. dollar</w:t>
            </w:r>
          </w:p>
        </w:tc>
        <w:tc>
          <w:tcPr>
            <w:tcW w:w="1220" w:type="dxa"/>
            <w:vAlign w:val="bottom"/>
            <w:gridSpan w:val="2"/>
          </w:tcPr>
          <w:p>
            <w:pPr>
              <w:jc w:val="center"/>
              <w:ind w:right="100"/>
              <w:spacing w:after="0"/>
              <w:rPr>
                <w:sz w:val="20"/>
                <w:szCs w:val="20"/>
                <w:color w:val="auto"/>
              </w:rPr>
            </w:pPr>
            <w:r>
              <w:rPr>
                <w:rFonts w:ascii="Arial" w:cs="Arial" w:eastAsia="Arial" w:hAnsi="Arial"/>
                <w:sz w:val="14"/>
                <w:szCs w:val="14"/>
                <w:color w:val="auto"/>
                <w:w w:val="91"/>
              </w:rPr>
              <w:t>August 2020</w:t>
            </w:r>
          </w:p>
        </w:tc>
        <w:tc>
          <w:tcPr>
            <w:tcW w:w="1100" w:type="dxa"/>
            <w:vAlign w:val="bottom"/>
            <w:gridSpan w:val="2"/>
          </w:tcPr>
          <w:p>
            <w:pPr>
              <w:jc w:val="right"/>
              <w:ind w:right="100"/>
              <w:spacing w:after="0"/>
              <w:rPr>
                <w:sz w:val="20"/>
                <w:szCs w:val="20"/>
                <w:color w:val="auto"/>
              </w:rPr>
            </w:pPr>
            <w:r>
              <w:rPr>
                <w:rFonts w:ascii="Arial" w:cs="Arial" w:eastAsia="Arial" w:hAnsi="Arial"/>
                <w:sz w:val="14"/>
                <w:szCs w:val="14"/>
                <w:color w:val="auto"/>
              </w:rPr>
              <w:t>259,280</w:t>
            </w:r>
          </w:p>
        </w:tc>
        <w:tc>
          <w:tcPr>
            <w:tcW w:w="1860" w:type="dxa"/>
            <w:vAlign w:val="bottom"/>
            <w:gridSpan w:val="3"/>
          </w:tcPr>
          <w:p>
            <w:pPr>
              <w:ind w:left="120"/>
              <w:spacing w:after="0"/>
              <w:rPr>
                <w:sz w:val="20"/>
                <w:szCs w:val="20"/>
                <w:color w:val="auto"/>
              </w:rPr>
            </w:pPr>
            <w:r>
              <w:rPr>
                <w:rFonts w:ascii="Arial" w:cs="Arial" w:eastAsia="Arial" w:hAnsi="Arial"/>
                <w:sz w:val="14"/>
                <w:szCs w:val="14"/>
                <w:color w:val="auto"/>
              </w:rPr>
              <w:t>and cash</w:t>
            </w:r>
          </w:p>
        </w:tc>
        <w:tc>
          <w:tcPr>
            <w:tcW w:w="1180" w:type="dxa"/>
            <w:vAlign w:val="bottom"/>
            <w:gridSpan w:val="2"/>
          </w:tcPr>
          <w:p>
            <w:pPr>
              <w:jc w:val="center"/>
              <w:ind w:right="100"/>
              <w:spacing w:after="0"/>
              <w:rPr>
                <w:sz w:val="20"/>
                <w:szCs w:val="20"/>
                <w:color w:val="auto"/>
              </w:rPr>
            </w:pPr>
            <w:r>
              <w:rPr>
                <w:rFonts w:ascii="Arial" w:cs="Arial" w:eastAsia="Arial" w:hAnsi="Arial"/>
                <w:sz w:val="14"/>
                <w:szCs w:val="14"/>
                <w:color w:val="auto"/>
                <w:w w:val="91"/>
              </w:rPr>
              <w:t>August 2020</w:t>
            </w: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268,480</w:t>
            </w:r>
          </w:p>
        </w:tc>
        <w:tc>
          <w:tcPr>
            <w:tcW w:w="1620" w:type="dxa"/>
            <w:vAlign w:val="bottom"/>
          </w:tcPr>
          <w:p>
            <w:pPr>
              <w:spacing w:after="0"/>
              <w:rPr>
                <w:sz w:val="20"/>
                <w:szCs w:val="20"/>
                <w:color w:val="auto"/>
              </w:rPr>
            </w:pPr>
            <w:r>
              <w:rPr>
                <w:rFonts w:ascii="Arial" w:cs="Arial" w:eastAsia="Arial" w:hAnsi="Arial"/>
                <w:sz w:val="14"/>
                <w:szCs w:val="14"/>
                <w:color w:val="auto"/>
              </w:rPr>
              <w:t>and cash</w:t>
            </w:r>
          </w:p>
        </w:tc>
        <w:tc>
          <w:tcPr>
            <w:tcW w:w="0" w:type="dxa"/>
            <w:vAlign w:val="bottom"/>
          </w:tcPr>
          <w:p>
            <w:pPr>
              <w:spacing w:after="0"/>
              <w:rPr>
                <w:sz w:val="1"/>
                <w:szCs w:val="1"/>
                <w:color w:val="auto"/>
              </w:rPr>
            </w:pPr>
          </w:p>
        </w:tc>
      </w:tr>
      <w:tr>
        <w:trPr>
          <w:trHeight w:val="124"/>
        </w:trPr>
        <w:tc>
          <w:tcPr>
            <w:tcW w:w="1760" w:type="dxa"/>
            <w:vAlign w:val="bottom"/>
            <w:gridSpan w:val="2"/>
            <w:shd w:val="clear" w:color="auto" w:fill="CCEEFF"/>
          </w:tcPr>
          <w:p>
            <w:pPr>
              <w:spacing w:after="0" w:line="125" w:lineRule="exact"/>
              <w:rPr>
                <w:sz w:val="20"/>
                <w:szCs w:val="20"/>
                <w:color w:val="auto"/>
              </w:rPr>
            </w:pPr>
            <w:r>
              <w:rPr>
                <w:rFonts w:ascii="Arial" w:cs="Arial" w:eastAsia="Arial" w:hAnsi="Arial"/>
                <w:sz w:val="14"/>
                <w:szCs w:val="14"/>
                <w:color w:val="auto"/>
              </w:rPr>
              <w:t>Nomura International PLC</w:t>
            </w:r>
          </w:p>
        </w:tc>
        <w:tc>
          <w:tcPr>
            <w:tcW w:w="8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860" w:type="dxa"/>
            <w:vAlign w:val="bottom"/>
            <w:gridSpan w:val="3"/>
            <w:shd w:val="clear" w:color="auto" w:fill="CCEEFF"/>
          </w:tcPr>
          <w:p>
            <w:pPr>
              <w:ind w:left="120"/>
              <w:spacing w:after="0" w:line="125" w:lineRule="exact"/>
              <w:rPr>
                <w:sz w:val="20"/>
                <w:szCs w:val="20"/>
                <w:color w:val="auto"/>
              </w:rPr>
            </w:pPr>
            <w:r>
              <w:rPr>
                <w:rFonts w:ascii="Arial" w:cs="Arial" w:eastAsia="Arial" w:hAnsi="Arial"/>
                <w:sz w:val="14"/>
                <w:szCs w:val="14"/>
                <w:color w:val="auto"/>
                <w:w w:val="96"/>
              </w:rPr>
              <w:t>Held-to-maturity investments</w:t>
            </w:r>
          </w:p>
        </w:tc>
        <w:tc>
          <w:tcPr>
            <w:tcW w:w="10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620" w:type="dxa"/>
            <w:vAlign w:val="bottom"/>
            <w:shd w:val="clear" w:color="auto" w:fill="CCEEFF"/>
          </w:tcPr>
          <w:p>
            <w:pPr>
              <w:spacing w:after="0" w:line="125" w:lineRule="exact"/>
              <w:rPr>
                <w:sz w:val="20"/>
                <w:szCs w:val="20"/>
                <w:color w:val="auto"/>
              </w:rPr>
            </w:pPr>
            <w:r>
              <w:rPr>
                <w:rFonts w:ascii="Arial" w:cs="Arial" w:eastAsia="Arial" w:hAnsi="Arial"/>
                <w:sz w:val="14"/>
                <w:szCs w:val="14"/>
                <w:color w:val="auto"/>
                <w:w w:val="89"/>
              </w:rPr>
              <w:t>Held-to-maturity investments</w:t>
            </w:r>
          </w:p>
        </w:tc>
        <w:tc>
          <w:tcPr>
            <w:tcW w:w="0" w:type="dxa"/>
            <w:vAlign w:val="bottom"/>
          </w:tcPr>
          <w:p>
            <w:pPr>
              <w:spacing w:after="0"/>
              <w:rPr>
                <w:sz w:val="1"/>
                <w:szCs w:val="1"/>
                <w:color w:val="auto"/>
              </w:rPr>
            </w:pPr>
          </w:p>
        </w:tc>
      </w:tr>
      <w:tr>
        <w:trPr>
          <w:trHeight w:val="161"/>
        </w:trPr>
        <w:tc>
          <w:tcPr>
            <w:tcW w:w="17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(iii)</w:t>
            </w:r>
          </w:p>
        </w:tc>
        <w:tc>
          <w:tcPr>
            <w:tcW w:w="100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1"/>
              </w:rPr>
              <w:t>U.S. dollar</w:t>
            </w:r>
          </w:p>
        </w:tc>
        <w:tc>
          <w:tcPr>
            <w:tcW w:w="122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1"/>
              </w:rPr>
              <w:t>August 2020</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226,870</w:t>
            </w:r>
          </w:p>
        </w:tc>
        <w:tc>
          <w:tcPr>
            <w:tcW w:w="186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and cash</w:t>
            </w:r>
          </w:p>
        </w:tc>
        <w:tc>
          <w:tcPr>
            <w:tcW w:w="118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1"/>
              </w:rPr>
              <w:t>August 2020</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234,920</w:t>
            </w:r>
          </w:p>
        </w:tc>
        <w:tc>
          <w:tcPr>
            <w:tcW w:w="1620" w:type="dxa"/>
            <w:vAlign w:val="bottom"/>
            <w:shd w:val="clear" w:color="auto" w:fill="CCEEFF"/>
          </w:tcPr>
          <w:p>
            <w:pPr>
              <w:spacing w:after="0"/>
              <w:rPr>
                <w:sz w:val="20"/>
                <w:szCs w:val="20"/>
                <w:color w:val="auto"/>
              </w:rPr>
            </w:pPr>
            <w:r>
              <w:rPr>
                <w:rFonts w:ascii="Arial" w:cs="Arial" w:eastAsia="Arial" w:hAnsi="Arial"/>
                <w:sz w:val="14"/>
                <w:szCs w:val="14"/>
                <w:color w:val="auto"/>
              </w:rPr>
              <w:t>and cash</w:t>
            </w:r>
          </w:p>
        </w:tc>
        <w:tc>
          <w:tcPr>
            <w:tcW w:w="0" w:type="dxa"/>
            <w:vAlign w:val="bottom"/>
          </w:tcPr>
          <w:p>
            <w:pPr>
              <w:spacing w:after="0"/>
              <w:rPr>
                <w:sz w:val="1"/>
                <w:szCs w:val="1"/>
                <w:color w:val="auto"/>
              </w:rPr>
            </w:pPr>
          </w:p>
        </w:tc>
      </w:tr>
      <w:tr>
        <w:trPr>
          <w:trHeight w:val="124"/>
        </w:trPr>
        <w:tc>
          <w:tcPr>
            <w:tcW w:w="1760" w:type="dxa"/>
            <w:vAlign w:val="bottom"/>
            <w:gridSpan w:val="2"/>
          </w:tcPr>
          <w:p>
            <w:pPr>
              <w:spacing w:after="0" w:line="125" w:lineRule="exact"/>
              <w:rPr>
                <w:sz w:val="20"/>
                <w:szCs w:val="20"/>
                <w:color w:val="auto"/>
              </w:rPr>
            </w:pPr>
            <w:r>
              <w:rPr>
                <w:rFonts w:ascii="Arial" w:cs="Arial" w:eastAsia="Arial" w:hAnsi="Arial"/>
                <w:sz w:val="14"/>
                <w:szCs w:val="14"/>
                <w:color w:val="auto"/>
              </w:rPr>
              <w:t>Citigroup Global Markets</w:t>
            </w:r>
          </w:p>
        </w:tc>
        <w:tc>
          <w:tcPr>
            <w:tcW w:w="8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60" w:type="dxa"/>
            <w:vAlign w:val="bottom"/>
            <w:gridSpan w:val="3"/>
          </w:tcPr>
          <w:p>
            <w:pPr>
              <w:ind w:left="120"/>
              <w:spacing w:after="0" w:line="125" w:lineRule="exact"/>
              <w:rPr>
                <w:sz w:val="20"/>
                <w:szCs w:val="20"/>
                <w:color w:val="auto"/>
              </w:rPr>
            </w:pPr>
            <w:r>
              <w:rPr>
                <w:rFonts w:ascii="Arial" w:cs="Arial" w:eastAsia="Arial" w:hAnsi="Arial"/>
                <w:sz w:val="14"/>
                <w:szCs w:val="14"/>
                <w:color w:val="auto"/>
              </w:rPr>
              <w:t>Available-for-sale</w:t>
            </w:r>
          </w:p>
        </w:tc>
        <w:tc>
          <w:tcPr>
            <w:tcW w:w="1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20" w:type="dxa"/>
            <w:vAlign w:val="bottom"/>
          </w:tcPr>
          <w:p>
            <w:pPr>
              <w:spacing w:after="0" w:line="125" w:lineRule="exact"/>
              <w:rPr>
                <w:sz w:val="20"/>
                <w:szCs w:val="20"/>
                <w:color w:val="auto"/>
              </w:rPr>
            </w:pPr>
            <w:r>
              <w:rPr>
                <w:rFonts w:ascii="Arial" w:cs="Arial" w:eastAsia="Arial" w:hAnsi="Arial"/>
                <w:sz w:val="14"/>
                <w:szCs w:val="14"/>
                <w:color w:val="auto"/>
              </w:rPr>
              <w:t>Available-for-sale-</w:t>
            </w:r>
          </w:p>
        </w:tc>
        <w:tc>
          <w:tcPr>
            <w:tcW w:w="0" w:type="dxa"/>
            <w:vAlign w:val="bottom"/>
          </w:tcPr>
          <w:p>
            <w:pPr>
              <w:spacing w:after="0"/>
              <w:rPr>
                <w:sz w:val="1"/>
                <w:szCs w:val="1"/>
                <w:color w:val="auto"/>
              </w:rPr>
            </w:pPr>
          </w:p>
        </w:tc>
      </w:tr>
      <w:tr>
        <w:trPr>
          <w:trHeight w:val="161"/>
        </w:trPr>
        <w:tc>
          <w:tcPr>
            <w:tcW w:w="1760" w:type="dxa"/>
            <w:vAlign w:val="bottom"/>
            <w:gridSpan w:val="2"/>
          </w:tcPr>
          <w:p>
            <w:pPr>
              <w:spacing w:after="0"/>
              <w:rPr>
                <w:sz w:val="20"/>
                <w:szCs w:val="20"/>
                <w:color w:val="auto"/>
              </w:rPr>
            </w:pPr>
            <w:r>
              <w:rPr>
                <w:rFonts w:ascii="Arial" w:cs="Arial" w:eastAsia="Arial" w:hAnsi="Arial"/>
                <w:sz w:val="14"/>
                <w:szCs w:val="14"/>
                <w:color w:val="auto"/>
              </w:rPr>
              <w:t>Limited (iv)</w:t>
            </w:r>
          </w:p>
        </w:tc>
        <w:tc>
          <w:tcPr>
            <w:tcW w:w="1000" w:type="dxa"/>
            <w:vAlign w:val="bottom"/>
            <w:gridSpan w:val="2"/>
          </w:tcPr>
          <w:p>
            <w:pPr>
              <w:jc w:val="center"/>
              <w:ind w:right="120"/>
              <w:spacing w:after="0"/>
              <w:rPr>
                <w:sz w:val="20"/>
                <w:szCs w:val="20"/>
                <w:color w:val="auto"/>
              </w:rPr>
            </w:pPr>
            <w:r>
              <w:rPr>
                <w:rFonts w:ascii="Arial" w:cs="Arial" w:eastAsia="Arial" w:hAnsi="Arial"/>
                <w:sz w:val="14"/>
                <w:szCs w:val="14"/>
                <w:color w:val="auto"/>
                <w:w w:val="91"/>
              </w:rPr>
              <w:t>U.S. dollar</w:t>
            </w:r>
          </w:p>
        </w:tc>
        <w:tc>
          <w:tcPr>
            <w:tcW w:w="1220" w:type="dxa"/>
            <w:vAlign w:val="bottom"/>
            <w:gridSpan w:val="2"/>
          </w:tcPr>
          <w:p>
            <w:pPr>
              <w:jc w:val="center"/>
              <w:ind w:right="100"/>
              <w:spacing w:after="0"/>
              <w:rPr>
                <w:sz w:val="20"/>
                <w:szCs w:val="20"/>
                <w:color w:val="auto"/>
              </w:rPr>
            </w:pPr>
            <w:r>
              <w:rPr>
                <w:rFonts w:ascii="Arial" w:cs="Arial" w:eastAsia="Arial" w:hAnsi="Arial"/>
                <w:sz w:val="14"/>
                <w:szCs w:val="14"/>
                <w:color w:val="auto"/>
                <w:w w:val="91"/>
              </w:rPr>
              <w:t>August 2026</w:t>
            </w:r>
          </w:p>
        </w:tc>
        <w:tc>
          <w:tcPr>
            <w:tcW w:w="1100" w:type="dxa"/>
            <w:vAlign w:val="bottom"/>
            <w:gridSpan w:val="2"/>
          </w:tcPr>
          <w:p>
            <w:pPr>
              <w:jc w:val="right"/>
              <w:ind w:right="100"/>
              <w:spacing w:after="0"/>
              <w:rPr>
                <w:sz w:val="20"/>
                <w:szCs w:val="20"/>
                <w:color w:val="auto"/>
              </w:rPr>
            </w:pPr>
            <w:r>
              <w:rPr>
                <w:rFonts w:ascii="Arial" w:cs="Arial" w:eastAsia="Arial" w:hAnsi="Arial"/>
                <w:sz w:val="14"/>
                <w:szCs w:val="14"/>
                <w:color w:val="auto"/>
              </w:rPr>
              <w:t>145,845</w:t>
            </w:r>
          </w:p>
        </w:tc>
        <w:tc>
          <w:tcPr>
            <w:tcW w:w="1860" w:type="dxa"/>
            <w:vAlign w:val="bottom"/>
            <w:gridSpan w:val="3"/>
          </w:tcPr>
          <w:p>
            <w:pPr>
              <w:ind w:left="120"/>
              <w:spacing w:after="0"/>
              <w:rPr>
                <w:sz w:val="20"/>
                <w:szCs w:val="20"/>
                <w:color w:val="auto"/>
              </w:rPr>
            </w:pPr>
            <w:r>
              <w:rPr>
                <w:rFonts w:ascii="Arial" w:cs="Arial" w:eastAsia="Arial" w:hAnsi="Arial"/>
                <w:sz w:val="14"/>
                <w:szCs w:val="14"/>
                <w:color w:val="auto"/>
              </w:rPr>
              <w:t>investments</w:t>
            </w:r>
          </w:p>
        </w:tc>
        <w:tc>
          <w:tcPr>
            <w:tcW w:w="1180" w:type="dxa"/>
            <w:vAlign w:val="bottom"/>
            <w:gridSpan w:val="2"/>
          </w:tcPr>
          <w:p>
            <w:pPr>
              <w:jc w:val="center"/>
              <w:ind w:right="100"/>
              <w:spacing w:after="0"/>
              <w:rPr>
                <w:sz w:val="20"/>
                <w:szCs w:val="20"/>
                <w:color w:val="auto"/>
              </w:rPr>
            </w:pPr>
            <w:r>
              <w:rPr>
                <w:rFonts w:ascii="Arial" w:cs="Arial" w:eastAsia="Arial" w:hAnsi="Arial"/>
                <w:sz w:val="14"/>
                <w:szCs w:val="14"/>
                <w:color w:val="auto"/>
                <w:w w:val="91"/>
              </w:rPr>
              <w:t>August 2026</w:t>
            </w: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151,020</w:t>
            </w:r>
          </w:p>
        </w:tc>
        <w:tc>
          <w:tcPr>
            <w:tcW w:w="1620" w:type="dxa"/>
            <w:vAlign w:val="bottom"/>
          </w:tcPr>
          <w:p>
            <w:pPr>
              <w:spacing w:after="0"/>
              <w:rPr>
                <w:sz w:val="20"/>
                <w:szCs w:val="20"/>
                <w:color w:val="auto"/>
              </w:rPr>
            </w:pPr>
            <w:r>
              <w:rPr>
                <w:rFonts w:ascii="Arial" w:cs="Arial" w:eastAsia="Arial" w:hAnsi="Arial"/>
                <w:sz w:val="14"/>
                <w:szCs w:val="14"/>
                <w:color w:val="auto"/>
              </w:rPr>
              <w:t>investments</w:t>
            </w:r>
          </w:p>
        </w:tc>
        <w:tc>
          <w:tcPr>
            <w:tcW w:w="0" w:type="dxa"/>
            <w:vAlign w:val="bottom"/>
          </w:tcPr>
          <w:p>
            <w:pPr>
              <w:spacing w:after="0"/>
              <w:rPr>
                <w:sz w:val="1"/>
                <w:szCs w:val="1"/>
                <w:color w:val="auto"/>
              </w:rPr>
            </w:pPr>
          </w:p>
        </w:tc>
      </w:tr>
      <w:tr>
        <w:trPr>
          <w:trHeight w:val="124"/>
        </w:trPr>
        <w:tc>
          <w:tcPr>
            <w:tcW w:w="1760" w:type="dxa"/>
            <w:vAlign w:val="bottom"/>
            <w:gridSpan w:val="2"/>
            <w:shd w:val="clear" w:color="auto" w:fill="CCEEFF"/>
          </w:tcPr>
          <w:p>
            <w:pPr>
              <w:spacing w:after="0" w:line="125" w:lineRule="exact"/>
              <w:rPr>
                <w:sz w:val="20"/>
                <w:szCs w:val="20"/>
                <w:color w:val="auto"/>
              </w:rPr>
            </w:pPr>
            <w:r>
              <w:rPr>
                <w:rFonts w:ascii="Arial" w:cs="Arial" w:eastAsia="Arial" w:hAnsi="Arial"/>
                <w:sz w:val="14"/>
                <w:szCs w:val="14"/>
                <w:color w:val="auto"/>
              </w:rPr>
              <w:t>Citigroup Global Markets</w:t>
            </w:r>
          </w:p>
        </w:tc>
        <w:tc>
          <w:tcPr>
            <w:tcW w:w="8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860" w:type="dxa"/>
            <w:vAlign w:val="bottom"/>
            <w:gridSpan w:val="3"/>
            <w:shd w:val="clear" w:color="auto" w:fill="CCEEFF"/>
          </w:tcPr>
          <w:p>
            <w:pPr>
              <w:ind w:left="120"/>
              <w:spacing w:after="0" w:line="125" w:lineRule="exact"/>
              <w:rPr>
                <w:sz w:val="20"/>
                <w:szCs w:val="20"/>
                <w:color w:val="auto"/>
              </w:rPr>
            </w:pPr>
            <w:r>
              <w:rPr>
                <w:rFonts w:ascii="Arial" w:cs="Arial" w:eastAsia="Arial" w:hAnsi="Arial"/>
                <w:sz w:val="14"/>
                <w:szCs w:val="14"/>
                <w:color w:val="auto"/>
                <w:w w:val="96"/>
              </w:rPr>
              <w:t>Held-to-maturity investments</w:t>
            </w:r>
          </w:p>
        </w:tc>
        <w:tc>
          <w:tcPr>
            <w:tcW w:w="10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620" w:type="dxa"/>
            <w:vAlign w:val="bottom"/>
            <w:shd w:val="clear" w:color="auto" w:fill="CCEEFF"/>
          </w:tcPr>
          <w:p>
            <w:pPr>
              <w:spacing w:after="0" w:line="125" w:lineRule="exact"/>
              <w:rPr>
                <w:sz w:val="20"/>
                <w:szCs w:val="20"/>
                <w:color w:val="auto"/>
              </w:rPr>
            </w:pPr>
            <w:r>
              <w:rPr>
                <w:rFonts w:ascii="Arial" w:cs="Arial" w:eastAsia="Arial" w:hAnsi="Arial"/>
                <w:sz w:val="14"/>
                <w:szCs w:val="14"/>
                <w:color w:val="auto"/>
                <w:w w:val="89"/>
              </w:rPr>
              <w:t>Held-to-maturity investments</w:t>
            </w:r>
          </w:p>
        </w:tc>
        <w:tc>
          <w:tcPr>
            <w:tcW w:w="0" w:type="dxa"/>
            <w:vAlign w:val="bottom"/>
          </w:tcPr>
          <w:p>
            <w:pPr>
              <w:spacing w:after="0"/>
              <w:rPr>
                <w:sz w:val="1"/>
                <w:szCs w:val="1"/>
                <w:color w:val="auto"/>
              </w:rPr>
            </w:pPr>
          </w:p>
        </w:tc>
      </w:tr>
      <w:tr>
        <w:trPr>
          <w:trHeight w:val="161"/>
        </w:trPr>
        <w:tc>
          <w:tcPr>
            <w:tcW w:w="17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Limited</w:t>
            </w:r>
          </w:p>
        </w:tc>
        <w:tc>
          <w:tcPr>
            <w:tcW w:w="100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85"/>
              </w:rPr>
              <w:t>Soles</w:t>
            </w:r>
          </w:p>
        </w:tc>
        <w:tc>
          <w:tcPr>
            <w:tcW w:w="122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1"/>
              </w:rPr>
              <w:t>August 2020</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100,000</w:t>
            </w:r>
          </w:p>
        </w:tc>
        <w:tc>
          <w:tcPr>
            <w:tcW w:w="120" w:type="dxa"/>
            <w:vAlign w:val="bottom"/>
            <w:shd w:val="clear" w:color="auto" w:fill="CCEEFF"/>
          </w:tcPr>
          <w:p>
            <w:pPr>
              <w:spacing w:after="0"/>
              <w:rPr>
                <w:sz w:val="14"/>
                <w:szCs w:val="14"/>
                <w:color w:val="auto"/>
              </w:rPr>
            </w:pPr>
          </w:p>
        </w:tc>
        <w:tc>
          <w:tcPr>
            <w:tcW w:w="16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1"/>
              </w:rPr>
              <w:t>August 2020</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100,000</w:t>
            </w:r>
          </w:p>
        </w:tc>
        <w:tc>
          <w:tcPr>
            <w:tcW w:w="16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1760" w:type="dxa"/>
            <w:vAlign w:val="bottom"/>
            <w:gridSpan w:val="2"/>
          </w:tcPr>
          <w:p>
            <w:pPr>
              <w:spacing w:after="0" w:line="143" w:lineRule="exact"/>
              <w:rPr>
                <w:sz w:val="20"/>
                <w:szCs w:val="20"/>
                <w:color w:val="auto"/>
              </w:rPr>
            </w:pPr>
            <w:r>
              <w:rPr>
                <w:rFonts w:ascii="Arial" w:cs="Arial" w:eastAsia="Arial" w:hAnsi="Arial"/>
                <w:sz w:val="14"/>
                <w:szCs w:val="14"/>
                <w:color w:val="auto"/>
              </w:rPr>
              <w:t>Banco Central de Bolivia</w:t>
            </w:r>
          </w:p>
        </w:tc>
        <w:tc>
          <w:tcPr>
            <w:tcW w:w="1000" w:type="dxa"/>
            <w:vAlign w:val="bottom"/>
            <w:gridSpan w:val="2"/>
          </w:tcPr>
          <w:p>
            <w:pPr>
              <w:jc w:val="center"/>
              <w:ind w:right="120"/>
              <w:spacing w:after="0" w:line="143" w:lineRule="exact"/>
              <w:rPr>
                <w:sz w:val="20"/>
                <w:szCs w:val="20"/>
                <w:color w:val="auto"/>
              </w:rPr>
            </w:pPr>
            <w:r>
              <w:rPr>
                <w:rFonts w:ascii="Arial" w:cs="Arial" w:eastAsia="Arial" w:hAnsi="Arial"/>
                <w:sz w:val="14"/>
                <w:szCs w:val="14"/>
                <w:color w:val="auto"/>
                <w:w w:val="93"/>
              </w:rPr>
              <w:t>Bolivianos</w:t>
            </w:r>
          </w:p>
        </w:tc>
        <w:tc>
          <w:tcPr>
            <w:tcW w:w="1220" w:type="dxa"/>
            <w:vAlign w:val="bottom"/>
            <w:gridSpan w:val="2"/>
          </w:tcPr>
          <w:p>
            <w:pPr>
              <w:jc w:val="center"/>
              <w:ind w:right="120"/>
              <w:spacing w:after="0" w:line="143" w:lineRule="exact"/>
              <w:rPr>
                <w:sz w:val="20"/>
                <w:szCs w:val="20"/>
                <w:color w:val="auto"/>
              </w:rPr>
            </w:pPr>
            <w:r>
              <w:rPr>
                <w:rFonts w:ascii="Arial" w:cs="Arial" w:eastAsia="Arial" w:hAnsi="Arial"/>
                <w:sz w:val="14"/>
                <w:szCs w:val="14"/>
                <w:color w:val="auto"/>
                <w:w w:val="87"/>
              </w:rPr>
              <w:t>January 2018</w:t>
            </w:r>
          </w:p>
        </w:tc>
        <w:tc>
          <w:tcPr>
            <w:tcW w:w="1100" w:type="dxa"/>
            <w:vAlign w:val="bottom"/>
            <w:gridSpan w:val="2"/>
          </w:tcPr>
          <w:p>
            <w:pPr>
              <w:jc w:val="right"/>
              <w:ind w:right="100"/>
              <w:spacing w:after="0" w:line="143" w:lineRule="exact"/>
              <w:rPr>
                <w:sz w:val="20"/>
                <w:szCs w:val="20"/>
                <w:color w:val="auto"/>
              </w:rPr>
            </w:pPr>
            <w:r>
              <w:rPr>
                <w:rFonts w:ascii="Arial" w:cs="Arial" w:eastAsia="Arial" w:hAnsi="Arial"/>
                <w:sz w:val="14"/>
                <w:szCs w:val="14"/>
                <w:color w:val="auto"/>
              </w:rPr>
              <w:t>90,134</w:t>
            </w:r>
          </w:p>
        </w:tc>
        <w:tc>
          <w:tcPr>
            <w:tcW w:w="1860" w:type="dxa"/>
            <w:vAlign w:val="bottom"/>
            <w:gridSpan w:val="3"/>
          </w:tcPr>
          <w:p>
            <w:pPr>
              <w:ind w:left="120"/>
              <w:spacing w:after="0" w:line="143" w:lineRule="exact"/>
              <w:rPr>
                <w:sz w:val="20"/>
                <w:szCs w:val="20"/>
                <w:color w:val="auto"/>
              </w:rPr>
            </w:pPr>
            <w:r>
              <w:rPr>
                <w:rFonts w:ascii="Arial" w:cs="Arial" w:eastAsia="Arial" w:hAnsi="Arial"/>
                <w:sz w:val="14"/>
                <w:szCs w:val="14"/>
                <w:color w:val="auto"/>
              </w:rPr>
              <w:t>Cash</w:t>
            </w:r>
          </w:p>
        </w:tc>
        <w:tc>
          <w:tcPr>
            <w:tcW w:w="1080" w:type="dxa"/>
            <w:vAlign w:val="bottom"/>
          </w:tcPr>
          <w:p>
            <w:pPr>
              <w:jc w:val="center"/>
              <w:spacing w:after="0" w:line="143" w:lineRule="exact"/>
              <w:rPr>
                <w:sz w:val="20"/>
                <w:szCs w:val="20"/>
                <w:color w:val="auto"/>
              </w:rPr>
            </w:pPr>
            <w:r>
              <w:rPr>
                <w:rFonts w:ascii="Arial" w:cs="Arial" w:eastAsia="Arial" w:hAnsi="Arial"/>
                <w:sz w:val="14"/>
                <w:szCs w:val="14"/>
                <w:color w:val="auto"/>
                <w:w w:val="84"/>
              </w:rPr>
              <w:t>-</w:t>
            </w:r>
          </w:p>
        </w:tc>
        <w:tc>
          <w:tcPr>
            <w:tcW w:w="100" w:type="dxa"/>
            <w:vAlign w:val="bottom"/>
          </w:tcPr>
          <w:p>
            <w:pPr>
              <w:spacing w:after="0"/>
              <w:rPr>
                <w:sz w:val="12"/>
                <w:szCs w:val="12"/>
                <w:color w:val="auto"/>
              </w:rPr>
            </w:pPr>
          </w:p>
        </w:tc>
        <w:tc>
          <w:tcPr>
            <w:tcW w:w="1200" w:type="dxa"/>
            <w:vAlign w:val="bottom"/>
            <w:gridSpan w:val="2"/>
          </w:tcPr>
          <w:p>
            <w:pPr>
              <w:jc w:val="right"/>
              <w:ind w:right="220"/>
              <w:spacing w:after="0" w:line="143" w:lineRule="exact"/>
              <w:rPr>
                <w:sz w:val="20"/>
                <w:szCs w:val="20"/>
                <w:color w:val="auto"/>
              </w:rPr>
            </w:pPr>
            <w:r>
              <w:rPr>
                <w:rFonts w:ascii="Arial" w:cs="Arial" w:eastAsia="Arial" w:hAnsi="Arial"/>
                <w:sz w:val="14"/>
                <w:szCs w:val="14"/>
                <w:color w:val="auto"/>
              </w:rPr>
              <w:t>-</w:t>
            </w:r>
          </w:p>
        </w:tc>
        <w:tc>
          <w:tcPr>
            <w:tcW w:w="1620" w:type="dxa"/>
            <w:vAlign w:val="bottom"/>
          </w:tcPr>
          <w:p>
            <w:pPr>
              <w:spacing w:after="0" w:line="143"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24"/>
        </w:trPr>
        <w:tc>
          <w:tcPr>
            <w:tcW w:w="1760" w:type="dxa"/>
            <w:vAlign w:val="bottom"/>
            <w:gridSpan w:val="2"/>
            <w:shd w:val="clear" w:color="auto" w:fill="CCEEFF"/>
          </w:tcPr>
          <w:p>
            <w:pPr>
              <w:spacing w:after="0" w:line="125" w:lineRule="exact"/>
              <w:rPr>
                <w:sz w:val="20"/>
                <w:szCs w:val="20"/>
                <w:color w:val="auto"/>
              </w:rPr>
            </w:pPr>
            <w:r>
              <w:rPr>
                <w:rFonts w:ascii="Arial" w:cs="Arial" w:eastAsia="Arial" w:hAnsi="Arial"/>
                <w:sz w:val="14"/>
                <w:szCs w:val="14"/>
                <w:color w:val="auto"/>
              </w:rPr>
              <w:t>UBS</w:t>
            </w:r>
          </w:p>
        </w:tc>
        <w:tc>
          <w:tcPr>
            <w:tcW w:w="8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20" w:type="dxa"/>
            <w:vAlign w:val="bottom"/>
            <w:gridSpan w:val="2"/>
            <w:shd w:val="clear" w:color="auto" w:fill="CCEEFF"/>
          </w:tcPr>
          <w:p>
            <w:pPr>
              <w:jc w:val="center"/>
              <w:ind w:right="120"/>
              <w:spacing w:after="0" w:line="125" w:lineRule="exact"/>
              <w:rPr>
                <w:sz w:val="20"/>
                <w:szCs w:val="20"/>
                <w:color w:val="auto"/>
              </w:rPr>
            </w:pPr>
            <w:r>
              <w:rPr>
                <w:rFonts w:ascii="Arial" w:cs="Arial" w:eastAsia="Arial" w:hAnsi="Arial"/>
                <w:sz w:val="14"/>
                <w:szCs w:val="14"/>
                <w:color w:val="auto"/>
                <w:w w:val="88"/>
              </w:rPr>
              <w:t>January 2018 /</w:t>
            </w:r>
          </w:p>
        </w:tc>
        <w:tc>
          <w:tcPr>
            <w:tcW w:w="10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860" w:type="dxa"/>
            <w:vAlign w:val="bottom"/>
            <w:gridSpan w:val="3"/>
            <w:shd w:val="clear" w:color="auto" w:fill="CCEEFF"/>
          </w:tcPr>
          <w:p>
            <w:pPr>
              <w:ind w:left="120"/>
              <w:spacing w:after="0" w:line="125" w:lineRule="exact"/>
              <w:rPr>
                <w:sz w:val="20"/>
                <w:szCs w:val="20"/>
                <w:color w:val="auto"/>
              </w:rPr>
            </w:pPr>
            <w:r>
              <w:rPr>
                <w:rFonts w:ascii="Arial" w:cs="Arial" w:eastAsia="Arial" w:hAnsi="Arial"/>
                <w:sz w:val="14"/>
                <w:szCs w:val="14"/>
                <w:color w:val="auto"/>
                <w:w w:val="96"/>
              </w:rPr>
              <w:t>Held-to-maturity investments</w:t>
            </w:r>
          </w:p>
        </w:tc>
        <w:tc>
          <w:tcPr>
            <w:tcW w:w="10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620" w:type="dxa"/>
            <w:vAlign w:val="bottom"/>
            <w:shd w:val="clear" w:color="auto" w:fill="CCEEFF"/>
          </w:tcPr>
          <w:p>
            <w:pPr>
              <w:spacing w:after="0" w:line="125" w:lineRule="exact"/>
              <w:rPr>
                <w:sz w:val="20"/>
                <w:szCs w:val="20"/>
                <w:color w:val="auto"/>
              </w:rPr>
            </w:pPr>
            <w:r>
              <w:rPr>
                <w:rFonts w:ascii="Arial" w:cs="Arial" w:eastAsia="Arial" w:hAnsi="Arial"/>
                <w:sz w:val="14"/>
                <w:szCs w:val="14"/>
                <w:color w:val="auto"/>
              </w:rPr>
              <w:t>Held-to-maturity-</w:t>
            </w:r>
          </w:p>
        </w:tc>
        <w:tc>
          <w:tcPr>
            <w:tcW w:w="0" w:type="dxa"/>
            <w:vAlign w:val="bottom"/>
          </w:tcPr>
          <w:p>
            <w:pPr>
              <w:spacing w:after="0"/>
              <w:rPr>
                <w:sz w:val="1"/>
                <w:szCs w:val="1"/>
                <w:color w:val="auto"/>
              </w:rPr>
            </w:pPr>
          </w:p>
        </w:tc>
      </w:tr>
      <w:tr>
        <w:trPr>
          <w:trHeight w:val="161"/>
        </w:trPr>
        <w:tc>
          <w:tcPr>
            <w:tcW w:w="16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1"/>
              </w:rPr>
              <w:t>U.S. dollar</w:t>
            </w:r>
          </w:p>
        </w:tc>
        <w:tc>
          <w:tcPr>
            <w:tcW w:w="122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1"/>
              </w:rPr>
              <w:t>March 2018</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83,921</w:t>
            </w:r>
          </w:p>
        </w:tc>
        <w:tc>
          <w:tcPr>
            <w:tcW w:w="120" w:type="dxa"/>
            <w:vAlign w:val="bottom"/>
            <w:shd w:val="clear" w:color="auto" w:fill="CCEEFF"/>
          </w:tcPr>
          <w:p>
            <w:pPr>
              <w:spacing w:after="0"/>
              <w:rPr>
                <w:sz w:val="14"/>
                <w:szCs w:val="14"/>
                <w:color w:val="auto"/>
              </w:rPr>
            </w:pPr>
          </w:p>
        </w:tc>
        <w:tc>
          <w:tcPr>
            <w:tcW w:w="16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89"/>
              </w:rPr>
              <w:t>January 2017</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68,808</w:t>
            </w:r>
          </w:p>
        </w:tc>
        <w:tc>
          <w:tcPr>
            <w:tcW w:w="1620" w:type="dxa"/>
            <w:vAlign w:val="bottom"/>
            <w:shd w:val="clear" w:color="auto" w:fill="CCEEFF"/>
          </w:tcPr>
          <w:p>
            <w:pPr>
              <w:spacing w:after="0"/>
              <w:rPr>
                <w:sz w:val="20"/>
                <w:szCs w:val="20"/>
                <w:color w:val="auto"/>
              </w:rPr>
            </w:pPr>
            <w:r>
              <w:rPr>
                <w:rFonts w:ascii="Arial" w:cs="Arial" w:eastAsia="Arial" w:hAnsi="Arial"/>
                <w:sz w:val="14"/>
                <w:szCs w:val="14"/>
                <w:color w:val="auto"/>
              </w:rPr>
              <w:t>investments</w:t>
            </w:r>
          </w:p>
        </w:tc>
        <w:tc>
          <w:tcPr>
            <w:tcW w:w="0" w:type="dxa"/>
            <w:vAlign w:val="bottom"/>
          </w:tcPr>
          <w:p>
            <w:pPr>
              <w:spacing w:after="0"/>
              <w:rPr>
                <w:sz w:val="1"/>
                <w:szCs w:val="1"/>
                <w:color w:val="auto"/>
              </w:rPr>
            </w:pPr>
          </w:p>
        </w:tc>
      </w:tr>
      <w:tr>
        <w:trPr>
          <w:trHeight w:val="124"/>
        </w:trPr>
        <w:tc>
          <w:tcPr>
            <w:tcW w:w="1760" w:type="dxa"/>
            <w:vAlign w:val="bottom"/>
            <w:gridSpan w:val="2"/>
          </w:tcPr>
          <w:p>
            <w:pPr>
              <w:spacing w:after="0" w:line="125" w:lineRule="exact"/>
              <w:rPr>
                <w:sz w:val="20"/>
                <w:szCs w:val="20"/>
                <w:color w:val="auto"/>
              </w:rPr>
            </w:pPr>
            <w:r>
              <w:rPr>
                <w:rFonts w:ascii="Arial" w:cs="Arial" w:eastAsia="Arial" w:hAnsi="Arial"/>
                <w:sz w:val="14"/>
                <w:szCs w:val="14"/>
                <w:color w:val="auto"/>
              </w:rPr>
              <w:t>Natixis S.A. (v)</w:t>
            </w:r>
          </w:p>
        </w:tc>
        <w:tc>
          <w:tcPr>
            <w:tcW w:w="8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60" w:type="dxa"/>
            <w:vAlign w:val="bottom"/>
            <w:gridSpan w:val="3"/>
          </w:tcPr>
          <w:p>
            <w:pPr>
              <w:ind w:left="120"/>
              <w:spacing w:after="0" w:line="125" w:lineRule="exact"/>
              <w:rPr>
                <w:sz w:val="20"/>
                <w:szCs w:val="20"/>
                <w:color w:val="auto"/>
              </w:rPr>
            </w:pPr>
            <w:r>
              <w:rPr>
                <w:rFonts w:ascii="Arial" w:cs="Arial" w:eastAsia="Arial" w:hAnsi="Arial"/>
                <w:sz w:val="14"/>
                <w:szCs w:val="14"/>
                <w:color w:val="auto"/>
              </w:rPr>
              <w:t>Available-for-sale</w:t>
            </w:r>
          </w:p>
        </w:tc>
        <w:tc>
          <w:tcPr>
            <w:tcW w:w="1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20" w:type="dxa"/>
            <w:vAlign w:val="bottom"/>
          </w:tcPr>
          <w:p>
            <w:pPr>
              <w:spacing w:after="0" w:line="125" w:lineRule="exact"/>
              <w:rPr>
                <w:sz w:val="20"/>
                <w:szCs w:val="20"/>
                <w:color w:val="auto"/>
              </w:rPr>
            </w:pPr>
            <w:r>
              <w:rPr>
                <w:rFonts w:ascii="Arial" w:cs="Arial" w:eastAsia="Arial" w:hAnsi="Arial"/>
                <w:sz w:val="14"/>
                <w:szCs w:val="14"/>
                <w:color w:val="auto"/>
              </w:rPr>
              <w:t>Available-for-sale</w:t>
            </w:r>
          </w:p>
        </w:tc>
        <w:tc>
          <w:tcPr>
            <w:tcW w:w="0" w:type="dxa"/>
            <w:vAlign w:val="bottom"/>
          </w:tcPr>
          <w:p>
            <w:pPr>
              <w:spacing w:after="0"/>
              <w:rPr>
                <w:sz w:val="1"/>
                <w:szCs w:val="1"/>
                <w:color w:val="auto"/>
              </w:rPr>
            </w:pPr>
          </w:p>
        </w:tc>
      </w:tr>
      <w:tr>
        <w:trPr>
          <w:trHeight w:val="161"/>
        </w:trPr>
        <w:tc>
          <w:tcPr>
            <w:tcW w:w="1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center"/>
              <w:ind w:right="120"/>
              <w:spacing w:after="0"/>
              <w:rPr>
                <w:sz w:val="20"/>
                <w:szCs w:val="20"/>
                <w:color w:val="auto"/>
              </w:rPr>
            </w:pPr>
            <w:r>
              <w:rPr>
                <w:rFonts w:ascii="Arial" w:cs="Arial" w:eastAsia="Arial" w:hAnsi="Arial"/>
                <w:sz w:val="14"/>
                <w:szCs w:val="14"/>
                <w:color w:val="auto"/>
                <w:w w:val="91"/>
              </w:rPr>
              <w:t>U.S. dollar</w:t>
            </w:r>
          </w:p>
        </w:tc>
        <w:tc>
          <w:tcPr>
            <w:tcW w:w="1220" w:type="dxa"/>
            <w:vAlign w:val="bottom"/>
            <w:gridSpan w:val="2"/>
          </w:tcPr>
          <w:p>
            <w:pPr>
              <w:jc w:val="center"/>
              <w:ind w:right="100"/>
              <w:spacing w:after="0"/>
              <w:rPr>
                <w:sz w:val="20"/>
                <w:szCs w:val="20"/>
                <w:color w:val="auto"/>
              </w:rPr>
            </w:pPr>
            <w:r>
              <w:rPr>
                <w:rFonts w:ascii="Arial" w:cs="Arial" w:eastAsia="Arial" w:hAnsi="Arial"/>
                <w:sz w:val="14"/>
                <w:szCs w:val="14"/>
                <w:color w:val="auto"/>
                <w:w w:val="91"/>
              </w:rPr>
              <w:t>August 2026</w:t>
            </w:r>
          </w:p>
        </w:tc>
        <w:tc>
          <w:tcPr>
            <w:tcW w:w="1100" w:type="dxa"/>
            <w:vAlign w:val="bottom"/>
            <w:gridSpan w:val="2"/>
          </w:tcPr>
          <w:p>
            <w:pPr>
              <w:jc w:val="right"/>
              <w:ind w:right="100"/>
              <w:spacing w:after="0"/>
              <w:rPr>
                <w:sz w:val="20"/>
                <w:szCs w:val="20"/>
                <w:color w:val="auto"/>
              </w:rPr>
            </w:pPr>
            <w:r>
              <w:rPr>
                <w:rFonts w:ascii="Arial" w:cs="Arial" w:eastAsia="Arial" w:hAnsi="Arial"/>
                <w:sz w:val="14"/>
                <w:szCs w:val="14"/>
                <w:color w:val="auto"/>
              </w:rPr>
              <w:t>81,025</w:t>
            </w:r>
          </w:p>
        </w:tc>
        <w:tc>
          <w:tcPr>
            <w:tcW w:w="1860" w:type="dxa"/>
            <w:vAlign w:val="bottom"/>
            <w:gridSpan w:val="3"/>
          </w:tcPr>
          <w:p>
            <w:pPr>
              <w:ind w:left="120"/>
              <w:spacing w:after="0"/>
              <w:rPr>
                <w:sz w:val="20"/>
                <w:szCs w:val="20"/>
                <w:color w:val="auto"/>
              </w:rPr>
            </w:pPr>
            <w:r>
              <w:rPr>
                <w:rFonts w:ascii="Arial" w:cs="Arial" w:eastAsia="Arial" w:hAnsi="Arial"/>
                <w:sz w:val="14"/>
                <w:szCs w:val="14"/>
                <w:color w:val="auto"/>
              </w:rPr>
              <w:t>investments</w:t>
            </w:r>
          </w:p>
        </w:tc>
        <w:tc>
          <w:tcPr>
            <w:tcW w:w="1180" w:type="dxa"/>
            <w:vAlign w:val="bottom"/>
            <w:gridSpan w:val="2"/>
          </w:tcPr>
          <w:p>
            <w:pPr>
              <w:jc w:val="center"/>
              <w:ind w:right="100"/>
              <w:spacing w:after="0"/>
              <w:rPr>
                <w:sz w:val="20"/>
                <w:szCs w:val="20"/>
                <w:color w:val="auto"/>
              </w:rPr>
            </w:pPr>
            <w:r>
              <w:rPr>
                <w:rFonts w:ascii="Arial" w:cs="Arial" w:eastAsia="Arial" w:hAnsi="Arial"/>
                <w:sz w:val="14"/>
                <w:szCs w:val="14"/>
                <w:color w:val="auto"/>
                <w:w w:val="91"/>
              </w:rPr>
              <w:t>August 2026</w:t>
            </w: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83,900</w:t>
            </w:r>
          </w:p>
        </w:tc>
        <w:tc>
          <w:tcPr>
            <w:tcW w:w="1620" w:type="dxa"/>
            <w:vAlign w:val="bottom"/>
          </w:tcPr>
          <w:p>
            <w:pPr>
              <w:spacing w:after="0"/>
              <w:rPr>
                <w:sz w:val="20"/>
                <w:szCs w:val="20"/>
                <w:color w:val="auto"/>
              </w:rPr>
            </w:pPr>
            <w:r>
              <w:rPr>
                <w:rFonts w:ascii="Arial" w:cs="Arial" w:eastAsia="Arial" w:hAnsi="Arial"/>
                <w:sz w:val="14"/>
                <w:szCs w:val="14"/>
                <w:color w:val="auto"/>
              </w:rPr>
              <w:t>investments</w:t>
            </w:r>
          </w:p>
        </w:tc>
        <w:tc>
          <w:tcPr>
            <w:tcW w:w="0" w:type="dxa"/>
            <w:vAlign w:val="bottom"/>
          </w:tcPr>
          <w:p>
            <w:pPr>
              <w:spacing w:after="0"/>
              <w:rPr>
                <w:sz w:val="1"/>
                <w:szCs w:val="1"/>
                <w:color w:val="auto"/>
              </w:rPr>
            </w:pPr>
          </w:p>
        </w:tc>
      </w:tr>
      <w:tr>
        <w:trPr>
          <w:trHeight w:val="124"/>
        </w:trPr>
        <w:tc>
          <w:tcPr>
            <w:tcW w:w="1760" w:type="dxa"/>
            <w:vAlign w:val="bottom"/>
            <w:gridSpan w:val="2"/>
            <w:shd w:val="clear" w:color="auto" w:fill="CCEEFF"/>
          </w:tcPr>
          <w:p>
            <w:pPr>
              <w:spacing w:after="0" w:line="125" w:lineRule="exact"/>
              <w:rPr>
                <w:sz w:val="20"/>
                <w:szCs w:val="20"/>
                <w:color w:val="auto"/>
              </w:rPr>
            </w:pPr>
            <w:r>
              <w:rPr>
                <w:rFonts w:ascii="Arial" w:cs="Arial" w:eastAsia="Arial" w:hAnsi="Arial"/>
                <w:sz w:val="14"/>
                <w:szCs w:val="14"/>
                <w:color w:val="auto"/>
              </w:rPr>
              <w:t>Credit Suisse Peru</w:t>
            </w:r>
          </w:p>
        </w:tc>
        <w:tc>
          <w:tcPr>
            <w:tcW w:w="8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740" w:type="dxa"/>
            <w:vAlign w:val="bottom"/>
            <w:gridSpan w:val="2"/>
            <w:shd w:val="clear" w:color="auto" w:fill="CCEEFF"/>
          </w:tcPr>
          <w:p>
            <w:pPr>
              <w:ind w:left="120"/>
              <w:spacing w:after="0" w:line="125"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0"/>
                <w:szCs w:val="10"/>
                <w:color w:val="auto"/>
              </w:rPr>
            </w:pPr>
          </w:p>
        </w:tc>
        <w:tc>
          <w:tcPr>
            <w:tcW w:w="10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620" w:type="dxa"/>
            <w:vAlign w:val="bottom"/>
            <w:shd w:val="clear" w:color="auto" w:fill="CCEEFF"/>
          </w:tcPr>
          <w:p>
            <w:pPr>
              <w:spacing w:after="0" w:line="125" w:lineRule="exact"/>
              <w:rPr>
                <w:sz w:val="20"/>
                <w:szCs w:val="20"/>
                <w:color w:val="auto"/>
              </w:rPr>
            </w:pPr>
            <w:r>
              <w:rPr>
                <w:rFonts w:ascii="Arial" w:cs="Arial" w:eastAsia="Arial" w:hAnsi="Arial"/>
                <w:sz w:val="14"/>
                <w:szCs w:val="14"/>
                <w:color w:val="auto"/>
                <w:w w:val="89"/>
              </w:rPr>
              <w:t>Held-to-maturity investments</w:t>
            </w:r>
          </w:p>
        </w:tc>
        <w:tc>
          <w:tcPr>
            <w:tcW w:w="0" w:type="dxa"/>
            <w:vAlign w:val="bottom"/>
          </w:tcPr>
          <w:p>
            <w:pPr>
              <w:spacing w:after="0"/>
              <w:rPr>
                <w:sz w:val="1"/>
                <w:szCs w:val="1"/>
                <w:color w:val="auto"/>
              </w:rPr>
            </w:pPr>
          </w:p>
        </w:tc>
      </w:tr>
      <w:tr>
        <w:trPr>
          <w:trHeight w:val="161"/>
        </w:trPr>
        <w:tc>
          <w:tcPr>
            <w:tcW w:w="16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85"/>
              </w:rPr>
              <w:t>Soles</w:t>
            </w:r>
          </w:p>
        </w:tc>
        <w:tc>
          <w:tcPr>
            <w:tcW w:w="1100" w:type="dxa"/>
            <w:vAlign w:val="bottom"/>
            <w:shd w:val="clear" w:color="auto" w:fill="CCEEFF"/>
          </w:tcPr>
          <w:p>
            <w:pPr>
              <w:jc w:val="right"/>
              <w:ind w:right="451"/>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16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1"/>
              </w:rPr>
              <w:t>August 2017</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300,000</w:t>
            </w:r>
          </w:p>
        </w:tc>
        <w:tc>
          <w:tcPr>
            <w:tcW w:w="1620" w:type="dxa"/>
            <w:vAlign w:val="bottom"/>
            <w:shd w:val="clear" w:color="auto" w:fill="CCEEFF"/>
          </w:tcPr>
          <w:p>
            <w:pPr>
              <w:spacing w:after="0"/>
              <w:rPr>
                <w:sz w:val="20"/>
                <w:szCs w:val="20"/>
                <w:color w:val="auto"/>
              </w:rPr>
            </w:pPr>
            <w:r>
              <w:rPr>
                <w:rFonts w:ascii="Arial" w:cs="Arial" w:eastAsia="Arial" w:hAnsi="Arial"/>
                <w:sz w:val="14"/>
                <w:szCs w:val="14"/>
                <w:color w:val="auto"/>
              </w:rPr>
              <w:t>and cash</w:t>
            </w:r>
          </w:p>
        </w:tc>
        <w:tc>
          <w:tcPr>
            <w:tcW w:w="0" w:type="dxa"/>
            <w:vAlign w:val="bottom"/>
          </w:tcPr>
          <w:p>
            <w:pPr>
              <w:spacing w:after="0"/>
              <w:rPr>
                <w:sz w:val="1"/>
                <w:szCs w:val="1"/>
                <w:color w:val="auto"/>
              </w:rPr>
            </w:pPr>
          </w:p>
        </w:tc>
      </w:tr>
      <w:tr>
        <w:trPr>
          <w:trHeight w:val="124"/>
        </w:trPr>
        <w:tc>
          <w:tcPr>
            <w:tcW w:w="1760" w:type="dxa"/>
            <w:vAlign w:val="bottom"/>
            <w:gridSpan w:val="2"/>
          </w:tcPr>
          <w:p>
            <w:pPr>
              <w:spacing w:after="0" w:line="125" w:lineRule="exact"/>
              <w:rPr>
                <w:sz w:val="20"/>
                <w:szCs w:val="20"/>
                <w:color w:val="auto"/>
              </w:rPr>
            </w:pPr>
            <w:r>
              <w:rPr>
                <w:rFonts w:ascii="Arial" w:cs="Arial" w:eastAsia="Arial" w:hAnsi="Arial"/>
                <w:sz w:val="14"/>
                <w:szCs w:val="14"/>
                <w:color w:val="auto"/>
              </w:rPr>
              <w:t>Others below S/20 million</w:t>
            </w:r>
          </w:p>
        </w:tc>
        <w:tc>
          <w:tcPr>
            <w:tcW w:w="8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20" w:type="dxa"/>
            <w:vAlign w:val="bottom"/>
            <w:gridSpan w:val="2"/>
          </w:tcPr>
          <w:p>
            <w:pPr>
              <w:jc w:val="center"/>
              <w:ind w:right="120"/>
              <w:spacing w:after="0" w:line="125" w:lineRule="exact"/>
              <w:rPr>
                <w:sz w:val="20"/>
                <w:szCs w:val="20"/>
                <w:color w:val="auto"/>
              </w:rPr>
            </w:pPr>
            <w:r>
              <w:rPr>
                <w:rFonts w:ascii="Arial" w:cs="Arial" w:eastAsia="Arial" w:hAnsi="Arial"/>
                <w:sz w:val="14"/>
                <w:szCs w:val="14"/>
                <w:color w:val="auto"/>
                <w:w w:val="88"/>
              </w:rPr>
              <w:t>January 2018 /</w:t>
            </w: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60" w:type="dxa"/>
            <w:vAlign w:val="bottom"/>
            <w:gridSpan w:val="3"/>
          </w:tcPr>
          <w:p>
            <w:pPr>
              <w:ind w:left="120"/>
              <w:spacing w:after="0" w:line="125" w:lineRule="exact"/>
              <w:rPr>
                <w:sz w:val="20"/>
                <w:szCs w:val="20"/>
                <w:color w:val="auto"/>
              </w:rPr>
            </w:pPr>
            <w:r>
              <w:rPr>
                <w:rFonts w:ascii="Arial" w:cs="Arial" w:eastAsia="Arial" w:hAnsi="Arial"/>
                <w:sz w:val="14"/>
                <w:szCs w:val="14"/>
                <w:color w:val="auto"/>
              </w:rPr>
              <w:t>Investments</w:t>
            </w:r>
          </w:p>
        </w:tc>
        <w:tc>
          <w:tcPr>
            <w:tcW w:w="1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20" w:type="dxa"/>
            <w:vAlign w:val="bottom"/>
          </w:tcPr>
          <w:p>
            <w:pPr>
              <w:spacing w:after="0" w:line="125"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1"/>
        </w:trPr>
        <w:tc>
          <w:tcPr>
            <w:tcW w:w="1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Arial" w:cs="Arial" w:eastAsia="Arial" w:hAnsi="Arial"/>
                <w:sz w:val="14"/>
                <w:szCs w:val="14"/>
                <w:color w:val="auto"/>
                <w:w w:val="84"/>
              </w:rPr>
              <w:t>-</w:t>
            </w:r>
          </w:p>
        </w:tc>
        <w:tc>
          <w:tcPr>
            <w:tcW w:w="120" w:type="dxa"/>
            <w:vAlign w:val="bottom"/>
          </w:tcPr>
          <w:p>
            <w:pPr>
              <w:spacing w:after="0"/>
              <w:rPr>
                <w:sz w:val="14"/>
                <w:szCs w:val="14"/>
                <w:color w:val="auto"/>
              </w:rPr>
            </w:pPr>
          </w:p>
        </w:tc>
        <w:tc>
          <w:tcPr>
            <w:tcW w:w="1220" w:type="dxa"/>
            <w:vAlign w:val="bottom"/>
            <w:gridSpan w:val="2"/>
          </w:tcPr>
          <w:p>
            <w:pPr>
              <w:jc w:val="center"/>
              <w:ind w:right="100"/>
              <w:spacing w:after="0"/>
              <w:rPr>
                <w:sz w:val="20"/>
                <w:szCs w:val="20"/>
                <w:color w:val="auto"/>
              </w:rPr>
            </w:pPr>
            <w:r>
              <w:rPr>
                <w:rFonts w:ascii="Arial" w:cs="Arial" w:eastAsia="Arial" w:hAnsi="Arial"/>
                <w:sz w:val="14"/>
                <w:szCs w:val="14"/>
                <w:color w:val="auto"/>
                <w:w w:val="88"/>
              </w:rPr>
              <w:t>December 2032</w:t>
            </w:r>
          </w:p>
        </w:tc>
        <w:tc>
          <w:tcPr>
            <w:tcW w:w="1100" w:type="dxa"/>
            <w:vAlign w:val="bottom"/>
            <w:gridSpan w:val="2"/>
          </w:tcPr>
          <w:p>
            <w:pPr>
              <w:jc w:val="right"/>
              <w:ind w:right="100"/>
              <w:spacing w:after="0"/>
              <w:rPr>
                <w:sz w:val="20"/>
                <w:szCs w:val="20"/>
                <w:color w:val="auto"/>
              </w:rPr>
            </w:pPr>
            <w:r>
              <w:rPr>
                <w:rFonts w:ascii="Arial" w:cs="Arial" w:eastAsia="Arial" w:hAnsi="Arial"/>
                <w:sz w:val="14"/>
                <w:szCs w:val="14"/>
                <w:color w:val="auto"/>
              </w:rPr>
              <w:t>46,069</w:t>
            </w:r>
          </w:p>
        </w:tc>
        <w:tc>
          <w:tcPr>
            <w:tcW w:w="1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Arial" w:cs="Arial" w:eastAsia="Arial" w:hAnsi="Arial"/>
                <w:sz w:val="14"/>
                <w:szCs w:val="14"/>
                <w:color w:val="auto"/>
                <w:w w:val="84"/>
              </w:rPr>
              <w:t>-</w:t>
            </w:r>
          </w:p>
        </w:tc>
        <w:tc>
          <w:tcPr>
            <w:tcW w:w="100" w:type="dxa"/>
            <w:vAlign w:val="bottom"/>
          </w:tcPr>
          <w:p>
            <w:pPr>
              <w:spacing w:after="0"/>
              <w:rPr>
                <w:sz w:val="14"/>
                <w:szCs w:val="14"/>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760" w:type="dxa"/>
            <w:vAlign w:val="bottom"/>
            <w:gridSpan w:val="2"/>
            <w:shd w:val="clear" w:color="auto" w:fill="CCEEFF"/>
          </w:tcPr>
          <w:p>
            <w:pPr>
              <w:spacing w:after="0" w:line="156" w:lineRule="exact"/>
              <w:rPr>
                <w:sz w:val="20"/>
                <w:szCs w:val="20"/>
                <w:color w:val="auto"/>
              </w:rPr>
            </w:pPr>
            <w:r>
              <w:rPr>
                <w:rFonts w:ascii="Arial" w:cs="Arial" w:eastAsia="Arial" w:hAnsi="Arial"/>
                <w:sz w:val="14"/>
                <w:szCs w:val="14"/>
                <w:color w:val="auto"/>
              </w:rPr>
              <w:t>Yields</w:t>
            </w:r>
          </w:p>
        </w:tc>
        <w:tc>
          <w:tcPr>
            <w:tcW w:w="8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100"/>
              <w:spacing w:after="0" w:line="156" w:lineRule="exact"/>
              <w:rPr>
                <w:sz w:val="20"/>
                <w:szCs w:val="20"/>
                <w:color w:val="auto"/>
              </w:rPr>
            </w:pPr>
            <w:r>
              <w:rPr>
                <w:rFonts w:ascii="Arial" w:cs="Arial" w:eastAsia="Arial" w:hAnsi="Arial"/>
                <w:sz w:val="14"/>
                <w:szCs w:val="14"/>
                <w:color w:val="auto"/>
              </w:rPr>
              <w:t>205,530</w:t>
            </w:r>
          </w:p>
        </w:tc>
        <w:tc>
          <w:tcPr>
            <w:tcW w:w="120" w:type="dxa"/>
            <w:vAlign w:val="bottom"/>
            <w:shd w:val="clear" w:color="auto" w:fill="CCEEFF"/>
          </w:tcPr>
          <w:p>
            <w:pPr>
              <w:spacing w:after="0"/>
              <w:rPr>
                <w:sz w:val="13"/>
                <w:szCs w:val="13"/>
                <w:color w:val="auto"/>
              </w:rPr>
            </w:pPr>
          </w:p>
        </w:tc>
        <w:tc>
          <w:tcPr>
            <w:tcW w:w="16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220"/>
              <w:spacing w:after="0" w:line="156" w:lineRule="exact"/>
              <w:rPr>
                <w:sz w:val="20"/>
                <w:szCs w:val="20"/>
                <w:color w:val="auto"/>
              </w:rPr>
            </w:pPr>
            <w:r>
              <w:rPr>
                <w:rFonts w:ascii="Arial" w:cs="Arial" w:eastAsia="Arial" w:hAnsi="Arial"/>
                <w:sz w:val="14"/>
                <w:szCs w:val="14"/>
                <w:color w:val="auto"/>
              </w:rPr>
              <w:t>259,566</w:t>
            </w:r>
          </w:p>
        </w:tc>
        <w:tc>
          <w:tcPr>
            <w:tcW w:w="16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11,874,800</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13,835,500</w:t>
            </w:r>
          </w:p>
        </w:tc>
        <w:tc>
          <w:tcPr>
            <w:tcW w:w="2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5" w:lineRule="exact"/>
        <w:rPr>
          <w:sz w:val="20"/>
          <w:szCs w:val="20"/>
          <w:color w:val="auto"/>
        </w:rPr>
      </w:pPr>
    </w:p>
    <w:p>
      <w:pPr>
        <w:ind w:left="316" w:right="160"/>
        <w:spacing w:after="0" w:line="270" w:lineRule="auto"/>
        <w:rPr>
          <w:sz w:val="20"/>
          <w:szCs w:val="20"/>
          <w:color w:val="auto"/>
        </w:rPr>
      </w:pPr>
      <w:r>
        <w:rPr>
          <w:rFonts w:ascii="Arial" w:cs="Arial" w:eastAsia="Arial" w:hAnsi="Arial"/>
          <w:sz w:val="17"/>
          <w:szCs w:val="17"/>
          <w:color w:val="auto"/>
        </w:rPr>
        <w:t>At December 31, 2017, said operations accrue interest at fixed and variable rates between 1.00 percent and 7.20 percent and between Libor at 3M + 0.35 percent and Libor at 6M + 1.90 percent, respectively, (between 0.95 percent and 7.20 percent and between Libor at 3M + 0.35 percent and Libor at 6M + 1.90 percent, respectively, at December 31, 2016).</w:t>
      </w:r>
    </w:p>
    <w:p>
      <w:pPr>
        <w:spacing w:after="0" w:line="172" w:lineRule="exact"/>
        <w:rPr>
          <w:sz w:val="20"/>
          <w:szCs w:val="20"/>
          <w:color w:val="auto"/>
        </w:rPr>
      </w:pPr>
    </w:p>
    <w:p>
      <w:pPr>
        <w:ind w:left="316"/>
        <w:spacing w:after="0"/>
        <w:rPr>
          <w:sz w:val="20"/>
          <w:szCs w:val="20"/>
          <w:color w:val="auto"/>
        </w:rPr>
      </w:pPr>
      <w:r>
        <w:rPr>
          <w:rFonts w:ascii="Arial" w:cs="Arial" w:eastAsia="Arial" w:hAnsi="Arial"/>
          <w:sz w:val="17"/>
          <w:szCs w:val="17"/>
          <w:color w:val="auto"/>
        </w:rPr>
        <w:t>Certain repurchase agreements were hedged using interest rate swaps (IRS) and cross-currency swaps (CCS), as detailed below:</w:t>
      </w:r>
    </w:p>
    <w:p>
      <w:pPr>
        <w:spacing w:after="0" w:line="220" w:lineRule="exact"/>
        <w:rPr>
          <w:sz w:val="20"/>
          <w:szCs w:val="20"/>
          <w:color w:val="auto"/>
        </w:rPr>
      </w:pPr>
    </w:p>
    <w:p>
      <w:pPr>
        <w:ind w:left="736" w:hanging="424"/>
        <w:spacing w:after="0" w:line="270" w:lineRule="auto"/>
        <w:tabs>
          <w:tab w:leader="none" w:pos="736" w:val="left"/>
        </w:tabs>
        <w:numPr>
          <w:ilvl w:val="0"/>
          <w:numId w:val="67"/>
        </w:numPr>
        <w:rPr>
          <w:rFonts w:ascii="Arial" w:cs="Arial" w:eastAsia="Arial" w:hAnsi="Arial"/>
          <w:sz w:val="17"/>
          <w:szCs w:val="17"/>
          <w:color w:val="auto"/>
        </w:rPr>
      </w:pPr>
      <w:r>
        <w:rPr>
          <w:rFonts w:ascii="Arial" w:cs="Arial" w:eastAsia="Arial" w:hAnsi="Arial"/>
          <w:sz w:val="17"/>
          <w:szCs w:val="17"/>
          <w:color w:val="auto"/>
        </w:rPr>
        <w:t>At December 31, 2017, the Group holds IRS which were designated as cash flow hedges of certain repurchase agreements at variable rate for a nominal amount of US$150.0 million, equivalent to S/486.2 million (US$150.0 million, equivalent to S/503.4 million, at December 31, 2016). By using these IRS, those repurchase agreements were economically converted to fixed interest rate, See Note 12(b).</w:t>
      </w:r>
    </w:p>
    <w:p>
      <w:pPr>
        <w:spacing w:after="0" w:line="171" w:lineRule="exact"/>
        <w:rPr>
          <w:rFonts w:ascii="Arial" w:cs="Arial" w:eastAsia="Arial" w:hAnsi="Arial"/>
          <w:sz w:val="17"/>
          <w:szCs w:val="17"/>
          <w:color w:val="auto"/>
        </w:rPr>
      </w:pPr>
    </w:p>
    <w:p>
      <w:pPr>
        <w:ind w:left="736" w:right="160" w:hanging="424"/>
        <w:spacing w:after="0" w:line="265" w:lineRule="auto"/>
        <w:tabs>
          <w:tab w:leader="none" w:pos="736" w:val="left"/>
        </w:tabs>
        <w:numPr>
          <w:ilvl w:val="0"/>
          <w:numId w:val="67"/>
        </w:numPr>
        <w:rPr>
          <w:rFonts w:ascii="Arial" w:cs="Arial" w:eastAsia="Arial" w:hAnsi="Arial"/>
          <w:sz w:val="17"/>
          <w:szCs w:val="17"/>
          <w:color w:val="auto"/>
        </w:rPr>
      </w:pPr>
      <w:r>
        <w:rPr>
          <w:rFonts w:ascii="Arial" w:cs="Arial" w:eastAsia="Arial" w:hAnsi="Arial"/>
          <w:sz w:val="17"/>
          <w:szCs w:val="17"/>
          <w:color w:val="auto"/>
        </w:rPr>
        <w:t>At December 31, 2017, the Group maintains an IRS and a CCS, which were together designated as a cash flow hedge of a repurchase agreement in U.S. dollars at variable interest rate for a nominal amount of US$80.0 million, equivalent to S/259.3 million (approximately US$80.0 million, equivalent to S/268.5 million, at December 31, 2016). By means of the IRS and the CCS, said repurchase agreement was economically converted to soles at a fixed interest rate, See Note 12(b).</w:t>
      </w:r>
    </w:p>
    <w:p>
      <w:pPr>
        <w:spacing w:after="0" w:line="176" w:lineRule="exact"/>
        <w:rPr>
          <w:rFonts w:ascii="Arial" w:cs="Arial" w:eastAsia="Arial" w:hAnsi="Arial"/>
          <w:sz w:val="17"/>
          <w:szCs w:val="17"/>
          <w:color w:val="auto"/>
        </w:rPr>
      </w:pPr>
    </w:p>
    <w:p>
      <w:pPr>
        <w:ind w:left="736" w:right="40" w:hanging="424"/>
        <w:spacing w:after="0" w:line="294" w:lineRule="auto"/>
        <w:tabs>
          <w:tab w:leader="none" w:pos="736" w:val="left"/>
        </w:tabs>
        <w:numPr>
          <w:ilvl w:val="0"/>
          <w:numId w:val="67"/>
        </w:numPr>
        <w:rPr>
          <w:rFonts w:ascii="Arial" w:cs="Arial" w:eastAsia="Arial" w:hAnsi="Arial"/>
          <w:sz w:val="16"/>
          <w:szCs w:val="16"/>
          <w:color w:val="auto"/>
        </w:rPr>
      </w:pPr>
      <w:r>
        <w:rPr>
          <w:rFonts w:ascii="Arial" w:cs="Arial" w:eastAsia="Arial" w:hAnsi="Arial"/>
          <w:sz w:val="16"/>
          <w:szCs w:val="16"/>
          <w:color w:val="auto"/>
        </w:rPr>
        <w:t xml:space="preserve">At December 31, 2017, </w:t>
      </w:r>
      <w:r>
        <w:rPr>
          <w:rFonts w:ascii="Arial" w:cs="Arial" w:eastAsia="Arial" w:hAnsi="Arial"/>
          <w:sz w:val="16"/>
          <w:szCs w:val="16"/>
          <w:color w:val="222222"/>
        </w:rPr>
        <w:t>the Group maintains a CCS which was designated as a cash flow hedge for a repurchase agreement in U.S. dollars at variable rate</w:t>
      </w:r>
      <w:r>
        <w:rPr>
          <w:rFonts w:ascii="Arial" w:cs="Arial" w:eastAsia="Arial" w:hAnsi="Arial"/>
          <w:sz w:val="16"/>
          <w:szCs w:val="16"/>
          <w:color w:val="auto"/>
        </w:rPr>
        <w:t xml:space="preserve"> </w:t>
      </w:r>
      <w:r>
        <w:rPr>
          <w:rFonts w:ascii="Arial" w:cs="Arial" w:eastAsia="Arial" w:hAnsi="Arial"/>
          <w:sz w:val="16"/>
          <w:szCs w:val="16"/>
          <w:color w:val="222222"/>
        </w:rPr>
        <w:t xml:space="preserve">for a nominal amount of </w:t>
      </w:r>
      <w:r>
        <w:rPr>
          <w:rFonts w:ascii="Arial" w:cs="Arial" w:eastAsia="Arial" w:hAnsi="Arial"/>
          <w:sz w:val="16"/>
          <w:szCs w:val="16"/>
          <w:color w:val="000000"/>
        </w:rPr>
        <w:t>US$70 million, equivalent to S/226.9 million (approximately US$70.0 million, equivalent to S/234.9 million, at December 31,</w:t>
      </w:r>
      <w:r>
        <w:rPr>
          <w:rFonts w:ascii="Arial" w:cs="Arial" w:eastAsia="Arial" w:hAnsi="Arial"/>
          <w:sz w:val="16"/>
          <w:szCs w:val="16"/>
          <w:color w:val="222222"/>
        </w:rPr>
        <w:t xml:space="preserve"> </w:t>
      </w:r>
      <w:r>
        <w:rPr>
          <w:rFonts w:ascii="Arial" w:cs="Arial" w:eastAsia="Arial" w:hAnsi="Arial"/>
          <w:sz w:val="16"/>
          <w:szCs w:val="16"/>
          <w:color w:val="000000"/>
        </w:rPr>
        <w:t xml:space="preserve">2016). </w:t>
      </w:r>
      <w:r>
        <w:rPr>
          <w:rFonts w:ascii="Arial" w:cs="Arial" w:eastAsia="Arial" w:hAnsi="Arial"/>
          <w:sz w:val="16"/>
          <w:szCs w:val="16"/>
          <w:color w:val="222222"/>
        </w:rPr>
        <w:t>By means of the CCS, this repurchase agreement was economically converted to a fixed interest rate in soles See Note 12(b).</w:t>
      </w:r>
    </w:p>
    <w:p>
      <w:pPr>
        <w:spacing w:after="0" w:line="155" w:lineRule="exact"/>
        <w:rPr>
          <w:rFonts w:ascii="Arial" w:cs="Arial" w:eastAsia="Arial" w:hAnsi="Arial"/>
          <w:sz w:val="16"/>
          <w:szCs w:val="16"/>
          <w:color w:val="auto"/>
        </w:rPr>
      </w:pPr>
    </w:p>
    <w:p>
      <w:pPr>
        <w:jc w:val="both"/>
        <w:ind w:left="736" w:right="60" w:hanging="424"/>
        <w:spacing w:after="0" w:line="270" w:lineRule="auto"/>
        <w:tabs>
          <w:tab w:leader="none" w:pos="736" w:val="left"/>
        </w:tabs>
        <w:numPr>
          <w:ilvl w:val="0"/>
          <w:numId w:val="67"/>
        </w:numPr>
        <w:rPr>
          <w:rFonts w:ascii="Arial" w:cs="Arial" w:eastAsia="Arial" w:hAnsi="Arial"/>
          <w:sz w:val="17"/>
          <w:szCs w:val="17"/>
          <w:color w:val="auto"/>
        </w:rPr>
      </w:pPr>
      <w:r>
        <w:rPr>
          <w:rFonts w:ascii="Arial" w:cs="Arial" w:eastAsia="Arial" w:hAnsi="Arial"/>
          <w:sz w:val="17"/>
          <w:szCs w:val="17"/>
          <w:color w:val="auto"/>
        </w:rPr>
        <w:t>December 31, 2017, the Group maintains a CCS which was designated as a cash flow hedge of two repurchase agreements in U.S. dollars at variable rate for a nominal amount of US$45.0 million, equivalent to S/145.8 million (approximately US$45.0 million, equivalent to S/151.0 million, at December 31, 2016). By means of the CCS, said repurchase agreements were economically converted to soles, See Note 12(b).</w:t>
      </w:r>
    </w:p>
    <w:p>
      <w:pPr>
        <w:spacing w:after="0" w:line="171" w:lineRule="exact"/>
        <w:rPr>
          <w:rFonts w:ascii="Arial" w:cs="Arial" w:eastAsia="Arial" w:hAnsi="Arial"/>
          <w:sz w:val="17"/>
          <w:szCs w:val="17"/>
          <w:color w:val="auto"/>
        </w:rPr>
      </w:pPr>
    </w:p>
    <w:p>
      <w:pPr>
        <w:ind w:left="736" w:right="100" w:hanging="424"/>
        <w:spacing w:after="0" w:line="270" w:lineRule="auto"/>
        <w:tabs>
          <w:tab w:leader="none" w:pos="736" w:val="left"/>
        </w:tabs>
        <w:numPr>
          <w:ilvl w:val="0"/>
          <w:numId w:val="67"/>
        </w:numPr>
        <w:rPr>
          <w:rFonts w:ascii="Arial" w:cs="Arial" w:eastAsia="Arial" w:hAnsi="Arial"/>
          <w:sz w:val="17"/>
          <w:szCs w:val="17"/>
          <w:color w:val="auto"/>
        </w:rPr>
      </w:pPr>
      <w:r>
        <w:rPr>
          <w:rFonts w:ascii="Arial" w:cs="Arial" w:eastAsia="Arial" w:hAnsi="Arial"/>
          <w:sz w:val="17"/>
          <w:szCs w:val="17"/>
          <w:color w:val="auto"/>
        </w:rPr>
        <w:t>At December 31, 2017, the Group maintains a CCS which was designated as a cash flow hedge of a repurchase agreement in U.S. dollars at variable rate for a nominal amount of US$25.0 million, equivalent to S/81.0 million (approximately US$25.0 million, equivalent to S/83.9 million, at December 31, 2016). By means of the CCS, said repurchase agreement was economically converted to soles, See Note 12(b).</w:t>
      </w:r>
    </w:p>
    <w:p>
      <w:pPr>
        <w:spacing w:after="0" w:line="379" w:lineRule="exact"/>
        <w:rPr>
          <w:rFonts w:ascii="Arial" w:cs="Arial" w:eastAsia="Arial" w:hAnsi="Arial"/>
          <w:sz w:val="17"/>
          <w:szCs w:val="17"/>
          <w:color w:val="auto"/>
        </w:rPr>
      </w:pPr>
    </w:p>
    <w:p>
      <w:pPr>
        <w:ind w:left="5636" w:hanging="107"/>
        <w:spacing w:after="0"/>
        <w:tabs>
          <w:tab w:leader="none" w:pos="5636" w:val="left"/>
        </w:tabs>
        <w:numPr>
          <w:ilvl w:val="1"/>
          <w:numId w:val="67"/>
        </w:numPr>
        <w:rPr>
          <w:rFonts w:ascii="Arial" w:cs="Arial" w:eastAsia="Arial" w:hAnsi="Arial"/>
          <w:sz w:val="17"/>
          <w:szCs w:val="17"/>
          <w:color w:val="auto"/>
        </w:rPr>
      </w:pPr>
      <w:r>
        <w:rPr>
          <w:rFonts w:ascii="Arial" w:cs="Arial" w:eastAsia="Arial" w:hAnsi="Arial"/>
          <w:sz w:val="17"/>
          <w:szCs w:val="17"/>
          <w:color w:val="auto"/>
        </w:rPr>
        <w:t>55 -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15875</wp:posOffset>
            </wp:positionV>
            <wp:extent cx="725170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51700" cy="8255"/>
                    </a:xfrm>
                    <a:prstGeom prst="rect">
                      <a:avLst/>
                    </a:prstGeom>
                    <a:noFill/>
                  </pic:spPr>
                </pic:pic>
              </a:graphicData>
            </a:graphic>
          </wp:anchor>
        </w:drawing>
      </w:r>
    </w:p>
    <w:p>
      <w:pPr>
        <w:sectPr>
          <w:pgSz w:w="11900" w:h="16838" w:orient="portrait"/>
          <w:cols w:equalWidth="0" w:num="1">
            <w:col w:w="11416"/>
          </w:cols>
          <w:pgMar w:left="244" w:top="881" w:right="239" w:bottom="1440" w:gutter="0" w:footer="0" w:header="0"/>
        </w:sectPr>
      </w:pPr>
    </w:p>
    <w:bookmarkStart w:id="61" w:name="page62"/>
    <w:bookmarkEnd w:id="61"/>
    <w:p>
      <w:pPr>
        <w:ind w:left="316" w:hanging="316"/>
        <w:spacing w:after="0"/>
        <w:tabs>
          <w:tab w:leader="none" w:pos="316" w:val="left"/>
        </w:tabs>
        <w:numPr>
          <w:ilvl w:val="0"/>
          <w:numId w:val="68"/>
        </w:numPr>
        <w:rPr>
          <w:rFonts w:ascii="Arial" w:cs="Arial" w:eastAsia="Arial" w:hAnsi="Arial"/>
          <w:sz w:val="17"/>
          <w:szCs w:val="17"/>
          <w:b w:val="1"/>
          <w:bCs w:val="1"/>
          <w:color w:val="auto"/>
        </w:rPr>
      </w:pPr>
      <w:r>
        <w:rPr>
          <w:rFonts w:ascii="Arial" w:cs="Arial" w:eastAsia="Arial" w:hAnsi="Arial"/>
          <w:sz w:val="17"/>
          <w:szCs w:val="17"/>
          <w:b w:val="1"/>
          <w:bCs w:val="1"/>
          <w:color w:val="auto"/>
        </w:rPr>
        <w:t>INVESTMENTS</w:t>
      </w:r>
    </w:p>
    <w:p>
      <w:pPr>
        <w:spacing w:after="0" w:line="226" w:lineRule="exact"/>
        <w:rPr>
          <w:sz w:val="20"/>
          <w:szCs w:val="20"/>
          <w:color w:val="auto"/>
        </w:rPr>
      </w:pPr>
    </w:p>
    <w:p>
      <w:pPr>
        <w:ind w:left="316" w:hanging="316"/>
        <w:spacing w:after="0"/>
        <w:tabs>
          <w:tab w:leader="none" w:pos="316" w:val="left"/>
        </w:tabs>
        <w:numPr>
          <w:ilvl w:val="0"/>
          <w:numId w:val="69"/>
        </w:numPr>
        <w:rPr>
          <w:rFonts w:ascii="Arial" w:cs="Arial" w:eastAsia="Arial" w:hAnsi="Arial"/>
          <w:sz w:val="17"/>
          <w:szCs w:val="17"/>
          <w:color w:val="auto"/>
        </w:rPr>
      </w:pPr>
      <w:r>
        <w:rPr>
          <w:rFonts w:ascii="Arial" w:cs="Arial" w:eastAsia="Arial" w:hAnsi="Arial"/>
          <w:sz w:val="17"/>
          <w:szCs w:val="17"/>
          <w:color w:val="auto"/>
        </w:rPr>
        <w:t>Investment at fair value through profit or loss and available-for-sale investments consist of the following:</w:t>
      </w:r>
    </w:p>
    <w:p>
      <w:pPr>
        <w:spacing w:after="0" w:line="223" w:lineRule="exact"/>
        <w:rPr>
          <w:sz w:val="20"/>
          <w:szCs w:val="20"/>
          <w:color w:val="auto"/>
        </w:rPr>
      </w:pPr>
    </w:p>
    <w:tbl>
      <w:tblPr>
        <w:tblLayout w:type="fixed"/>
        <w:tblInd w:w="316" w:type="dxa"/>
        <w:tblCellMar>
          <w:top w:w="0" w:type="dxa"/>
          <w:left w:w="0" w:type="dxa"/>
          <w:bottom w:w="0" w:type="dxa"/>
          <w:right w:w="0" w:type="dxa"/>
        </w:tblCellMar>
      </w:tblPr>
      <w:tr>
        <w:trPr>
          <w:trHeight w:val="165"/>
        </w:trPr>
        <w:tc>
          <w:tcPr>
            <w:tcW w:w="356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gridSpan w:val="2"/>
          </w:tcPr>
          <w:p>
            <w:pPr>
              <w:jc w:val="right"/>
              <w:ind w:right="471"/>
              <w:spacing w:after="0"/>
              <w:rPr>
                <w:sz w:val="20"/>
                <w:szCs w:val="20"/>
                <w:color w:val="auto"/>
              </w:rPr>
            </w:pPr>
            <w:r>
              <w:rPr>
                <w:rFonts w:ascii="Arial" w:cs="Arial" w:eastAsia="Arial" w:hAnsi="Arial"/>
                <w:sz w:val="14"/>
                <w:szCs w:val="14"/>
                <w:b w:val="1"/>
                <w:bCs w:val="1"/>
                <w:color w:val="auto"/>
                <w:w w:val="89"/>
              </w:rPr>
              <w:t>2017</w:t>
            </w:r>
          </w:p>
        </w:tc>
        <w:tc>
          <w:tcPr>
            <w:tcW w:w="2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gridSpan w:val="2"/>
          </w:tcPr>
          <w:p>
            <w:pPr>
              <w:jc w:val="right"/>
              <w:ind w:right="491"/>
              <w:spacing w:after="0"/>
              <w:rPr>
                <w:sz w:val="20"/>
                <w:szCs w:val="20"/>
                <w:color w:val="auto"/>
              </w:rPr>
            </w:pPr>
            <w:r>
              <w:rPr>
                <w:rFonts w:ascii="Arial" w:cs="Arial" w:eastAsia="Arial" w:hAnsi="Arial"/>
                <w:sz w:val="14"/>
                <w:szCs w:val="14"/>
                <w:b w:val="1"/>
                <w:bCs w:val="1"/>
                <w:color w:val="auto"/>
                <w:w w:val="83"/>
              </w:rPr>
              <w:t>2016</w:t>
            </w:r>
          </w:p>
        </w:tc>
        <w:tc>
          <w:tcPr>
            <w:tcW w:w="2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3560" w:type="dxa"/>
            <w:vAlign w:val="bottom"/>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700" w:type="dxa"/>
            <w:vAlign w:val="bottom"/>
            <w:tcBorders>
              <w:bottom w:val="single" w:sz="8" w:color="auto"/>
            </w:tcBorders>
            <w:gridSpan w:val="4"/>
          </w:tcPr>
          <w:p>
            <w:pPr>
              <w:jc w:val="right"/>
              <w:ind w:right="100"/>
              <w:spacing w:after="0" w:line="136" w:lineRule="exact"/>
              <w:rPr>
                <w:sz w:val="20"/>
                <w:szCs w:val="20"/>
                <w:color w:val="auto"/>
              </w:rPr>
            </w:pPr>
            <w:r>
              <w:rPr>
                <w:rFonts w:ascii="Arial" w:cs="Arial" w:eastAsia="Arial" w:hAnsi="Arial"/>
                <w:sz w:val="14"/>
                <w:szCs w:val="14"/>
                <w:b w:val="1"/>
                <w:bCs w:val="1"/>
                <w:color w:val="auto"/>
                <w:w w:val="92"/>
              </w:rPr>
              <w:t>Unrealized gross amount</w:t>
            </w:r>
          </w:p>
        </w:tc>
        <w:tc>
          <w:tcPr>
            <w:tcW w:w="88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720" w:type="dxa"/>
            <w:vAlign w:val="bottom"/>
            <w:tcBorders>
              <w:bottom w:val="single" w:sz="8" w:color="auto"/>
            </w:tcBorders>
            <w:gridSpan w:val="5"/>
          </w:tcPr>
          <w:p>
            <w:pPr>
              <w:jc w:val="right"/>
              <w:ind w:right="120"/>
              <w:spacing w:after="0" w:line="136" w:lineRule="exact"/>
              <w:rPr>
                <w:sz w:val="20"/>
                <w:szCs w:val="20"/>
                <w:color w:val="auto"/>
              </w:rPr>
            </w:pPr>
            <w:r>
              <w:rPr>
                <w:rFonts w:ascii="Arial" w:cs="Arial" w:eastAsia="Arial" w:hAnsi="Arial"/>
                <w:sz w:val="14"/>
                <w:szCs w:val="14"/>
                <w:b w:val="1"/>
                <w:bCs w:val="1"/>
                <w:color w:val="auto"/>
                <w:w w:val="92"/>
              </w:rPr>
              <w:t>Unrealized gross amount</w:t>
            </w:r>
          </w:p>
        </w:tc>
        <w:tc>
          <w:tcPr>
            <w:tcW w:w="88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3"/>
        </w:trPr>
        <w:tc>
          <w:tcPr>
            <w:tcW w:w="3560" w:type="dxa"/>
            <w:vAlign w:val="bottom"/>
          </w:tcPr>
          <w:p>
            <w:pPr>
              <w:spacing w:after="0"/>
              <w:rPr>
                <w:sz w:val="9"/>
                <w:szCs w:val="9"/>
                <w:color w:val="auto"/>
              </w:rPr>
            </w:pPr>
          </w:p>
        </w:tc>
        <w:tc>
          <w:tcPr>
            <w:tcW w:w="940" w:type="dxa"/>
            <w:vAlign w:val="bottom"/>
            <w:gridSpan w:val="2"/>
          </w:tcPr>
          <w:p>
            <w:pPr>
              <w:jc w:val="right"/>
              <w:ind w:right="280"/>
              <w:spacing w:after="0" w:line="114" w:lineRule="exact"/>
              <w:rPr>
                <w:sz w:val="20"/>
                <w:szCs w:val="20"/>
                <w:color w:val="auto"/>
              </w:rPr>
            </w:pPr>
            <w:r>
              <w:rPr>
                <w:rFonts w:ascii="Arial" w:cs="Arial" w:eastAsia="Arial" w:hAnsi="Arial"/>
                <w:sz w:val="13"/>
                <w:szCs w:val="13"/>
                <w:b w:val="1"/>
                <w:bCs w:val="1"/>
                <w:color w:val="auto"/>
              </w:rPr>
              <w:t>Amortized</w:t>
            </w:r>
          </w:p>
        </w:tc>
        <w:tc>
          <w:tcPr>
            <w:tcW w:w="660" w:type="dxa"/>
            <w:vAlign w:val="bottom"/>
            <w:vMerge w:val="restart"/>
          </w:tcPr>
          <w:p>
            <w:pPr>
              <w:jc w:val="right"/>
              <w:ind w:right="71"/>
              <w:spacing w:after="0"/>
              <w:rPr>
                <w:sz w:val="20"/>
                <w:szCs w:val="20"/>
                <w:color w:val="auto"/>
              </w:rPr>
            </w:pPr>
            <w:r>
              <w:rPr>
                <w:rFonts w:ascii="Arial" w:cs="Arial" w:eastAsia="Arial" w:hAnsi="Arial"/>
                <w:sz w:val="14"/>
                <w:szCs w:val="14"/>
                <w:b w:val="1"/>
                <w:bCs w:val="1"/>
                <w:color w:val="auto"/>
              </w:rPr>
              <w:t>Profits</w:t>
            </w:r>
          </w:p>
        </w:tc>
        <w:tc>
          <w:tcPr>
            <w:tcW w:w="200" w:type="dxa"/>
            <w:vAlign w:val="bottom"/>
          </w:tcPr>
          <w:p>
            <w:pPr>
              <w:spacing w:after="0"/>
              <w:rPr>
                <w:sz w:val="9"/>
                <w:szCs w:val="9"/>
                <w:color w:val="auto"/>
              </w:rPr>
            </w:pPr>
          </w:p>
        </w:tc>
        <w:tc>
          <w:tcPr>
            <w:tcW w:w="84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rPr>
              <w:t>Losses</w:t>
            </w:r>
          </w:p>
        </w:tc>
        <w:tc>
          <w:tcPr>
            <w:tcW w:w="880" w:type="dxa"/>
            <w:vAlign w:val="bottom"/>
          </w:tcPr>
          <w:p>
            <w:pPr>
              <w:jc w:val="center"/>
              <w:spacing w:after="0" w:line="114" w:lineRule="exact"/>
              <w:rPr>
                <w:sz w:val="20"/>
                <w:szCs w:val="20"/>
                <w:color w:val="auto"/>
              </w:rPr>
            </w:pPr>
            <w:r>
              <w:rPr>
                <w:rFonts w:ascii="Arial" w:cs="Arial" w:eastAsia="Arial" w:hAnsi="Arial"/>
                <w:sz w:val="13"/>
                <w:szCs w:val="13"/>
                <w:b w:val="1"/>
                <w:bCs w:val="1"/>
                <w:color w:val="auto"/>
                <w:w w:val="99"/>
              </w:rPr>
              <w:t>Estimated fair</w:t>
            </w:r>
          </w:p>
        </w:tc>
        <w:tc>
          <w:tcPr>
            <w:tcW w:w="220" w:type="dxa"/>
            <w:vAlign w:val="bottom"/>
          </w:tcPr>
          <w:p>
            <w:pPr>
              <w:spacing w:after="0"/>
              <w:rPr>
                <w:sz w:val="9"/>
                <w:szCs w:val="9"/>
                <w:color w:val="auto"/>
              </w:rPr>
            </w:pPr>
          </w:p>
        </w:tc>
        <w:tc>
          <w:tcPr>
            <w:tcW w:w="940" w:type="dxa"/>
            <w:vAlign w:val="bottom"/>
            <w:gridSpan w:val="2"/>
          </w:tcPr>
          <w:p>
            <w:pPr>
              <w:jc w:val="right"/>
              <w:ind w:right="280"/>
              <w:spacing w:after="0" w:line="114" w:lineRule="exact"/>
              <w:rPr>
                <w:sz w:val="20"/>
                <w:szCs w:val="20"/>
                <w:color w:val="auto"/>
              </w:rPr>
            </w:pPr>
            <w:r>
              <w:rPr>
                <w:rFonts w:ascii="Arial" w:cs="Arial" w:eastAsia="Arial" w:hAnsi="Arial"/>
                <w:sz w:val="13"/>
                <w:szCs w:val="13"/>
                <w:b w:val="1"/>
                <w:bCs w:val="1"/>
                <w:color w:val="auto"/>
              </w:rPr>
              <w:t>Amortized</w:t>
            </w:r>
          </w:p>
        </w:tc>
        <w:tc>
          <w:tcPr>
            <w:tcW w:w="68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Profits</w:t>
            </w:r>
          </w:p>
        </w:tc>
        <w:tc>
          <w:tcPr>
            <w:tcW w:w="180" w:type="dxa"/>
            <w:vAlign w:val="bottom"/>
          </w:tcPr>
          <w:p>
            <w:pPr>
              <w:spacing w:after="0"/>
              <w:rPr>
                <w:sz w:val="9"/>
                <w:szCs w:val="9"/>
                <w:color w:val="auto"/>
              </w:rPr>
            </w:pPr>
          </w:p>
        </w:tc>
        <w:tc>
          <w:tcPr>
            <w:tcW w:w="86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rPr>
              <w:t>Losses</w:t>
            </w:r>
          </w:p>
        </w:tc>
        <w:tc>
          <w:tcPr>
            <w:tcW w:w="880" w:type="dxa"/>
            <w:vAlign w:val="bottom"/>
          </w:tcPr>
          <w:p>
            <w:pPr>
              <w:jc w:val="center"/>
              <w:spacing w:after="0" w:line="114" w:lineRule="exact"/>
              <w:rPr>
                <w:sz w:val="20"/>
                <w:szCs w:val="20"/>
                <w:color w:val="auto"/>
              </w:rPr>
            </w:pPr>
            <w:r>
              <w:rPr>
                <w:rFonts w:ascii="Arial" w:cs="Arial" w:eastAsia="Arial" w:hAnsi="Arial"/>
                <w:sz w:val="13"/>
                <w:szCs w:val="13"/>
                <w:b w:val="1"/>
                <w:bCs w:val="1"/>
                <w:color w:val="auto"/>
                <w:w w:val="97"/>
              </w:rPr>
              <w:t>Estimated fair</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5"/>
        </w:trPr>
        <w:tc>
          <w:tcPr>
            <w:tcW w:w="3560" w:type="dxa"/>
            <w:vAlign w:val="bottom"/>
          </w:tcPr>
          <w:p>
            <w:pPr>
              <w:spacing w:after="0"/>
              <w:rPr>
                <w:sz w:val="14"/>
                <w:szCs w:val="14"/>
                <w:color w:val="auto"/>
              </w:rPr>
            </w:pPr>
          </w:p>
        </w:tc>
        <w:tc>
          <w:tcPr>
            <w:tcW w:w="94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cost</w:t>
            </w:r>
          </w:p>
        </w:tc>
        <w:tc>
          <w:tcPr>
            <w:tcW w:w="66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1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3"/>
              </w:rPr>
              <w:t>value</w:t>
            </w:r>
          </w:p>
        </w:tc>
        <w:tc>
          <w:tcPr>
            <w:tcW w:w="94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cost</w:t>
            </w:r>
          </w:p>
        </w:tc>
        <w:tc>
          <w:tcPr>
            <w:tcW w:w="68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9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value</w:t>
            </w:r>
          </w:p>
        </w:tc>
        <w:tc>
          <w:tcPr>
            <w:tcW w:w="0" w:type="dxa"/>
            <w:vAlign w:val="bottom"/>
          </w:tcPr>
          <w:p>
            <w:pPr>
              <w:spacing w:after="0"/>
              <w:rPr>
                <w:sz w:val="1"/>
                <w:szCs w:val="1"/>
                <w:color w:val="auto"/>
              </w:rPr>
            </w:pPr>
          </w:p>
        </w:tc>
      </w:tr>
      <w:tr>
        <w:trPr>
          <w:trHeight w:val="172"/>
        </w:trPr>
        <w:tc>
          <w:tcPr>
            <w:tcW w:w="3560" w:type="dxa"/>
            <w:vAlign w:val="bottom"/>
          </w:tcPr>
          <w:p>
            <w:pPr>
              <w:spacing w:after="0"/>
              <w:rPr>
                <w:sz w:val="14"/>
                <w:szCs w:val="14"/>
                <w:color w:val="auto"/>
              </w:rPr>
            </w:pPr>
          </w:p>
        </w:tc>
        <w:tc>
          <w:tcPr>
            <w:tcW w:w="720" w:type="dxa"/>
            <w:vAlign w:val="bottom"/>
            <w:tcBorders>
              <w:top w:val="single" w:sz="8" w:color="auto"/>
            </w:tcBorders>
          </w:tcPr>
          <w:p>
            <w:pPr>
              <w:jc w:val="right"/>
              <w:ind w:right="91"/>
              <w:spacing w:after="0"/>
              <w:rPr>
                <w:sz w:val="20"/>
                <w:szCs w:val="20"/>
                <w:color w:val="auto"/>
              </w:rPr>
            </w:pPr>
            <w:r>
              <w:rPr>
                <w:rFonts w:ascii="Arial" w:cs="Arial" w:eastAsia="Arial" w:hAnsi="Arial"/>
                <w:sz w:val="14"/>
                <w:szCs w:val="14"/>
                <w:b w:val="1"/>
                <w:bCs w:val="1"/>
                <w:color w:val="auto"/>
              </w:rPr>
              <w:t>S/(000)</w:t>
            </w:r>
          </w:p>
        </w:tc>
        <w:tc>
          <w:tcPr>
            <w:tcW w:w="220" w:type="dxa"/>
            <w:vAlign w:val="bottom"/>
          </w:tcPr>
          <w:p>
            <w:pPr>
              <w:spacing w:after="0"/>
              <w:rPr>
                <w:sz w:val="14"/>
                <w:szCs w:val="14"/>
                <w:color w:val="auto"/>
              </w:rPr>
            </w:pPr>
          </w:p>
        </w:tc>
        <w:tc>
          <w:tcPr>
            <w:tcW w:w="660" w:type="dxa"/>
            <w:vAlign w:val="bottom"/>
            <w:tcBorders>
              <w:top w:val="single" w:sz="8" w:color="auto"/>
            </w:tcBorders>
          </w:tcPr>
          <w:p>
            <w:pPr>
              <w:jc w:val="right"/>
              <w:ind w:right="51"/>
              <w:spacing w:after="0"/>
              <w:rPr>
                <w:sz w:val="20"/>
                <w:szCs w:val="20"/>
                <w:color w:val="auto"/>
              </w:rPr>
            </w:pPr>
            <w:r>
              <w:rPr>
                <w:rFonts w:ascii="Arial" w:cs="Arial" w:eastAsia="Arial" w:hAnsi="Arial"/>
                <w:sz w:val="14"/>
                <w:szCs w:val="14"/>
                <w:b w:val="1"/>
                <w:bCs w:val="1"/>
                <w:color w:val="auto"/>
              </w:rPr>
              <w:t>S/(000)</w:t>
            </w:r>
          </w:p>
        </w:tc>
        <w:tc>
          <w:tcPr>
            <w:tcW w:w="200" w:type="dxa"/>
            <w:vAlign w:val="bottom"/>
          </w:tcPr>
          <w:p>
            <w:pPr>
              <w:spacing w:after="0"/>
              <w:rPr>
                <w:sz w:val="14"/>
                <w:szCs w:val="14"/>
                <w:color w:val="auto"/>
              </w:rPr>
            </w:pPr>
          </w:p>
        </w:tc>
        <w:tc>
          <w:tcPr>
            <w:tcW w:w="640" w:type="dxa"/>
            <w:vAlign w:val="bottom"/>
            <w:tcBorders>
              <w:top w:val="single" w:sz="8" w:color="auto"/>
            </w:tcBorders>
          </w:tcPr>
          <w:p>
            <w:pPr>
              <w:jc w:val="right"/>
              <w:ind w:right="51"/>
              <w:spacing w:after="0"/>
              <w:rPr>
                <w:sz w:val="20"/>
                <w:szCs w:val="20"/>
                <w:color w:val="auto"/>
              </w:rPr>
            </w:pPr>
            <w:r>
              <w:rPr>
                <w:rFonts w:ascii="Arial" w:cs="Arial" w:eastAsia="Arial" w:hAnsi="Arial"/>
                <w:sz w:val="14"/>
                <w:szCs w:val="14"/>
                <w:b w:val="1"/>
                <w:bCs w:val="1"/>
                <w:color w:val="auto"/>
              </w:rPr>
              <w:t>S/(000)</w:t>
            </w:r>
          </w:p>
        </w:tc>
        <w:tc>
          <w:tcPr>
            <w:tcW w:w="200" w:type="dxa"/>
            <w:vAlign w:val="bottom"/>
          </w:tcPr>
          <w:p>
            <w:pPr>
              <w:spacing w:after="0"/>
              <w:rPr>
                <w:sz w:val="14"/>
                <w:szCs w:val="14"/>
                <w:color w:val="auto"/>
              </w:rPr>
            </w:pPr>
          </w:p>
        </w:tc>
        <w:tc>
          <w:tcPr>
            <w:tcW w:w="88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S/(000)</w:t>
            </w:r>
          </w:p>
        </w:tc>
        <w:tc>
          <w:tcPr>
            <w:tcW w:w="220" w:type="dxa"/>
            <w:vAlign w:val="bottom"/>
          </w:tcPr>
          <w:p>
            <w:pPr>
              <w:spacing w:after="0"/>
              <w:rPr>
                <w:sz w:val="14"/>
                <w:szCs w:val="14"/>
                <w:color w:val="auto"/>
              </w:rPr>
            </w:pPr>
          </w:p>
        </w:tc>
        <w:tc>
          <w:tcPr>
            <w:tcW w:w="720" w:type="dxa"/>
            <w:vAlign w:val="bottom"/>
            <w:tcBorders>
              <w:top w:val="single" w:sz="8" w:color="auto"/>
            </w:tcBorders>
          </w:tcPr>
          <w:p>
            <w:pPr>
              <w:jc w:val="right"/>
              <w:ind w:right="91"/>
              <w:spacing w:after="0"/>
              <w:rPr>
                <w:sz w:val="20"/>
                <w:szCs w:val="20"/>
                <w:color w:val="auto"/>
              </w:rPr>
            </w:pPr>
            <w:r>
              <w:rPr>
                <w:rFonts w:ascii="Arial" w:cs="Arial" w:eastAsia="Arial" w:hAnsi="Arial"/>
                <w:sz w:val="14"/>
                <w:szCs w:val="14"/>
                <w:b w:val="1"/>
                <w:bCs w:val="1"/>
                <w:color w:val="auto"/>
              </w:rPr>
              <w:t>S/(000)</w:t>
            </w:r>
          </w:p>
        </w:tc>
        <w:tc>
          <w:tcPr>
            <w:tcW w:w="220" w:type="dxa"/>
            <w:vAlign w:val="bottom"/>
          </w:tcPr>
          <w:p>
            <w:pPr>
              <w:spacing w:after="0"/>
              <w:rPr>
                <w:sz w:val="14"/>
                <w:szCs w:val="14"/>
                <w:color w:val="auto"/>
              </w:rPr>
            </w:pPr>
          </w:p>
        </w:tc>
        <w:tc>
          <w:tcPr>
            <w:tcW w:w="660" w:type="dxa"/>
            <w:vAlign w:val="bottom"/>
            <w:tcBorders>
              <w:top w:val="single" w:sz="8" w:color="auto"/>
            </w:tcBorders>
          </w:tcPr>
          <w:p>
            <w:pPr>
              <w:jc w:val="right"/>
              <w:ind w:right="51"/>
              <w:spacing w:after="0"/>
              <w:rPr>
                <w:sz w:val="20"/>
                <w:szCs w:val="20"/>
                <w:color w:val="auto"/>
              </w:rPr>
            </w:pPr>
            <w:r>
              <w:rPr>
                <w:rFonts w:ascii="Arial" w:cs="Arial" w:eastAsia="Arial" w:hAnsi="Arial"/>
                <w:sz w:val="14"/>
                <w:szCs w:val="14"/>
                <w:b w:val="1"/>
                <w:bCs w:val="1"/>
                <w:color w:val="auto"/>
              </w:rPr>
              <w:t>S/(000)</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Borders>
              <w:top w:val="single" w:sz="8" w:color="auto"/>
            </w:tcBorders>
          </w:tcPr>
          <w:p>
            <w:pPr>
              <w:jc w:val="right"/>
              <w:ind w:right="51"/>
              <w:spacing w:after="0"/>
              <w:rPr>
                <w:sz w:val="20"/>
                <w:szCs w:val="20"/>
                <w:color w:val="auto"/>
              </w:rPr>
            </w:pPr>
            <w:r>
              <w:rPr>
                <w:rFonts w:ascii="Arial" w:cs="Arial" w:eastAsia="Arial" w:hAnsi="Arial"/>
                <w:sz w:val="14"/>
                <w:szCs w:val="14"/>
                <w:b w:val="1"/>
                <w:bCs w:val="1"/>
                <w:color w:val="auto"/>
              </w:rPr>
              <w:t>S/(000)</w:t>
            </w:r>
          </w:p>
        </w:tc>
        <w:tc>
          <w:tcPr>
            <w:tcW w:w="200" w:type="dxa"/>
            <w:vAlign w:val="bottom"/>
          </w:tcPr>
          <w:p>
            <w:pPr>
              <w:spacing w:after="0"/>
              <w:rPr>
                <w:sz w:val="14"/>
                <w:szCs w:val="14"/>
                <w:color w:val="auto"/>
              </w:rPr>
            </w:pPr>
          </w:p>
        </w:tc>
        <w:tc>
          <w:tcPr>
            <w:tcW w:w="88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S/(000)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6"/>
        </w:trPr>
        <w:tc>
          <w:tcPr>
            <w:tcW w:w="3560" w:type="dxa"/>
            <w:vAlign w:val="bottom"/>
          </w:tcPr>
          <w:p>
            <w:pPr>
              <w:spacing w:after="0"/>
              <w:rPr>
                <w:sz w:val="9"/>
                <w:szCs w:val="9"/>
                <w:color w:val="auto"/>
              </w:rPr>
            </w:pPr>
          </w:p>
        </w:tc>
        <w:tc>
          <w:tcPr>
            <w:tcW w:w="720" w:type="dxa"/>
            <w:vAlign w:val="bottom"/>
          </w:tcPr>
          <w:p>
            <w:pPr>
              <w:spacing w:after="0"/>
              <w:rPr>
                <w:sz w:val="9"/>
                <w:szCs w:val="9"/>
                <w:color w:val="auto"/>
              </w:rPr>
            </w:pPr>
          </w:p>
        </w:tc>
        <w:tc>
          <w:tcPr>
            <w:tcW w:w="2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80" w:type="dxa"/>
            <w:vAlign w:val="bottom"/>
          </w:tcPr>
          <w:p>
            <w:pPr>
              <w:spacing w:after="0"/>
              <w:rPr>
                <w:sz w:val="9"/>
                <w:szCs w:val="9"/>
                <w:color w:val="auto"/>
              </w:rPr>
            </w:pPr>
          </w:p>
        </w:tc>
        <w:tc>
          <w:tcPr>
            <w:tcW w:w="220" w:type="dxa"/>
            <w:vAlign w:val="bottom"/>
          </w:tcPr>
          <w:p>
            <w:pPr>
              <w:spacing w:after="0"/>
              <w:rPr>
                <w:sz w:val="9"/>
                <w:szCs w:val="9"/>
                <w:color w:val="auto"/>
              </w:rPr>
            </w:pPr>
          </w:p>
        </w:tc>
        <w:tc>
          <w:tcPr>
            <w:tcW w:w="720" w:type="dxa"/>
            <w:vAlign w:val="bottom"/>
          </w:tcPr>
          <w:p>
            <w:pPr>
              <w:spacing w:after="0"/>
              <w:rPr>
                <w:sz w:val="9"/>
                <w:szCs w:val="9"/>
                <w:color w:val="auto"/>
              </w:rPr>
            </w:pPr>
          </w:p>
        </w:tc>
        <w:tc>
          <w:tcPr>
            <w:tcW w:w="2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0"/>
        </w:trPr>
        <w:tc>
          <w:tcPr>
            <w:tcW w:w="3560" w:type="dxa"/>
            <w:vAlign w:val="bottom"/>
            <w:shd w:val="clear" w:color="auto" w:fill="CCEEFF"/>
          </w:tcPr>
          <w:p>
            <w:pPr>
              <w:spacing w:after="0" w:line="121" w:lineRule="exact"/>
              <w:rPr>
                <w:sz w:val="20"/>
                <w:szCs w:val="20"/>
                <w:color w:val="auto"/>
              </w:rPr>
            </w:pPr>
            <w:r>
              <w:rPr>
                <w:rFonts w:ascii="Arial" w:cs="Arial" w:eastAsia="Arial" w:hAnsi="Arial"/>
                <w:sz w:val="13"/>
                <w:szCs w:val="13"/>
                <w:b w:val="1"/>
                <w:bCs w:val="1"/>
                <w:color w:val="auto"/>
              </w:rPr>
              <w:t>Investments at fair value through profit or loss (trading)</w:t>
            </w:r>
          </w:p>
        </w:tc>
        <w:tc>
          <w:tcPr>
            <w:tcW w:w="7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56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(i)</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4,020,811</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104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4,012,184</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560" w:type="dxa"/>
            <w:vAlign w:val="bottom"/>
          </w:tcPr>
          <w:p>
            <w:pPr>
              <w:spacing w:after="0" w:line="156" w:lineRule="exact"/>
              <w:rPr>
                <w:sz w:val="20"/>
                <w:szCs w:val="20"/>
                <w:color w:val="auto"/>
              </w:rPr>
            </w:pPr>
            <w:r>
              <w:rPr>
                <w:rFonts w:ascii="Arial" w:cs="Arial" w:eastAsia="Arial" w:hAnsi="Arial"/>
                <w:sz w:val="14"/>
                <w:szCs w:val="14"/>
                <w:color w:val="auto"/>
              </w:rPr>
              <w:t>Interest accrued</w:t>
            </w:r>
          </w:p>
        </w:tc>
        <w:tc>
          <w:tcPr>
            <w:tcW w:w="940" w:type="dxa"/>
            <w:vAlign w:val="bottom"/>
            <w:gridSpan w:val="2"/>
          </w:tcPr>
          <w:p>
            <w:pPr>
              <w:jc w:val="right"/>
              <w:ind w:right="220"/>
              <w:spacing w:after="0" w:line="156" w:lineRule="exact"/>
              <w:rPr>
                <w:sz w:val="20"/>
                <w:szCs w:val="20"/>
                <w:color w:val="auto"/>
              </w:rPr>
            </w:pPr>
            <w:r>
              <w:rPr>
                <w:rFonts w:ascii="Arial" w:cs="Arial" w:eastAsia="Arial" w:hAnsi="Arial"/>
                <w:sz w:val="14"/>
                <w:szCs w:val="14"/>
                <w:color w:val="auto"/>
              </w:rPr>
              <w:t>-</w:t>
            </w:r>
          </w:p>
        </w:tc>
        <w:tc>
          <w:tcPr>
            <w:tcW w:w="660" w:type="dxa"/>
            <w:vAlign w:val="bottom"/>
          </w:tcPr>
          <w:p>
            <w:pPr>
              <w:jc w:val="right"/>
              <w:spacing w:after="0" w:line="156" w:lineRule="exact"/>
              <w:rPr>
                <w:sz w:val="20"/>
                <w:szCs w:val="20"/>
                <w:color w:val="auto"/>
              </w:rPr>
            </w:pPr>
            <w:r>
              <w:rPr>
                <w:rFonts w:ascii="Arial" w:cs="Arial" w:eastAsia="Arial" w:hAnsi="Arial"/>
                <w:sz w:val="14"/>
                <w:szCs w:val="14"/>
                <w:color w:val="auto"/>
              </w:rPr>
              <w:t>-</w:t>
            </w:r>
          </w:p>
        </w:tc>
        <w:tc>
          <w:tcPr>
            <w:tcW w:w="1040" w:type="dxa"/>
            <w:vAlign w:val="bottom"/>
            <w:gridSpan w:val="3"/>
          </w:tcPr>
          <w:p>
            <w:pPr>
              <w:jc w:val="right"/>
              <w:ind w:right="160"/>
              <w:spacing w:after="0" w:line="156" w:lineRule="exact"/>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220"/>
              <w:spacing w:after="0" w:line="156" w:lineRule="exact"/>
              <w:rPr>
                <w:sz w:val="20"/>
                <w:szCs w:val="20"/>
                <w:color w:val="auto"/>
              </w:rPr>
            </w:pPr>
            <w:r>
              <w:rPr>
                <w:rFonts w:ascii="Arial" w:cs="Arial" w:eastAsia="Arial" w:hAnsi="Arial"/>
                <w:sz w:val="14"/>
                <w:szCs w:val="14"/>
                <w:color w:val="auto"/>
              </w:rPr>
              <w:t>3,926</w:t>
            </w:r>
          </w:p>
        </w:tc>
        <w:tc>
          <w:tcPr>
            <w:tcW w:w="940" w:type="dxa"/>
            <w:vAlign w:val="bottom"/>
            <w:gridSpan w:val="2"/>
          </w:tcPr>
          <w:p>
            <w:pPr>
              <w:jc w:val="right"/>
              <w:ind w:right="220"/>
              <w:spacing w:after="0" w:line="156" w:lineRule="exact"/>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20"/>
              <w:spacing w:after="0" w:line="156" w:lineRule="exact"/>
              <w:rPr>
                <w:sz w:val="20"/>
                <w:szCs w:val="20"/>
                <w:color w:val="auto"/>
              </w:rPr>
            </w:pPr>
            <w:r>
              <w:rPr>
                <w:rFonts w:ascii="Arial" w:cs="Arial" w:eastAsia="Arial" w:hAnsi="Arial"/>
                <w:sz w:val="14"/>
                <w:szCs w:val="14"/>
                <w:color w:val="auto"/>
              </w:rPr>
              <w:t>-</w:t>
            </w:r>
          </w:p>
        </w:tc>
        <w:tc>
          <w:tcPr>
            <w:tcW w:w="1040" w:type="dxa"/>
            <w:vAlign w:val="bottom"/>
            <w:gridSpan w:val="3"/>
          </w:tcPr>
          <w:p>
            <w:pPr>
              <w:jc w:val="right"/>
              <w:ind w:right="160"/>
              <w:spacing w:after="0" w:line="156" w:lineRule="exact"/>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100"/>
              <w:spacing w:after="0" w:line="156" w:lineRule="exact"/>
              <w:rPr>
                <w:sz w:val="20"/>
                <w:szCs w:val="20"/>
                <w:color w:val="auto"/>
              </w:rPr>
            </w:pPr>
            <w:r>
              <w:rPr>
                <w:rFonts w:ascii="Arial" w:cs="Arial" w:eastAsia="Arial" w:hAnsi="Arial"/>
                <w:sz w:val="14"/>
                <w:szCs w:val="14"/>
                <w:color w:val="auto"/>
              </w:rPr>
              <w:t>2,835</w:t>
            </w:r>
          </w:p>
        </w:tc>
        <w:tc>
          <w:tcPr>
            <w:tcW w:w="0" w:type="dxa"/>
            <w:vAlign w:val="bottom"/>
          </w:tcPr>
          <w:p>
            <w:pPr>
              <w:spacing w:after="0"/>
              <w:rPr>
                <w:sz w:val="1"/>
                <w:szCs w:val="1"/>
                <w:color w:val="auto"/>
              </w:rPr>
            </w:pPr>
          </w:p>
        </w:tc>
      </w:tr>
      <w:tr>
        <w:trPr>
          <w:trHeight w:val="136"/>
        </w:trPr>
        <w:tc>
          <w:tcPr>
            <w:tcW w:w="3560" w:type="dxa"/>
            <w:vAlign w:val="bottom"/>
            <w:tcBorders>
              <w:top w:val="single" w:sz="8" w:color="CCEEFF"/>
            </w:tcBorders>
            <w:shd w:val="clear" w:color="auto" w:fill="CCEEFF"/>
          </w:tcPr>
          <w:p>
            <w:pPr>
              <w:spacing w:after="0" w:line="136" w:lineRule="exact"/>
              <w:rPr>
                <w:sz w:val="20"/>
                <w:szCs w:val="20"/>
                <w:color w:val="auto"/>
              </w:rPr>
            </w:pPr>
            <w:r>
              <w:rPr>
                <w:rFonts w:ascii="Arial" w:cs="Arial" w:eastAsia="Arial" w:hAnsi="Arial"/>
                <w:sz w:val="14"/>
                <w:szCs w:val="14"/>
                <w:b w:val="1"/>
                <w:bCs w:val="1"/>
                <w:color w:val="auto"/>
              </w:rPr>
              <w:t>Total</w:t>
            </w:r>
          </w:p>
        </w:tc>
        <w:tc>
          <w:tcPr>
            <w:tcW w:w="72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4"/>
                <w:szCs w:val="14"/>
                <w:color w:val="auto"/>
              </w:rPr>
              <w:t>-</w:t>
            </w:r>
          </w:p>
        </w:tc>
        <w:tc>
          <w:tcPr>
            <w:tcW w:w="220" w:type="dxa"/>
            <w:vAlign w:val="bottom"/>
            <w:tcBorders>
              <w:top w:val="single" w:sz="8" w:color="CCEEFF"/>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4"/>
                <w:szCs w:val="14"/>
                <w:color w:val="auto"/>
              </w:rPr>
              <w:t>-</w:t>
            </w:r>
          </w:p>
        </w:tc>
        <w:tc>
          <w:tcPr>
            <w:tcW w:w="200" w:type="dxa"/>
            <w:vAlign w:val="bottom"/>
            <w:tcBorders>
              <w:top w:val="single" w:sz="8" w:color="CCEEFF"/>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4"/>
                <w:szCs w:val="14"/>
                <w:color w:val="auto"/>
              </w:rPr>
              <w:t>-</w:t>
            </w:r>
          </w:p>
        </w:tc>
        <w:tc>
          <w:tcPr>
            <w:tcW w:w="200" w:type="dxa"/>
            <w:vAlign w:val="bottom"/>
            <w:tcBorders>
              <w:top w:val="single" w:sz="8" w:color="CCEEFF"/>
            </w:tcBorders>
            <w:shd w:val="clear" w:color="auto" w:fill="CCEEFF"/>
          </w:tcPr>
          <w:p>
            <w:pPr>
              <w:spacing w:after="0"/>
              <w:rPr>
                <w:sz w:val="11"/>
                <w:szCs w:val="11"/>
                <w:color w:val="auto"/>
              </w:rPr>
            </w:pPr>
          </w:p>
        </w:tc>
        <w:tc>
          <w:tcPr>
            <w:tcW w:w="88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4"/>
                <w:szCs w:val="14"/>
                <w:color w:val="auto"/>
              </w:rPr>
              <w:t>4,024,737</w:t>
            </w:r>
          </w:p>
        </w:tc>
        <w:tc>
          <w:tcPr>
            <w:tcW w:w="220" w:type="dxa"/>
            <w:vAlign w:val="bottom"/>
            <w:tcBorders>
              <w:top w:val="single" w:sz="8" w:color="CCEEFF"/>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88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4"/>
                <w:szCs w:val="14"/>
                <w:color w:val="auto"/>
              </w:rPr>
              <w:t>4,015,019</w:t>
            </w:r>
          </w:p>
        </w:tc>
        <w:tc>
          <w:tcPr>
            <w:tcW w:w="10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35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35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3560" w:type="dxa"/>
            <w:vAlign w:val="bottom"/>
          </w:tcPr>
          <w:p>
            <w:pPr>
              <w:spacing w:after="0" w:line="143" w:lineRule="exact"/>
              <w:rPr>
                <w:sz w:val="20"/>
                <w:szCs w:val="20"/>
                <w:color w:val="auto"/>
              </w:rPr>
            </w:pPr>
            <w:r>
              <w:rPr>
                <w:rFonts w:ascii="Arial" w:cs="Arial" w:eastAsia="Arial" w:hAnsi="Arial"/>
                <w:sz w:val="14"/>
                <w:szCs w:val="14"/>
                <w:b w:val="1"/>
                <w:bCs w:val="1"/>
                <w:color w:val="auto"/>
              </w:rPr>
              <w:t>Available-for-sale investments</w:t>
            </w: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35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3560" w:type="dxa"/>
            <w:vAlign w:val="bottom"/>
          </w:tcPr>
          <w:p>
            <w:pPr>
              <w:spacing w:after="0" w:line="143" w:lineRule="exact"/>
              <w:rPr>
                <w:sz w:val="20"/>
                <w:szCs w:val="20"/>
                <w:color w:val="auto"/>
              </w:rPr>
            </w:pPr>
            <w:r>
              <w:rPr>
                <w:rFonts w:ascii="Arial" w:cs="Arial" w:eastAsia="Arial" w:hAnsi="Arial"/>
                <w:sz w:val="14"/>
                <w:szCs w:val="14"/>
                <w:color w:val="auto"/>
              </w:rPr>
              <w:t>Corporate, leasing and subordinated bonds (ii)</w:t>
            </w:r>
          </w:p>
        </w:tc>
        <w:tc>
          <w:tcPr>
            <w:tcW w:w="940" w:type="dxa"/>
            <w:vAlign w:val="bottom"/>
            <w:gridSpan w:val="2"/>
          </w:tcPr>
          <w:p>
            <w:pPr>
              <w:jc w:val="right"/>
              <w:ind w:right="220"/>
              <w:spacing w:after="0" w:line="143" w:lineRule="exact"/>
              <w:rPr>
                <w:sz w:val="20"/>
                <w:szCs w:val="20"/>
                <w:color w:val="auto"/>
              </w:rPr>
            </w:pPr>
            <w:r>
              <w:rPr>
                <w:rFonts w:ascii="Arial" w:cs="Arial" w:eastAsia="Arial" w:hAnsi="Arial"/>
                <w:sz w:val="14"/>
                <w:szCs w:val="14"/>
                <w:color w:val="auto"/>
              </w:rPr>
              <w:t>7,919,202</w:t>
            </w:r>
          </w:p>
        </w:tc>
        <w:tc>
          <w:tcPr>
            <w:tcW w:w="660" w:type="dxa"/>
            <w:vAlign w:val="bottom"/>
          </w:tcPr>
          <w:p>
            <w:pPr>
              <w:jc w:val="right"/>
              <w:spacing w:after="0" w:line="143" w:lineRule="exact"/>
              <w:rPr>
                <w:sz w:val="20"/>
                <w:szCs w:val="20"/>
                <w:color w:val="auto"/>
              </w:rPr>
            </w:pPr>
            <w:r>
              <w:rPr>
                <w:rFonts w:ascii="Arial" w:cs="Arial" w:eastAsia="Arial" w:hAnsi="Arial"/>
                <w:sz w:val="14"/>
                <w:szCs w:val="14"/>
                <w:color w:val="auto"/>
              </w:rPr>
              <w:t>460,826</w:t>
            </w:r>
          </w:p>
        </w:tc>
        <w:tc>
          <w:tcPr>
            <w:tcW w:w="1040" w:type="dxa"/>
            <w:vAlign w:val="bottom"/>
            <w:gridSpan w:val="3"/>
          </w:tcPr>
          <w:p>
            <w:pPr>
              <w:jc w:val="right"/>
              <w:ind w:right="120"/>
              <w:spacing w:after="0" w:line="143" w:lineRule="exact"/>
              <w:rPr>
                <w:sz w:val="20"/>
                <w:szCs w:val="20"/>
                <w:color w:val="auto"/>
              </w:rPr>
            </w:pPr>
            <w:r>
              <w:rPr>
                <w:rFonts w:ascii="Arial" w:cs="Arial" w:eastAsia="Arial" w:hAnsi="Arial"/>
                <w:sz w:val="14"/>
                <w:szCs w:val="14"/>
                <w:color w:val="auto"/>
              </w:rPr>
              <w:t>(22,838)</w:t>
            </w:r>
          </w:p>
        </w:tc>
        <w:tc>
          <w:tcPr>
            <w:tcW w:w="1100" w:type="dxa"/>
            <w:vAlign w:val="bottom"/>
            <w:gridSpan w:val="2"/>
          </w:tcPr>
          <w:p>
            <w:pPr>
              <w:jc w:val="right"/>
              <w:ind w:right="220"/>
              <w:spacing w:after="0" w:line="143" w:lineRule="exact"/>
              <w:rPr>
                <w:sz w:val="20"/>
                <w:szCs w:val="20"/>
                <w:color w:val="auto"/>
              </w:rPr>
            </w:pPr>
            <w:r>
              <w:rPr>
                <w:rFonts w:ascii="Arial" w:cs="Arial" w:eastAsia="Arial" w:hAnsi="Arial"/>
                <w:sz w:val="14"/>
                <w:szCs w:val="14"/>
                <w:color w:val="auto"/>
              </w:rPr>
              <w:t>8,357,190</w:t>
            </w:r>
          </w:p>
        </w:tc>
        <w:tc>
          <w:tcPr>
            <w:tcW w:w="940" w:type="dxa"/>
            <w:vAlign w:val="bottom"/>
            <w:gridSpan w:val="2"/>
          </w:tcPr>
          <w:p>
            <w:pPr>
              <w:jc w:val="right"/>
              <w:ind w:right="220"/>
              <w:spacing w:after="0" w:line="143" w:lineRule="exact"/>
              <w:rPr>
                <w:sz w:val="20"/>
                <w:szCs w:val="20"/>
                <w:color w:val="auto"/>
              </w:rPr>
            </w:pPr>
            <w:r>
              <w:rPr>
                <w:rFonts w:ascii="Arial" w:cs="Arial" w:eastAsia="Arial" w:hAnsi="Arial"/>
                <w:sz w:val="14"/>
                <w:szCs w:val="14"/>
                <w:color w:val="auto"/>
              </w:rPr>
              <w:t>7,902,688</w:t>
            </w:r>
          </w:p>
        </w:tc>
        <w:tc>
          <w:tcPr>
            <w:tcW w:w="680" w:type="dxa"/>
            <w:vAlign w:val="bottom"/>
            <w:gridSpan w:val="2"/>
          </w:tcPr>
          <w:p>
            <w:pPr>
              <w:jc w:val="right"/>
              <w:ind w:right="20"/>
              <w:spacing w:after="0" w:line="143" w:lineRule="exact"/>
              <w:rPr>
                <w:sz w:val="20"/>
                <w:szCs w:val="20"/>
                <w:color w:val="auto"/>
              </w:rPr>
            </w:pPr>
            <w:r>
              <w:rPr>
                <w:rFonts w:ascii="Arial" w:cs="Arial" w:eastAsia="Arial" w:hAnsi="Arial"/>
                <w:sz w:val="14"/>
                <w:szCs w:val="14"/>
                <w:color w:val="auto"/>
              </w:rPr>
              <w:t>268,421</w:t>
            </w:r>
          </w:p>
        </w:tc>
        <w:tc>
          <w:tcPr>
            <w:tcW w:w="1040" w:type="dxa"/>
            <w:vAlign w:val="bottom"/>
            <w:gridSpan w:val="3"/>
          </w:tcPr>
          <w:p>
            <w:pPr>
              <w:jc w:val="right"/>
              <w:ind w:right="120"/>
              <w:spacing w:after="0" w:line="143" w:lineRule="exact"/>
              <w:rPr>
                <w:sz w:val="20"/>
                <w:szCs w:val="20"/>
                <w:color w:val="auto"/>
              </w:rPr>
            </w:pPr>
            <w:r>
              <w:rPr>
                <w:rFonts w:ascii="Arial" w:cs="Arial" w:eastAsia="Arial" w:hAnsi="Arial"/>
                <w:sz w:val="14"/>
                <w:szCs w:val="14"/>
                <w:color w:val="auto"/>
              </w:rPr>
              <w:t>(121,748)</w:t>
            </w:r>
          </w:p>
        </w:tc>
        <w:tc>
          <w:tcPr>
            <w:tcW w:w="880" w:type="dxa"/>
            <w:vAlign w:val="bottom"/>
          </w:tcPr>
          <w:p>
            <w:pPr>
              <w:jc w:val="right"/>
              <w:spacing w:after="0" w:line="143" w:lineRule="exact"/>
              <w:rPr>
                <w:sz w:val="20"/>
                <w:szCs w:val="20"/>
                <w:color w:val="auto"/>
              </w:rPr>
            </w:pPr>
            <w:r>
              <w:rPr>
                <w:rFonts w:ascii="Arial" w:cs="Arial" w:eastAsia="Arial" w:hAnsi="Arial"/>
                <w:sz w:val="14"/>
                <w:szCs w:val="14"/>
                <w:color w:val="auto"/>
              </w:rPr>
              <w:t>8,049,361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356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rPr>
              <w:t>Certificates of deposit BCRP (iii)</w:t>
            </w:r>
          </w:p>
        </w:tc>
        <w:tc>
          <w:tcPr>
            <w:tcW w:w="940" w:type="dxa"/>
            <w:vAlign w:val="bottom"/>
            <w:gridSpan w:val="2"/>
            <w:shd w:val="clear" w:color="auto" w:fill="CCEEFF"/>
          </w:tcPr>
          <w:p>
            <w:pPr>
              <w:jc w:val="right"/>
              <w:ind w:right="220"/>
              <w:spacing w:after="0" w:line="143" w:lineRule="exact"/>
              <w:rPr>
                <w:sz w:val="20"/>
                <w:szCs w:val="20"/>
                <w:color w:val="auto"/>
              </w:rPr>
            </w:pPr>
            <w:r>
              <w:rPr>
                <w:rFonts w:ascii="Arial" w:cs="Arial" w:eastAsia="Arial" w:hAnsi="Arial"/>
                <w:sz w:val="14"/>
                <w:szCs w:val="14"/>
                <w:color w:val="auto"/>
              </w:rPr>
              <w:t>7,906,747</w:t>
            </w:r>
          </w:p>
        </w:tc>
        <w:tc>
          <w:tcPr>
            <w:tcW w:w="66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rPr>
              <w:t>16,960</w:t>
            </w:r>
          </w:p>
        </w:tc>
        <w:tc>
          <w:tcPr>
            <w:tcW w:w="1040" w:type="dxa"/>
            <w:vAlign w:val="bottom"/>
            <w:gridSpan w:val="3"/>
            <w:shd w:val="clear" w:color="auto" w:fill="CCEEFF"/>
          </w:tcPr>
          <w:p>
            <w:pPr>
              <w:jc w:val="right"/>
              <w:ind w:right="160"/>
              <w:spacing w:after="0" w:line="143" w:lineRule="exact"/>
              <w:rPr>
                <w:sz w:val="20"/>
                <w:szCs w:val="20"/>
                <w:color w:val="auto"/>
              </w:rPr>
            </w:pPr>
            <w:r>
              <w:rPr>
                <w:rFonts w:ascii="Arial" w:cs="Arial" w:eastAsia="Arial" w:hAnsi="Arial"/>
                <w:sz w:val="14"/>
                <w:szCs w:val="14"/>
                <w:color w:val="auto"/>
              </w:rPr>
              <w:t>-</w:t>
            </w:r>
          </w:p>
        </w:tc>
        <w:tc>
          <w:tcPr>
            <w:tcW w:w="1100" w:type="dxa"/>
            <w:vAlign w:val="bottom"/>
            <w:gridSpan w:val="2"/>
            <w:shd w:val="clear" w:color="auto" w:fill="CCEEFF"/>
          </w:tcPr>
          <w:p>
            <w:pPr>
              <w:jc w:val="right"/>
              <w:ind w:right="220"/>
              <w:spacing w:after="0" w:line="143" w:lineRule="exact"/>
              <w:rPr>
                <w:sz w:val="20"/>
                <w:szCs w:val="20"/>
                <w:color w:val="auto"/>
              </w:rPr>
            </w:pPr>
            <w:r>
              <w:rPr>
                <w:rFonts w:ascii="Arial" w:cs="Arial" w:eastAsia="Arial" w:hAnsi="Arial"/>
                <w:sz w:val="14"/>
                <w:szCs w:val="14"/>
                <w:color w:val="auto"/>
              </w:rPr>
              <w:t>7,923,707</w:t>
            </w:r>
          </w:p>
        </w:tc>
        <w:tc>
          <w:tcPr>
            <w:tcW w:w="940" w:type="dxa"/>
            <w:vAlign w:val="bottom"/>
            <w:gridSpan w:val="2"/>
            <w:shd w:val="clear" w:color="auto" w:fill="CCEEFF"/>
          </w:tcPr>
          <w:p>
            <w:pPr>
              <w:jc w:val="right"/>
              <w:ind w:right="220"/>
              <w:spacing w:after="0" w:line="143" w:lineRule="exact"/>
              <w:rPr>
                <w:sz w:val="20"/>
                <w:szCs w:val="20"/>
                <w:color w:val="auto"/>
              </w:rPr>
            </w:pPr>
            <w:r>
              <w:rPr>
                <w:rFonts w:ascii="Arial" w:cs="Arial" w:eastAsia="Arial" w:hAnsi="Arial"/>
                <w:sz w:val="14"/>
                <w:szCs w:val="14"/>
                <w:color w:val="auto"/>
              </w:rPr>
              <w:t>4,796,142</w:t>
            </w:r>
          </w:p>
        </w:tc>
        <w:tc>
          <w:tcPr>
            <w:tcW w:w="680" w:type="dxa"/>
            <w:vAlign w:val="bottom"/>
            <w:gridSpan w:val="2"/>
            <w:shd w:val="clear" w:color="auto" w:fill="CCEEFF"/>
          </w:tcPr>
          <w:p>
            <w:pPr>
              <w:jc w:val="right"/>
              <w:ind w:right="20"/>
              <w:spacing w:after="0" w:line="143" w:lineRule="exact"/>
              <w:rPr>
                <w:sz w:val="20"/>
                <w:szCs w:val="20"/>
                <w:color w:val="auto"/>
              </w:rPr>
            </w:pPr>
            <w:r>
              <w:rPr>
                <w:rFonts w:ascii="Arial" w:cs="Arial" w:eastAsia="Arial" w:hAnsi="Arial"/>
                <w:sz w:val="14"/>
                <w:szCs w:val="14"/>
                <w:color w:val="auto"/>
              </w:rPr>
              <w:t>6,466</w:t>
            </w:r>
          </w:p>
        </w:tc>
        <w:tc>
          <w:tcPr>
            <w:tcW w:w="1040" w:type="dxa"/>
            <w:vAlign w:val="bottom"/>
            <w:gridSpan w:val="3"/>
            <w:shd w:val="clear" w:color="auto" w:fill="CCEEFF"/>
          </w:tcPr>
          <w:p>
            <w:pPr>
              <w:jc w:val="right"/>
              <w:ind w:right="160"/>
              <w:spacing w:after="0" w:line="143" w:lineRule="exact"/>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rPr>
              <w:t>4,802,608</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3560" w:type="dxa"/>
            <w:vAlign w:val="bottom"/>
          </w:tcPr>
          <w:p>
            <w:pPr>
              <w:spacing w:after="0" w:line="143" w:lineRule="exact"/>
              <w:rPr>
                <w:sz w:val="20"/>
                <w:szCs w:val="20"/>
                <w:color w:val="auto"/>
              </w:rPr>
            </w:pPr>
            <w:r>
              <w:rPr>
                <w:rFonts w:ascii="Arial" w:cs="Arial" w:eastAsia="Arial" w:hAnsi="Arial"/>
                <w:sz w:val="14"/>
                <w:szCs w:val="14"/>
                <w:color w:val="auto"/>
              </w:rPr>
              <w:t>Government Treasury Bonds (iv)</w:t>
            </w:r>
          </w:p>
        </w:tc>
        <w:tc>
          <w:tcPr>
            <w:tcW w:w="940" w:type="dxa"/>
            <w:vAlign w:val="bottom"/>
            <w:gridSpan w:val="2"/>
          </w:tcPr>
          <w:p>
            <w:pPr>
              <w:jc w:val="right"/>
              <w:ind w:right="220"/>
              <w:spacing w:after="0" w:line="143" w:lineRule="exact"/>
              <w:rPr>
                <w:sz w:val="20"/>
                <w:szCs w:val="20"/>
                <w:color w:val="auto"/>
              </w:rPr>
            </w:pPr>
            <w:r>
              <w:rPr>
                <w:rFonts w:ascii="Arial" w:cs="Arial" w:eastAsia="Arial" w:hAnsi="Arial"/>
                <w:sz w:val="14"/>
                <w:szCs w:val="14"/>
                <w:color w:val="auto"/>
              </w:rPr>
              <w:t>4,308,507</w:t>
            </w:r>
          </w:p>
        </w:tc>
        <w:tc>
          <w:tcPr>
            <w:tcW w:w="660" w:type="dxa"/>
            <w:vAlign w:val="bottom"/>
          </w:tcPr>
          <w:p>
            <w:pPr>
              <w:jc w:val="right"/>
              <w:spacing w:after="0" w:line="143" w:lineRule="exact"/>
              <w:rPr>
                <w:sz w:val="20"/>
                <w:szCs w:val="20"/>
                <w:color w:val="auto"/>
              </w:rPr>
            </w:pPr>
            <w:r>
              <w:rPr>
                <w:rFonts w:ascii="Arial" w:cs="Arial" w:eastAsia="Arial" w:hAnsi="Arial"/>
                <w:sz w:val="14"/>
                <w:szCs w:val="14"/>
                <w:color w:val="auto"/>
              </w:rPr>
              <w:t>336,561</w:t>
            </w:r>
          </w:p>
        </w:tc>
        <w:tc>
          <w:tcPr>
            <w:tcW w:w="1040" w:type="dxa"/>
            <w:vAlign w:val="bottom"/>
            <w:gridSpan w:val="3"/>
          </w:tcPr>
          <w:p>
            <w:pPr>
              <w:jc w:val="right"/>
              <w:ind w:right="120"/>
              <w:spacing w:after="0" w:line="143" w:lineRule="exact"/>
              <w:rPr>
                <w:sz w:val="20"/>
                <w:szCs w:val="20"/>
                <w:color w:val="auto"/>
              </w:rPr>
            </w:pPr>
            <w:r>
              <w:rPr>
                <w:rFonts w:ascii="Arial" w:cs="Arial" w:eastAsia="Arial" w:hAnsi="Arial"/>
                <w:sz w:val="14"/>
                <w:szCs w:val="14"/>
                <w:color w:val="auto"/>
              </w:rPr>
              <w:t>(4,520)</w:t>
            </w:r>
          </w:p>
        </w:tc>
        <w:tc>
          <w:tcPr>
            <w:tcW w:w="1100" w:type="dxa"/>
            <w:vAlign w:val="bottom"/>
            <w:gridSpan w:val="2"/>
          </w:tcPr>
          <w:p>
            <w:pPr>
              <w:jc w:val="right"/>
              <w:ind w:right="220"/>
              <w:spacing w:after="0" w:line="143" w:lineRule="exact"/>
              <w:rPr>
                <w:sz w:val="20"/>
                <w:szCs w:val="20"/>
                <w:color w:val="auto"/>
              </w:rPr>
            </w:pPr>
            <w:r>
              <w:rPr>
                <w:rFonts w:ascii="Arial" w:cs="Arial" w:eastAsia="Arial" w:hAnsi="Arial"/>
                <w:sz w:val="14"/>
                <w:szCs w:val="14"/>
                <w:color w:val="auto"/>
              </w:rPr>
              <w:t>4,640,548</w:t>
            </w:r>
          </w:p>
        </w:tc>
        <w:tc>
          <w:tcPr>
            <w:tcW w:w="940" w:type="dxa"/>
            <w:vAlign w:val="bottom"/>
            <w:gridSpan w:val="2"/>
          </w:tcPr>
          <w:p>
            <w:pPr>
              <w:jc w:val="right"/>
              <w:ind w:right="220"/>
              <w:spacing w:after="0" w:line="143" w:lineRule="exact"/>
              <w:rPr>
                <w:sz w:val="20"/>
                <w:szCs w:val="20"/>
                <w:color w:val="auto"/>
              </w:rPr>
            </w:pPr>
            <w:r>
              <w:rPr>
                <w:rFonts w:ascii="Arial" w:cs="Arial" w:eastAsia="Arial" w:hAnsi="Arial"/>
                <w:sz w:val="14"/>
                <w:szCs w:val="14"/>
                <w:color w:val="auto"/>
              </w:rPr>
              <w:t>2,071,110</w:t>
            </w:r>
          </w:p>
        </w:tc>
        <w:tc>
          <w:tcPr>
            <w:tcW w:w="680" w:type="dxa"/>
            <w:vAlign w:val="bottom"/>
            <w:gridSpan w:val="2"/>
          </w:tcPr>
          <w:p>
            <w:pPr>
              <w:jc w:val="right"/>
              <w:ind w:right="20"/>
              <w:spacing w:after="0" w:line="143" w:lineRule="exact"/>
              <w:rPr>
                <w:sz w:val="20"/>
                <w:szCs w:val="20"/>
                <w:color w:val="auto"/>
              </w:rPr>
            </w:pPr>
            <w:r>
              <w:rPr>
                <w:rFonts w:ascii="Arial" w:cs="Arial" w:eastAsia="Arial" w:hAnsi="Arial"/>
                <w:sz w:val="14"/>
                <w:szCs w:val="14"/>
                <w:color w:val="auto"/>
              </w:rPr>
              <w:t>174,567</w:t>
            </w:r>
          </w:p>
        </w:tc>
        <w:tc>
          <w:tcPr>
            <w:tcW w:w="1040" w:type="dxa"/>
            <w:vAlign w:val="bottom"/>
            <w:gridSpan w:val="3"/>
          </w:tcPr>
          <w:p>
            <w:pPr>
              <w:jc w:val="right"/>
              <w:ind w:right="120"/>
              <w:spacing w:after="0" w:line="143" w:lineRule="exact"/>
              <w:rPr>
                <w:sz w:val="20"/>
                <w:szCs w:val="20"/>
                <w:color w:val="auto"/>
              </w:rPr>
            </w:pPr>
            <w:r>
              <w:rPr>
                <w:rFonts w:ascii="Arial" w:cs="Arial" w:eastAsia="Arial" w:hAnsi="Arial"/>
                <w:sz w:val="14"/>
                <w:szCs w:val="14"/>
                <w:color w:val="auto"/>
              </w:rPr>
              <w:t>(40,315)</w:t>
            </w:r>
          </w:p>
        </w:tc>
        <w:tc>
          <w:tcPr>
            <w:tcW w:w="880" w:type="dxa"/>
            <w:vAlign w:val="bottom"/>
          </w:tcPr>
          <w:p>
            <w:pPr>
              <w:jc w:val="right"/>
              <w:spacing w:after="0" w:line="143" w:lineRule="exact"/>
              <w:rPr>
                <w:sz w:val="20"/>
                <w:szCs w:val="20"/>
                <w:color w:val="auto"/>
              </w:rPr>
            </w:pPr>
            <w:r>
              <w:rPr>
                <w:rFonts w:ascii="Arial" w:cs="Arial" w:eastAsia="Arial" w:hAnsi="Arial"/>
                <w:sz w:val="14"/>
                <w:szCs w:val="14"/>
                <w:color w:val="auto"/>
              </w:rPr>
              <w:t>2,205,362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356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rPr>
              <w:t>Participation in RAL Fund (v)</w:t>
            </w:r>
          </w:p>
        </w:tc>
        <w:tc>
          <w:tcPr>
            <w:tcW w:w="940" w:type="dxa"/>
            <w:vAlign w:val="bottom"/>
            <w:gridSpan w:val="2"/>
            <w:shd w:val="clear" w:color="auto" w:fill="CCEEFF"/>
          </w:tcPr>
          <w:p>
            <w:pPr>
              <w:jc w:val="right"/>
              <w:ind w:right="220"/>
              <w:spacing w:after="0" w:line="143" w:lineRule="exact"/>
              <w:rPr>
                <w:sz w:val="20"/>
                <w:szCs w:val="20"/>
                <w:color w:val="auto"/>
              </w:rPr>
            </w:pPr>
            <w:r>
              <w:rPr>
                <w:rFonts w:ascii="Arial" w:cs="Arial" w:eastAsia="Arial" w:hAnsi="Arial"/>
                <w:sz w:val="14"/>
                <w:szCs w:val="14"/>
                <w:color w:val="auto"/>
              </w:rPr>
              <w:t>527,405</w:t>
            </w:r>
          </w:p>
        </w:tc>
        <w:tc>
          <w:tcPr>
            <w:tcW w:w="66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rPr>
              <w:t>-</w:t>
            </w:r>
          </w:p>
        </w:tc>
        <w:tc>
          <w:tcPr>
            <w:tcW w:w="1040" w:type="dxa"/>
            <w:vAlign w:val="bottom"/>
            <w:gridSpan w:val="3"/>
            <w:shd w:val="clear" w:color="auto" w:fill="CCEEFF"/>
          </w:tcPr>
          <w:p>
            <w:pPr>
              <w:jc w:val="right"/>
              <w:ind w:right="160"/>
              <w:spacing w:after="0" w:line="143" w:lineRule="exact"/>
              <w:rPr>
                <w:sz w:val="20"/>
                <w:szCs w:val="20"/>
                <w:color w:val="auto"/>
              </w:rPr>
            </w:pPr>
            <w:r>
              <w:rPr>
                <w:rFonts w:ascii="Arial" w:cs="Arial" w:eastAsia="Arial" w:hAnsi="Arial"/>
                <w:sz w:val="14"/>
                <w:szCs w:val="14"/>
                <w:color w:val="auto"/>
              </w:rPr>
              <w:t>-</w:t>
            </w:r>
          </w:p>
        </w:tc>
        <w:tc>
          <w:tcPr>
            <w:tcW w:w="1100" w:type="dxa"/>
            <w:vAlign w:val="bottom"/>
            <w:gridSpan w:val="2"/>
            <w:shd w:val="clear" w:color="auto" w:fill="CCEEFF"/>
          </w:tcPr>
          <w:p>
            <w:pPr>
              <w:jc w:val="right"/>
              <w:ind w:right="220"/>
              <w:spacing w:after="0" w:line="143" w:lineRule="exact"/>
              <w:rPr>
                <w:sz w:val="20"/>
                <w:szCs w:val="20"/>
                <w:color w:val="auto"/>
              </w:rPr>
            </w:pPr>
            <w:r>
              <w:rPr>
                <w:rFonts w:ascii="Arial" w:cs="Arial" w:eastAsia="Arial" w:hAnsi="Arial"/>
                <w:sz w:val="14"/>
                <w:szCs w:val="14"/>
                <w:color w:val="auto"/>
              </w:rPr>
              <w:t>527,405</w:t>
            </w:r>
          </w:p>
        </w:tc>
        <w:tc>
          <w:tcPr>
            <w:tcW w:w="940" w:type="dxa"/>
            <w:vAlign w:val="bottom"/>
            <w:gridSpan w:val="2"/>
            <w:shd w:val="clear" w:color="auto" w:fill="CCEEFF"/>
          </w:tcPr>
          <w:p>
            <w:pPr>
              <w:jc w:val="right"/>
              <w:ind w:right="220"/>
              <w:spacing w:after="0" w:line="143" w:lineRule="exact"/>
              <w:rPr>
                <w:sz w:val="20"/>
                <w:szCs w:val="20"/>
                <w:color w:val="auto"/>
              </w:rPr>
            </w:pPr>
            <w:r>
              <w:rPr>
                <w:rFonts w:ascii="Arial" w:cs="Arial" w:eastAsia="Arial" w:hAnsi="Arial"/>
                <w:sz w:val="14"/>
                <w:szCs w:val="14"/>
                <w:color w:val="auto"/>
              </w:rPr>
              <w:t>650,803</w:t>
            </w:r>
          </w:p>
        </w:tc>
        <w:tc>
          <w:tcPr>
            <w:tcW w:w="680" w:type="dxa"/>
            <w:vAlign w:val="bottom"/>
            <w:gridSpan w:val="2"/>
            <w:shd w:val="clear" w:color="auto" w:fill="CCEEFF"/>
          </w:tcPr>
          <w:p>
            <w:pPr>
              <w:jc w:val="right"/>
              <w:ind w:right="20"/>
              <w:spacing w:after="0" w:line="143" w:lineRule="exact"/>
              <w:rPr>
                <w:sz w:val="20"/>
                <w:szCs w:val="20"/>
                <w:color w:val="auto"/>
              </w:rPr>
            </w:pPr>
            <w:r>
              <w:rPr>
                <w:rFonts w:ascii="Arial" w:cs="Arial" w:eastAsia="Arial" w:hAnsi="Arial"/>
                <w:sz w:val="14"/>
                <w:szCs w:val="14"/>
                <w:color w:val="auto"/>
              </w:rPr>
              <w:t>-</w:t>
            </w:r>
          </w:p>
        </w:tc>
        <w:tc>
          <w:tcPr>
            <w:tcW w:w="1040" w:type="dxa"/>
            <w:vAlign w:val="bottom"/>
            <w:gridSpan w:val="3"/>
            <w:shd w:val="clear" w:color="auto" w:fill="CCEEFF"/>
          </w:tcPr>
          <w:p>
            <w:pPr>
              <w:jc w:val="right"/>
              <w:ind w:right="160"/>
              <w:spacing w:after="0" w:line="143"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100"/>
              <w:spacing w:after="0" w:line="143" w:lineRule="exact"/>
              <w:rPr>
                <w:sz w:val="20"/>
                <w:szCs w:val="20"/>
                <w:color w:val="auto"/>
              </w:rPr>
            </w:pPr>
            <w:r>
              <w:rPr>
                <w:rFonts w:ascii="Arial" w:cs="Arial" w:eastAsia="Arial" w:hAnsi="Arial"/>
                <w:sz w:val="14"/>
                <w:szCs w:val="14"/>
                <w:color w:val="auto"/>
              </w:rPr>
              <w:t>650,803</w:t>
            </w:r>
          </w:p>
        </w:tc>
        <w:tc>
          <w:tcPr>
            <w:tcW w:w="0" w:type="dxa"/>
            <w:vAlign w:val="bottom"/>
          </w:tcPr>
          <w:p>
            <w:pPr>
              <w:spacing w:after="0"/>
              <w:rPr>
                <w:sz w:val="1"/>
                <w:szCs w:val="1"/>
                <w:color w:val="auto"/>
              </w:rPr>
            </w:pPr>
          </w:p>
        </w:tc>
      </w:tr>
      <w:tr>
        <w:trPr>
          <w:trHeight w:val="143"/>
        </w:trPr>
        <w:tc>
          <w:tcPr>
            <w:tcW w:w="3560" w:type="dxa"/>
            <w:vAlign w:val="bottom"/>
          </w:tcPr>
          <w:p>
            <w:pPr>
              <w:spacing w:after="0" w:line="143" w:lineRule="exact"/>
              <w:rPr>
                <w:sz w:val="20"/>
                <w:szCs w:val="20"/>
                <w:color w:val="auto"/>
              </w:rPr>
            </w:pPr>
            <w:r>
              <w:rPr>
                <w:rFonts w:ascii="Arial" w:cs="Arial" w:eastAsia="Arial" w:hAnsi="Arial"/>
                <w:sz w:val="14"/>
                <w:szCs w:val="14"/>
                <w:color w:val="auto"/>
              </w:rPr>
              <w:t>Securitization instruments (vi)</w:t>
            </w:r>
          </w:p>
        </w:tc>
        <w:tc>
          <w:tcPr>
            <w:tcW w:w="940" w:type="dxa"/>
            <w:vAlign w:val="bottom"/>
            <w:gridSpan w:val="2"/>
          </w:tcPr>
          <w:p>
            <w:pPr>
              <w:jc w:val="right"/>
              <w:ind w:right="220"/>
              <w:spacing w:after="0" w:line="143" w:lineRule="exact"/>
              <w:rPr>
                <w:sz w:val="20"/>
                <w:szCs w:val="20"/>
                <w:color w:val="auto"/>
              </w:rPr>
            </w:pPr>
            <w:r>
              <w:rPr>
                <w:rFonts w:ascii="Arial" w:cs="Arial" w:eastAsia="Arial" w:hAnsi="Arial"/>
                <w:sz w:val="14"/>
                <w:szCs w:val="14"/>
                <w:color w:val="auto"/>
              </w:rPr>
              <w:t>478,921</w:t>
            </w:r>
          </w:p>
        </w:tc>
        <w:tc>
          <w:tcPr>
            <w:tcW w:w="660" w:type="dxa"/>
            <w:vAlign w:val="bottom"/>
          </w:tcPr>
          <w:p>
            <w:pPr>
              <w:jc w:val="right"/>
              <w:spacing w:after="0" w:line="143" w:lineRule="exact"/>
              <w:rPr>
                <w:sz w:val="20"/>
                <w:szCs w:val="20"/>
                <w:color w:val="auto"/>
              </w:rPr>
            </w:pPr>
            <w:r>
              <w:rPr>
                <w:rFonts w:ascii="Arial" w:cs="Arial" w:eastAsia="Arial" w:hAnsi="Arial"/>
                <w:sz w:val="14"/>
                <w:szCs w:val="14"/>
                <w:color w:val="auto"/>
              </w:rPr>
              <w:t>35,747</w:t>
            </w:r>
          </w:p>
        </w:tc>
        <w:tc>
          <w:tcPr>
            <w:tcW w:w="1040" w:type="dxa"/>
            <w:vAlign w:val="bottom"/>
            <w:gridSpan w:val="3"/>
          </w:tcPr>
          <w:p>
            <w:pPr>
              <w:jc w:val="right"/>
              <w:ind w:right="120"/>
              <w:spacing w:after="0" w:line="143" w:lineRule="exact"/>
              <w:rPr>
                <w:sz w:val="20"/>
                <w:szCs w:val="20"/>
                <w:color w:val="auto"/>
              </w:rPr>
            </w:pPr>
            <w:r>
              <w:rPr>
                <w:rFonts w:ascii="Arial" w:cs="Arial" w:eastAsia="Arial" w:hAnsi="Arial"/>
                <w:sz w:val="14"/>
                <w:szCs w:val="14"/>
                <w:color w:val="auto"/>
              </w:rPr>
              <w:t>(6,565)</w:t>
            </w:r>
          </w:p>
        </w:tc>
        <w:tc>
          <w:tcPr>
            <w:tcW w:w="1100" w:type="dxa"/>
            <w:vAlign w:val="bottom"/>
            <w:gridSpan w:val="2"/>
          </w:tcPr>
          <w:p>
            <w:pPr>
              <w:jc w:val="right"/>
              <w:ind w:right="220"/>
              <w:spacing w:after="0" w:line="143" w:lineRule="exact"/>
              <w:rPr>
                <w:sz w:val="20"/>
                <w:szCs w:val="20"/>
                <w:color w:val="auto"/>
              </w:rPr>
            </w:pPr>
            <w:r>
              <w:rPr>
                <w:rFonts w:ascii="Arial" w:cs="Arial" w:eastAsia="Arial" w:hAnsi="Arial"/>
                <w:sz w:val="14"/>
                <w:szCs w:val="14"/>
                <w:color w:val="auto"/>
              </w:rPr>
              <w:t>508,103</w:t>
            </w:r>
          </w:p>
        </w:tc>
        <w:tc>
          <w:tcPr>
            <w:tcW w:w="940" w:type="dxa"/>
            <w:vAlign w:val="bottom"/>
            <w:gridSpan w:val="2"/>
          </w:tcPr>
          <w:p>
            <w:pPr>
              <w:jc w:val="right"/>
              <w:ind w:right="220"/>
              <w:spacing w:after="0" w:line="143" w:lineRule="exact"/>
              <w:rPr>
                <w:sz w:val="20"/>
                <w:szCs w:val="20"/>
                <w:color w:val="auto"/>
              </w:rPr>
            </w:pPr>
            <w:r>
              <w:rPr>
                <w:rFonts w:ascii="Arial" w:cs="Arial" w:eastAsia="Arial" w:hAnsi="Arial"/>
                <w:sz w:val="14"/>
                <w:szCs w:val="14"/>
                <w:color w:val="auto"/>
              </w:rPr>
              <w:t>523,135</w:t>
            </w:r>
          </w:p>
        </w:tc>
        <w:tc>
          <w:tcPr>
            <w:tcW w:w="680" w:type="dxa"/>
            <w:vAlign w:val="bottom"/>
            <w:gridSpan w:val="2"/>
          </w:tcPr>
          <w:p>
            <w:pPr>
              <w:jc w:val="right"/>
              <w:ind w:right="20"/>
              <w:spacing w:after="0" w:line="143" w:lineRule="exact"/>
              <w:rPr>
                <w:sz w:val="20"/>
                <w:szCs w:val="20"/>
                <w:color w:val="auto"/>
              </w:rPr>
            </w:pPr>
            <w:r>
              <w:rPr>
                <w:rFonts w:ascii="Arial" w:cs="Arial" w:eastAsia="Arial" w:hAnsi="Arial"/>
                <w:sz w:val="14"/>
                <w:szCs w:val="14"/>
                <w:color w:val="auto"/>
              </w:rPr>
              <w:t>19,136</w:t>
            </w:r>
          </w:p>
        </w:tc>
        <w:tc>
          <w:tcPr>
            <w:tcW w:w="1040" w:type="dxa"/>
            <w:vAlign w:val="bottom"/>
            <w:gridSpan w:val="3"/>
          </w:tcPr>
          <w:p>
            <w:pPr>
              <w:jc w:val="right"/>
              <w:ind w:right="120"/>
              <w:spacing w:after="0" w:line="143" w:lineRule="exact"/>
              <w:rPr>
                <w:sz w:val="20"/>
                <w:szCs w:val="20"/>
                <w:color w:val="auto"/>
              </w:rPr>
            </w:pPr>
            <w:r>
              <w:rPr>
                <w:rFonts w:ascii="Arial" w:cs="Arial" w:eastAsia="Arial" w:hAnsi="Arial"/>
                <w:sz w:val="14"/>
                <w:szCs w:val="14"/>
                <w:color w:val="auto"/>
              </w:rPr>
              <w:t>(6,785)</w:t>
            </w:r>
          </w:p>
        </w:tc>
        <w:tc>
          <w:tcPr>
            <w:tcW w:w="980" w:type="dxa"/>
            <w:vAlign w:val="bottom"/>
            <w:gridSpan w:val="2"/>
          </w:tcPr>
          <w:p>
            <w:pPr>
              <w:jc w:val="right"/>
              <w:ind w:right="100"/>
              <w:spacing w:after="0" w:line="143" w:lineRule="exact"/>
              <w:rPr>
                <w:sz w:val="20"/>
                <w:szCs w:val="20"/>
                <w:color w:val="auto"/>
              </w:rPr>
            </w:pPr>
            <w:r>
              <w:rPr>
                <w:rFonts w:ascii="Arial" w:cs="Arial" w:eastAsia="Arial" w:hAnsi="Arial"/>
                <w:sz w:val="14"/>
                <w:szCs w:val="14"/>
                <w:color w:val="auto"/>
              </w:rPr>
              <w:t>535,486</w:t>
            </w:r>
          </w:p>
        </w:tc>
        <w:tc>
          <w:tcPr>
            <w:tcW w:w="0" w:type="dxa"/>
            <w:vAlign w:val="bottom"/>
          </w:tcPr>
          <w:p>
            <w:pPr>
              <w:spacing w:after="0"/>
              <w:rPr>
                <w:sz w:val="1"/>
                <w:szCs w:val="1"/>
                <w:color w:val="auto"/>
              </w:rPr>
            </w:pPr>
          </w:p>
        </w:tc>
      </w:tr>
      <w:tr>
        <w:trPr>
          <w:trHeight w:val="143"/>
        </w:trPr>
        <w:tc>
          <w:tcPr>
            <w:tcW w:w="356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rPr>
              <w:t>Restricted mutual funds (vii)</w:t>
            </w:r>
          </w:p>
        </w:tc>
        <w:tc>
          <w:tcPr>
            <w:tcW w:w="940" w:type="dxa"/>
            <w:vAlign w:val="bottom"/>
            <w:gridSpan w:val="2"/>
            <w:shd w:val="clear" w:color="auto" w:fill="CCEEFF"/>
          </w:tcPr>
          <w:p>
            <w:pPr>
              <w:jc w:val="right"/>
              <w:ind w:right="220"/>
              <w:spacing w:after="0" w:line="143" w:lineRule="exact"/>
              <w:rPr>
                <w:sz w:val="20"/>
                <w:szCs w:val="20"/>
                <w:color w:val="auto"/>
              </w:rPr>
            </w:pPr>
            <w:r>
              <w:rPr>
                <w:rFonts w:ascii="Arial" w:cs="Arial" w:eastAsia="Arial" w:hAnsi="Arial"/>
                <w:sz w:val="14"/>
                <w:szCs w:val="14"/>
                <w:color w:val="auto"/>
              </w:rPr>
              <w:t>186,407</w:t>
            </w:r>
          </w:p>
        </w:tc>
        <w:tc>
          <w:tcPr>
            <w:tcW w:w="66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rPr>
              <w:t>230,289</w:t>
            </w:r>
          </w:p>
        </w:tc>
        <w:tc>
          <w:tcPr>
            <w:tcW w:w="1040" w:type="dxa"/>
            <w:vAlign w:val="bottom"/>
            <w:gridSpan w:val="3"/>
            <w:shd w:val="clear" w:color="auto" w:fill="CCEEFF"/>
          </w:tcPr>
          <w:p>
            <w:pPr>
              <w:jc w:val="right"/>
              <w:ind w:right="160"/>
              <w:spacing w:after="0" w:line="143" w:lineRule="exact"/>
              <w:rPr>
                <w:sz w:val="20"/>
                <w:szCs w:val="20"/>
                <w:color w:val="auto"/>
              </w:rPr>
            </w:pPr>
            <w:r>
              <w:rPr>
                <w:rFonts w:ascii="Arial" w:cs="Arial" w:eastAsia="Arial" w:hAnsi="Arial"/>
                <w:sz w:val="14"/>
                <w:szCs w:val="14"/>
                <w:color w:val="auto"/>
              </w:rPr>
              <w:t>-</w:t>
            </w:r>
          </w:p>
        </w:tc>
        <w:tc>
          <w:tcPr>
            <w:tcW w:w="1100" w:type="dxa"/>
            <w:vAlign w:val="bottom"/>
            <w:gridSpan w:val="2"/>
            <w:shd w:val="clear" w:color="auto" w:fill="CCEEFF"/>
          </w:tcPr>
          <w:p>
            <w:pPr>
              <w:jc w:val="right"/>
              <w:ind w:right="220"/>
              <w:spacing w:after="0" w:line="143" w:lineRule="exact"/>
              <w:rPr>
                <w:sz w:val="20"/>
                <w:szCs w:val="20"/>
                <w:color w:val="auto"/>
              </w:rPr>
            </w:pPr>
            <w:r>
              <w:rPr>
                <w:rFonts w:ascii="Arial" w:cs="Arial" w:eastAsia="Arial" w:hAnsi="Arial"/>
                <w:sz w:val="14"/>
                <w:szCs w:val="14"/>
                <w:color w:val="auto"/>
              </w:rPr>
              <w:t>416,696</w:t>
            </w:r>
          </w:p>
        </w:tc>
        <w:tc>
          <w:tcPr>
            <w:tcW w:w="940" w:type="dxa"/>
            <w:vAlign w:val="bottom"/>
            <w:gridSpan w:val="2"/>
            <w:shd w:val="clear" w:color="auto" w:fill="CCEEFF"/>
          </w:tcPr>
          <w:p>
            <w:pPr>
              <w:jc w:val="right"/>
              <w:ind w:right="220"/>
              <w:spacing w:after="0" w:line="143" w:lineRule="exact"/>
              <w:rPr>
                <w:sz w:val="20"/>
                <w:szCs w:val="20"/>
                <w:color w:val="auto"/>
              </w:rPr>
            </w:pPr>
            <w:r>
              <w:rPr>
                <w:rFonts w:ascii="Arial" w:cs="Arial" w:eastAsia="Arial" w:hAnsi="Arial"/>
                <w:sz w:val="14"/>
                <w:szCs w:val="14"/>
                <w:color w:val="auto"/>
              </w:rPr>
              <w:t>194,315</w:t>
            </w:r>
          </w:p>
        </w:tc>
        <w:tc>
          <w:tcPr>
            <w:tcW w:w="680" w:type="dxa"/>
            <w:vAlign w:val="bottom"/>
            <w:gridSpan w:val="2"/>
            <w:shd w:val="clear" w:color="auto" w:fill="CCEEFF"/>
          </w:tcPr>
          <w:p>
            <w:pPr>
              <w:jc w:val="right"/>
              <w:ind w:right="20"/>
              <w:spacing w:after="0" w:line="143" w:lineRule="exact"/>
              <w:rPr>
                <w:sz w:val="20"/>
                <w:szCs w:val="20"/>
                <w:color w:val="auto"/>
              </w:rPr>
            </w:pPr>
            <w:r>
              <w:rPr>
                <w:rFonts w:ascii="Arial" w:cs="Arial" w:eastAsia="Arial" w:hAnsi="Arial"/>
                <w:sz w:val="14"/>
                <w:szCs w:val="14"/>
                <w:color w:val="auto"/>
              </w:rPr>
              <w:t>174,103</w:t>
            </w:r>
          </w:p>
        </w:tc>
        <w:tc>
          <w:tcPr>
            <w:tcW w:w="1040" w:type="dxa"/>
            <w:vAlign w:val="bottom"/>
            <w:gridSpan w:val="3"/>
            <w:shd w:val="clear" w:color="auto" w:fill="CCEEFF"/>
          </w:tcPr>
          <w:p>
            <w:pPr>
              <w:jc w:val="right"/>
              <w:ind w:right="160"/>
              <w:spacing w:after="0" w:line="143"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100"/>
              <w:spacing w:after="0" w:line="143" w:lineRule="exact"/>
              <w:rPr>
                <w:sz w:val="20"/>
                <w:szCs w:val="20"/>
                <w:color w:val="auto"/>
              </w:rPr>
            </w:pPr>
            <w:r>
              <w:rPr>
                <w:rFonts w:ascii="Arial" w:cs="Arial" w:eastAsia="Arial" w:hAnsi="Arial"/>
                <w:sz w:val="14"/>
                <w:szCs w:val="14"/>
                <w:color w:val="auto"/>
              </w:rPr>
              <w:t>368,418</w:t>
            </w:r>
          </w:p>
        </w:tc>
        <w:tc>
          <w:tcPr>
            <w:tcW w:w="0" w:type="dxa"/>
            <w:vAlign w:val="bottom"/>
          </w:tcPr>
          <w:p>
            <w:pPr>
              <w:spacing w:after="0"/>
              <w:rPr>
                <w:sz w:val="1"/>
                <w:szCs w:val="1"/>
                <w:color w:val="auto"/>
              </w:rPr>
            </w:pPr>
          </w:p>
        </w:tc>
      </w:tr>
      <w:tr>
        <w:trPr>
          <w:trHeight w:val="143"/>
        </w:trPr>
        <w:tc>
          <w:tcPr>
            <w:tcW w:w="3560" w:type="dxa"/>
            <w:vAlign w:val="bottom"/>
          </w:tcPr>
          <w:p>
            <w:pPr>
              <w:spacing w:after="0" w:line="143" w:lineRule="exact"/>
              <w:rPr>
                <w:sz w:val="20"/>
                <w:szCs w:val="20"/>
                <w:color w:val="auto"/>
              </w:rPr>
            </w:pPr>
            <w:r>
              <w:rPr>
                <w:rFonts w:ascii="Arial" w:cs="Arial" w:eastAsia="Arial" w:hAnsi="Arial"/>
                <w:sz w:val="14"/>
                <w:szCs w:val="14"/>
                <w:color w:val="auto"/>
              </w:rPr>
              <w:t>Participation in mutual funds</w:t>
            </w:r>
          </w:p>
        </w:tc>
        <w:tc>
          <w:tcPr>
            <w:tcW w:w="940" w:type="dxa"/>
            <w:vAlign w:val="bottom"/>
            <w:gridSpan w:val="2"/>
          </w:tcPr>
          <w:p>
            <w:pPr>
              <w:jc w:val="right"/>
              <w:ind w:right="220"/>
              <w:spacing w:after="0" w:line="143" w:lineRule="exact"/>
              <w:rPr>
                <w:sz w:val="20"/>
                <w:szCs w:val="20"/>
                <w:color w:val="auto"/>
              </w:rPr>
            </w:pPr>
            <w:r>
              <w:rPr>
                <w:rFonts w:ascii="Arial" w:cs="Arial" w:eastAsia="Arial" w:hAnsi="Arial"/>
                <w:sz w:val="14"/>
                <w:szCs w:val="14"/>
                <w:color w:val="auto"/>
              </w:rPr>
              <w:t>398,308</w:t>
            </w:r>
          </w:p>
        </w:tc>
        <w:tc>
          <w:tcPr>
            <w:tcW w:w="660" w:type="dxa"/>
            <w:vAlign w:val="bottom"/>
          </w:tcPr>
          <w:p>
            <w:pPr>
              <w:jc w:val="right"/>
              <w:spacing w:after="0" w:line="143" w:lineRule="exact"/>
              <w:rPr>
                <w:sz w:val="20"/>
                <w:szCs w:val="20"/>
                <w:color w:val="auto"/>
              </w:rPr>
            </w:pPr>
            <w:r>
              <w:rPr>
                <w:rFonts w:ascii="Arial" w:cs="Arial" w:eastAsia="Arial" w:hAnsi="Arial"/>
                <w:sz w:val="14"/>
                <w:szCs w:val="14"/>
                <w:color w:val="auto"/>
              </w:rPr>
              <w:t>11,458</w:t>
            </w:r>
          </w:p>
        </w:tc>
        <w:tc>
          <w:tcPr>
            <w:tcW w:w="1040" w:type="dxa"/>
            <w:vAlign w:val="bottom"/>
            <w:gridSpan w:val="3"/>
          </w:tcPr>
          <w:p>
            <w:pPr>
              <w:jc w:val="right"/>
              <w:ind w:right="120"/>
              <w:spacing w:after="0" w:line="143" w:lineRule="exact"/>
              <w:rPr>
                <w:sz w:val="20"/>
                <w:szCs w:val="20"/>
                <w:color w:val="auto"/>
              </w:rPr>
            </w:pPr>
            <w:r>
              <w:rPr>
                <w:rFonts w:ascii="Arial" w:cs="Arial" w:eastAsia="Arial" w:hAnsi="Arial"/>
                <w:sz w:val="14"/>
                <w:szCs w:val="14"/>
                <w:color w:val="auto"/>
              </w:rPr>
              <w:t>(200)</w:t>
            </w:r>
          </w:p>
        </w:tc>
        <w:tc>
          <w:tcPr>
            <w:tcW w:w="1100" w:type="dxa"/>
            <w:vAlign w:val="bottom"/>
            <w:gridSpan w:val="2"/>
          </w:tcPr>
          <w:p>
            <w:pPr>
              <w:jc w:val="right"/>
              <w:ind w:right="220"/>
              <w:spacing w:after="0" w:line="143" w:lineRule="exact"/>
              <w:rPr>
                <w:sz w:val="20"/>
                <w:szCs w:val="20"/>
                <w:color w:val="auto"/>
              </w:rPr>
            </w:pPr>
            <w:r>
              <w:rPr>
                <w:rFonts w:ascii="Arial" w:cs="Arial" w:eastAsia="Arial" w:hAnsi="Arial"/>
                <w:sz w:val="14"/>
                <w:szCs w:val="14"/>
                <w:color w:val="auto"/>
              </w:rPr>
              <w:t>409,566</w:t>
            </w:r>
          </w:p>
        </w:tc>
        <w:tc>
          <w:tcPr>
            <w:tcW w:w="940" w:type="dxa"/>
            <w:vAlign w:val="bottom"/>
            <w:gridSpan w:val="2"/>
          </w:tcPr>
          <w:p>
            <w:pPr>
              <w:jc w:val="right"/>
              <w:ind w:right="220"/>
              <w:spacing w:after="0" w:line="143" w:lineRule="exact"/>
              <w:rPr>
                <w:sz w:val="20"/>
                <w:szCs w:val="20"/>
                <w:color w:val="auto"/>
              </w:rPr>
            </w:pPr>
            <w:r>
              <w:rPr>
                <w:rFonts w:ascii="Arial" w:cs="Arial" w:eastAsia="Arial" w:hAnsi="Arial"/>
                <w:sz w:val="14"/>
                <w:szCs w:val="14"/>
                <w:color w:val="auto"/>
              </w:rPr>
              <w:t>286,534</w:t>
            </w:r>
          </w:p>
        </w:tc>
        <w:tc>
          <w:tcPr>
            <w:tcW w:w="680" w:type="dxa"/>
            <w:vAlign w:val="bottom"/>
            <w:gridSpan w:val="2"/>
          </w:tcPr>
          <w:p>
            <w:pPr>
              <w:jc w:val="right"/>
              <w:ind w:right="20"/>
              <w:spacing w:after="0" w:line="143" w:lineRule="exact"/>
              <w:rPr>
                <w:sz w:val="20"/>
                <w:szCs w:val="20"/>
                <w:color w:val="auto"/>
              </w:rPr>
            </w:pPr>
            <w:r>
              <w:rPr>
                <w:rFonts w:ascii="Arial" w:cs="Arial" w:eastAsia="Arial" w:hAnsi="Arial"/>
                <w:sz w:val="14"/>
                <w:szCs w:val="14"/>
                <w:color w:val="auto"/>
              </w:rPr>
              <w:t>10,060</w:t>
            </w:r>
          </w:p>
        </w:tc>
        <w:tc>
          <w:tcPr>
            <w:tcW w:w="1040" w:type="dxa"/>
            <w:vAlign w:val="bottom"/>
            <w:gridSpan w:val="3"/>
          </w:tcPr>
          <w:p>
            <w:pPr>
              <w:jc w:val="right"/>
              <w:ind w:right="120"/>
              <w:spacing w:after="0" w:line="143" w:lineRule="exact"/>
              <w:rPr>
                <w:sz w:val="20"/>
                <w:szCs w:val="20"/>
                <w:color w:val="auto"/>
              </w:rPr>
            </w:pPr>
            <w:r>
              <w:rPr>
                <w:rFonts w:ascii="Arial" w:cs="Arial" w:eastAsia="Arial" w:hAnsi="Arial"/>
                <w:sz w:val="14"/>
                <w:szCs w:val="14"/>
                <w:color w:val="auto"/>
              </w:rPr>
              <w:t>(4,256)</w:t>
            </w:r>
          </w:p>
        </w:tc>
        <w:tc>
          <w:tcPr>
            <w:tcW w:w="980" w:type="dxa"/>
            <w:vAlign w:val="bottom"/>
            <w:gridSpan w:val="2"/>
          </w:tcPr>
          <w:p>
            <w:pPr>
              <w:jc w:val="right"/>
              <w:ind w:right="100"/>
              <w:spacing w:after="0" w:line="143" w:lineRule="exact"/>
              <w:rPr>
                <w:sz w:val="20"/>
                <w:szCs w:val="20"/>
                <w:color w:val="auto"/>
              </w:rPr>
            </w:pPr>
            <w:r>
              <w:rPr>
                <w:rFonts w:ascii="Arial" w:cs="Arial" w:eastAsia="Arial" w:hAnsi="Arial"/>
                <w:sz w:val="14"/>
                <w:szCs w:val="14"/>
                <w:color w:val="auto"/>
              </w:rPr>
              <w:t>292,338</w:t>
            </w:r>
          </w:p>
        </w:tc>
        <w:tc>
          <w:tcPr>
            <w:tcW w:w="0" w:type="dxa"/>
            <w:vAlign w:val="bottom"/>
          </w:tcPr>
          <w:p>
            <w:pPr>
              <w:spacing w:after="0"/>
              <w:rPr>
                <w:sz w:val="1"/>
                <w:szCs w:val="1"/>
                <w:color w:val="auto"/>
              </w:rPr>
            </w:pPr>
          </w:p>
        </w:tc>
      </w:tr>
      <w:tr>
        <w:trPr>
          <w:trHeight w:val="143"/>
        </w:trPr>
        <w:tc>
          <w:tcPr>
            <w:tcW w:w="356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rPr>
              <w:t>Negotiable certificates of deposit</w:t>
            </w:r>
          </w:p>
        </w:tc>
        <w:tc>
          <w:tcPr>
            <w:tcW w:w="940" w:type="dxa"/>
            <w:vAlign w:val="bottom"/>
            <w:gridSpan w:val="2"/>
            <w:shd w:val="clear" w:color="auto" w:fill="CCEEFF"/>
          </w:tcPr>
          <w:p>
            <w:pPr>
              <w:jc w:val="right"/>
              <w:ind w:right="220"/>
              <w:spacing w:after="0" w:line="143" w:lineRule="exact"/>
              <w:rPr>
                <w:sz w:val="20"/>
                <w:szCs w:val="20"/>
                <w:color w:val="auto"/>
              </w:rPr>
            </w:pPr>
            <w:r>
              <w:rPr>
                <w:rFonts w:ascii="Arial" w:cs="Arial" w:eastAsia="Arial" w:hAnsi="Arial"/>
                <w:sz w:val="14"/>
                <w:szCs w:val="14"/>
                <w:color w:val="auto"/>
              </w:rPr>
              <w:t>285,493</w:t>
            </w:r>
          </w:p>
        </w:tc>
        <w:tc>
          <w:tcPr>
            <w:tcW w:w="66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rPr>
              <w:t>5,036</w:t>
            </w:r>
          </w:p>
        </w:tc>
        <w:tc>
          <w:tcPr>
            <w:tcW w:w="1040" w:type="dxa"/>
            <w:vAlign w:val="bottom"/>
            <w:gridSpan w:val="3"/>
            <w:shd w:val="clear" w:color="auto" w:fill="CCEEFF"/>
          </w:tcPr>
          <w:p>
            <w:pPr>
              <w:jc w:val="right"/>
              <w:ind w:right="120"/>
              <w:spacing w:after="0" w:line="143" w:lineRule="exact"/>
              <w:rPr>
                <w:sz w:val="20"/>
                <w:szCs w:val="20"/>
                <w:color w:val="auto"/>
              </w:rPr>
            </w:pPr>
            <w:r>
              <w:rPr>
                <w:rFonts w:ascii="Arial" w:cs="Arial" w:eastAsia="Arial" w:hAnsi="Arial"/>
                <w:sz w:val="14"/>
                <w:szCs w:val="14"/>
                <w:color w:val="auto"/>
              </w:rPr>
              <w:t>(346)</w:t>
            </w:r>
          </w:p>
        </w:tc>
        <w:tc>
          <w:tcPr>
            <w:tcW w:w="1100" w:type="dxa"/>
            <w:vAlign w:val="bottom"/>
            <w:gridSpan w:val="2"/>
            <w:shd w:val="clear" w:color="auto" w:fill="CCEEFF"/>
          </w:tcPr>
          <w:p>
            <w:pPr>
              <w:jc w:val="right"/>
              <w:ind w:right="220"/>
              <w:spacing w:after="0" w:line="143" w:lineRule="exact"/>
              <w:rPr>
                <w:sz w:val="20"/>
                <w:szCs w:val="20"/>
                <w:color w:val="auto"/>
              </w:rPr>
            </w:pPr>
            <w:r>
              <w:rPr>
                <w:rFonts w:ascii="Arial" w:cs="Arial" w:eastAsia="Arial" w:hAnsi="Arial"/>
                <w:sz w:val="14"/>
                <w:szCs w:val="14"/>
                <w:color w:val="auto"/>
              </w:rPr>
              <w:t>290,183</w:t>
            </w:r>
          </w:p>
        </w:tc>
        <w:tc>
          <w:tcPr>
            <w:tcW w:w="940" w:type="dxa"/>
            <w:vAlign w:val="bottom"/>
            <w:gridSpan w:val="2"/>
            <w:shd w:val="clear" w:color="auto" w:fill="CCEEFF"/>
          </w:tcPr>
          <w:p>
            <w:pPr>
              <w:jc w:val="right"/>
              <w:ind w:right="220"/>
              <w:spacing w:after="0" w:line="143" w:lineRule="exact"/>
              <w:rPr>
                <w:sz w:val="20"/>
                <w:szCs w:val="20"/>
                <w:color w:val="auto"/>
              </w:rPr>
            </w:pPr>
            <w:r>
              <w:rPr>
                <w:rFonts w:ascii="Arial" w:cs="Arial" w:eastAsia="Arial" w:hAnsi="Arial"/>
                <w:sz w:val="14"/>
                <w:szCs w:val="14"/>
                <w:color w:val="auto"/>
              </w:rPr>
              <w:t>57,523</w:t>
            </w:r>
          </w:p>
        </w:tc>
        <w:tc>
          <w:tcPr>
            <w:tcW w:w="680" w:type="dxa"/>
            <w:vAlign w:val="bottom"/>
            <w:gridSpan w:val="2"/>
            <w:shd w:val="clear" w:color="auto" w:fill="CCEEFF"/>
          </w:tcPr>
          <w:p>
            <w:pPr>
              <w:jc w:val="right"/>
              <w:ind w:right="20"/>
              <w:spacing w:after="0" w:line="143" w:lineRule="exact"/>
              <w:rPr>
                <w:sz w:val="20"/>
                <w:szCs w:val="20"/>
                <w:color w:val="auto"/>
              </w:rPr>
            </w:pPr>
            <w:r>
              <w:rPr>
                <w:rFonts w:ascii="Arial" w:cs="Arial" w:eastAsia="Arial" w:hAnsi="Arial"/>
                <w:sz w:val="14"/>
                <w:szCs w:val="14"/>
                <w:color w:val="auto"/>
              </w:rPr>
              <w:t>2,889</w:t>
            </w:r>
          </w:p>
        </w:tc>
        <w:tc>
          <w:tcPr>
            <w:tcW w:w="1040" w:type="dxa"/>
            <w:vAlign w:val="bottom"/>
            <w:gridSpan w:val="3"/>
            <w:shd w:val="clear" w:color="auto" w:fill="CCEEFF"/>
          </w:tcPr>
          <w:p>
            <w:pPr>
              <w:jc w:val="right"/>
              <w:ind w:right="120"/>
              <w:spacing w:after="0" w:line="143" w:lineRule="exact"/>
              <w:rPr>
                <w:sz w:val="20"/>
                <w:szCs w:val="20"/>
                <w:color w:val="auto"/>
              </w:rPr>
            </w:pPr>
            <w:r>
              <w:rPr>
                <w:rFonts w:ascii="Arial" w:cs="Arial" w:eastAsia="Arial" w:hAnsi="Arial"/>
                <w:sz w:val="14"/>
                <w:szCs w:val="14"/>
                <w:color w:val="auto"/>
              </w:rPr>
              <w:t>(8)</w:t>
            </w:r>
          </w:p>
        </w:tc>
        <w:tc>
          <w:tcPr>
            <w:tcW w:w="980" w:type="dxa"/>
            <w:vAlign w:val="bottom"/>
            <w:gridSpan w:val="2"/>
            <w:shd w:val="clear" w:color="auto" w:fill="CCEEFF"/>
          </w:tcPr>
          <w:p>
            <w:pPr>
              <w:jc w:val="right"/>
              <w:ind w:right="100"/>
              <w:spacing w:after="0" w:line="143" w:lineRule="exact"/>
              <w:rPr>
                <w:sz w:val="20"/>
                <w:szCs w:val="20"/>
                <w:color w:val="auto"/>
              </w:rPr>
            </w:pPr>
            <w:r>
              <w:rPr>
                <w:rFonts w:ascii="Arial" w:cs="Arial" w:eastAsia="Arial" w:hAnsi="Arial"/>
                <w:sz w:val="14"/>
                <w:szCs w:val="14"/>
                <w:color w:val="auto"/>
              </w:rPr>
              <w:t>60,404</w:t>
            </w:r>
          </w:p>
        </w:tc>
        <w:tc>
          <w:tcPr>
            <w:tcW w:w="0" w:type="dxa"/>
            <w:vAlign w:val="bottom"/>
          </w:tcPr>
          <w:p>
            <w:pPr>
              <w:spacing w:after="0"/>
              <w:rPr>
                <w:sz w:val="1"/>
                <w:szCs w:val="1"/>
                <w:color w:val="auto"/>
              </w:rPr>
            </w:pPr>
          </w:p>
        </w:tc>
      </w:tr>
      <w:tr>
        <w:trPr>
          <w:trHeight w:val="143"/>
        </w:trPr>
        <w:tc>
          <w:tcPr>
            <w:tcW w:w="3560" w:type="dxa"/>
            <w:vAlign w:val="bottom"/>
          </w:tcPr>
          <w:p>
            <w:pPr>
              <w:spacing w:after="0" w:line="143" w:lineRule="exact"/>
              <w:rPr>
                <w:sz w:val="20"/>
                <w:szCs w:val="20"/>
                <w:color w:val="auto"/>
              </w:rPr>
            </w:pPr>
            <w:r>
              <w:rPr>
                <w:rFonts w:ascii="Arial" w:cs="Arial" w:eastAsia="Arial" w:hAnsi="Arial"/>
                <w:sz w:val="14"/>
                <w:szCs w:val="14"/>
                <w:color w:val="auto"/>
              </w:rPr>
              <w:t>Multilateral organization bonds</w:t>
            </w:r>
          </w:p>
        </w:tc>
        <w:tc>
          <w:tcPr>
            <w:tcW w:w="940" w:type="dxa"/>
            <w:vAlign w:val="bottom"/>
            <w:gridSpan w:val="2"/>
          </w:tcPr>
          <w:p>
            <w:pPr>
              <w:jc w:val="right"/>
              <w:ind w:right="220"/>
              <w:spacing w:after="0" w:line="143" w:lineRule="exact"/>
              <w:rPr>
                <w:sz w:val="20"/>
                <w:szCs w:val="20"/>
                <w:color w:val="auto"/>
              </w:rPr>
            </w:pPr>
            <w:r>
              <w:rPr>
                <w:rFonts w:ascii="Arial" w:cs="Arial" w:eastAsia="Arial" w:hAnsi="Arial"/>
                <w:sz w:val="14"/>
                <w:szCs w:val="14"/>
                <w:color w:val="auto"/>
              </w:rPr>
              <w:t>165,830</w:t>
            </w:r>
          </w:p>
        </w:tc>
        <w:tc>
          <w:tcPr>
            <w:tcW w:w="660" w:type="dxa"/>
            <w:vAlign w:val="bottom"/>
          </w:tcPr>
          <w:p>
            <w:pPr>
              <w:jc w:val="right"/>
              <w:spacing w:after="0" w:line="143" w:lineRule="exact"/>
              <w:rPr>
                <w:sz w:val="20"/>
                <w:szCs w:val="20"/>
                <w:color w:val="auto"/>
              </w:rPr>
            </w:pPr>
            <w:r>
              <w:rPr>
                <w:rFonts w:ascii="Arial" w:cs="Arial" w:eastAsia="Arial" w:hAnsi="Arial"/>
                <w:sz w:val="14"/>
                <w:szCs w:val="14"/>
                <w:color w:val="auto"/>
              </w:rPr>
              <w:t>13,897</w:t>
            </w:r>
          </w:p>
        </w:tc>
        <w:tc>
          <w:tcPr>
            <w:tcW w:w="1040" w:type="dxa"/>
            <w:vAlign w:val="bottom"/>
            <w:gridSpan w:val="3"/>
          </w:tcPr>
          <w:p>
            <w:pPr>
              <w:jc w:val="right"/>
              <w:ind w:right="120"/>
              <w:spacing w:after="0" w:line="143" w:lineRule="exact"/>
              <w:rPr>
                <w:sz w:val="20"/>
                <w:szCs w:val="20"/>
                <w:color w:val="auto"/>
              </w:rPr>
            </w:pPr>
            <w:r>
              <w:rPr>
                <w:rFonts w:ascii="Arial" w:cs="Arial" w:eastAsia="Arial" w:hAnsi="Arial"/>
                <w:sz w:val="14"/>
                <w:szCs w:val="14"/>
                <w:color w:val="auto"/>
              </w:rPr>
              <w:t>(224)</w:t>
            </w:r>
          </w:p>
        </w:tc>
        <w:tc>
          <w:tcPr>
            <w:tcW w:w="1100" w:type="dxa"/>
            <w:vAlign w:val="bottom"/>
            <w:gridSpan w:val="2"/>
          </w:tcPr>
          <w:p>
            <w:pPr>
              <w:jc w:val="right"/>
              <w:ind w:right="220"/>
              <w:spacing w:after="0" w:line="143" w:lineRule="exact"/>
              <w:rPr>
                <w:sz w:val="20"/>
                <w:szCs w:val="20"/>
                <w:color w:val="auto"/>
              </w:rPr>
            </w:pPr>
            <w:r>
              <w:rPr>
                <w:rFonts w:ascii="Arial" w:cs="Arial" w:eastAsia="Arial" w:hAnsi="Arial"/>
                <w:sz w:val="14"/>
                <w:szCs w:val="14"/>
                <w:color w:val="auto"/>
              </w:rPr>
              <w:t>179,503</w:t>
            </w:r>
          </w:p>
        </w:tc>
        <w:tc>
          <w:tcPr>
            <w:tcW w:w="940" w:type="dxa"/>
            <w:vAlign w:val="bottom"/>
            <w:gridSpan w:val="2"/>
          </w:tcPr>
          <w:p>
            <w:pPr>
              <w:jc w:val="right"/>
              <w:ind w:right="220"/>
              <w:spacing w:after="0" w:line="143" w:lineRule="exact"/>
              <w:rPr>
                <w:sz w:val="20"/>
                <w:szCs w:val="20"/>
                <w:color w:val="auto"/>
              </w:rPr>
            </w:pPr>
            <w:r>
              <w:rPr>
                <w:rFonts w:ascii="Arial" w:cs="Arial" w:eastAsia="Arial" w:hAnsi="Arial"/>
                <w:sz w:val="14"/>
                <w:szCs w:val="14"/>
                <w:color w:val="auto"/>
              </w:rPr>
              <w:t>194,906</w:t>
            </w:r>
          </w:p>
        </w:tc>
        <w:tc>
          <w:tcPr>
            <w:tcW w:w="680" w:type="dxa"/>
            <w:vAlign w:val="bottom"/>
            <w:gridSpan w:val="2"/>
          </w:tcPr>
          <w:p>
            <w:pPr>
              <w:jc w:val="right"/>
              <w:ind w:right="20"/>
              <w:spacing w:after="0" w:line="143" w:lineRule="exact"/>
              <w:rPr>
                <w:sz w:val="20"/>
                <w:szCs w:val="20"/>
                <w:color w:val="auto"/>
              </w:rPr>
            </w:pPr>
            <w:r>
              <w:rPr>
                <w:rFonts w:ascii="Arial" w:cs="Arial" w:eastAsia="Arial" w:hAnsi="Arial"/>
                <w:sz w:val="14"/>
                <w:szCs w:val="14"/>
                <w:color w:val="auto"/>
              </w:rPr>
              <w:t>3,847</w:t>
            </w:r>
          </w:p>
        </w:tc>
        <w:tc>
          <w:tcPr>
            <w:tcW w:w="1040" w:type="dxa"/>
            <w:vAlign w:val="bottom"/>
            <w:gridSpan w:val="3"/>
          </w:tcPr>
          <w:p>
            <w:pPr>
              <w:jc w:val="right"/>
              <w:ind w:right="120"/>
              <w:spacing w:after="0" w:line="143" w:lineRule="exact"/>
              <w:rPr>
                <w:sz w:val="20"/>
                <w:szCs w:val="20"/>
                <w:color w:val="auto"/>
              </w:rPr>
            </w:pPr>
            <w:r>
              <w:rPr>
                <w:rFonts w:ascii="Arial" w:cs="Arial" w:eastAsia="Arial" w:hAnsi="Arial"/>
                <w:sz w:val="14"/>
                <w:szCs w:val="14"/>
                <w:color w:val="auto"/>
              </w:rPr>
              <w:t>(2,157)</w:t>
            </w:r>
          </w:p>
        </w:tc>
        <w:tc>
          <w:tcPr>
            <w:tcW w:w="980" w:type="dxa"/>
            <w:vAlign w:val="bottom"/>
            <w:gridSpan w:val="2"/>
          </w:tcPr>
          <w:p>
            <w:pPr>
              <w:jc w:val="right"/>
              <w:ind w:right="100"/>
              <w:spacing w:after="0" w:line="143" w:lineRule="exact"/>
              <w:rPr>
                <w:sz w:val="20"/>
                <w:szCs w:val="20"/>
                <w:color w:val="auto"/>
              </w:rPr>
            </w:pPr>
            <w:r>
              <w:rPr>
                <w:rFonts w:ascii="Arial" w:cs="Arial" w:eastAsia="Arial" w:hAnsi="Arial"/>
                <w:sz w:val="14"/>
                <w:szCs w:val="14"/>
                <w:color w:val="auto"/>
              </w:rPr>
              <w:t>196,596</w:t>
            </w:r>
          </w:p>
        </w:tc>
        <w:tc>
          <w:tcPr>
            <w:tcW w:w="0" w:type="dxa"/>
            <w:vAlign w:val="bottom"/>
          </w:tcPr>
          <w:p>
            <w:pPr>
              <w:spacing w:after="0"/>
              <w:rPr>
                <w:sz w:val="1"/>
                <w:szCs w:val="1"/>
                <w:color w:val="auto"/>
              </w:rPr>
            </w:pPr>
          </w:p>
        </w:tc>
      </w:tr>
      <w:tr>
        <w:trPr>
          <w:trHeight w:val="143"/>
        </w:trPr>
        <w:tc>
          <w:tcPr>
            <w:tcW w:w="356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rPr>
              <w:t>Certificates of Central Bank of Bolivia (viii)</w:t>
            </w:r>
          </w:p>
        </w:tc>
        <w:tc>
          <w:tcPr>
            <w:tcW w:w="940" w:type="dxa"/>
            <w:vAlign w:val="bottom"/>
            <w:gridSpan w:val="2"/>
            <w:shd w:val="clear" w:color="auto" w:fill="CCEEFF"/>
          </w:tcPr>
          <w:p>
            <w:pPr>
              <w:jc w:val="right"/>
              <w:ind w:right="220"/>
              <w:spacing w:after="0" w:line="143" w:lineRule="exact"/>
              <w:rPr>
                <w:sz w:val="20"/>
                <w:szCs w:val="20"/>
                <w:color w:val="auto"/>
              </w:rPr>
            </w:pPr>
            <w:r>
              <w:rPr>
                <w:rFonts w:ascii="Arial" w:cs="Arial" w:eastAsia="Arial" w:hAnsi="Arial"/>
                <w:sz w:val="14"/>
                <w:szCs w:val="14"/>
                <w:color w:val="auto"/>
              </w:rPr>
              <w:t>94,692</w:t>
            </w:r>
          </w:p>
        </w:tc>
        <w:tc>
          <w:tcPr>
            <w:tcW w:w="66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rPr>
              <w:t>33</w:t>
            </w:r>
          </w:p>
        </w:tc>
        <w:tc>
          <w:tcPr>
            <w:tcW w:w="1040" w:type="dxa"/>
            <w:vAlign w:val="bottom"/>
            <w:gridSpan w:val="3"/>
            <w:shd w:val="clear" w:color="auto" w:fill="CCEEFF"/>
          </w:tcPr>
          <w:p>
            <w:pPr>
              <w:jc w:val="right"/>
              <w:ind w:right="160"/>
              <w:spacing w:after="0" w:line="143" w:lineRule="exact"/>
              <w:rPr>
                <w:sz w:val="20"/>
                <w:szCs w:val="20"/>
                <w:color w:val="auto"/>
              </w:rPr>
            </w:pPr>
            <w:r>
              <w:rPr>
                <w:rFonts w:ascii="Arial" w:cs="Arial" w:eastAsia="Arial" w:hAnsi="Arial"/>
                <w:sz w:val="14"/>
                <w:szCs w:val="14"/>
                <w:color w:val="auto"/>
              </w:rPr>
              <w:t>-</w:t>
            </w:r>
          </w:p>
        </w:tc>
        <w:tc>
          <w:tcPr>
            <w:tcW w:w="1100" w:type="dxa"/>
            <w:vAlign w:val="bottom"/>
            <w:gridSpan w:val="2"/>
            <w:shd w:val="clear" w:color="auto" w:fill="CCEEFF"/>
          </w:tcPr>
          <w:p>
            <w:pPr>
              <w:jc w:val="right"/>
              <w:ind w:right="220"/>
              <w:spacing w:after="0" w:line="143" w:lineRule="exact"/>
              <w:rPr>
                <w:sz w:val="20"/>
                <w:szCs w:val="20"/>
                <w:color w:val="auto"/>
              </w:rPr>
            </w:pPr>
            <w:r>
              <w:rPr>
                <w:rFonts w:ascii="Arial" w:cs="Arial" w:eastAsia="Arial" w:hAnsi="Arial"/>
                <w:sz w:val="14"/>
                <w:szCs w:val="14"/>
                <w:color w:val="auto"/>
              </w:rPr>
              <w:t>94,725</w:t>
            </w:r>
          </w:p>
        </w:tc>
        <w:tc>
          <w:tcPr>
            <w:tcW w:w="940" w:type="dxa"/>
            <w:vAlign w:val="bottom"/>
            <w:gridSpan w:val="2"/>
            <w:shd w:val="clear" w:color="auto" w:fill="CCEEFF"/>
          </w:tcPr>
          <w:p>
            <w:pPr>
              <w:jc w:val="right"/>
              <w:ind w:right="220"/>
              <w:spacing w:after="0" w:line="143" w:lineRule="exact"/>
              <w:rPr>
                <w:sz w:val="20"/>
                <w:szCs w:val="20"/>
                <w:color w:val="auto"/>
              </w:rPr>
            </w:pPr>
            <w:r>
              <w:rPr>
                <w:rFonts w:ascii="Arial" w:cs="Arial" w:eastAsia="Arial" w:hAnsi="Arial"/>
                <w:sz w:val="14"/>
                <w:szCs w:val="14"/>
                <w:color w:val="auto"/>
              </w:rPr>
              <w:t>14,643</w:t>
            </w:r>
          </w:p>
        </w:tc>
        <w:tc>
          <w:tcPr>
            <w:tcW w:w="680" w:type="dxa"/>
            <w:vAlign w:val="bottom"/>
            <w:gridSpan w:val="2"/>
            <w:shd w:val="clear" w:color="auto" w:fill="CCEEFF"/>
          </w:tcPr>
          <w:p>
            <w:pPr>
              <w:jc w:val="right"/>
              <w:ind w:right="20"/>
              <w:spacing w:after="0" w:line="143" w:lineRule="exact"/>
              <w:rPr>
                <w:sz w:val="20"/>
                <w:szCs w:val="20"/>
                <w:color w:val="auto"/>
              </w:rPr>
            </w:pPr>
            <w:r>
              <w:rPr>
                <w:rFonts w:ascii="Arial" w:cs="Arial" w:eastAsia="Arial" w:hAnsi="Arial"/>
                <w:sz w:val="14"/>
                <w:szCs w:val="14"/>
                <w:color w:val="auto"/>
              </w:rPr>
              <w:t>-</w:t>
            </w:r>
          </w:p>
        </w:tc>
        <w:tc>
          <w:tcPr>
            <w:tcW w:w="1040" w:type="dxa"/>
            <w:vAlign w:val="bottom"/>
            <w:gridSpan w:val="3"/>
            <w:shd w:val="clear" w:color="auto" w:fill="CCEEFF"/>
          </w:tcPr>
          <w:p>
            <w:pPr>
              <w:jc w:val="right"/>
              <w:ind w:right="160"/>
              <w:spacing w:after="0" w:line="143"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100"/>
              <w:spacing w:after="0" w:line="143" w:lineRule="exact"/>
              <w:rPr>
                <w:sz w:val="20"/>
                <w:szCs w:val="20"/>
                <w:color w:val="auto"/>
              </w:rPr>
            </w:pPr>
            <w:r>
              <w:rPr>
                <w:rFonts w:ascii="Arial" w:cs="Arial" w:eastAsia="Arial" w:hAnsi="Arial"/>
                <w:sz w:val="14"/>
                <w:szCs w:val="14"/>
                <w:color w:val="auto"/>
              </w:rPr>
              <w:t>14,643</w:t>
            </w:r>
          </w:p>
        </w:tc>
        <w:tc>
          <w:tcPr>
            <w:tcW w:w="0" w:type="dxa"/>
            <w:vAlign w:val="bottom"/>
          </w:tcPr>
          <w:p>
            <w:pPr>
              <w:spacing w:after="0"/>
              <w:rPr>
                <w:sz w:val="1"/>
                <w:szCs w:val="1"/>
                <w:color w:val="auto"/>
              </w:rPr>
            </w:pPr>
          </w:p>
        </w:tc>
      </w:tr>
      <w:tr>
        <w:trPr>
          <w:trHeight w:val="143"/>
        </w:trPr>
        <w:tc>
          <w:tcPr>
            <w:tcW w:w="3560" w:type="dxa"/>
            <w:vAlign w:val="bottom"/>
          </w:tcPr>
          <w:p>
            <w:pPr>
              <w:spacing w:after="0" w:line="143" w:lineRule="exact"/>
              <w:rPr>
                <w:sz w:val="20"/>
                <w:szCs w:val="20"/>
                <w:color w:val="auto"/>
              </w:rPr>
            </w:pPr>
            <w:r>
              <w:rPr>
                <w:rFonts w:ascii="Arial" w:cs="Arial" w:eastAsia="Arial" w:hAnsi="Arial"/>
                <w:sz w:val="14"/>
                <w:szCs w:val="14"/>
                <w:color w:val="auto"/>
              </w:rPr>
              <w:t>Investment funds</w:t>
            </w:r>
          </w:p>
        </w:tc>
        <w:tc>
          <w:tcPr>
            <w:tcW w:w="940" w:type="dxa"/>
            <w:vAlign w:val="bottom"/>
            <w:gridSpan w:val="2"/>
          </w:tcPr>
          <w:p>
            <w:pPr>
              <w:jc w:val="right"/>
              <w:ind w:right="220"/>
              <w:spacing w:after="0" w:line="143" w:lineRule="exact"/>
              <w:rPr>
                <w:sz w:val="20"/>
                <w:szCs w:val="20"/>
                <w:color w:val="auto"/>
              </w:rPr>
            </w:pPr>
            <w:r>
              <w:rPr>
                <w:rFonts w:ascii="Arial" w:cs="Arial" w:eastAsia="Arial" w:hAnsi="Arial"/>
                <w:sz w:val="14"/>
                <w:szCs w:val="14"/>
                <w:color w:val="auto"/>
              </w:rPr>
              <w:t>34,703</w:t>
            </w:r>
          </w:p>
        </w:tc>
        <w:tc>
          <w:tcPr>
            <w:tcW w:w="660" w:type="dxa"/>
            <w:vAlign w:val="bottom"/>
          </w:tcPr>
          <w:p>
            <w:pPr>
              <w:jc w:val="right"/>
              <w:spacing w:after="0" w:line="143" w:lineRule="exact"/>
              <w:rPr>
                <w:sz w:val="20"/>
                <w:szCs w:val="20"/>
                <w:color w:val="auto"/>
              </w:rPr>
            </w:pPr>
            <w:r>
              <w:rPr>
                <w:rFonts w:ascii="Arial" w:cs="Arial" w:eastAsia="Arial" w:hAnsi="Arial"/>
                <w:sz w:val="14"/>
                <w:szCs w:val="14"/>
                <w:color w:val="auto"/>
              </w:rPr>
              <w:t>25,013</w:t>
            </w:r>
          </w:p>
        </w:tc>
        <w:tc>
          <w:tcPr>
            <w:tcW w:w="1040" w:type="dxa"/>
            <w:vAlign w:val="bottom"/>
            <w:gridSpan w:val="3"/>
          </w:tcPr>
          <w:p>
            <w:pPr>
              <w:jc w:val="right"/>
              <w:ind w:right="120"/>
              <w:spacing w:after="0" w:line="143" w:lineRule="exact"/>
              <w:rPr>
                <w:sz w:val="20"/>
                <w:szCs w:val="20"/>
                <w:color w:val="auto"/>
              </w:rPr>
            </w:pPr>
            <w:r>
              <w:rPr>
                <w:rFonts w:ascii="Arial" w:cs="Arial" w:eastAsia="Arial" w:hAnsi="Arial"/>
                <w:sz w:val="14"/>
                <w:szCs w:val="14"/>
                <w:color w:val="auto"/>
              </w:rPr>
              <w:t>(95)</w:t>
            </w:r>
          </w:p>
        </w:tc>
        <w:tc>
          <w:tcPr>
            <w:tcW w:w="1100" w:type="dxa"/>
            <w:vAlign w:val="bottom"/>
            <w:gridSpan w:val="2"/>
          </w:tcPr>
          <w:p>
            <w:pPr>
              <w:jc w:val="right"/>
              <w:ind w:right="220"/>
              <w:spacing w:after="0" w:line="143" w:lineRule="exact"/>
              <w:rPr>
                <w:sz w:val="20"/>
                <w:szCs w:val="20"/>
                <w:color w:val="auto"/>
              </w:rPr>
            </w:pPr>
            <w:r>
              <w:rPr>
                <w:rFonts w:ascii="Arial" w:cs="Arial" w:eastAsia="Arial" w:hAnsi="Arial"/>
                <w:sz w:val="14"/>
                <w:szCs w:val="14"/>
                <w:color w:val="auto"/>
              </w:rPr>
              <w:t>59,621</w:t>
            </w:r>
          </w:p>
        </w:tc>
        <w:tc>
          <w:tcPr>
            <w:tcW w:w="940" w:type="dxa"/>
            <w:vAlign w:val="bottom"/>
            <w:gridSpan w:val="2"/>
          </w:tcPr>
          <w:p>
            <w:pPr>
              <w:jc w:val="right"/>
              <w:ind w:right="220"/>
              <w:spacing w:after="0" w:line="143" w:lineRule="exact"/>
              <w:rPr>
                <w:sz w:val="20"/>
                <w:szCs w:val="20"/>
                <w:color w:val="auto"/>
              </w:rPr>
            </w:pPr>
            <w:r>
              <w:rPr>
                <w:rFonts w:ascii="Arial" w:cs="Arial" w:eastAsia="Arial" w:hAnsi="Arial"/>
                <w:sz w:val="14"/>
                <w:szCs w:val="14"/>
                <w:color w:val="auto"/>
              </w:rPr>
              <w:t>34,294</w:t>
            </w:r>
          </w:p>
        </w:tc>
        <w:tc>
          <w:tcPr>
            <w:tcW w:w="680" w:type="dxa"/>
            <w:vAlign w:val="bottom"/>
            <w:gridSpan w:val="2"/>
          </w:tcPr>
          <w:p>
            <w:pPr>
              <w:jc w:val="right"/>
              <w:ind w:right="20"/>
              <w:spacing w:after="0" w:line="143" w:lineRule="exact"/>
              <w:rPr>
                <w:sz w:val="20"/>
                <w:szCs w:val="20"/>
                <w:color w:val="auto"/>
              </w:rPr>
            </w:pPr>
            <w:r>
              <w:rPr>
                <w:rFonts w:ascii="Arial" w:cs="Arial" w:eastAsia="Arial" w:hAnsi="Arial"/>
                <w:sz w:val="14"/>
                <w:szCs w:val="14"/>
                <w:color w:val="auto"/>
              </w:rPr>
              <w:t>23,339</w:t>
            </w:r>
          </w:p>
        </w:tc>
        <w:tc>
          <w:tcPr>
            <w:tcW w:w="1040" w:type="dxa"/>
            <w:vAlign w:val="bottom"/>
            <w:gridSpan w:val="3"/>
          </w:tcPr>
          <w:p>
            <w:pPr>
              <w:jc w:val="right"/>
              <w:ind w:right="160"/>
              <w:spacing w:after="0" w:line="143" w:lineRule="exact"/>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100"/>
              <w:spacing w:after="0" w:line="143" w:lineRule="exact"/>
              <w:rPr>
                <w:sz w:val="20"/>
                <w:szCs w:val="20"/>
                <w:color w:val="auto"/>
              </w:rPr>
            </w:pPr>
            <w:r>
              <w:rPr>
                <w:rFonts w:ascii="Arial" w:cs="Arial" w:eastAsia="Arial" w:hAnsi="Arial"/>
                <w:sz w:val="14"/>
                <w:szCs w:val="14"/>
                <w:color w:val="auto"/>
              </w:rPr>
              <w:t>57,633</w:t>
            </w:r>
          </w:p>
        </w:tc>
        <w:tc>
          <w:tcPr>
            <w:tcW w:w="0" w:type="dxa"/>
            <w:vAlign w:val="bottom"/>
          </w:tcPr>
          <w:p>
            <w:pPr>
              <w:spacing w:after="0"/>
              <w:rPr>
                <w:sz w:val="1"/>
                <w:szCs w:val="1"/>
                <w:color w:val="auto"/>
              </w:rPr>
            </w:pPr>
          </w:p>
        </w:tc>
      </w:tr>
      <w:tr>
        <w:trPr>
          <w:trHeight w:val="143"/>
        </w:trPr>
        <w:tc>
          <w:tcPr>
            <w:tcW w:w="356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rPr>
              <w:t>Collateralized mortgage obligation (CMO) (ix)</w:t>
            </w:r>
          </w:p>
        </w:tc>
        <w:tc>
          <w:tcPr>
            <w:tcW w:w="940" w:type="dxa"/>
            <w:vAlign w:val="bottom"/>
            <w:gridSpan w:val="2"/>
            <w:shd w:val="clear" w:color="auto" w:fill="CCEEFF"/>
          </w:tcPr>
          <w:p>
            <w:pPr>
              <w:jc w:val="right"/>
              <w:ind w:right="220"/>
              <w:spacing w:after="0" w:line="143" w:lineRule="exact"/>
              <w:rPr>
                <w:sz w:val="20"/>
                <w:szCs w:val="20"/>
                <w:color w:val="auto"/>
              </w:rPr>
            </w:pPr>
            <w:r>
              <w:rPr>
                <w:rFonts w:ascii="Arial" w:cs="Arial" w:eastAsia="Arial" w:hAnsi="Arial"/>
                <w:sz w:val="14"/>
                <w:szCs w:val="14"/>
                <w:color w:val="auto"/>
              </w:rPr>
              <w:t>17,116</w:t>
            </w:r>
          </w:p>
        </w:tc>
        <w:tc>
          <w:tcPr>
            <w:tcW w:w="66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rPr>
              <w:t>7,048</w:t>
            </w:r>
          </w:p>
        </w:tc>
        <w:tc>
          <w:tcPr>
            <w:tcW w:w="1040" w:type="dxa"/>
            <w:vAlign w:val="bottom"/>
            <w:gridSpan w:val="3"/>
            <w:shd w:val="clear" w:color="auto" w:fill="CCEEFF"/>
          </w:tcPr>
          <w:p>
            <w:pPr>
              <w:jc w:val="right"/>
              <w:ind w:right="120"/>
              <w:spacing w:after="0" w:line="143" w:lineRule="exact"/>
              <w:rPr>
                <w:sz w:val="20"/>
                <w:szCs w:val="20"/>
                <w:color w:val="auto"/>
              </w:rPr>
            </w:pPr>
            <w:r>
              <w:rPr>
                <w:rFonts w:ascii="Arial" w:cs="Arial" w:eastAsia="Arial" w:hAnsi="Arial"/>
                <w:sz w:val="14"/>
                <w:szCs w:val="14"/>
                <w:color w:val="auto"/>
              </w:rPr>
              <w:t>(6)</w:t>
            </w:r>
          </w:p>
        </w:tc>
        <w:tc>
          <w:tcPr>
            <w:tcW w:w="1100" w:type="dxa"/>
            <w:vAlign w:val="bottom"/>
            <w:gridSpan w:val="2"/>
            <w:shd w:val="clear" w:color="auto" w:fill="CCEEFF"/>
          </w:tcPr>
          <w:p>
            <w:pPr>
              <w:jc w:val="right"/>
              <w:ind w:right="220"/>
              <w:spacing w:after="0" w:line="143" w:lineRule="exact"/>
              <w:rPr>
                <w:sz w:val="20"/>
                <w:szCs w:val="20"/>
                <w:color w:val="auto"/>
              </w:rPr>
            </w:pPr>
            <w:r>
              <w:rPr>
                <w:rFonts w:ascii="Arial" w:cs="Arial" w:eastAsia="Arial" w:hAnsi="Arial"/>
                <w:sz w:val="14"/>
                <w:szCs w:val="14"/>
                <w:color w:val="auto"/>
              </w:rPr>
              <w:t>24,158</w:t>
            </w:r>
          </w:p>
        </w:tc>
        <w:tc>
          <w:tcPr>
            <w:tcW w:w="940" w:type="dxa"/>
            <w:vAlign w:val="bottom"/>
            <w:gridSpan w:val="2"/>
            <w:shd w:val="clear" w:color="auto" w:fill="CCEEFF"/>
          </w:tcPr>
          <w:p>
            <w:pPr>
              <w:jc w:val="right"/>
              <w:ind w:right="220"/>
              <w:spacing w:after="0" w:line="143" w:lineRule="exact"/>
              <w:rPr>
                <w:sz w:val="20"/>
                <w:szCs w:val="20"/>
                <w:color w:val="auto"/>
              </w:rPr>
            </w:pPr>
            <w:r>
              <w:rPr>
                <w:rFonts w:ascii="Arial" w:cs="Arial" w:eastAsia="Arial" w:hAnsi="Arial"/>
                <w:sz w:val="14"/>
                <w:szCs w:val="14"/>
                <w:color w:val="auto"/>
              </w:rPr>
              <w:t>21,628</w:t>
            </w:r>
          </w:p>
        </w:tc>
        <w:tc>
          <w:tcPr>
            <w:tcW w:w="680" w:type="dxa"/>
            <w:vAlign w:val="bottom"/>
            <w:gridSpan w:val="2"/>
            <w:shd w:val="clear" w:color="auto" w:fill="CCEEFF"/>
          </w:tcPr>
          <w:p>
            <w:pPr>
              <w:jc w:val="right"/>
              <w:ind w:right="20"/>
              <w:spacing w:after="0" w:line="143" w:lineRule="exact"/>
              <w:rPr>
                <w:sz w:val="20"/>
                <w:szCs w:val="20"/>
                <w:color w:val="auto"/>
              </w:rPr>
            </w:pPr>
            <w:r>
              <w:rPr>
                <w:rFonts w:ascii="Arial" w:cs="Arial" w:eastAsia="Arial" w:hAnsi="Arial"/>
                <w:sz w:val="14"/>
                <w:szCs w:val="14"/>
                <w:color w:val="auto"/>
              </w:rPr>
              <w:t>7,618</w:t>
            </w:r>
          </w:p>
        </w:tc>
        <w:tc>
          <w:tcPr>
            <w:tcW w:w="1040" w:type="dxa"/>
            <w:vAlign w:val="bottom"/>
            <w:gridSpan w:val="3"/>
            <w:shd w:val="clear" w:color="auto" w:fill="CCEEFF"/>
          </w:tcPr>
          <w:p>
            <w:pPr>
              <w:jc w:val="right"/>
              <w:ind w:right="160"/>
              <w:spacing w:after="0" w:line="143"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100"/>
              <w:spacing w:after="0" w:line="143" w:lineRule="exact"/>
              <w:rPr>
                <w:sz w:val="20"/>
                <w:szCs w:val="20"/>
                <w:color w:val="auto"/>
              </w:rPr>
            </w:pPr>
            <w:r>
              <w:rPr>
                <w:rFonts w:ascii="Arial" w:cs="Arial" w:eastAsia="Arial" w:hAnsi="Arial"/>
                <w:sz w:val="14"/>
                <w:szCs w:val="14"/>
                <w:color w:val="auto"/>
              </w:rPr>
              <w:t>29,246</w:t>
            </w:r>
          </w:p>
        </w:tc>
        <w:tc>
          <w:tcPr>
            <w:tcW w:w="0" w:type="dxa"/>
            <w:vAlign w:val="bottom"/>
          </w:tcPr>
          <w:p>
            <w:pPr>
              <w:spacing w:after="0"/>
              <w:rPr>
                <w:sz w:val="1"/>
                <w:szCs w:val="1"/>
                <w:color w:val="auto"/>
              </w:rPr>
            </w:pPr>
          </w:p>
        </w:tc>
      </w:tr>
      <w:tr>
        <w:trPr>
          <w:trHeight w:val="143"/>
        </w:trPr>
        <w:tc>
          <w:tcPr>
            <w:tcW w:w="3560" w:type="dxa"/>
            <w:vAlign w:val="bottom"/>
          </w:tcPr>
          <w:p>
            <w:pPr>
              <w:spacing w:after="0" w:line="143" w:lineRule="exact"/>
              <w:rPr>
                <w:sz w:val="20"/>
                <w:szCs w:val="20"/>
                <w:color w:val="auto"/>
              </w:rPr>
            </w:pPr>
            <w:r>
              <w:rPr>
                <w:rFonts w:ascii="Arial" w:cs="Arial" w:eastAsia="Arial" w:hAnsi="Arial"/>
                <w:sz w:val="14"/>
                <w:szCs w:val="14"/>
                <w:color w:val="auto"/>
              </w:rPr>
              <w:t>Commercial paper</w:t>
            </w:r>
          </w:p>
        </w:tc>
        <w:tc>
          <w:tcPr>
            <w:tcW w:w="940" w:type="dxa"/>
            <w:vAlign w:val="bottom"/>
            <w:gridSpan w:val="2"/>
          </w:tcPr>
          <w:p>
            <w:pPr>
              <w:jc w:val="right"/>
              <w:ind w:right="220"/>
              <w:spacing w:after="0" w:line="143" w:lineRule="exact"/>
              <w:rPr>
                <w:sz w:val="20"/>
                <w:szCs w:val="20"/>
                <w:color w:val="auto"/>
              </w:rPr>
            </w:pPr>
            <w:r>
              <w:rPr>
                <w:rFonts w:ascii="Arial" w:cs="Arial" w:eastAsia="Arial" w:hAnsi="Arial"/>
                <w:sz w:val="14"/>
                <w:szCs w:val="14"/>
                <w:color w:val="auto"/>
              </w:rPr>
              <w:t>5,185</w:t>
            </w:r>
          </w:p>
        </w:tc>
        <w:tc>
          <w:tcPr>
            <w:tcW w:w="660" w:type="dxa"/>
            <w:vAlign w:val="bottom"/>
          </w:tcPr>
          <w:p>
            <w:pPr>
              <w:jc w:val="right"/>
              <w:spacing w:after="0" w:line="143" w:lineRule="exact"/>
              <w:rPr>
                <w:sz w:val="20"/>
                <w:szCs w:val="20"/>
                <w:color w:val="auto"/>
              </w:rPr>
            </w:pPr>
            <w:r>
              <w:rPr>
                <w:rFonts w:ascii="Arial" w:cs="Arial" w:eastAsia="Arial" w:hAnsi="Arial"/>
                <w:sz w:val="14"/>
                <w:szCs w:val="14"/>
                <w:color w:val="auto"/>
              </w:rPr>
              <w:t>-</w:t>
            </w:r>
          </w:p>
        </w:tc>
        <w:tc>
          <w:tcPr>
            <w:tcW w:w="1040" w:type="dxa"/>
            <w:vAlign w:val="bottom"/>
            <w:gridSpan w:val="3"/>
          </w:tcPr>
          <w:p>
            <w:pPr>
              <w:jc w:val="right"/>
              <w:ind w:right="160"/>
              <w:spacing w:after="0" w:line="143" w:lineRule="exact"/>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220"/>
              <w:spacing w:after="0" w:line="143" w:lineRule="exact"/>
              <w:rPr>
                <w:sz w:val="20"/>
                <w:szCs w:val="20"/>
                <w:color w:val="auto"/>
              </w:rPr>
            </w:pPr>
            <w:r>
              <w:rPr>
                <w:rFonts w:ascii="Arial" w:cs="Arial" w:eastAsia="Arial" w:hAnsi="Arial"/>
                <w:sz w:val="14"/>
                <w:szCs w:val="14"/>
                <w:color w:val="auto"/>
              </w:rPr>
              <w:t>5,185</w:t>
            </w:r>
          </w:p>
        </w:tc>
        <w:tc>
          <w:tcPr>
            <w:tcW w:w="940" w:type="dxa"/>
            <w:vAlign w:val="bottom"/>
            <w:gridSpan w:val="2"/>
          </w:tcPr>
          <w:p>
            <w:pPr>
              <w:jc w:val="right"/>
              <w:ind w:right="220"/>
              <w:spacing w:after="0" w:line="143" w:lineRule="exact"/>
              <w:rPr>
                <w:sz w:val="20"/>
                <w:szCs w:val="20"/>
                <w:color w:val="auto"/>
              </w:rPr>
            </w:pPr>
            <w:r>
              <w:rPr>
                <w:rFonts w:ascii="Arial" w:cs="Arial" w:eastAsia="Arial" w:hAnsi="Arial"/>
                <w:sz w:val="14"/>
                <w:szCs w:val="14"/>
                <w:color w:val="auto"/>
              </w:rPr>
              <w:t>5,576</w:t>
            </w:r>
          </w:p>
        </w:tc>
        <w:tc>
          <w:tcPr>
            <w:tcW w:w="680" w:type="dxa"/>
            <w:vAlign w:val="bottom"/>
            <w:gridSpan w:val="2"/>
          </w:tcPr>
          <w:p>
            <w:pPr>
              <w:jc w:val="right"/>
              <w:ind w:right="20"/>
              <w:spacing w:after="0" w:line="143" w:lineRule="exact"/>
              <w:rPr>
                <w:sz w:val="20"/>
                <w:szCs w:val="20"/>
                <w:color w:val="auto"/>
              </w:rPr>
            </w:pPr>
            <w:r>
              <w:rPr>
                <w:rFonts w:ascii="Arial" w:cs="Arial" w:eastAsia="Arial" w:hAnsi="Arial"/>
                <w:sz w:val="14"/>
                <w:szCs w:val="14"/>
                <w:color w:val="auto"/>
              </w:rPr>
              <w:t>6</w:t>
            </w:r>
          </w:p>
        </w:tc>
        <w:tc>
          <w:tcPr>
            <w:tcW w:w="1040" w:type="dxa"/>
            <w:vAlign w:val="bottom"/>
            <w:gridSpan w:val="3"/>
          </w:tcPr>
          <w:p>
            <w:pPr>
              <w:jc w:val="right"/>
              <w:ind w:right="120"/>
              <w:spacing w:after="0" w:line="143" w:lineRule="exact"/>
              <w:rPr>
                <w:sz w:val="20"/>
                <w:szCs w:val="20"/>
                <w:color w:val="auto"/>
              </w:rPr>
            </w:pPr>
            <w:r>
              <w:rPr>
                <w:rFonts w:ascii="Arial" w:cs="Arial" w:eastAsia="Arial" w:hAnsi="Arial"/>
                <w:sz w:val="14"/>
                <w:szCs w:val="14"/>
                <w:color w:val="auto"/>
              </w:rPr>
              <w:t>(30)</w:t>
            </w:r>
          </w:p>
        </w:tc>
        <w:tc>
          <w:tcPr>
            <w:tcW w:w="980" w:type="dxa"/>
            <w:vAlign w:val="bottom"/>
            <w:gridSpan w:val="2"/>
          </w:tcPr>
          <w:p>
            <w:pPr>
              <w:jc w:val="right"/>
              <w:ind w:right="100"/>
              <w:spacing w:after="0" w:line="143" w:lineRule="exact"/>
              <w:rPr>
                <w:sz w:val="20"/>
                <w:szCs w:val="20"/>
                <w:color w:val="auto"/>
              </w:rPr>
            </w:pPr>
            <w:r>
              <w:rPr>
                <w:rFonts w:ascii="Arial" w:cs="Arial" w:eastAsia="Arial" w:hAnsi="Arial"/>
                <w:sz w:val="14"/>
                <w:szCs w:val="14"/>
                <w:color w:val="auto"/>
              </w:rPr>
              <w:t>5,552</w:t>
            </w:r>
          </w:p>
        </w:tc>
        <w:tc>
          <w:tcPr>
            <w:tcW w:w="0" w:type="dxa"/>
            <w:vAlign w:val="bottom"/>
          </w:tcPr>
          <w:p>
            <w:pPr>
              <w:spacing w:after="0"/>
              <w:rPr>
                <w:sz w:val="1"/>
                <w:szCs w:val="1"/>
                <w:color w:val="auto"/>
              </w:rPr>
            </w:pPr>
          </w:p>
        </w:tc>
      </w:tr>
      <w:tr>
        <w:trPr>
          <w:trHeight w:val="143"/>
        </w:trPr>
        <w:tc>
          <w:tcPr>
            <w:tcW w:w="356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rPr>
              <w:t>Hedge funds</w:t>
            </w:r>
          </w:p>
        </w:tc>
        <w:tc>
          <w:tcPr>
            <w:tcW w:w="940" w:type="dxa"/>
            <w:vAlign w:val="bottom"/>
            <w:gridSpan w:val="2"/>
            <w:shd w:val="clear" w:color="auto" w:fill="CCEEFF"/>
          </w:tcPr>
          <w:p>
            <w:pPr>
              <w:jc w:val="right"/>
              <w:ind w:right="220"/>
              <w:spacing w:after="0" w:line="143" w:lineRule="exact"/>
              <w:rPr>
                <w:sz w:val="20"/>
                <w:szCs w:val="20"/>
                <w:color w:val="auto"/>
              </w:rPr>
            </w:pPr>
            <w:r>
              <w:rPr>
                <w:rFonts w:ascii="Arial" w:cs="Arial" w:eastAsia="Arial" w:hAnsi="Arial"/>
                <w:sz w:val="14"/>
                <w:szCs w:val="14"/>
                <w:color w:val="auto"/>
              </w:rPr>
              <w:t>48</w:t>
            </w:r>
          </w:p>
        </w:tc>
        <w:tc>
          <w:tcPr>
            <w:tcW w:w="66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rPr>
              <w:t>1,014</w:t>
            </w:r>
          </w:p>
        </w:tc>
        <w:tc>
          <w:tcPr>
            <w:tcW w:w="1040" w:type="dxa"/>
            <w:vAlign w:val="bottom"/>
            <w:gridSpan w:val="3"/>
            <w:shd w:val="clear" w:color="auto" w:fill="CCEEFF"/>
          </w:tcPr>
          <w:p>
            <w:pPr>
              <w:jc w:val="right"/>
              <w:ind w:right="160"/>
              <w:spacing w:after="0" w:line="143" w:lineRule="exact"/>
              <w:rPr>
                <w:sz w:val="20"/>
                <w:szCs w:val="20"/>
                <w:color w:val="auto"/>
              </w:rPr>
            </w:pPr>
            <w:r>
              <w:rPr>
                <w:rFonts w:ascii="Arial" w:cs="Arial" w:eastAsia="Arial" w:hAnsi="Arial"/>
                <w:sz w:val="14"/>
                <w:szCs w:val="14"/>
                <w:color w:val="auto"/>
              </w:rPr>
              <w:t>-</w:t>
            </w:r>
          </w:p>
        </w:tc>
        <w:tc>
          <w:tcPr>
            <w:tcW w:w="1100" w:type="dxa"/>
            <w:vAlign w:val="bottom"/>
            <w:gridSpan w:val="2"/>
            <w:shd w:val="clear" w:color="auto" w:fill="CCEEFF"/>
          </w:tcPr>
          <w:p>
            <w:pPr>
              <w:jc w:val="right"/>
              <w:ind w:right="220"/>
              <w:spacing w:after="0" w:line="143" w:lineRule="exact"/>
              <w:rPr>
                <w:sz w:val="20"/>
                <w:szCs w:val="20"/>
                <w:color w:val="auto"/>
              </w:rPr>
            </w:pPr>
            <w:r>
              <w:rPr>
                <w:rFonts w:ascii="Arial" w:cs="Arial" w:eastAsia="Arial" w:hAnsi="Arial"/>
                <w:sz w:val="14"/>
                <w:szCs w:val="14"/>
                <w:color w:val="auto"/>
              </w:rPr>
              <w:t>1,062</w:t>
            </w:r>
          </w:p>
        </w:tc>
        <w:tc>
          <w:tcPr>
            <w:tcW w:w="940" w:type="dxa"/>
            <w:vAlign w:val="bottom"/>
            <w:gridSpan w:val="2"/>
            <w:shd w:val="clear" w:color="auto" w:fill="CCEEFF"/>
          </w:tcPr>
          <w:p>
            <w:pPr>
              <w:jc w:val="right"/>
              <w:ind w:right="220"/>
              <w:spacing w:after="0" w:line="143" w:lineRule="exact"/>
              <w:rPr>
                <w:sz w:val="20"/>
                <w:szCs w:val="20"/>
                <w:color w:val="auto"/>
              </w:rPr>
            </w:pPr>
            <w:r>
              <w:rPr>
                <w:rFonts w:ascii="Arial" w:cs="Arial" w:eastAsia="Arial" w:hAnsi="Arial"/>
                <w:sz w:val="14"/>
                <w:szCs w:val="14"/>
                <w:color w:val="auto"/>
              </w:rPr>
              <w:t>87</w:t>
            </w:r>
          </w:p>
        </w:tc>
        <w:tc>
          <w:tcPr>
            <w:tcW w:w="680" w:type="dxa"/>
            <w:vAlign w:val="bottom"/>
            <w:gridSpan w:val="2"/>
            <w:shd w:val="clear" w:color="auto" w:fill="CCEEFF"/>
          </w:tcPr>
          <w:p>
            <w:pPr>
              <w:jc w:val="right"/>
              <w:ind w:right="20"/>
              <w:spacing w:after="0" w:line="143" w:lineRule="exact"/>
              <w:rPr>
                <w:sz w:val="20"/>
                <w:szCs w:val="20"/>
                <w:color w:val="auto"/>
              </w:rPr>
            </w:pPr>
            <w:r>
              <w:rPr>
                <w:rFonts w:ascii="Arial" w:cs="Arial" w:eastAsia="Arial" w:hAnsi="Arial"/>
                <w:sz w:val="14"/>
                <w:szCs w:val="14"/>
                <w:color w:val="auto"/>
              </w:rPr>
              <w:t>1,008</w:t>
            </w:r>
          </w:p>
        </w:tc>
        <w:tc>
          <w:tcPr>
            <w:tcW w:w="1040" w:type="dxa"/>
            <w:vAlign w:val="bottom"/>
            <w:gridSpan w:val="3"/>
            <w:shd w:val="clear" w:color="auto" w:fill="CCEEFF"/>
          </w:tcPr>
          <w:p>
            <w:pPr>
              <w:jc w:val="right"/>
              <w:ind w:right="160"/>
              <w:spacing w:after="0" w:line="143"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100"/>
              <w:spacing w:after="0" w:line="143" w:lineRule="exact"/>
              <w:rPr>
                <w:sz w:val="20"/>
                <w:szCs w:val="20"/>
                <w:color w:val="auto"/>
              </w:rPr>
            </w:pPr>
            <w:r>
              <w:rPr>
                <w:rFonts w:ascii="Arial" w:cs="Arial" w:eastAsia="Arial" w:hAnsi="Arial"/>
                <w:sz w:val="14"/>
                <w:szCs w:val="14"/>
                <w:color w:val="auto"/>
              </w:rPr>
              <w:t>1,095</w:t>
            </w:r>
          </w:p>
        </w:tc>
        <w:tc>
          <w:tcPr>
            <w:tcW w:w="0" w:type="dxa"/>
            <w:vAlign w:val="bottom"/>
          </w:tcPr>
          <w:p>
            <w:pPr>
              <w:spacing w:after="0"/>
              <w:rPr>
                <w:sz w:val="1"/>
                <w:szCs w:val="1"/>
                <w:color w:val="auto"/>
              </w:rPr>
            </w:pPr>
          </w:p>
        </w:tc>
      </w:tr>
      <w:tr>
        <w:trPr>
          <w:trHeight w:val="156"/>
        </w:trPr>
        <w:tc>
          <w:tcPr>
            <w:tcW w:w="3560" w:type="dxa"/>
            <w:vAlign w:val="bottom"/>
          </w:tcPr>
          <w:p>
            <w:pPr>
              <w:spacing w:after="0" w:line="156" w:lineRule="exact"/>
              <w:rPr>
                <w:sz w:val="20"/>
                <w:szCs w:val="20"/>
                <w:color w:val="auto"/>
              </w:rPr>
            </w:pPr>
            <w:r>
              <w:rPr>
                <w:rFonts w:ascii="Arial" w:cs="Arial" w:eastAsia="Arial" w:hAnsi="Arial"/>
                <w:sz w:val="14"/>
                <w:szCs w:val="14"/>
                <w:color w:val="auto"/>
              </w:rPr>
              <w:t>U.S. Federal agency bonds</w:t>
            </w:r>
          </w:p>
        </w:tc>
        <w:tc>
          <w:tcPr>
            <w:tcW w:w="940" w:type="dxa"/>
            <w:vAlign w:val="bottom"/>
            <w:gridSpan w:val="2"/>
          </w:tcPr>
          <w:p>
            <w:pPr>
              <w:jc w:val="right"/>
              <w:ind w:right="220"/>
              <w:spacing w:after="0" w:line="156" w:lineRule="exact"/>
              <w:rPr>
                <w:sz w:val="20"/>
                <w:szCs w:val="20"/>
                <w:color w:val="auto"/>
              </w:rPr>
            </w:pPr>
            <w:r>
              <w:rPr>
                <w:rFonts w:ascii="Arial" w:cs="Arial" w:eastAsia="Arial" w:hAnsi="Arial"/>
                <w:sz w:val="14"/>
                <w:szCs w:val="14"/>
                <w:color w:val="auto"/>
              </w:rPr>
              <w:t>799</w:t>
            </w:r>
          </w:p>
        </w:tc>
        <w:tc>
          <w:tcPr>
            <w:tcW w:w="660" w:type="dxa"/>
            <w:vAlign w:val="bottom"/>
          </w:tcPr>
          <w:p>
            <w:pPr>
              <w:jc w:val="right"/>
              <w:spacing w:after="0" w:line="156" w:lineRule="exact"/>
              <w:rPr>
                <w:sz w:val="20"/>
                <w:szCs w:val="20"/>
                <w:color w:val="auto"/>
              </w:rPr>
            </w:pPr>
            <w:r>
              <w:rPr>
                <w:rFonts w:ascii="Arial" w:cs="Arial" w:eastAsia="Arial" w:hAnsi="Arial"/>
                <w:sz w:val="14"/>
                <w:szCs w:val="14"/>
                <w:color w:val="auto"/>
              </w:rPr>
              <w:t>80</w:t>
            </w:r>
          </w:p>
        </w:tc>
        <w:tc>
          <w:tcPr>
            <w:tcW w:w="1040" w:type="dxa"/>
            <w:vAlign w:val="bottom"/>
            <w:gridSpan w:val="3"/>
          </w:tcPr>
          <w:p>
            <w:pPr>
              <w:jc w:val="right"/>
              <w:ind w:right="160"/>
              <w:spacing w:after="0" w:line="156" w:lineRule="exact"/>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220"/>
              <w:spacing w:after="0" w:line="156" w:lineRule="exact"/>
              <w:rPr>
                <w:sz w:val="20"/>
                <w:szCs w:val="20"/>
                <w:color w:val="auto"/>
              </w:rPr>
            </w:pPr>
            <w:r>
              <w:rPr>
                <w:rFonts w:ascii="Arial" w:cs="Arial" w:eastAsia="Arial" w:hAnsi="Arial"/>
                <w:sz w:val="14"/>
                <w:szCs w:val="14"/>
                <w:color w:val="auto"/>
              </w:rPr>
              <w:t>879</w:t>
            </w:r>
          </w:p>
        </w:tc>
        <w:tc>
          <w:tcPr>
            <w:tcW w:w="940" w:type="dxa"/>
            <w:vAlign w:val="bottom"/>
            <w:gridSpan w:val="2"/>
          </w:tcPr>
          <w:p>
            <w:pPr>
              <w:jc w:val="right"/>
              <w:ind w:right="220"/>
              <w:spacing w:after="0" w:line="156" w:lineRule="exact"/>
              <w:rPr>
                <w:sz w:val="20"/>
                <w:szCs w:val="20"/>
                <w:color w:val="auto"/>
              </w:rPr>
            </w:pPr>
            <w:r>
              <w:rPr>
                <w:rFonts w:ascii="Arial" w:cs="Arial" w:eastAsia="Arial" w:hAnsi="Arial"/>
                <w:sz w:val="14"/>
                <w:szCs w:val="14"/>
                <w:color w:val="auto"/>
              </w:rPr>
              <w:t>1,036</w:t>
            </w:r>
          </w:p>
        </w:tc>
        <w:tc>
          <w:tcPr>
            <w:tcW w:w="680" w:type="dxa"/>
            <w:vAlign w:val="bottom"/>
            <w:gridSpan w:val="2"/>
          </w:tcPr>
          <w:p>
            <w:pPr>
              <w:jc w:val="right"/>
              <w:ind w:right="20"/>
              <w:spacing w:after="0" w:line="156" w:lineRule="exact"/>
              <w:rPr>
                <w:sz w:val="20"/>
                <w:szCs w:val="20"/>
                <w:color w:val="auto"/>
              </w:rPr>
            </w:pPr>
            <w:r>
              <w:rPr>
                <w:rFonts w:ascii="Arial" w:cs="Arial" w:eastAsia="Arial" w:hAnsi="Arial"/>
                <w:sz w:val="14"/>
                <w:szCs w:val="14"/>
                <w:color w:val="auto"/>
              </w:rPr>
              <w:t>131</w:t>
            </w:r>
          </w:p>
        </w:tc>
        <w:tc>
          <w:tcPr>
            <w:tcW w:w="1040" w:type="dxa"/>
            <w:vAlign w:val="bottom"/>
            <w:gridSpan w:val="3"/>
          </w:tcPr>
          <w:p>
            <w:pPr>
              <w:jc w:val="right"/>
              <w:ind w:right="160"/>
              <w:spacing w:after="0" w:line="156" w:lineRule="exact"/>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100"/>
              <w:spacing w:after="0" w:line="156" w:lineRule="exact"/>
              <w:rPr>
                <w:sz w:val="20"/>
                <w:szCs w:val="20"/>
                <w:color w:val="auto"/>
              </w:rPr>
            </w:pPr>
            <w:r>
              <w:rPr>
                <w:rFonts w:ascii="Arial" w:cs="Arial" w:eastAsia="Arial" w:hAnsi="Arial"/>
                <w:sz w:val="14"/>
                <w:szCs w:val="14"/>
                <w:color w:val="auto"/>
              </w:rPr>
              <w:t>1,167</w:t>
            </w:r>
          </w:p>
        </w:tc>
        <w:tc>
          <w:tcPr>
            <w:tcW w:w="0" w:type="dxa"/>
            <w:vAlign w:val="bottom"/>
          </w:tcPr>
          <w:p>
            <w:pPr>
              <w:spacing w:after="0"/>
              <w:rPr>
                <w:sz w:val="1"/>
                <w:szCs w:val="1"/>
                <w:color w:val="auto"/>
              </w:rPr>
            </w:pPr>
          </w:p>
        </w:tc>
      </w:tr>
      <w:tr>
        <w:trPr>
          <w:trHeight w:val="136"/>
        </w:trPr>
        <w:tc>
          <w:tcPr>
            <w:tcW w:w="3560" w:type="dxa"/>
            <w:vAlign w:val="bottom"/>
            <w:tcBorders>
              <w:top w:val="single" w:sz="8" w:color="CCEEFF"/>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4"/>
                <w:szCs w:val="14"/>
                <w:color w:val="auto"/>
                <w:w w:val="99"/>
              </w:rPr>
              <w:t>22,329,363</w:t>
            </w:r>
          </w:p>
        </w:tc>
        <w:tc>
          <w:tcPr>
            <w:tcW w:w="220" w:type="dxa"/>
            <w:vAlign w:val="bottom"/>
            <w:tcBorders>
              <w:top w:val="single" w:sz="8" w:color="CCEEFF"/>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4"/>
                <w:szCs w:val="14"/>
                <w:color w:val="auto"/>
              </w:rPr>
              <w:t>1,143,962</w:t>
            </w:r>
          </w:p>
        </w:tc>
        <w:tc>
          <w:tcPr>
            <w:tcW w:w="200" w:type="dxa"/>
            <w:vAlign w:val="bottom"/>
            <w:tcBorders>
              <w:top w:val="single" w:sz="8" w:color="CCEEFF"/>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4"/>
                <w:szCs w:val="14"/>
                <w:color w:val="auto"/>
              </w:rPr>
              <w:t>(34,794)</w:t>
            </w:r>
          </w:p>
        </w:tc>
        <w:tc>
          <w:tcPr>
            <w:tcW w:w="200" w:type="dxa"/>
            <w:vAlign w:val="bottom"/>
            <w:tcBorders>
              <w:top w:val="single" w:sz="8" w:color="CCEEFF"/>
            </w:tcBorders>
            <w:shd w:val="clear" w:color="auto" w:fill="CCEEFF"/>
          </w:tcPr>
          <w:p>
            <w:pPr>
              <w:spacing w:after="0"/>
              <w:rPr>
                <w:sz w:val="11"/>
                <w:szCs w:val="11"/>
                <w:color w:val="auto"/>
              </w:rPr>
            </w:pPr>
          </w:p>
        </w:tc>
        <w:tc>
          <w:tcPr>
            <w:tcW w:w="88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4"/>
                <w:szCs w:val="14"/>
                <w:color w:val="auto"/>
              </w:rPr>
              <w:t>23,438,531</w:t>
            </w:r>
          </w:p>
        </w:tc>
        <w:tc>
          <w:tcPr>
            <w:tcW w:w="220" w:type="dxa"/>
            <w:vAlign w:val="bottom"/>
            <w:tcBorders>
              <w:top w:val="single" w:sz="8" w:color="CCEEFF"/>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4"/>
                <w:szCs w:val="14"/>
                <w:color w:val="auto"/>
                <w:w w:val="99"/>
              </w:rPr>
              <w:t>16,754,420</w:t>
            </w:r>
          </w:p>
        </w:tc>
        <w:tc>
          <w:tcPr>
            <w:tcW w:w="220" w:type="dxa"/>
            <w:vAlign w:val="bottom"/>
            <w:tcBorders>
              <w:top w:val="single" w:sz="8" w:color="CCEEFF"/>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4"/>
                <w:szCs w:val="14"/>
                <w:color w:val="auto"/>
              </w:rPr>
              <w:t>691,591</w:t>
            </w:r>
          </w:p>
        </w:tc>
        <w:tc>
          <w:tcPr>
            <w:tcW w:w="2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4"/>
                <w:szCs w:val="14"/>
                <w:color w:val="auto"/>
              </w:rPr>
              <w:t>(175,299)</w:t>
            </w:r>
          </w:p>
        </w:tc>
        <w:tc>
          <w:tcPr>
            <w:tcW w:w="200" w:type="dxa"/>
            <w:vAlign w:val="bottom"/>
            <w:tcBorders>
              <w:top w:val="single" w:sz="8" w:color="CCEEFF"/>
            </w:tcBorders>
            <w:shd w:val="clear" w:color="auto" w:fill="CCEEFF"/>
          </w:tcPr>
          <w:p>
            <w:pPr>
              <w:spacing w:after="0"/>
              <w:rPr>
                <w:sz w:val="11"/>
                <w:szCs w:val="11"/>
                <w:color w:val="auto"/>
              </w:rPr>
            </w:pPr>
          </w:p>
        </w:tc>
        <w:tc>
          <w:tcPr>
            <w:tcW w:w="88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4"/>
                <w:szCs w:val="14"/>
                <w:color w:val="auto"/>
              </w:rPr>
              <w:t>17,270,712</w:t>
            </w:r>
          </w:p>
        </w:tc>
        <w:tc>
          <w:tcPr>
            <w:tcW w:w="10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3560" w:type="dxa"/>
            <w:vAlign w:val="bottom"/>
          </w:tcPr>
          <w:p>
            <w:pPr>
              <w:spacing w:after="0" w:line="143" w:lineRule="exact"/>
              <w:rPr>
                <w:sz w:val="20"/>
                <w:szCs w:val="20"/>
                <w:color w:val="auto"/>
              </w:rPr>
            </w:pPr>
            <w:r>
              <w:rPr>
                <w:rFonts w:ascii="Arial" w:cs="Arial" w:eastAsia="Arial" w:hAnsi="Arial"/>
                <w:sz w:val="14"/>
                <w:szCs w:val="14"/>
                <w:b w:val="1"/>
                <w:bCs w:val="1"/>
                <w:color w:val="auto"/>
              </w:rPr>
              <w:t>Shares -</w:t>
            </w: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356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rPr>
              <w:t>Listed (x)</w:t>
            </w:r>
          </w:p>
        </w:tc>
        <w:tc>
          <w:tcPr>
            <w:tcW w:w="940" w:type="dxa"/>
            <w:vAlign w:val="bottom"/>
            <w:gridSpan w:val="2"/>
            <w:shd w:val="clear" w:color="auto" w:fill="CCEEFF"/>
          </w:tcPr>
          <w:p>
            <w:pPr>
              <w:jc w:val="right"/>
              <w:ind w:right="220"/>
              <w:spacing w:after="0" w:line="143" w:lineRule="exact"/>
              <w:rPr>
                <w:sz w:val="20"/>
                <w:szCs w:val="20"/>
                <w:color w:val="auto"/>
              </w:rPr>
            </w:pPr>
            <w:r>
              <w:rPr>
                <w:rFonts w:ascii="Arial" w:cs="Arial" w:eastAsia="Arial" w:hAnsi="Arial"/>
                <w:sz w:val="14"/>
                <w:szCs w:val="14"/>
                <w:color w:val="auto"/>
              </w:rPr>
              <w:t>254,931</w:t>
            </w:r>
          </w:p>
        </w:tc>
        <w:tc>
          <w:tcPr>
            <w:tcW w:w="66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rPr>
              <w:t>496,737</w:t>
            </w:r>
          </w:p>
        </w:tc>
        <w:tc>
          <w:tcPr>
            <w:tcW w:w="1040" w:type="dxa"/>
            <w:vAlign w:val="bottom"/>
            <w:gridSpan w:val="3"/>
            <w:shd w:val="clear" w:color="auto" w:fill="CCEEFF"/>
          </w:tcPr>
          <w:p>
            <w:pPr>
              <w:jc w:val="right"/>
              <w:ind w:right="120"/>
              <w:spacing w:after="0" w:line="143" w:lineRule="exact"/>
              <w:rPr>
                <w:sz w:val="20"/>
                <w:szCs w:val="20"/>
                <w:color w:val="auto"/>
              </w:rPr>
            </w:pPr>
            <w:r>
              <w:rPr>
                <w:rFonts w:ascii="Arial" w:cs="Arial" w:eastAsia="Arial" w:hAnsi="Arial"/>
                <w:sz w:val="14"/>
                <w:szCs w:val="14"/>
                <w:color w:val="auto"/>
              </w:rPr>
              <w:t>(1,937)</w:t>
            </w:r>
          </w:p>
        </w:tc>
        <w:tc>
          <w:tcPr>
            <w:tcW w:w="1100" w:type="dxa"/>
            <w:vAlign w:val="bottom"/>
            <w:gridSpan w:val="2"/>
            <w:shd w:val="clear" w:color="auto" w:fill="CCEEFF"/>
          </w:tcPr>
          <w:p>
            <w:pPr>
              <w:jc w:val="right"/>
              <w:ind w:right="220"/>
              <w:spacing w:after="0" w:line="143" w:lineRule="exact"/>
              <w:rPr>
                <w:sz w:val="20"/>
                <w:szCs w:val="20"/>
                <w:color w:val="auto"/>
              </w:rPr>
            </w:pPr>
            <w:r>
              <w:rPr>
                <w:rFonts w:ascii="Arial" w:cs="Arial" w:eastAsia="Arial" w:hAnsi="Arial"/>
                <w:sz w:val="14"/>
                <w:szCs w:val="14"/>
                <w:color w:val="auto"/>
              </w:rPr>
              <w:t>749,731</w:t>
            </w:r>
          </w:p>
        </w:tc>
        <w:tc>
          <w:tcPr>
            <w:tcW w:w="940" w:type="dxa"/>
            <w:vAlign w:val="bottom"/>
            <w:gridSpan w:val="2"/>
            <w:shd w:val="clear" w:color="auto" w:fill="CCEEFF"/>
          </w:tcPr>
          <w:p>
            <w:pPr>
              <w:jc w:val="right"/>
              <w:ind w:right="220"/>
              <w:spacing w:after="0" w:line="143" w:lineRule="exact"/>
              <w:rPr>
                <w:sz w:val="20"/>
                <w:szCs w:val="20"/>
                <w:color w:val="auto"/>
              </w:rPr>
            </w:pPr>
            <w:r>
              <w:rPr>
                <w:rFonts w:ascii="Arial" w:cs="Arial" w:eastAsia="Arial" w:hAnsi="Arial"/>
                <w:sz w:val="14"/>
                <w:szCs w:val="14"/>
                <w:color w:val="auto"/>
              </w:rPr>
              <w:t>541,969</w:t>
            </w:r>
          </w:p>
        </w:tc>
        <w:tc>
          <w:tcPr>
            <w:tcW w:w="680" w:type="dxa"/>
            <w:vAlign w:val="bottom"/>
            <w:gridSpan w:val="2"/>
            <w:shd w:val="clear" w:color="auto" w:fill="CCEEFF"/>
          </w:tcPr>
          <w:p>
            <w:pPr>
              <w:jc w:val="right"/>
              <w:ind w:right="20"/>
              <w:spacing w:after="0" w:line="143" w:lineRule="exact"/>
              <w:rPr>
                <w:sz w:val="20"/>
                <w:szCs w:val="20"/>
                <w:color w:val="auto"/>
              </w:rPr>
            </w:pPr>
            <w:r>
              <w:rPr>
                <w:rFonts w:ascii="Arial" w:cs="Arial" w:eastAsia="Arial" w:hAnsi="Arial"/>
                <w:sz w:val="14"/>
                <w:szCs w:val="14"/>
                <w:color w:val="auto"/>
              </w:rPr>
              <w:t>711,597</w:t>
            </w:r>
          </w:p>
        </w:tc>
        <w:tc>
          <w:tcPr>
            <w:tcW w:w="1040" w:type="dxa"/>
            <w:vAlign w:val="bottom"/>
            <w:gridSpan w:val="3"/>
            <w:shd w:val="clear" w:color="auto" w:fill="CCEEFF"/>
          </w:tcPr>
          <w:p>
            <w:pPr>
              <w:jc w:val="right"/>
              <w:ind w:right="120"/>
              <w:spacing w:after="0" w:line="143" w:lineRule="exact"/>
              <w:rPr>
                <w:sz w:val="20"/>
                <w:szCs w:val="20"/>
                <w:color w:val="auto"/>
              </w:rPr>
            </w:pPr>
            <w:r>
              <w:rPr>
                <w:rFonts w:ascii="Arial" w:cs="Arial" w:eastAsia="Arial" w:hAnsi="Arial"/>
                <w:sz w:val="14"/>
                <w:szCs w:val="14"/>
                <w:color w:val="auto"/>
              </w:rPr>
              <w:t>(3,101)</w:t>
            </w:r>
          </w:p>
        </w:tc>
        <w:tc>
          <w:tcPr>
            <w:tcW w:w="88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rPr>
              <w:t>1,250,465</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3560" w:type="dxa"/>
            <w:vAlign w:val="bottom"/>
          </w:tcPr>
          <w:p>
            <w:pPr>
              <w:spacing w:after="0" w:line="156" w:lineRule="exact"/>
              <w:rPr>
                <w:sz w:val="20"/>
                <w:szCs w:val="20"/>
                <w:color w:val="auto"/>
              </w:rPr>
            </w:pPr>
            <w:r>
              <w:rPr>
                <w:rFonts w:ascii="Arial" w:cs="Arial" w:eastAsia="Arial" w:hAnsi="Arial"/>
                <w:sz w:val="14"/>
                <w:szCs w:val="14"/>
                <w:color w:val="auto"/>
              </w:rPr>
              <w:t>Non-listed</w:t>
            </w:r>
          </w:p>
        </w:tc>
        <w:tc>
          <w:tcPr>
            <w:tcW w:w="940" w:type="dxa"/>
            <w:vAlign w:val="bottom"/>
            <w:gridSpan w:val="2"/>
          </w:tcPr>
          <w:p>
            <w:pPr>
              <w:jc w:val="right"/>
              <w:ind w:right="220"/>
              <w:spacing w:after="0" w:line="156" w:lineRule="exact"/>
              <w:rPr>
                <w:sz w:val="20"/>
                <w:szCs w:val="20"/>
                <w:color w:val="auto"/>
              </w:rPr>
            </w:pPr>
            <w:r>
              <w:rPr>
                <w:rFonts w:ascii="Arial" w:cs="Arial" w:eastAsia="Arial" w:hAnsi="Arial"/>
                <w:sz w:val="14"/>
                <w:szCs w:val="14"/>
                <w:color w:val="auto"/>
              </w:rPr>
              <w:t>14,770</w:t>
            </w:r>
          </w:p>
        </w:tc>
        <w:tc>
          <w:tcPr>
            <w:tcW w:w="660" w:type="dxa"/>
            <w:vAlign w:val="bottom"/>
          </w:tcPr>
          <w:p>
            <w:pPr>
              <w:jc w:val="right"/>
              <w:spacing w:after="0" w:line="156" w:lineRule="exact"/>
              <w:rPr>
                <w:sz w:val="20"/>
                <w:szCs w:val="20"/>
                <w:color w:val="auto"/>
              </w:rPr>
            </w:pPr>
            <w:r>
              <w:rPr>
                <w:rFonts w:ascii="Arial" w:cs="Arial" w:eastAsia="Arial" w:hAnsi="Arial"/>
                <w:sz w:val="14"/>
                <w:szCs w:val="14"/>
                <w:color w:val="auto"/>
              </w:rPr>
              <w:t>1,093</w:t>
            </w:r>
          </w:p>
        </w:tc>
        <w:tc>
          <w:tcPr>
            <w:tcW w:w="1040" w:type="dxa"/>
            <w:vAlign w:val="bottom"/>
            <w:gridSpan w:val="3"/>
          </w:tcPr>
          <w:p>
            <w:pPr>
              <w:jc w:val="right"/>
              <w:ind w:right="160"/>
              <w:spacing w:after="0" w:line="156" w:lineRule="exact"/>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220"/>
              <w:spacing w:after="0" w:line="156" w:lineRule="exact"/>
              <w:rPr>
                <w:sz w:val="20"/>
                <w:szCs w:val="20"/>
                <w:color w:val="auto"/>
              </w:rPr>
            </w:pPr>
            <w:r>
              <w:rPr>
                <w:rFonts w:ascii="Arial" w:cs="Arial" w:eastAsia="Arial" w:hAnsi="Arial"/>
                <w:sz w:val="14"/>
                <w:szCs w:val="14"/>
                <w:color w:val="auto"/>
              </w:rPr>
              <w:t>15,863</w:t>
            </w:r>
          </w:p>
        </w:tc>
        <w:tc>
          <w:tcPr>
            <w:tcW w:w="940" w:type="dxa"/>
            <w:vAlign w:val="bottom"/>
            <w:gridSpan w:val="2"/>
          </w:tcPr>
          <w:p>
            <w:pPr>
              <w:jc w:val="right"/>
              <w:ind w:right="220"/>
              <w:spacing w:after="0" w:line="156" w:lineRule="exact"/>
              <w:rPr>
                <w:sz w:val="20"/>
                <w:szCs w:val="20"/>
                <w:color w:val="auto"/>
              </w:rPr>
            </w:pPr>
            <w:r>
              <w:rPr>
                <w:rFonts w:ascii="Arial" w:cs="Arial" w:eastAsia="Arial" w:hAnsi="Arial"/>
                <w:sz w:val="14"/>
                <w:szCs w:val="14"/>
                <w:color w:val="auto"/>
              </w:rPr>
              <w:t>6,098</w:t>
            </w:r>
          </w:p>
        </w:tc>
        <w:tc>
          <w:tcPr>
            <w:tcW w:w="680" w:type="dxa"/>
            <w:vAlign w:val="bottom"/>
            <w:gridSpan w:val="2"/>
          </w:tcPr>
          <w:p>
            <w:pPr>
              <w:jc w:val="right"/>
              <w:ind w:right="20"/>
              <w:spacing w:after="0" w:line="156" w:lineRule="exact"/>
              <w:rPr>
                <w:sz w:val="20"/>
                <w:szCs w:val="20"/>
                <w:color w:val="auto"/>
              </w:rPr>
            </w:pPr>
            <w:r>
              <w:rPr>
                <w:rFonts w:ascii="Arial" w:cs="Arial" w:eastAsia="Arial" w:hAnsi="Arial"/>
                <w:sz w:val="14"/>
                <w:szCs w:val="14"/>
                <w:color w:val="auto"/>
              </w:rPr>
              <w:t>637</w:t>
            </w:r>
          </w:p>
        </w:tc>
        <w:tc>
          <w:tcPr>
            <w:tcW w:w="1040" w:type="dxa"/>
            <w:vAlign w:val="bottom"/>
            <w:gridSpan w:val="3"/>
          </w:tcPr>
          <w:p>
            <w:pPr>
              <w:jc w:val="right"/>
              <w:ind w:right="160"/>
              <w:spacing w:after="0" w:line="156" w:lineRule="exact"/>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100"/>
              <w:spacing w:after="0" w:line="156" w:lineRule="exact"/>
              <w:rPr>
                <w:sz w:val="20"/>
                <w:szCs w:val="20"/>
                <w:color w:val="auto"/>
              </w:rPr>
            </w:pPr>
            <w:r>
              <w:rPr>
                <w:rFonts w:ascii="Arial" w:cs="Arial" w:eastAsia="Arial" w:hAnsi="Arial"/>
                <w:sz w:val="14"/>
                <w:szCs w:val="14"/>
                <w:color w:val="auto"/>
              </w:rPr>
              <w:t>6,735</w:t>
            </w:r>
          </w:p>
        </w:tc>
        <w:tc>
          <w:tcPr>
            <w:tcW w:w="0" w:type="dxa"/>
            <w:vAlign w:val="bottom"/>
          </w:tcPr>
          <w:p>
            <w:pPr>
              <w:spacing w:after="0"/>
              <w:rPr>
                <w:sz w:val="1"/>
                <w:szCs w:val="1"/>
                <w:color w:val="auto"/>
              </w:rPr>
            </w:pPr>
          </w:p>
        </w:tc>
      </w:tr>
      <w:tr>
        <w:trPr>
          <w:trHeight w:val="136"/>
        </w:trPr>
        <w:tc>
          <w:tcPr>
            <w:tcW w:w="3560" w:type="dxa"/>
            <w:vAlign w:val="bottom"/>
            <w:tcBorders>
              <w:top w:val="single" w:sz="8" w:color="CCEEFF"/>
            </w:tcBorders>
            <w:shd w:val="clear" w:color="auto" w:fill="CCEEFF"/>
          </w:tcPr>
          <w:p>
            <w:pPr>
              <w:spacing w:after="0"/>
              <w:rPr>
                <w:sz w:val="11"/>
                <w:szCs w:val="11"/>
                <w:color w:val="auto"/>
              </w:rPr>
            </w:pPr>
          </w:p>
        </w:tc>
        <w:tc>
          <w:tcPr>
            <w:tcW w:w="720" w:type="dxa"/>
            <w:vAlign w:val="bottom"/>
            <w:tcBorders>
              <w:top w:val="single" w:sz="8" w:color="auto"/>
              <w:bottom w:val="single" w:sz="8" w:color="auto"/>
            </w:tcBorders>
            <w:shd w:val="clear" w:color="auto" w:fill="CCEEFF"/>
          </w:tcPr>
          <w:p>
            <w:pPr>
              <w:jc w:val="right"/>
              <w:spacing w:after="0" w:line="136" w:lineRule="exact"/>
              <w:rPr>
                <w:sz w:val="20"/>
                <w:szCs w:val="20"/>
                <w:color w:val="auto"/>
              </w:rPr>
            </w:pPr>
            <w:r>
              <w:rPr>
                <w:rFonts w:ascii="Arial" w:cs="Arial" w:eastAsia="Arial" w:hAnsi="Arial"/>
                <w:sz w:val="14"/>
                <w:szCs w:val="14"/>
                <w:color w:val="auto"/>
              </w:rPr>
              <w:t>269,701</w:t>
            </w:r>
          </w:p>
        </w:tc>
        <w:tc>
          <w:tcPr>
            <w:tcW w:w="220" w:type="dxa"/>
            <w:vAlign w:val="bottom"/>
            <w:tcBorders>
              <w:top w:val="single" w:sz="8" w:color="CCEEFF"/>
            </w:tcBorders>
            <w:shd w:val="clear" w:color="auto" w:fill="CCEEFF"/>
          </w:tcPr>
          <w:p>
            <w:pPr>
              <w:spacing w:after="0"/>
              <w:rPr>
                <w:sz w:val="11"/>
                <w:szCs w:val="11"/>
                <w:color w:val="auto"/>
              </w:rPr>
            </w:pPr>
          </w:p>
        </w:tc>
        <w:tc>
          <w:tcPr>
            <w:tcW w:w="660" w:type="dxa"/>
            <w:vAlign w:val="bottom"/>
            <w:tcBorders>
              <w:top w:val="single" w:sz="8" w:color="auto"/>
              <w:bottom w:val="single" w:sz="8" w:color="auto"/>
            </w:tcBorders>
            <w:shd w:val="clear" w:color="auto" w:fill="CCEEFF"/>
          </w:tcPr>
          <w:p>
            <w:pPr>
              <w:jc w:val="right"/>
              <w:spacing w:after="0" w:line="136" w:lineRule="exact"/>
              <w:rPr>
                <w:sz w:val="20"/>
                <w:szCs w:val="20"/>
                <w:color w:val="auto"/>
              </w:rPr>
            </w:pPr>
            <w:r>
              <w:rPr>
                <w:rFonts w:ascii="Arial" w:cs="Arial" w:eastAsia="Arial" w:hAnsi="Arial"/>
                <w:sz w:val="14"/>
                <w:szCs w:val="14"/>
                <w:color w:val="auto"/>
              </w:rPr>
              <w:t>497,830</w:t>
            </w:r>
          </w:p>
        </w:tc>
        <w:tc>
          <w:tcPr>
            <w:tcW w:w="200" w:type="dxa"/>
            <w:vAlign w:val="bottom"/>
            <w:tcBorders>
              <w:top w:val="single" w:sz="8" w:color="CCEEFF"/>
            </w:tcBorders>
            <w:shd w:val="clear" w:color="auto" w:fill="CCEEFF"/>
          </w:tcPr>
          <w:p>
            <w:pPr>
              <w:spacing w:after="0"/>
              <w:rPr>
                <w:sz w:val="11"/>
                <w:szCs w:val="11"/>
                <w:color w:val="auto"/>
              </w:rPr>
            </w:pPr>
          </w:p>
        </w:tc>
        <w:tc>
          <w:tcPr>
            <w:tcW w:w="640" w:type="dxa"/>
            <w:vAlign w:val="bottom"/>
            <w:tcBorders>
              <w:top w:val="single" w:sz="8" w:color="auto"/>
              <w:bottom w:val="single" w:sz="8" w:color="auto"/>
            </w:tcBorders>
            <w:shd w:val="clear" w:color="auto" w:fill="CCEEFF"/>
          </w:tcPr>
          <w:p>
            <w:pPr>
              <w:jc w:val="right"/>
              <w:spacing w:after="0" w:line="136" w:lineRule="exact"/>
              <w:rPr>
                <w:sz w:val="20"/>
                <w:szCs w:val="20"/>
                <w:color w:val="auto"/>
              </w:rPr>
            </w:pPr>
            <w:r>
              <w:rPr>
                <w:rFonts w:ascii="Arial" w:cs="Arial" w:eastAsia="Arial" w:hAnsi="Arial"/>
                <w:sz w:val="14"/>
                <w:szCs w:val="14"/>
                <w:color w:val="auto"/>
              </w:rPr>
              <w:t>(1,937</w:t>
            </w:r>
          </w:p>
        </w:tc>
        <w:tc>
          <w:tcPr>
            <w:tcW w:w="200" w:type="dxa"/>
            <w:vAlign w:val="bottom"/>
            <w:tcBorders>
              <w:top w:val="single" w:sz="8" w:color="CCEEFF"/>
            </w:tcBorders>
            <w:shd w:val="clear" w:color="auto" w:fill="CCEEFF"/>
          </w:tcPr>
          <w:p>
            <w:pPr>
              <w:jc w:val="right"/>
              <w:ind w:right="120"/>
              <w:spacing w:after="0"/>
              <w:rPr>
                <w:sz w:val="20"/>
                <w:szCs w:val="20"/>
                <w:color w:val="auto"/>
              </w:rPr>
            </w:pPr>
            <w:r>
              <w:rPr>
                <w:rFonts w:ascii="Arial" w:cs="Arial" w:eastAsia="Arial" w:hAnsi="Arial"/>
                <w:sz w:val="8"/>
                <w:szCs w:val="8"/>
                <w:color w:val="auto"/>
                <w:w w:val="73"/>
              </w:rPr>
              <w:t>)</w:t>
            </w:r>
          </w:p>
        </w:tc>
        <w:tc>
          <w:tcPr>
            <w:tcW w:w="880" w:type="dxa"/>
            <w:vAlign w:val="bottom"/>
            <w:tcBorders>
              <w:top w:val="single" w:sz="8" w:color="auto"/>
              <w:bottom w:val="single" w:sz="8" w:color="auto"/>
            </w:tcBorders>
            <w:shd w:val="clear" w:color="auto" w:fill="CCEEFF"/>
          </w:tcPr>
          <w:p>
            <w:pPr>
              <w:jc w:val="right"/>
              <w:spacing w:after="0" w:line="136" w:lineRule="exact"/>
              <w:rPr>
                <w:sz w:val="20"/>
                <w:szCs w:val="20"/>
                <w:color w:val="auto"/>
              </w:rPr>
            </w:pPr>
            <w:r>
              <w:rPr>
                <w:rFonts w:ascii="Arial" w:cs="Arial" w:eastAsia="Arial" w:hAnsi="Arial"/>
                <w:sz w:val="14"/>
                <w:szCs w:val="14"/>
                <w:color w:val="auto"/>
              </w:rPr>
              <w:t>765,594</w:t>
            </w:r>
          </w:p>
        </w:tc>
        <w:tc>
          <w:tcPr>
            <w:tcW w:w="220" w:type="dxa"/>
            <w:vAlign w:val="bottom"/>
            <w:tcBorders>
              <w:top w:val="single" w:sz="8" w:color="CCEEFF"/>
            </w:tcBorders>
            <w:shd w:val="clear" w:color="auto" w:fill="CCEEFF"/>
          </w:tcPr>
          <w:p>
            <w:pPr>
              <w:spacing w:after="0"/>
              <w:rPr>
                <w:sz w:val="11"/>
                <w:szCs w:val="11"/>
                <w:color w:val="auto"/>
              </w:rPr>
            </w:pPr>
          </w:p>
        </w:tc>
        <w:tc>
          <w:tcPr>
            <w:tcW w:w="720" w:type="dxa"/>
            <w:vAlign w:val="bottom"/>
            <w:tcBorders>
              <w:top w:val="single" w:sz="8" w:color="auto"/>
              <w:bottom w:val="single" w:sz="8" w:color="auto"/>
            </w:tcBorders>
            <w:shd w:val="clear" w:color="auto" w:fill="CCEEFF"/>
          </w:tcPr>
          <w:p>
            <w:pPr>
              <w:jc w:val="right"/>
              <w:spacing w:after="0" w:line="136" w:lineRule="exact"/>
              <w:rPr>
                <w:sz w:val="20"/>
                <w:szCs w:val="20"/>
                <w:color w:val="auto"/>
              </w:rPr>
            </w:pPr>
            <w:r>
              <w:rPr>
                <w:rFonts w:ascii="Arial" w:cs="Arial" w:eastAsia="Arial" w:hAnsi="Arial"/>
                <w:sz w:val="14"/>
                <w:szCs w:val="14"/>
                <w:color w:val="auto"/>
              </w:rPr>
              <w:t>548,067</w:t>
            </w:r>
          </w:p>
        </w:tc>
        <w:tc>
          <w:tcPr>
            <w:tcW w:w="220" w:type="dxa"/>
            <w:vAlign w:val="bottom"/>
            <w:tcBorders>
              <w:top w:val="single" w:sz="8" w:color="CCEEFF"/>
            </w:tcBorders>
            <w:shd w:val="clear" w:color="auto" w:fill="CCEEFF"/>
          </w:tcPr>
          <w:p>
            <w:pPr>
              <w:spacing w:after="0"/>
              <w:rPr>
                <w:sz w:val="11"/>
                <w:szCs w:val="11"/>
                <w:color w:val="auto"/>
              </w:rPr>
            </w:pPr>
          </w:p>
        </w:tc>
        <w:tc>
          <w:tcPr>
            <w:tcW w:w="660" w:type="dxa"/>
            <w:vAlign w:val="bottom"/>
            <w:tcBorders>
              <w:top w:val="single" w:sz="8" w:color="auto"/>
              <w:bottom w:val="single" w:sz="8" w:color="auto"/>
            </w:tcBorders>
            <w:shd w:val="clear" w:color="auto" w:fill="CCEEFF"/>
          </w:tcPr>
          <w:p>
            <w:pPr>
              <w:jc w:val="right"/>
              <w:spacing w:after="0" w:line="136" w:lineRule="exact"/>
              <w:rPr>
                <w:sz w:val="20"/>
                <w:szCs w:val="20"/>
                <w:color w:val="auto"/>
              </w:rPr>
            </w:pPr>
            <w:r>
              <w:rPr>
                <w:rFonts w:ascii="Arial" w:cs="Arial" w:eastAsia="Arial" w:hAnsi="Arial"/>
                <w:sz w:val="14"/>
                <w:szCs w:val="14"/>
                <w:color w:val="auto"/>
              </w:rPr>
              <w:t>712,234</w:t>
            </w:r>
          </w:p>
        </w:tc>
        <w:tc>
          <w:tcPr>
            <w:tcW w:w="2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660" w:type="dxa"/>
            <w:vAlign w:val="bottom"/>
            <w:tcBorders>
              <w:top w:val="single" w:sz="8" w:color="auto"/>
              <w:bottom w:val="single" w:sz="8" w:color="auto"/>
            </w:tcBorders>
            <w:shd w:val="clear" w:color="auto" w:fill="CCEEFF"/>
          </w:tcPr>
          <w:p>
            <w:pPr>
              <w:jc w:val="right"/>
              <w:spacing w:after="0" w:line="136" w:lineRule="exact"/>
              <w:rPr>
                <w:sz w:val="20"/>
                <w:szCs w:val="20"/>
                <w:color w:val="auto"/>
              </w:rPr>
            </w:pPr>
            <w:r>
              <w:rPr>
                <w:rFonts w:ascii="Arial" w:cs="Arial" w:eastAsia="Arial" w:hAnsi="Arial"/>
                <w:sz w:val="14"/>
                <w:szCs w:val="14"/>
                <w:color w:val="auto"/>
              </w:rPr>
              <w:t>(3,101</w:t>
            </w:r>
          </w:p>
        </w:tc>
        <w:tc>
          <w:tcPr>
            <w:tcW w:w="200" w:type="dxa"/>
            <w:vAlign w:val="bottom"/>
            <w:tcBorders>
              <w:top w:val="single" w:sz="8" w:color="CCEEFF"/>
            </w:tcBorders>
            <w:shd w:val="clear" w:color="auto" w:fill="CCEEFF"/>
          </w:tcPr>
          <w:p>
            <w:pPr>
              <w:jc w:val="right"/>
              <w:ind w:right="120"/>
              <w:spacing w:after="0"/>
              <w:rPr>
                <w:sz w:val="20"/>
                <w:szCs w:val="20"/>
                <w:color w:val="auto"/>
              </w:rPr>
            </w:pPr>
            <w:r>
              <w:rPr>
                <w:rFonts w:ascii="Arial" w:cs="Arial" w:eastAsia="Arial" w:hAnsi="Arial"/>
                <w:sz w:val="8"/>
                <w:szCs w:val="8"/>
                <w:color w:val="auto"/>
                <w:w w:val="73"/>
              </w:rPr>
              <w:t>)</w:t>
            </w:r>
          </w:p>
        </w:tc>
        <w:tc>
          <w:tcPr>
            <w:tcW w:w="880" w:type="dxa"/>
            <w:vAlign w:val="bottom"/>
            <w:tcBorders>
              <w:top w:val="single" w:sz="8" w:color="auto"/>
              <w:bottom w:val="single" w:sz="8" w:color="auto"/>
            </w:tcBorders>
            <w:shd w:val="clear" w:color="auto" w:fill="CCEEFF"/>
          </w:tcPr>
          <w:p>
            <w:pPr>
              <w:jc w:val="right"/>
              <w:spacing w:after="0" w:line="136" w:lineRule="exact"/>
              <w:rPr>
                <w:sz w:val="20"/>
                <w:szCs w:val="20"/>
                <w:color w:val="auto"/>
              </w:rPr>
            </w:pPr>
            <w:r>
              <w:rPr>
                <w:rFonts w:ascii="Arial" w:cs="Arial" w:eastAsia="Arial" w:hAnsi="Arial"/>
                <w:sz w:val="14"/>
                <w:szCs w:val="14"/>
                <w:color w:val="auto"/>
              </w:rPr>
              <w:t>1,257,200</w:t>
            </w:r>
          </w:p>
        </w:tc>
        <w:tc>
          <w:tcPr>
            <w:tcW w:w="10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3560" w:type="dxa"/>
            <w:vAlign w:val="bottom"/>
            <w:tcBorders>
              <w:bottom w:val="single" w:sz="8" w:color="CCEEFF"/>
            </w:tcBorders>
          </w:tcPr>
          <w:p>
            <w:pPr>
              <w:spacing w:after="0" w:line="149" w:lineRule="exact"/>
              <w:rPr>
                <w:sz w:val="20"/>
                <w:szCs w:val="20"/>
                <w:color w:val="auto"/>
              </w:rPr>
            </w:pPr>
            <w:r>
              <w:rPr>
                <w:rFonts w:ascii="Arial" w:cs="Arial" w:eastAsia="Arial" w:hAnsi="Arial"/>
                <w:sz w:val="14"/>
                <w:szCs w:val="14"/>
                <w:color w:val="auto"/>
              </w:rPr>
              <w:t>Balance before accrued interest</w:t>
            </w:r>
          </w:p>
        </w:tc>
        <w:tc>
          <w:tcPr>
            <w:tcW w:w="7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w w:val="99"/>
              </w:rPr>
              <w:t>22,599,064</w:t>
            </w:r>
          </w:p>
        </w:tc>
        <w:tc>
          <w:tcPr>
            <w:tcW w:w="220" w:type="dxa"/>
            <w:vAlign w:val="bottom"/>
            <w:tcBorders>
              <w:bottom w:val="single" w:sz="8" w:color="CCEEFF"/>
            </w:tcBorders>
          </w:tcPr>
          <w:p>
            <w:pPr>
              <w:spacing w:after="0"/>
              <w:rPr>
                <w:sz w:val="16"/>
                <w:szCs w:val="16"/>
                <w:color w:val="auto"/>
              </w:rPr>
            </w:pPr>
          </w:p>
        </w:tc>
        <w:tc>
          <w:tcPr>
            <w:tcW w:w="6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1,641,792</w:t>
            </w:r>
          </w:p>
        </w:tc>
        <w:tc>
          <w:tcPr>
            <w:tcW w:w="200" w:type="dxa"/>
            <w:vAlign w:val="bottom"/>
            <w:tcBorders>
              <w:bottom w:val="single" w:sz="8" w:color="CCEEFF"/>
            </w:tcBorders>
          </w:tcPr>
          <w:p>
            <w:pPr>
              <w:spacing w:after="0"/>
              <w:rPr>
                <w:sz w:val="16"/>
                <w:szCs w:val="16"/>
                <w:color w:val="auto"/>
              </w:rPr>
            </w:pPr>
          </w:p>
        </w:tc>
        <w:tc>
          <w:tcPr>
            <w:tcW w:w="6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(36,731</w:t>
            </w:r>
          </w:p>
        </w:tc>
        <w:tc>
          <w:tcPr>
            <w:tcW w:w="200" w:type="dxa"/>
            <w:vAlign w:val="bottom"/>
            <w:tcBorders>
              <w:bottom w:val="single" w:sz="8" w:color="CCEEFF"/>
            </w:tcBorders>
          </w:tcPr>
          <w:p>
            <w:pPr>
              <w:jc w:val="right"/>
              <w:ind w:right="120"/>
              <w:spacing w:after="0"/>
              <w:rPr>
                <w:sz w:val="20"/>
                <w:szCs w:val="20"/>
                <w:color w:val="auto"/>
              </w:rPr>
            </w:pPr>
            <w:r>
              <w:rPr>
                <w:rFonts w:ascii="Arial" w:cs="Arial" w:eastAsia="Arial" w:hAnsi="Arial"/>
                <w:sz w:val="8"/>
                <w:szCs w:val="8"/>
                <w:color w:val="auto"/>
                <w:w w:val="73"/>
              </w:rPr>
              <w:t>)</w:t>
            </w:r>
          </w:p>
        </w:tc>
        <w:tc>
          <w:tcPr>
            <w:tcW w:w="8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24,204,125</w:t>
            </w:r>
          </w:p>
        </w:tc>
        <w:tc>
          <w:tcPr>
            <w:tcW w:w="220" w:type="dxa"/>
            <w:vAlign w:val="bottom"/>
            <w:tcBorders>
              <w:bottom w:val="single" w:sz="8" w:color="CCEEFF"/>
            </w:tcBorders>
          </w:tcPr>
          <w:p>
            <w:pPr>
              <w:spacing w:after="0"/>
              <w:rPr>
                <w:sz w:val="16"/>
                <w:szCs w:val="16"/>
                <w:color w:val="auto"/>
              </w:rPr>
            </w:pPr>
          </w:p>
        </w:tc>
        <w:tc>
          <w:tcPr>
            <w:tcW w:w="7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w w:val="99"/>
              </w:rPr>
              <w:t>17,302,487</w:t>
            </w:r>
          </w:p>
        </w:tc>
        <w:tc>
          <w:tcPr>
            <w:tcW w:w="220" w:type="dxa"/>
            <w:vAlign w:val="bottom"/>
            <w:tcBorders>
              <w:bottom w:val="single" w:sz="8" w:color="CCEEFF"/>
            </w:tcBorders>
          </w:tcPr>
          <w:p>
            <w:pPr>
              <w:spacing w:after="0"/>
              <w:rPr>
                <w:sz w:val="16"/>
                <w:szCs w:val="16"/>
                <w:color w:val="auto"/>
              </w:rPr>
            </w:pPr>
          </w:p>
        </w:tc>
        <w:tc>
          <w:tcPr>
            <w:tcW w:w="6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1,403,825</w:t>
            </w:r>
          </w:p>
        </w:tc>
        <w:tc>
          <w:tcPr>
            <w:tcW w:w="20" w:type="dxa"/>
            <w:vAlign w:val="bottom"/>
            <w:tcBorders>
              <w:bottom w:val="single" w:sz="8" w:color="CCEEFF"/>
            </w:tcBorders>
          </w:tcPr>
          <w:p>
            <w:pPr>
              <w:spacing w:after="0"/>
              <w:rPr>
                <w:sz w:val="16"/>
                <w:szCs w:val="16"/>
                <w:color w:val="auto"/>
              </w:rPr>
            </w:pPr>
          </w:p>
        </w:tc>
        <w:tc>
          <w:tcPr>
            <w:tcW w:w="180" w:type="dxa"/>
            <w:vAlign w:val="bottom"/>
            <w:tcBorders>
              <w:bottom w:val="single" w:sz="8" w:color="CCEEFF"/>
            </w:tcBorders>
          </w:tcPr>
          <w:p>
            <w:pPr>
              <w:spacing w:after="0"/>
              <w:rPr>
                <w:sz w:val="16"/>
                <w:szCs w:val="16"/>
                <w:color w:val="auto"/>
              </w:rPr>
            </w:pPr>
          </w:p>
        </w:tc>
        <w:tc>
          <w:tcPr>
            <w:tcW w:w="6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(178,400</w:t>
            </w:r>
          </w:p>
        </w:tc>
        <w:tc>
          <w:tcPr>
            <w:tcW w:w="200" w:type="dxa"/>
            <w:vAlign w:val="bottom"/>
            <w:tcBorders>
              <w:bottom w:val="single" w:sz="8" w:color="CCEEFF"/>
            </w:tcBorders>
          </w:tcPr>
          <w:p>
            <w:pPr>
              <w:jc w:val="right"/>
              <w:ind w:right="120"/>
              <w:spacing w:after="0"/>
              <w:rPr>
                <w:sz w:val="20"/>
                <w:szCs w:val="20"/>
                <w:color w:val="auto"/>
              </w:rPr>
            </w:pPr>
            <w:r>
              <w:rPr>
                <w:rFonts w:ascii="Arial" w:cs="Arial" w:eastAsia="Arial" w:hAnsi="Arial"/>
                <w:sz w:val="8"/>
                <w:szCs w:val="8"/>
                <w:color w:val="auto"/>
                <w:w w:val="73"/>
              </w:rPr>
              <w:t>)</w:t>
            </w:r>
          </w:p>
        </w:tc>
        <w:tc>
          <w:tcPr>
            <w:tcW w:w="8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18,527,912</w:t>
            </w:r>
          </w:p>
        </w:tc>
        <w:tc>
          <w:tcPr>
            <w:tcW w:w="10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3560" w:type="dxa"/>
            <w:vAlign w:val="bottom"/>
            <w:shd w:val="clear" w:color="auto" w:fill="CCEEFF"/>
          </w:tcPr>
          <w:p>
            <w:pPr>
              <w:spacing w:after="0" w:line="135" w:lineRule="exact"/>
              <w:rPr>
                <w:sz w:val="20"/>
                <w:szCs w:val="20"/>
                <w:color w:val="auto"/>
              </w:rPr>
            </w:pPr>
            <w:r>
              <w:rPr>
                <w:rFonts w:ascii="Arial" w:cs="Arial" w:eastAsia="Arial" w:hAnsi="Arial"/>
                <w:sz w:val="14"/>
                <w:szCs w:val="14"/>
                <w:color w:val="auto"/>
              </w:rPr>
              <w:t>Accrued interest</w:t>
            </w:r>
          </w:p>
        </w:tc>
        <w:tc>
          <w:tcPr>
            <w:tcW w:w="7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8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4"/>
                <w:szCs w:val="14"/>
                <w:color w:val="auto"/>
              </w:rPr>
              <w:t>219,766</w:t>
            </w:r>
          </w:p>
        </w:tc>
        <w:tc>
          <w:tcPr>
            <w:tcW w:w="2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8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4"/>
                <w:szCs w:val="14"/>
                <w:color w:val="auto"/>
              </w:rPr>
              <w:t>157,755</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560" w:type="dxa"/>
            <w:vAlign w:val="bottom"/>
          </w:tcPr>
          <w:p>
            <w:pPr>
              <w:spacing w:after="0" w:line="149" w:lineRule="exact"/>
              <w:rPr>
                <w:sz w:val="20"/>
                <w:szCs w:val="20"/>
                <w:color w:val="auto"/>
              </w:rPr>
            </w:pPr>
            <w:r>
              <w:rPr>
                <w:rFonts w:ascii="Arial" w:cs="Arial" w:eastAsia="Arial" w:hAnsi="Arial"/>
                <w:sz w:val="14"/>
                <w:szCs w:val="14"/>
                <w:b w:val="1"/>
                <w:bCs w:val="1"/>
                <w:color w:val="auto"/>
              </w:rPr>
              <w:t>Total</w:t>
            </w: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24,423,891</w:t>
            </w: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18,685,667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5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3" w:lineRule="exact"/>
        <w:rPr>
          <w:sz w:val="20"/>
          <w:szCs w:val="20"/>
          <w:color w:val="auto"/>
        </w:rPr>
      </w:pPr>
    </w:p>
    <w:p>
      <w:pPr>
        <w:jc w:val="center"/>
        <w:ind w:right="-175"/>
        <w:spacing w:after="0"/>
        <w:rPr>
          <w:sz w:val="20"/>
          <w:szCs w:val="20"/>
          <w:color w:val="auto"/>
        </w:rPr>
      </w:pPr>
      <w:r>
        <w:rPr>
          <w:rFonts w:ascii="Arial" w:cs="Arial" w:eastAsia="Arial" w:hAnsi="Arial"/>
          <w:sz w:val="17"/>
          <w:szCs w:val="17"/>
          <w:color w:val="auto"/>
        </w:rPr>
        <w:t>- 56 -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15875</wp:posOffset>
            </wp:positionV>
            <wp:extent cx="725170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51700" cy="8255"/>
                    </a:xfrm>
                    <a:prstGeom prst="rect">
                      <a:avLst/>
                    </a:prstGeom>
                    <a:noFill/>
                  </pic:spPr>
                </pic:pic>
              </a:graphicData>
            </a:graphic>
          </wp:anchor>
        </w:drawing>
      </w:r>
    </w:p>
    <w:p>
      <w:pPr>
        <w:sectPr>
          <w:pgSz w:w="11900" w:h="16838" w:orient="portrait"/>
          <w:cols w:equalWidth="0" w:num="1">
            <w:col w:w="11256"/>
          </w:cols>
          <w:pgMar w:left="244" w:top="875" w:right="399" w:bottom="1440" w:gutter="0" w:footer="0" w:header="0"/>
        </w:sectPr>
      </w:pPr>
    </w:p>
    <w:bookmarkStart w:id="62" w:name="page63"/>
    <w:bookmarkEnd w:id="62"/>
    <w:p>
      <w:pPr>
        <w:spacing w:after="0" w:line="261" w:lineRule="auto"/>
        <w:rPr>
          <w:sz w:val="20"/>
          <w:szCs w:val="20"/>
          <w:color w:val="auto"/>
        </w:rPr>
      </w:pPr>
      <w:r>
        <w:rPr>
          <w:rFonts w:ascii="Arial" w:cs="Arial" w:eastAsia="Arial" w:hAnsi="Arial"/>
          <w:sz w:val="17"/>
          <w:szCs w:val="17"/>
          <w:color w:val="auto"/>
        </w:rPr>
        <w:t>The Management of Credicorp has determined that the unrealized losses of available-for-sale investments at December 31, 2017 and 2016 are of a temporary nature, considering factors such as intended strategy in relation to the identified security or portfolio, its underlying collateral and credit rating of the issuers. During 2017, as a result of the impairment assessment of its available-for-sale investments, the Group recorded an impairment loss of S/0.8 million (S/14.5 million and S/43.8 million during 2016 and 2015, respectively), which is shown in “Impairment loss on available-for-sale investments” in the consolidated statement of income. Also, Management has decided and has the ability to hold each investment for a period of time sufficient to allow for an anticipated recovery in fair value, until the earlier of its anticipated recovery or maturity.</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color w:val="auto"/>
        </w:rPr>
        <w:t>The movement of available-for-sale investments reserves, net of deferred income tax and non-controlling interest, is shown in Note 17(c).</w:t>
      </w:r>
    </w:p>
    <w:p>
      <w:pPr>
        <w:spacing w:after="0" w:line="220" w:lineRule="exact"/>
        <w:rPr>
          <w:sz w:val="20"/>
          <w:szCs w:val="20"/>
          <w:color w:val="auto"/>
        </w:rPr>
      </w:pPr>
    </w:p>
    <w:p>
      <w:pPr>
        <w:ind w:right="260"/>
        <w:spacing w:after="0" w:line="302" w:lineRule="auto"/>
        <w:rPr>
          <w:sz w:val="20"/>
          <w:szCs w:val="20"/>
          <w:color w:val="auto"/>
        </w:rPr>
      </w:pPr>
      <w:r>
        <w:rPr>
          <w:rFonts w:ascii="Arial" w:cs="Arial" w:eastAsia="Arial" w:hAnsi="Arial"/>
          <w:sz w:val="15"/>
          <w:szCs w:val="15"/>
          <w:color w:val="auto"/>
        </w:rPr>
        <w:t>During 2017, the Group has not reclassified instruments from the portfolio available-for-sale investments to investments held to maturity (During the years 2016 and 2015, the Group reclassified instruments from the portfolio available-for-sale investments to held-to-maturity investments which, at the time of the transfer maintained an unrealized profit amounting to S/6.0 million and an unrealized loss amounting to S/12.9 million recorded in equity, respectively). During the years 2017 and 2016, S/2.1 million and S/1.6 million, respectively, were amortized from unrealized results which were recorded in equity, and were transferred to the account “Net gain on sale of securities” of the consolidated statement of income. At December 31, 2017, unrealized profit amounting to S/0.02 million is held in equity, corresponding to the investments which were reclassified in category (unrealized gain amounting to S/2.1 million at December 31, 2016).</w:t>
      </w:r>
    </w:p>
    <w:p>
      <w:pPr>
        <w:spacing w:after="0" w:line="153" w:lineRule="exact"/>
        <w:rPr>
          <w:sz w:val="20"/>
          <w:szCs w:val="20"/>
          <w:color w:val="auto"/>
        </w:rPr>
      </w:pPr>
    </w:p>
    <w:p>
      <w:pPr>
        <w:spacing w:after="0"/>
        <w:rPr>
          <w:sz w:val="20"/>
          <w:szCs w:val="20"/>
          <w:color w:val="auto"/>
        </w:rPr>
      </w:pPr>
      <w:r>
        <w:rPr>
          <w:rFonts w:ascii="Arial" w:cs="Arial" w:eastAsia="Arial" w:hAnsi="Arial"/>
          <w:sz w:val="17"/>
          <w:szCs w:val="17"/>
          <w:color w:val="auto"/>
        </w:rPr>
        <w:t>At December 31, 2017 and 2016, the maturities and annual market rates of available-for-sale investments are as follows: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1740" w:type="dxa"/>
            <w:vAlign w:val="bottom"/>
          </w:tcPr>
          <w:p>
            <w:pPr>
              <w:spacing w:after="0"/>
              <w:rPr>
                <w:sz w:val="14"/>
                <w:szCs w:val="14"/>
                <w:color w:val="auto"/>
              </w:rPr>
            </w:pPr>
          </w:p>
        </w:tc>
        <w:tc>
          <w:tcPr>
            <w:tcW w:w="1600" w:type="dxa"/>
            <w:vAlign w:val="bottom"/>
            <w:gridSpan w:val="4"/>
          </w:tcPr>
          <w:p>
            <w:pPr>
              <w:ind w:left="420"/>
              <w:spacing w:after="0"/>
              <w:rPr>
                <w:sz w:val="20"/>
                <w:szCs w:val="20"/>
                <w:color w:val="auto"/>
              </w:rPr>
            </w:pPr>
            <w:r>
              <w:rPr>
                <w:rFonts w:ascii="Arial" w:cs="Arial" w:eastAsia="Arial" w:hAnsi="Arial"/>
                <w:sz w:val="14"/>
                <w:szCs w:val="14"/>
                <w:b w:val="1"/>
                <w:bCs w:val="1"/>
                <w:color w:val="auto"/>
              </w:rPr>
              <w:t>Maturities</w:t>
            </w:r>
          </w:p>
        </w:tc>
        <w:tc>
          <w:tcPr>
            <w:tcW w:w="5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140" w:type="dxa"/>
            <w:vAlign w:val="bottom"/>
            <w:gridSpan w:val="4"/>
          </w:tcPr>
          <w:p>
            <w:pPr>
              <w:jc w:val="right"/>
              <w:ind w:right="31"/>
              <w:spacing w:after="0"/>
              <w:rPr>
                <w:sz w:val="20"/>
                <w:szCs w:val="20"/>
                <w:color w:val="auto"/>
              </w:rPr>
            </w:pPr>
            <w:r>
              <w:rPr>
                <w:rFonts w:ascii="Arial" w:cs="Arial" w:eastAsia="Arial" w:hAnsi="Arial"/>
                <w:sz w:val="14"/>
                <w:szCs w:val="14"/>
                <w:b w:val="1"/>
                <w:bCs w:val="1"/>
                <w:color w:val="auto"/>
              </w:rPr>
              <w:t>Annual effective interest rate</w:t>
            </w: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1740" w:type="dxa"/>
            <w:vAlign w:val="bottom"/>
          </w:tcPr>
          <w:p>
            <w:pPr>
              <w:spacing w:after="0"/>
              <w:rPr>
                <w:sz w:val="11"/>
                <w:szCs w:val="11"/>
                <w:color w:val="auto"/>
              </w:rPr>
            </w:pPr>
          </w:p>
        </w:tc>
        <w:tc>
          <w:tcPr>
            <w:tcW w:w="680" w:type="dxa"/>
            <w:vAlign w:val="bottom"/>
            <w:tcBorders>
              <w:top w:val="single" w:sz="8" w:color="auto"/>
              <w:bottom w:val="single" w:sz="8" w:color="auto"/>
            </w:tcBorders>
          </w:tcPr>
          <w:p>
            <w:pPr>
              <w:jc w:val="center"/>
              <w:spacing w:after="0" w:line="136" w:lineRule="exact"/>
              <w:rPr>
                <w:sz w:val="20"/>
                <w:szCs w:val="20"/>
                <w:color w:val="auto"/>
              </w:rPr>
            </w:pPr>
            <w:r>
              <w:rPr>
                <w:rFonts w:ascii="Arial" w:cs="Arial" w:eastAsia="Arial" w:hAnsi="Arial"/>
                <w:sz w:val="14"/>
                <w:szCs w:val="14"/>
                <w:b w:val="1"/>
                <w:bCs w:val="1"/>
                <w:color w:val="auto"/>
                <w:w w:val="89"/>
              </w:rPr>
              <w:t>2017</w:t>
            </w:r>
          </w:p>
        </w:tc>
        <w:tc>
          <w:tcPr>
            <w:tcW w:w="120" w:type="dxa"/>
            <w:vAlign w:val="bottom"/>
            <w:tcBorders>
              <w:top w:val="single" w:sz="8" w:color="auto"/>
            </w:tcBorders>
          </w:tcPr>
          <w:p>
            <w:pPr>
              <w:spacing w:after="0"/>
              <w:rPr>
                <w:sz w:val="11"/>
                <w:szCs w:val="11"/>
                <w:color w:val="auto"/>
              </w:rPr>
            </w:pPr>
          </w:p>
        </w:tc>
        <w:tc>
          <w:tcPr>
            <w:tcW w:w="680" w:type="dxa"/>
            <w:vAlign w:val="bottom"/>
            <w:tcBorders>
              <w:top w:val="single" w:sz="8" w:color="auto"/>
              <w:bottom w:val="single" w:sz="8" w:color="auto"/>
            </w:tcBorders>
          </w:tcPr>
          <w:p>
            <w:pPr>
              <w:jc w:val="center"/>
              <w:spacing w:after="0" w:line="136" w:lineRule="exact"/>
              <w:rPr>
                <w:sz w:val="20"/>
                <w:szCs w:val="20"/>
                <w:color w:val="auto"/>
              </w:rPr>
            </w:pPr>
            <w:r>
              <w:rPr>
                <w:rFonts w:ascii="Arial" w:cs="Arial" w:eastAsia="Arial" w:hAnsi="Arial"/>
                <w:sz w:val="14"/>
                <w:szCs w:val="14"/>
                <w:b w:val="1"/>
                <w:bCs w:val="1"/>
                <w:color w:val="auto"/>
                <w:w w:val="89"/>
              </w:rPr>
              <w:t>2016</w:t>
            </w:r>
          </w:p>
        </w:tc>
        <w:tc>
          <w:tcPr>
            <w:tcW w:w="120" w:type="dxa"/>
            <w:vAlign w:val="bottom"/>
          </w:tcPr>
          <w:p>
            <w:pPr>
              <w:spacing w:after="0"/>
              <w:rPr>
                <w:sz w:val="11"/>
                <w:szCs w:val="11"/>
                <w:color w:val="auto"/>
              </w:rPr>
            </w:pPr>
          </w:p>
        </w:tc>
        <w:tc>
          <w:tcPr>
            <w:tcW w:w="500" w:type="dxa"/>
            <w:vAlign w:val="bottom"/>
            <w:tcBorders>
              <w:top w:val="single" w:sz="8" w:color="auto"/>
              <w:bottom w:val="single" w:sz="8" w:color="auto"/>
            </w:tcBorders>
          </w:tcPr>
          <w:p>
            <w:pPr>
              <w:spacing w:after="0"/>
              <w:rPr>
                <w:sz w:val="11"/>
                <w:szCs w:val="11"/>
                <w:color w:val="auto"/>
              </w:rPr>
            </w:pPr>
          </w:p>
        </w:tc>
        <w:tc>
          <w:tcPr>
            <w:tcW w:w="680" w:type="dxa"/>
            <w:vAlign w:val="bottom"/>
            <w:tcBorders>
              <w:top w:val="single" w:sz="8" w:color="auto"/>
              <w:bottom w:val="single" w:sz="8" w:color="auto"/>
            </w:tcBorders>
          </w:tcPr>
          <w:p>
            <w:pPr>
              <w:spacing w:after="0"/>
              <w:rPr>
                <w:sz w:val="11"/>
                <w:szCs w:val="11"/>
                <w:color w:val="auto"/>
              </w:rPr>
            </w:pPr>
          </w:p>
        </w:tc>
        <w:tc>
          <w:tcPr>
            <w:tcW w:w="220" w:type="dxa"/>
            <w:vAlign w:val="bottom"/>
            <w:tcBorders>
              <w:top w:val="single" w:sz="8" w:color="auto"/>
              <w:bottom w:val="single" w:sz="8" w:color="auto"/>
            </w:tcBorders>
          </w:tcPr>
          <w:p>
            <w:pPr>
              <w:spacing w:after="0"/>
              <w:rPr>
                <w:sz w:val="11"/>
                <w:szCs w:val="11"/>
                <w:color w:val="auto"/>
              </w:rPr>
            </w:pPr>
          </w:p>
        </w:tc>
        <w:tc>
          <w:tcPr>
            <w:tcW w:w="760" w:type="dxa"/>
            <w:vAlign w:val="bottom"/>
            <w:tcBorders>
              <w:top w:val="single" w:sz="8" w:color="auto"/>
              <w:bottom w:val="single" w:sz="8" w:color="auto"/>
            </w:tcBorders>
          </w:tcPr>
          <w:p>
            <w:pPr>
              <w:jc w:val="right"/>
              <w:spacing w:after="0" w:line="136" w:lineRule="exact"/>
              <w:rPr>
                <w:sz w:val="20"/>
                <w:szCs w:val="20"/>
                <w:color w:val="auto"/>
              </w:rPr>
            </w:pPr>
            <w:r>
              <w:rPr>
                <w:rFonts w:ascii="Arial" w:cs="Arial" w:eastAsia="Arial" w:hAnsi="Arial"/>
                <w:sz w:val="14"/>
                <w:szCs w:val="14"/>
                <w:b w:val="1"/>
                <w:bCs w:val="1"/>
                <w:color w:val="auto"/>
              </w:rPr>
              <w:t>2017</w:t>
            </w:r>
          </w:p>
        </w:tc>
        <w:tc>
          <w:tcPr>
            <w:tcW w:w="420" w:type="dxa"/>
            <w:vAlign w:val="bottom"/>
            <w:tcBorders>
              <w:top w:val="single" w:sz="8" w:color="auto"/>
              <w:bottom w:val="single" w:sz="8" w:color="auto"/>
            </w:tcBorders>
          </w:tcPr>
          <w:p>
            <w:pPr>
              <w:spacing w:after="0"/>
              <w:rPr>
                <w:sz w:val="11"/>
                <w:szCs w:val="11"/>
                <w:color w:val="auto"/>
              </w:rPr>
            </w:pPr>
          </w:p>
        </w:tc>
        <w:tc>
          <w:tcPr>
            <w:tcW w:w="220" w:type="dxa"/>
            <w:vAlign w:val="bottom"/>
            <w:tcBorders>
              <w:top w:val="single" w:sz="8" w:color="auto"/>
              <w:bottom w:val="single" w:sz="8" w:color="auto"/>
            </w:tcBorders>
          </w:tcPr>
          <w:p>
            <w:pPr>
              <w:spacing w:after="0"/>
              <w:rPr>
                <w:sz w:val="11"/>
                <w:szCs w:val="11"/>
                <w:color w:val="auto"/>
              </w:rPr>
            </w:pPr>
          </w:p>
        </w:tc>
        <w:tc>
          <w:tcPr>
            <w:tcW w:w="780" w:type="dxa"/>
            <w:vAlign w:val="bottom"/>
            <w:tcBorders>
              <w:top w:val="single" w:sz="8" w:color="auto"/>
              <w:bottom w:val="single" w:sz="8" w:color="auto"/>
            </w:tcBorders>
          </w:tcPr>
          <w:p>
            <w:pPr>
              <w:spacing w:after="0"/>
              <w:rPr>
                <w:sz w:val="11"/>
                <w:szCs w:val="11"/>
                <w:color w:val="auto"/>
              </w:rPr>
            </w:pPr>
          </w:p>
        </w:tc>
        <w:tc>
          <w:tcPr>
            <w:tcW w:w="400" w:type="dxa"/>
            <w:vAlign w:val="bottom"/>
            <w:tcBorders>
              <w:top w:val="single" w:sz="8" w:color="auto"/>
              <w:bottom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720" w:type="dxa"/>
            <w:vAlign w:val="bottom"/>
            <w:tcBorders>
              <w:top w:val="single" w:sz="8" w:color="auto"/>
              <w:bottom w:val="single" w:sz="8" w:color="auto"/>
            </w:tcBorders>
          </w:tcPr>
          <w:p>
            <w:pPr>
              <w:spacing w:after="0"/>
              <w:rPr>
                <w:sz w:val="11"/>
                <w:szCs w:val="11"/>
                <w:color w:val="auto"/>
              </w:rPr>
            </w:pPr>
          </w:p>
        </w:tc>
        <w:tc>
          <w:tcPr>
            <w:tcW w:w="440" w:type="dxa"/>
            <w:vAlign w:val="bottom"/>
            <w:tcBorders>
              <w:top w:val="single" w:sz="8" w:color="auto"/>
              <w:bottom w:val="single" w:sz="8" w:color="auto"/>
            </w:tcBorders>
          </w:tcPr>
          <w:p>
            <w:pPr>
              <w:spacing w:after="0"/>
              <w:rPr>
                <w:sz w:val="11"/>
                <w:szCs w:val="11"/>
                <w:color w:val="auto"/>
              </w:rPr>
            </w:pPr>
          </w:p>
        </w:tc>
        <w:tc>
          <w:tcPr>
            <w:tcW w:w="200" w:type="dxa"/>
            <w:vAlign w:val="bottom"/>
            <w:tcBorders>
              <w:top w:val="single" w:sz="8" w:color="auto"/>
              <w:bottom w:val="single" w:sz="8" w:color="auto"/>
            </w:tcBorders>
          </w:tcPr>
          <w:p>
            <w:pPr>
              <w:spacing w:after="0"/>
              <w:rPr>
                <w:sz w:val="11"/>
                <w:szCs w:val="11"/>
                <w:color w:val="auto"/>
              </w:rPr>
            </w:pPr>
          </w:p>
        </w:tc>
        <w:tc>
          <w:tcPr>
            <w:tcW w:w="720" w:type="dxa"/>
            <w:vAlign w:val="bottom"/>
            <w:tcBorders>
              <w:top w:val="single" w:sz="8" w:color="auto"/>
              <w:bottom w:val="single" w:sz="8" w:color="auto"/>
            </w:tcBorders>
          </w:tcPr>
          <w:p>
            <w:pPr>
              <w:jc w:val="right"/>
              <w:spacing w:after="0" w:line="136" w:lineRule="exact"/>
              <w:rPr>
                <w:sz w:val="20"/>
                <w:szCs w:val="20"/>
                <w:color w:val="auto"/>
              </w:rPr>
            </w:pPr>
            <w:r>
              <w:rPr>
                <w:rFonts w:ascii="Arial" w:cs="Arial" w:eastAsia="Arial" w:hAnsi="Arial"/>
                <w:sz w:val="14"/>
                <w:szCs w:val="14"/>
                <w:b w:val="1"/>
                <w:bCs w:val="1"/>
                <w:color w:val="auto"/>
              </w:rPr>
              <w:t>2016</w:t>
            </w:r>
          </w:p>
        </w:tc>
        <w:tc>
          <w:tcPr>
            <w:tcW w:w="380" w:type="dxa"/>
            <w:vAlign w:val="bottom"/>
            <w:tcBorders>
              <w:top w:val="single" w:sz="8" w:color="auto"/>
              <w:bottom w:val="single" w:sz="8" w:color="auto"/>
            </w:tcBorders>
          </w:tcPr>
          <w:p>
            <w:pPr>
              <w:spacing w:after="0"/>
              <w:rPr>
                <w:sz w:val="11"/>
                <w:szCs w:val="11"/>
                <w:color w:val="auto"/>
              </w:rPr>
            </w:pPr>
          </w:p>
        </w:tc>
        <w:tc>
          <w:tcPr>
            <w:tcW w:w="200" w:type="dxa"/>
            <w:vAlign w:val="bottom"/>
            <w:tcBorders>
              <w:top w:val="single" w:sz="8" w:color="auto"/>
              <w:bottom w:val="single" w:sz="8" w:color="auto"/>
            </w:tcBorders>
          </w:tcPr>
          <w:p>
            <w:pPr>
              <w:spacing w:after="0"/>
              <w:rPr>
                <w:sz w:val="11"/>
                <w:szCs w:val="11"/>
                <w:color w:val="auto"/>
              </w:rPr>
            </w:pPr>
          </w:p>
        </w:tc>
        <w:tc>
          <w:tcPr>
            <w:tcW w:w="720" w:type="dxa"/>
            <w:vAlign w:val="bottom"/>
            <w:tcBorders>
              <w:top w:val="single" w:sz="8" w:color="auto"/>
              <w:bottom w:val="single" w:sz="8" w:color="auto"/>
            </w:tcBorders>
          </w:tcPr>
          <w:p>
            <w:pPr>
              <w:spacing w:after="0"/>
              <w:rPr>
                <w:sz w:val="11"/>
                <w:szCs w:val="11"/>
                <w:color w:val="auto"/>
              </w:rPr>
            </w:pPr>
          </w:p>
        </w:tc>
        <w:tc>
          <w:tcPr>
            <w:tcW w:w="380" w:type="dxa"/>
            <w:vAlign w:val="bottom"/>
            <w:tcBorders>
              <w:top w:val="single" w:sz="8" w:color="auto"/>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3"/>
        </w:trPr>
        <w:tc>
          <w:tcPr>
            <w:tcW w:w="174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tcPr>
          <w:p>
            <w:pPr>
              <w:spacing w:after="0"/>
              <w:rPr>
                <w:sz w:val="9"/>
                <w:szCs w:val="9"/>
                <w:color w:val="auto"/>
              </w:rPr>
            </w:pPr>
          </w:p>
        </w:tc>
        <w:tc>
          <w:tcPr>
            <w:tcW w:w="9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S/</w:t>
            </w:r>
          </w:p>
        </w:tc>
        <w:tc>
          <w:tcPr>
            <w:tcW w:w="7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US$</w:t>
            </w:r>
          </w:p>
        </w:tc>
        <w:tc>
          <w:tcPr>
            <w:tcW w:w="420" w:type="dxa"/>
            <w:vAlign w:val="bottom"/>
          </w:tcPr>
          <w:p>
            <w:pPr>
              <w:spacing w:after="0"/>
              <w:rPr>
                <w:sz w:val="9"/>
                <w:szCs w:val="9"/>
                <w:color w:val="auto"/>
              </w:rPr>
            </w:pPr>
          </w:p>
        </w:tc>
        <w:tc>
          <w:tcPr>
            <w:tcW w:w="220" w:type="dxa"/>
            <w:vAlign w:val="bottom"/>
          </w:tcPr>
          <w:p>
            <w:pPr>
              <w:spacing w:after="0"/>
              <w:rPr>
                <w:sz w:val="9"/>
                <w:szCs w:val="9"/>
                <w:color w:val="auto"/>
              </w:rPr>
            </w:pPr>
          </w:p>
        </w:tc>
        <w:tc>
          <w:tcPr>
            <w:tcW w:w="780" w:type="dxa"/>
            <w:vAlign w:val="bottom"/>
          </w:tcPr>
          <w:p>
            <w:pPr>
              <w:jc w:val="center"/>
              <w:ind w:left="312"/>
              <w:spacing w:after="0" w:line="114" w:lineRule="exact"/>
              <w:rPr>
                <w:sz w:val="20"/>
                <w:szCs w:val="20"/>
                <w:color w:val="auto"/>
              </w:rPr>
            </w:pPr>
            <w:r>
              <w:rPr>
                <w:rFonts w:ascii="Arial" w:cs="Arial" w:eastAsia="Arial" w:hAnsi="Arial"/>
                <w:sz w:val="13"/>
                <w:szCs w:val="13"/>
                <w:b w:val="1"/>
                <w:bCs w:val="1"/>
                <w:color w:val="auto"/>
              </w:rPr>
              <w:t>Other</w:t>
            </w:r>
          </w:p>
        </w:tc>
        <w:tc>
          <w:tcPr>
            <w:tcW w:w="400" w:type="dxa"/>
            <w:vAlign w:val="bottom"/>
          </w:tcPr>
          <w:p>
            <w:pPr>
              <w:spacing w:after="0"/>
              <w:rPr>
                <w:sz w:val="9"/>
                <w:szCs w:val="9"/>
                <w:color w:val="auto"/>
              </w:rPr>
            </w:pPr>
          </w:p>
        </w:tc>
        <w:tc>
          <w:tcPr>
            <w:tcW w:w="240" w:type="dxa"/>
            <w:vAlign w:val="bottom"/>
          </w:tcPr>
          <w:p>
            <w:pPr>
              <w:spacing w:after="0"/>
              <w:rPr>
                <w:sz w:val="9"/>
                <w:szCs w:val="9"/>
                <w:color w:val="auto"/>
              </w:rPr>
            </w:pPr>
          </w:p>
        </w:tc>
        <w:tc>
          <w:tcPr>
            <w:tcW w:w="720" w:type="dxa"/>
            <w:vAlign w:val="bottom"/>
            <w:vMerge w:val="restart"/>
          </w:tcPr>
          <w:p>
            <w:pPr>
              <w:jc w:val="right"/>
              <w:ind w:right="11"/>
              <w:spacing w:after="0"/>
              <w:rPr>
                <w:sz w:val="20"/>
                <w:szCs w:val="20"/>
                <w:color w:val="auto"/>
              </w:rPr>
            </w:pPr>
            <w:r>
              <w:rPr>
                <w:rFonts w:ascii="Arial" w:cs="Arial" w:eastAsia="Arial" w:hAnsi="Arial"/>
                <w:sz w:val="14"/>
                <w:szCs w:val="14"/>
                <w:b w:val="1"/>
                <w:bCs w:val="1"/>
                <w:color w:val="auto"/>
              </w:rPr>
              <w:t>S/</w:t>
            </w: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US$</w:t>
            </w:r>
          </w:p>
        </w:tc>
        <w:tc>
          <w:tcPr>
            <w:tcW w:w="380" w:type="dxa"/>
            <w:vAlign w:val="bottom"/>
          </w:tcPr>
          <w:p>
            <w:pPr>
              <w:spacing w:after="0"/>
              <w:rPr>
                <w:sz w:val="9"/>
                <w:szCs w:val="9"/>
                <w:color w:val="auto"/>
              </w:rPr>
            </w:pPr>
          </w:p>
        </w:tc>
        <w:tc>
          <w:tcPr>
            <w:tcW w:w="200" w:type="dxa"/>
            <w:vAlign w:val="bottom"/>
          </w:tcPr>
          <w:p>
            <w:pPr>
              <w:spacing w:after="0"/>
              <w:rPr>
                <w:sz w:val="9"/>
                <w:szCs w:val="9"/>
                <w:color w:val="auto"/>
              </w:rPr>
            </w:pPr>
          </w:p>
        </w:tc>
        <w:tc>
          <w:tcPr>
            <w:tcW w:w="720" w:type="dxa"/>
            <w:vAlign w:val="bottom"/>
          </w:tcPr>
          <w:p>
            <w:pPr>
              <w:jc w:val="right"/>
              <w:spacing w:after="0" w:line="114" w:lineRule="exact"/>
              <w:rPr>
                <w:sz w:val="20"/>
                <w:szCs w:val="20"/>
                <w:color w:val="auto"/>
              </w:rPr>
            </w:pPr>
            <w:r>
              <w:rPr>
                <w:rFonts w:ascii="Arial" w:cs="Arial" w:eastAsia="Arial" w:hAnsi="Arial"/>
                <w:sz w:val="13"/>
                <w:szCs w:val="13"/>
                <w:b w:val="1"/>
                <w:bCs w:val="1"/>
                <w:color w:val="auto"/>
              </w:rPr>
              <w:t>Other</w:t>
            </w: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5"/>
        </w:trPr>
        <w:tc>
          <w:tcPr>
            <w:tcW w:w="1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2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87"/>
              </w:rPr>
              <w:t>currencies</w:t>
            </w:r>
          </w:p>
        </w:tc>
        <w:tc>
          <w:tcPr>
            <w:tcW w:w="720" w:type="dxa"/>
            <w:vAlign w:val="bottom"/>
            <w:vMerge w:val="continue"/>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gridSpan w:val="3"/>
          </w:tcPr>
          <w:p>
            <w:pPr>
              <w:jc w:val="right"/>
              <w:ind w:right="340"/>
              <w:spacing w:after="0"/>
              <w:rPr>
                <w:sz w:val="20"/>
                <w:szCs w:val="20"/>
                <w:color w:val="auto"/>
              </w:rPr>
            </w:pPr>
            <w:r>
              <w:rPr>
                <w:rFonts w:ascii="Arial" w:cs="Arial" w:eastAsia="Arial" w:hAnsi="Arial"/>
                <w:sz w:val="14"/>
                <w:szCs w:val="14"/>
                <w:b w:val="1"/>
                <w:bCs w:val="1"/>
                <w:color w:val="auto"/>
              </w:rPr>
              <w:t>currencies</w:t>
            </w:r>
          </w:p>
        </w:tc>
        <w:tc>
          <w:tcPr>
            <w:tcW w:w="0" w:type="dxa"/>
            <w:vAlign w:val="bottom"/>
          </w:tcPr>
          <w:p>
            <w:pPr>
              <w:spacing w:after="0"/>
              <w:rPr>
                <w:sz w:val="1"/>
                <w:szCs w:val="1"/>
                <w:color w:val="auto"/>
              </w:rPr>
            </w:pPr>
          </w:p>
        </w:tc>
      </w:tr>
      <w:tr>
        <w:trPr>
          <w:trHeight w:val="113"/>
        </w:trPr>
        <w:tc>
          <w:tcPr>
            <w:tcW w:w="174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tcBorders>
              <w:top w:val="single" w:sz="8" w:color="auto"/>
            </w:tcBorders>
          </w:tcPr>
          <w:p>
            <w:pPr>
              <w:jc w:val="right"/>
              <w:ind w:right="71"/>
              <w:spacing w:after="0" w:line="114" w:lineRule="exact"/>
              <w:rPr>
                <w:sz w:val="20"/>
                <w:szCs w:val="20"/>
                <w:color w:val="auto"/>
              </w:rPr>
            </w:pPr>
            <w:r>
              <w:rPr>
                <w:rFonts w:ascii="Arial" w:cs="Arial" w:eastAsia="Arial" w:hAnsi="Arial"/>
                <w:sz w:val="13"/>
                <w:szCs w:val="13"/>
                <w:b w:val="1"/>
                <w:bCs w:val="1"/>
                <w:color w:val="auto"/>
              </w:rPr>
              <w:t>Min</w:t>
            </w:r>
          </w:p>
        </w:tc>
        <w:tc>
          <w:tcPr>
            <w:tcW w:w="680" w:type="dxa"/>
            <w:vAlign w:val="bottom"/>
            <w:tcBorders>
              <w:top w:val="single" w:sz="8" w:color="auto"/>
            </w:tcBorders>
          </w:tcPr>
          <w:p>
            <w:pPr>
              <w:jc w:val="right"/>
              <w:ind w:right="31"/>
              <w:spacing w:after="0" w:line="114" w:lineRule="exact"/>
              <w:rPr>
                <w:sz w:val="20"/>
                <w:szCs w:val="20"/>
                <w:color w:val="auto"/>
              </w:rPr>
            </w:pPr>
            <w:r>
              <w:rPr>
                <w:rFonts w:ascii="Arial" w:cs="Arial" w:eastAsia="Arial" w:hAnsi="Arial"/>
                <w:sz w:val="13"/>
                <w:szCs w:val="13"/>
                <w:b w:val="1"/>
                <w:bCs w:val="1"/>
                <w:color w:val="auto"/>
              </w:rPr>
              <w:t>Max</w:t>
            </w:r>
          </w:p>
        </w:tc>
        <w:tc>
          <w:tcPr>
            <w:tcW w:w="220" w:type="dxa"/>
            <w:vAlign w:val="bottom"/>
          </w:tcPr>
          <w:p>
            <w:pPr>
              <w:spacing w:after="0"/>
              <w:rPr>
                <w:sz w:val="9"/>
                <w:szCs w:val="9"/>
                <w:color w:val="auto"/>
              </w:rPr>
            </w:pPr>
          </w:p>
        </w:tc>
        <w:tc>
          <w:tcPr>
            <w:tcW w:w="760" w:type="dxa"/>
            <w:vAlign w:val="bottom"/>
            <w:tcBorders>
              <w:top w:val="single" w:sz="8" w:color="auto"/>
            </w:tcBorders>
          </w:tcPr>
          <w:p>
            <w:pPr>
              <w:jc w:val="right"/>
              <w:ind w:right="331"/>
              <w:spacing w:after="0" w:line="114" w:lineRule="exact"/>
              <w:rPr>
                <w:sz w:val="20"/>
                <w:szCs w:val="20"/>
                <w:color w:val="auto"/>
              </w:rPr>
            </w:pPr>
            <w:r>
              <w:rPr>
                <w:rFonts w:ascii="Arial" w:cs="Arial" w:eastAsia="Arial" w:hAnsi="Arial"/>
                <w:sz w:val="13"/>
                <w:szCs w:val="13"/>
                <w:b w:val="1"/>
                <w:bCs w:val="1"/>
                <w:color w:val="auto"/>
              </w:rPr>
              <w:t>Min</w:t>
            </w:r>
          </w:p>
        </w:tc>
        <w:tc>
          <w:tcPr>
            <w:tcW w:w="420" w:type="dxa"/>
            <w:vAlign w:val="bottom"/>
            <w:tcBorders>
              <w:top w:val="single" w:sz="8" w:color="auto"/>
            </w:tcBorders>
          </w:tcPr>
          <w:p>
            <w:pPr>
              <w:jc w:val="right"/>
              <w:ind w:right="31"/>
              <w:spacing w:after="0" w:line="114" w:lineRule="exact"/>
              <w:rPr>
                <w:sz w:val="20"/>
                <w:szCs w:val="20"/>
                <w:color w:val="auto"/>
              </w:rPr>
            </w:pPr>
            <w:r>
              <w:rPr>
                <w:rFonts w:ascii="Arial" w:cs="Arial" w:eastAsia="Arial" w:hAnsi="Arial"/>
                <w:sz w:val="13"/>
                <w:szCs w:val="13"/>
                <w:b w:val="1"/>
                <w:bCs w:val="1"/>
                <w:color w:val="auto"/>
              </w:rPr>
              <w:t>Max</w:t>
            </w:r>
          </w:p>
        </w:tc>
        <w:tc>
          <w:tcPr>
            <w:tcW w:w="220" w:type="dxa"/>
            <w:vAlign w:val="bottom"/>
          </w:tcPr>
          <w:p>
            <w:pPr>
              <w:spacing w:after="0"/>
              <w:rPr>
                <w:sz w:val="9"/>
                <w:szCs w:val="9"/>
                <w:color w:val="auto"/>
              </w:rPr>
            </w:pPr>
          </w:p>
        </w:tc>
        <w:tc>
          <w:tcPr>
            <w:tcW w:w="780" w:type="dxa"/>
            <w:vAlign w:val="bottom"/>
            <w:tcBorders>
              <w:top w:val="single" w:sz="8" w:color="auto"/>
            </w:tcBorders>
          </w:tcPr>
          <w:p>
            <w:pPr>
              <w:jc w:val="right"/>
              <w:ind w:right="352"/>
              <w:spacing w:after="0" w:line="114" w:lineRule="exact"/>
              <w:rPr>
                <w:sz w:val="20"/>
                <w:szCs w:val="20"/>
                <w:color w:val="auto"/>
              </w:rPr>
            </w:pPr>
            <w:r>
              <w:rPr>
                <w:rFonts w:ascii="Arial" w:cs="Arial" w:eastAsia="Arial" w:hAnsi="Arial"/>
                <w:sz w:val="13"/>
                <w:szCs w:val="13"/>
                <w:b w:val="1"/>
                <w:bCs w:val="1"/>
                <w:color w:val="auto"/>
              </w:rPr>
              <w:t>Min</w:t>
            </w:r>
          </w:p>
        </w:tc>
        <w:tc>
          <w:tcPr>
            <w:tcW w:w="400" w:type="dxa"/>
            <w:vAlign w:val="bottom"/>
            <w:tcBorders>
              <w:top w:val="single" w:sz="8" w:color="auto"/>
            </w:tcBorders>
          </w:tcPr>
          <w:p>
            <w:pPr>
              <w:jc w:val="right"/>
              <w:ind w:right="31"/>
              <w:spacing w:after="0" w:line="114" w:lineRule="exact"/>
              <w:rPr>
                <w:sz w:val="20"/>
                <w:szCs w:val="20"/>
                <w:color w:val="auto"/>
              </w:rPr>
            </w:pPr>
            <w:r>
              <w:rPr>
                <w:rFonts w:ascii="Arial" w:cs="Arial" w:eastAsia="Arial" w:hAnsi="Arial"/>
                <w:sz w:val="13"/>
                <w:szCs w:val="13"/>
                <w:b w:val="1"/>
                <w:bCs w:val="1"/>
                <w:color w:val="auto"/>
              </w:rPr>
              <w:t>Max</w:t>
            </w:r>
          </w:p>
        </w:tc>
        <w:tc>
          <w:tcPr>
            <w:tcW w:w="240" w:type="dxa"/>
            <w:vAlign w:val="bottom"/>
          </w:tcPr>
          <w:p>
            <w:pPr>
              <w:spacing w:after="0"/>
              <w:rPr>
                <w:sz w:val="9"/>
                <w:szCs w:val="9"/>
                <w:color w:val="auto"/>
              </w:rPr>
            </w:pPr>
          </w:p>
        </w:tc>
        <w:tc>
          <w:tcPr>
            <w:tcW w:w="720" w:type="dxa"/>
            <w:vAlign w:val="bottom"/>
            <w:tcBorders>
              <w:top w:val="single" w:sz="8" w:color="auto"/>
            </w:tcBorders>
          </w:tcPr>
          <w:p>
            <w:pPr>
              <w:jc w:val="right"/>
              <w:ind w:right="311"/>
              <w:spacing w:after="0" w:line="114" w:lineRule="exact"/>
              <w:rPr>
                <w:sz w:val="20"/>
                <w:szCs w:val="20"/>
                <w:color w:val="auto"/>
              </w:rPr>
            </w:pPr>
            <w:r>
              <w:rPr>
                <w:rFonts w:ascii="Arial" w:cs="Arial" w:eastAsia="Arial" w:hAnsi="Arial"/>
                <w:sz w:val="13"/>
                <w:szCs w:val="13"/>
                <w:b w:val="1"/>
                <w:bCs w:val="1"/>
                <w:color w:val="auto"/>
              </w:rPr>
              <w:t>Min</w:t>
            </w:r>
          </w:p>
        </w:tc>
        <w:tc>
          <w:tcPr>
            <w:tcW w:w="440" w:type="dxa"/>
            <w:vAlign w:val="bottom"/>
            <w:tcBorders>
              <w:top w:val="single" w:sz="8" w:color="auto"/>
            </w:tcBorders>
          </w:tcPr>
          <w:p>
            <w:pPr>
              <w:jc w:val="center"/>
              <w:spacing w:after="0" w:line="114" w:lineRule="exact"/>
              <w:rPr>
                <w:sz w:val="20"/>
                <w:szCs w:val="20"/>
                <w:color w:val="auto"/>
              </w:rPr>
            </w:pPr>
            <w:r>
              <w:rPr>
                <w:rFonts w:ascii="Arial" w:cs="Arial" w:eastAsia="Arial" w:hAnsi="Arial"/>
                <w:sz w:val="13"/>
                <w:szCs w:val="13"/>
                <w:b w:val="1"/>
                <w:bCs w:val="1"/>
                <w:color w:val="auto"/>
              </w:rPr>
              <w:t>Max</w:t>
            </w:r>
          </w:p>
        </w:tc>
        <w:tc>
          <w:tcPr>
            <w:tcW w:w="200" w:type="dxa"/>
            <w:vAlign w:val="bottom"/>
          </w:tcPr>
          <w:p>
            <w:pPr>
              <w:spacing w:after="0"/>
              <w:rPr>
                <w:sz w:val="9"/>
                <w:szCs w:val="9"/>
                <w:color w:val="auto"/>
              </w:rPr>
            </w:pPr>
          </w:p>
        </w:tc>
        <w:tc>
          <w:tcPr>
            <w:tcW w:w="720" w:type="dxa"/>
            <w:vAlign w:val="bottom"/>
            <w:tcBorders>
              <w:top w:val="single" w:sz="8" w:color="auto"/>
            </w:tcBorders>
          </w:tcPr>
          <w:p>
            <w:pPr>
              <w:jc w:val="right"/>
              <w:ind w:right="291"/>
              <w:spacing w:after="0" w:line="114" w:lineRule="exact"/>
              <w:rPr>
                <w:sz w:val="20"/>
                <w:szCs w:val="20"/>
                <w:color w:val="auto"/>
              </w:rPr>
            </w:pPr>
            <w:r>
              <w:rPr>
                <w:rFonts w:ascii="Arial" w:cs="Arial" w:eastAsia="Arial" w:hAnsi="Arial"/>
                <w:sz w:val="13"/>
                <w:szCs w:val="13"/>
                <w:b w:val="1"/>
                <w:bCs w:val="1"/>
                <w:color w:val="auto"/>
              </w:rPr>
              <w:t>Min</w:t>
            </w:r>
          </w:p>
        </w:tc>
        <w:tc>
          <w:tcPr>
            <w:tcW w:w="380" w:type="dxa"/>
            <w:vAlign w:val="bottom"/>
            <w:tcBorders>
              <w:top w:val="single" w:sz="8" w:color="auto"/>
            </w:tcBorders>
          </w:tcPr>
          <w:p>
            <w:pPr>
              <w:jc w:val="center"/>
              <w:spacing w:after="0" w:line="114" w:lineRule="exact"/>
              <w:rPr>
                <w:sz w:val="20"/>
                <w:szCs w:val="20"/>
                <w:color w:val="auto"/>
              </w:rPr>
            </w:pPr>
            <w:r>
              <w:rPr>
                <w:rFonts w:ascii="Arial" w:cs="Arial" w:eastAsia="Arial" w:hAnsi="Arial"/>
                <w:sz w:val="13"/>
                <w:szCs w:val="13"/>
                <w:b w:val="1"/>
                <w:bCs w:val="1"/>
                <w:color w:val="auto"/>
              </w:rPr>
              <w:t>Max</w:t>
            </w:r>
          </w:p>
        </w:tc>
        <w:tc>
          <w:tcPr>
            <w:tcW w:w="200" w:type="dxa"/>
            <w:vAlign w:val="bottom"/>
          </w:tcPr>
          <w:p>
            <w:pPr>
              <w:spacing w:after="0"/>
              <w:rPr>
                <w:sz w:val="9"/>
                <w:szCs w:val="9"/>
                <w:color w:val="auto"/>
              </w:rPr>
            </w:pPr>
          </w:p>
        </w:tc>
        <w:tc>
          <w:tcPr>
            <w:tcW w:w="720" w:type="dxa"/>
            <w:vAlign w:val="bottom"/>
            <w:tcBorders>
              <w:top w:val="single" w:sz="8" w:color="auto"/>
            </w:tcBorders>
          </w:tcPr>
          <w:p>
            <w:pPr>
              <w:jc w:val="right"/>
              <w:ind w:right="292"/>
              <w:spacing w:after="0" w:line="114" w:lineRule="exact"/>
              <w:rPr>
                <w:sz w:val="20"/>
                <w:szCs w:val="20"/>
                <w:color w:val="auto"/>
              </w:rPr>
            </w:pPr>
            <w:r>
              <w:rPr>
                <w:rFonts w:ascii="Arial" w:cs="Arial" w:eastAsia="Arial" w:hAnsi="Arial"/>
                <w:sz w:val="13"/>
                <w:szCs w:val="13"/>
                <w:b w:val="1"/>
                <w:bCs w:val="1"/>
                <w:color w:val="auto"/>
              </w:rPr>
              <w:t>Min</w:t>
            </w:r>
          </w:p>
        </w:tc>
        <w:tc>
          <w:tcPr>
            <w:tcW w:w="380" w:type="dxa"/>
            <w:vAlign w:val="bottom"/>
            <w:tcBorders>
              <w:top w:val="single" w:sz="8" w:color="auto"/>
            </w:tcBorders>
          </w:tcPr>
          <w:p>
            <w:pPr>
              <w:jc w:val="right"/>
              <w:ind w:right="11"/>
              <w:spacing w:after="0" w:line="114" w:lineRule="exact"/>
              <w:rPr>
                <w:sz w:val="20"/>
                <w:szCs w:val="20"/>
                <w:color w:val="auto"/>
              </w:rPr>
            </w:pPr>
            <w:r>
              <w:rPr>
                <w:rFonts w:ascii="Arial" w:cs="Arial" w:eastAsia="Arial" w:hAnsi="Arial"/>
                <w:sz w:val="13"/>
                <w:szCs w:val="13"/>
                <w:b w:val="1"/>
                <w:bCs w:val="1"/>
                <w:color w:val="auto"/>
              </w:rPr>
              <w:t>Max</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9"/>
        </w:trPr>
        <w:tc>
          <w:tcPr>
            <w:tcW w:w="17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jc w:val="right"/>
              <w:ind w:right="131"/>
              <w:spacing w:after="0"/>
              <w:rPr>
                <w:sz w:val="20"/>
                <w:szCs w:val="20"/>
                <w:color w:val="auto"/>
              </w:rPr>
            </w:pPr>
            <w:r>
              <w:rPr>
                <w:rFonts w:ascii="Arial" w:cs="Arial" w:eastAsia="Arial" w:hAnsi="Arial"/>
                <w:sz w:val="14"/>
                <w:szCs w:val="14"/>
                <w:b w:val="1"/>
                <w:bCs w:val="1"/>
                <w:color w:val="auto"/>
              </w:rPr>
              <w:t>%</w:t>
            </w:r>
          </w:p>
        </w:tc>
        <w:tc>
          <w:tcPr>
            <w:tcW w:w="680" w:type="dxa"/>
            <w:vAlign w:val="bottom"/>
          </w:tcPr>
          <w:p>
            <w:pPr>
              <w:jc w:val="right"/>
              <w:ind w:right="111"/>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5"/>
                <w:szCs w:val="15"/>
                <w:color w:val="auto"/>
              </w:rPr>
            </w:pPr>
          </w:p>
        </w:tc>
        <w:tc>
          <w:tcPr>
            <w:tcW w:w="760" w:type="dxa"/>
            <w:vAlign w:val="bottom"/>
          </w:tcPr>
          <w:p>
            <w:pPr>
              <w:jc w:val="right"/>
              <w:ind w:right="391"/>
              <w:spacing w:after="0"/>
              <w:rPr>
                <w:sz w:val="20"/>
                <w:szCs w:val="20"/>
                <w:color w:val="auto"/>
              </w:rPr>
            </w:pPr>
            <w:r>
              <w:rPr>
                <w:rFonts w:ascii="Arial" w:cs="Arial" w:eastAsia="Arial" w:hAnsi="Arial"/>
                <w:sz w:val="14"/>
                <w:szCs w:val="14"/>
                <w:b w:val="1"/>
                <w:bCs w:val="1"/>
                <w:color w:val="auto"/>
              </w:rPr>
              <w:t>%</w:t>
            </w:r>
          </w:p>
        </w:tc>
        <w:tc>
          <w:tcPr>
            <w:tcW w:w="420" w:type="dxa"/>
            <w:vAlign w:val="bottom"/>
          </w:tcPr>
          <w:p>
            <w:pPr>
              <w:jc w:val="right"/>
              <w:ind w:right="91"/>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5"/>
                <w:szCs w:val="15"/>
                <w:color w:val="auto"/>
              </w:rPr>
            </w:pPr>
          </w:p>
        </w:tc>
        <w:tc>
          <w:tcPr>
            <w:tcW w:w="780" w:type="dxa"/>
            <w:vAlign w:val="bottom"/>
          </w:tcPr>
          <w:p>
            <w:pPr>
              <w:jc w:val="right"/>
              <w:ind w:right="392"/>
              <w:spacing w:after="0"/>
              <w:rPr>
                <w:sz w:val="20"/>
                <w:szCs w:val="20"/>
                <w:color w:val="auto"/>
              </w:rPr>
            </w:pPr>
            <w:r>
              <w:rPr>
                <w:rFonts w:ascii="Arial" w:cs="Arial" w:eastAsia="Arial" w:hAnsi="Arial"/>
                <w:sz w:val="14"/>
                <w:szCs w:val="14"/>
                <w:b w:val="1"/>
                <w:bCs w:val="1"/>
                <w:color w:val="auto"/>
              </w:rPr>
              <w:t>%</w:t>
            </w:r>
          </w:p>
        </w:tc>
        <w:tc>
          <w:tcPr>
            <w:tcW w:w="400" w:type="dxa"/>
            <w:vAlign w:val="bottom"/>
          </w:tcPr>
          <w:p>
            <w:pPr>
              <w:jc w:val="right"/>
              <w:ind w:right="91"/>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5"/>
                <w:szCs w:val="15"/>
                <w:color w:val="auto"/>
              </w:rPr>
            </w:pPr>
          </w:p>
        </w:tc>
        <w:tc>
          <w:tcPr>
            <w:tcW w:w="720" w:type="dxa"/>
            <w:vAlign w:val="bottom"/>
          </w:tcPr>
          <w:p>
            <w:pPr>
              <w:jc w:val="right"/>
              <w:ind w:right="351"/>
              <w:spacing w:after="0"/>
              <w:rPr>
                <w:sz w:val="20"/>
                <w:szCs w:val="20"/>
                <w:color w:val="auto"/>
              </w:rPr>
            </w:pPr>
            <w:r>
              <w:rPr>
                <w:rFonts w:ascii="Arial" w:cs="Arial" w:eastAsia="Arial" w:hAnsi="Arial"/>
                <w:sz w:val="14"/>
                <w:szCs w:val="14"/>
                <w:b w:val="1"/>
                <w:bCs w:val="1"/>
                <w:color w:val="auto"/>
              </w:rPr>
              <w:t>%</w:t>
            </w:r>
          </w:p>
        </w:tc>
        <w:tc>
          <w:tcPr>
            <w:tcW w:w="440" w:type="dxa"/>
            <w:vAlign w:val="bottom"/>
          </w:tcPr>
          <w:p>
            <w:pPr>
              <w:jc w:val="right"/>
              <w:ind w:right="91"/>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5"/>
                <w:szCs w:val="15"/>
                <w:color w:val="auto"/>
              </w:rPr>
            </w:pPr>
          </w:p>
        </w:tc>
        <w:tc>
          <w:tcPr>
            <w:tcW w:w="720" w:type="dxa"/>
            <w:vAlign w:val="bottom"/>
          </w:tcPr>
          <w:p>
            <w:pPr>
              <w:jc w:val="right"/>
              <w:ind w:right="351"/>
              <w:spacing w:after="0"/>
              <w:rPr>
                <w:sz w:val="20"/>
                <w:szCs w:val="20"/>
                <w:color w:val="auto"/>
              </w:rPr>
            </w:pPr>
            <w:r>
              <w:rPr>
                <w:rFonts w:ascii="Arial" w:cs="Arial" w:eastAsia="Arial" w:hAnsi="Arial"/>
                <w:sz w:val="14"/>
                <w:szCs w:val="14"/>
                <w:b w:val="1"/>
                <w:bCs w:val="1"/>
                <w:color w:val="auto"/>
              </w:rPr>
              <w:t>%</w:t>
            </w:r>
          </w:p>
        </w:tc>
        <w:tc>
          <w:tcPr>
            <w:tcW w:w="380" w:type="dxa"/>
            <w:vAlign w:val="bottom"/>
          </w:tcPr>
          <w:p>
            <w:pPr>
              <w:jc w:val="right"/>
              <w:ind w:right="91"/>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5"/>
                <w:szCs w:val="15"/>
                <w:color w:val="auto"/>
              </w:rPr>
            </w:pPr>
          </w:p>
        </w:tc>
        <w:tc>
          <w:tcPr>
            <w:tcW w:w="720" w:type="dxa"/>
            <w:vAlign w:val="bottom"/>
          </w:tcPr>
          <w:p>
            <w:pPr>
              <w:jc w:val="right"/>
              <w:ind w:right="352"/>
              <w:spacing w:after="0"/>
              <w:rPr>
                <w:sz w:val="20"/>
                <w:szCs w:val="20"/>
                <w:color w:val="auto"/>
              </w:rPr>
            </w:pPr>
            <w:r>
              <w:rPr>
                <w:rFonts w:ascii="Arial" w:cs="Arial" w:eastAsia="Arial" w:hAnsi="Arial"/>
                <w:sz w:val="14"/>
                <w:szCs w:val="14"/>
                <w:b w:val="1"/>
                <w:bCs w:val="1"/>
                <w:color w:val="auto"/>
              </w:rPr>
              <w:t>%</w:t>
            </w:r>
          </w:p>
        </w:tc>
        <w:tc>
          <w:tcPr>
            <w:tcW w:w="380" w:type="dxa"/>
            <w:vAlign w:val="bottom"/>
          </w:tcPr>
          <w:p>
            <w:pPr>
              <w:jc w:val="right"/>
              <w:ind w:right="91"/>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1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4"/>
        </w:trPr>
        <w:tc>
          <w:tcPr>
            <w:tcW w:w="1740" w:type="dxa"/>
            <w:vAlign w:val="bottom"/>
            <w:shd w:val="clear" w:color="auto" w:fill="CCEEFF"/>
          </w:tcPr>
          <w:p>
            <w:pPr>
              <w:spacing w:after="0" w:line="125" w:lineRule="exact"/>
              <w:rPr>
                <w:sz w:val="20"/>
                <w:szCs w:val="20"/>
                <w:color w:val="auto"/>
              </w:rPr>
            </w:pPr>
            <w:r>
              <w:rPr>
                <w:rFonts w:ascii="Arial" w:cs="Arial" w:eastAsia="Arial" w:hAnsi="Arial"/>
                <w:sz w:val="14"/>
                <w:szCs w:val="14"/>
                <w:color w:val="auto"/>
              </w:rPr>
              <w:t>Corporate, leasing and</w:t>
            </w:r>
          </w:p>
        </w:tc>
        <w:tc>
          <w:tcPr>
            <w:tcW w:w="800" w:type="dxa"/>
            <w:vAlign w:val="bottom"/>
            <w:gridSpan w:val="2"/>
            <w:shd w:val="clear" w:color="auto" w:fill="CCEEFF"/>
          </w:tcPr>
          <w:p>
            <w:pPr>
              <w:jc w:val="center"/>
              <w:ind w:right="140"/>
              <w:spacing w:after="0" w:line="125" w:lineRule="exact"/>
              <w:rPr>
                <w:sz w:val="20"/>
                <w:szCs w:val="20"/>
                <w:color w:val="auto"/>
              </w:rPr>
            </w:pPr>
            <w:r>
              <w:rPr>
                <w:rFonts w:ascii="Arial" w:cs="Arial" w:eastAsia="Arial" w:hAnsi="Arial"/>
                <w:sz w:val="14"/>
                <w:szCs w:val="14"/>
                <w:color w:val="auto"/>
                <w:w w:val="87"/>
              </w:rPr>
              <w:t>Jan-2018 /</w:t>
            </w:r>
          </w:p>
        </w:tc>
        <w:tc>
          <w:tcPr>
            <w:tcW w:w="800" w:type="dxa"/>
            <w:vAlign w:val="bottom"/>
            <w:gridSpan w:val="2"/>
            <w:shd w:val="clear" w:color="auto" w:fill="CCEEFF"/>
          </w:tcPr>
          <w:p>
            <w:pPr>
              <w:jc w:val="center"/>
              <w:ind w:right="100"/>
              <w:spacing w:after="0" w:line="125" w:lineRule="exact"/>
              <w:rPr>
                <w:sz w:val="20"/>
                <w:szCs w:val="20"/>
                <w:color w:val="auto"/>
              </w:rPr>
            </w:pPr>
            <w:r>
              <w:rPr>
                <w:rFonts w:ascii="Arial" w:cs="Arial" w:eastAsia="Arial" w:hAnsi="Arial"/>
                <w:sz w:val="14"/>
                <w:szCs w:val="14"/>
                <w:color w:val="auto"/>
                <w:w w:val="87"/>
              </w:rPr>
              <w:t>Jan-2017 /</w:t>
            </w:r>
          </w:p>
        </w:tc>
        <w:tc>
          <w:tcPr>
            <w:tcW w:w="5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1"/>
        </w:trPr>
        <w:tc>
          <w:tcPr>
            <w:tcW w:w="1740" w:type="dxa"/>
            <w:vAlign w:val="bottom"/>
            <w:shd w:val="clear" w:color="auto" w:fill="CCEEFF"/>
          </w:tcPr>
          <w:p>
            <w:pPr>
              <w:spacing w:after="0"/>
              <w:rPr>
                <w:sz w:val="20"/>
                <w:szCs w:val="20"/>
                <w:color w:val="auto"/>
              </w:rPr>
            </w:pPr>
            <w:r>
              <w:rPr>
                <w:rFonts w:ascii="Arial" w:cs="Arial" w:eastAsia="Arial" w:hAnsi="Arial"/>
                <w:sz w:val="14"/>
                <w:szCs w:val="14"/>
                <w:color w:val="auto"/>
              </w:rPr>
              <w:t>Subordinated bonds</w:t>
            </w:r>
          </w:p>
        </w:tc>
        <w:tc>
          <w:tcPr>
            <w:tcW w:w="80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86"/>
              </w:rPr>
              <w:t>Feb-2065</w:t>
            </w:r>
          </w:p>
        </w:tc>
        <w:tc>
          <w:tcPr>
            <w:tcW w:w="80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86"/>
              </w:rPr>
              <w:t>Feb-2065</w:t>
            </w: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1.37</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9.20</w:t>
            </w:r>
          </w:p>
        </w:tc>
        <w:tc>
          <w:tcPr>
            <w:tcW w:w="760" w:type="dxa"/>
            <w:vAlign w:val="bottom"/>
            <w:shd w:val="clear" w:color="auto" w:fill="CCEEFF"/>
          </w:tcPr>
          <w:p>
            <w:pPr>
              <w:jc w:val="right"/>
              <w:ind w:right="211"/>
              <w:spacing w:after="0"/>
              <w:rPr>
                <w:sz w:val="20"/>
                <w:szCs w:val="20"/>
                <w:color w:val="auto"/>
              </w:rPr>
            </w:pPr>
            <w:r>
              <w:rPr>
                <w:rFonts w:ascii="Arial" w:cs="Arial" w:eastAsia="Arial" w:hAnsi="Arial"/>
                <w:sz w:val="14"/>
                <w:szCs w:val="14"/>
                <w:color w:val="auto"/>
              </w:rPr>
              <w:t>0.24</w:t>
            </w: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7.55</w:t>
            </w:r>
          </w:p>
        </w:tc>
        <w:tc>
          <w:tcPr>
            <w:tcW w:w="780" w:type="dxa"/>
            <w:vAlign w:val="bottom"/>
            <w:shd w:val="clear" w:color="auto" w:fill="CCEEFF"/>
          </w:tcPr>
          <w:p>
            <w:pPr>
              <w:jc w:val="right"/>
              <w:ind w:right="232"/>
              <w:spacing w:after="0"/>
              <w:rPr>
                <w:sz w:val="20"/>
                <w:szCs w:val="20"/>
                <w:color w:val="auto"/>
              </w:rPr>
            </w:pPr>
            <w:r>
              <w:rPr>
                <w:rFonts w:ascii="Arial" w:cs="Arial" w:eastAsia="Arial" w:hAnsi="Arial"/>
                <w:sz w:val="14"/>
                <w:szCs w:val="14"/>
                <w:color w:val="auto"/>
              </w:rPr>
              <w:t>0.17</w:t>
            </w: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7.83</w:t>
            </w:r>
          </w:p>
        </w:tc>
        <w:tc>
          <w:tcPr>
            <w:tcW w:w="720" w:type="dxa"/>
            <w:vAlign w:val="bottom"/>
            <w:shd w:val="clear" w:color="auto" w:fill="CCEEFF"/>
          </w:tcPr>
          <w:p>
            <w:pPr>
              <w:jc w:val="right"/>
              <w:ind w:right="191"/>
              <w:spacing w:after="0"/>
              <w:rPr>
                <w:sz w:val="20"/>
                <w:szCs w:val="20"/>
                <w:color w:val="auto"/>
              </w:rPr>
            </w:pPr>
            <w:r>
              <w:rPr>
                <w:rFonts w:ascii="Arial" w:cs="Arial" w:eastAsia="Arial" w:hAnsi="Arial"/>
                <w:sz w:val="14"/>
                <w:szCs w:val="14"/>
                <w:color w:val="auto"/>
              </w:rPr>
              <w:t>2.88</w:t>
            </w: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10.21</w:t>
            </w:r>
          </w:p>
        </w:tc>
        <w:tc>
          <w:tcPr>
            <w:tcW w:w="720" w:type="dxa"/>
            <w:vAlign w:val="bottom"/>
            <w:shd w:val="clear" w:color="auto" w:fill="CCEEFF"/>
          </w:tcPr>
          <w:p>
            <w:pPr>
              <w:jc w:val="right"/>
              <w:ind w:right="191"/>
              <w:spacing w:after="0"/>
              <w:rPr>
                <w:sz w:val="20"/>
                <w:szCs w:val="20"/>
                <w:color w:val="auto"/>
              </w:rPr>
            </w:pPr>
            <w:r>
              <w:rPr>
                <w:rFonts w:ascii="Arial" w:cs="Arial" w:eastAsia="Arial" w:hAnsi="Arial"/>
                <w:sz w:val="14"/>
                <w:szCs w:val="14"/>
                <w:color w:val="auto"/>
              </w:rPr>
              <w:t>0.16</w:t>
            </w: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13.46</w:t>
            </w:r>
          </w:p>
        </w:tc>
        <w:tc>
          <w:tcPr>
            <w:tcW w:w="720" w:type="dxa"/>
            <w:vAlign w:val="bottom"/>
            <w:shd w:val="clear" w:color="auto" w:fill="CCEEFF"/>
          </w:tcPr>
          <w:p>
            <w:pPr>
              <w:jc w:val="right"/>
              <w:ind w:right="192"/>
              <w:spacing w:after="0"/>
              <w:rPr>
                <w:sz w:val="20"/>
                <w:szCs w:val="20"/>
                <w:color w:val="auto"/>
              </w:rPr>
            </w:pPr>
            <w:r>
              <w:rPr>
                <w:rFonts w:ascii="Arial" w:cs="Arial" w:eastAsia="Arial" w:hAnsi="Arial"/>
                <w:sz w:val="14"/>
                <w:szCs w:val="14"/>
                <w:color w:val="auto"/>
              </w:rPr>
              <w:t>0.14</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9.06</w:t>
            </w:r>
          </w:p>
        </w:tc>
        <w:tc>
          <w:tcPr>
            <w:tcW w:w="0" w:type="dxa"/>
            <w:vAlign w:val="bottom"/>
          </w:tcPr>
          <w:p>
            <w:pPr>
              <w:spacing w:after="0"/>
              <w:rPr>
                <w:sz w:val="1"/>
                <w:szCs w:val="1"/>
                <w:color w:val="auto"/>
              </w:rPr>
            </w:pPr>
          </w:p>
        </w:tc>
      </w:tr>
      <w:tr>
        <w:trPr>
          <w:trHeight w:val="124"/>
        </w:trPr>
        <w:tc>
          <w:tcPr>
            <w:tcW w:w="1740" w:type="dxa"/>
            <w:vAlign w:val="bottom"/>
          </w:tcPr>
          <w:p>
            <w:pPr>
              <w:spacing w:after="0" w:line="125" w:lineRule="exact"/>
              <w:rPr>
                <w:sz w:val="20"/>
                <w:szCs w:val="20"/>
                <w:color w:val="auto"/>
              </w:rPr>
            </w:pPr>
            <w:r>
              <w:rPr>
                <w:rFonts w:ascii="Arial" w:cs="Arial" w:eastAsia="Arial" w:hAnsi="Arial"/>
                <w:sz w:val="14"/>
                <w:szCs w:val="14"/>
                <w:color w:val="auto"/>
                <w:w w:val="96"/>
              </w:rPr>
              <w:t>Certificates of deposit BCRP</w:t>
            </w:r>
          </w:p>
        </w:tc>
        <w:tc>
          <w:tcPr>
            <w:tcW w:w="800" w:type="dxa"/>
            <w:vAlign w:val="bottom"/>
            <w:gridSpan w:val="2"/>
          </w:tcPr>
          <w:p>
            <w:pPr>
              <w:jc w:val="center"/>
              <w:ind w:right="140"/>
              <w:spacing w:after="0" w:line="125" w:lineRule="exact"/>
              <w:rPr>
                <w:sz w:val="20"/>
                <w:szCs w:val="20"/>
                <w:color w:val="auto"/>
              </w:rPr>
            </w:pPr>
            <w:r>
              <w:rPr>
                <w:rFonts w:ascii="Arial" w:cs="Arial" w:eastAsia="Arial" w:hAnsi="Arial"/>
                <w:sz w:val="14"/>
                <w:szCs w:val="14"/>
                <w:color w:val="auto"/>
                <w:w w:val="87"/>
              </w:rPr>
              <w:t>Jan-2018 /</w:t>
            </w:r>
          </w:p>
        </w:tc>
        <w:tc>
          <w:tcPr>
            <w:tcW w:w="800" w:type="dxa"/>
            <w:vAlign w:val="bottom"/>
            <w:gridSpan w:val="2"/>
          </w:tcPr>
          <w:p>
            <w:pPr>
              <w:jc w:val="center"/>
              <w:ind w:right="100"/>
              <w:spacing w:after="0" w:line="125" w:lineRule="exact"/>
              <w:rPr>
                <w:sz w:val="20"/>
                <w:szCs w:val="20"/>
                <w:color w:val="auto"/>
              </w:rPr>
            </w:pPr>
            <w:r>
              <w:rPr>
                <w:rFonts w:ascii="Arial" w:cs="Arial" w:eastAsia="Arial" w:hAnsi="Arial"/>
                <w:sz w:val="14"/>
                <w:szCs w:val="14"/>
                <w:color w:val="auto"/>
                <w:w w:val="87"/>
              </w:rPr>
              <w:t>Jan-2017 /</w:t>
            </w:r>
          </w:p>
        </w:tc>
        <w:tc>
          <w:tcPr>
            <w:tcW w:w="5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1"/>
        </w:trPr>
        <w:tc>
          <w:tcPr>
            <w:tcW w:w="1740" w:type="dxa"/>
            <w:vAlign w:val="bottom"/>
          </w:tcPr>
          <w:p>
            <w:pPr>
              <w:spacing w:after="0"/>
              <w:rPr>
                <w:sz w:val="14"/>
                <w:szCs w:val="14"/>
                <w:color w:val="auto"/>
              </w:rPr>
            </w:pPr>
          </w:p>
        </w:tc>
        <w:tc>
          <w:tcPr>
            <w:tcW w:w="800" w:type="dxa"/>
            <w:vAlign w:val="bottom"/>
            <w:gridSpan w:val="2"/>
          </w:tcPr>
          <w:p>
            <w:pPr>
              <w:jc w:val="center"/>
              <w:ind w:right="140"/>
              <w:spacing w:after="0"/>
              <w:rPr>
                <w:sz w:val="20"/>
                <w:szCs w:val="20"/>
                <w:color w:val="auto"/>
              </w:rPr>
            </w:pPr>
            <w:r>
              <w:rPr>
                <w:rFonts w:ascii="Arial" w:cs="Arial" w:eastAsia="Arial" w:hAnsi="Arial"/>
                <w:sz w:val="14"/>
                <w:szCs w:val="14"/>
                <w:color w:val="auto"/>
                <w:w w:val="93"/>
              </w:rPr>
              <w:t>Apr-2019</w:t>
            </w:r>
          </w:p>
        </w:tc>
        <w:tc>
          <w:tcPr>
            <w:tcW w:w="800" w:type="dxa"/>
            <w:vAlign w:val="bottom"/>
            <w:gridSpan w:val="2"/>
          </w:tcPr>
          <w:p>
            <w:pPr>
              <w:jc w:val="center"/>
              <w:ind w:right="100"/>
              <w:spacing w:after="0"/>
              <w:rPr>
                <w:sz w:val="20"/>
                <w:szCs w:val="20"/>
                <w:color w:val="auto"/>
              </w:rPr>
            </w:pPr>
            <w:r>
              <w:rPr>
                <w:rFonts w:ascii="Arial" w:cs="Arial" w:eastAsia="Arial" w:hAnsi="Arial"/>
                <w:sz w:val="14"/>
                <w:szCs w:val="14"/>
                <w:color w:val="auto"/>
                <w:w w:val="93"/>
              </w:rPr>
              <w:t>May-2018</w:t>
            </w:r>
          </w:p>
        </w:tc>
        <w:tc>
          <w:tcPr>
            <w:tcW w:w="500" w:type="dxa"/>
            <w:vAlign w:val="bottom"/>
          </w:tcPr>
          <w:p>
            <w:pPr>
              <w:jc w:val="right"/>
              <w:spacing w:after="0"/>
              <w:rPr>
                <w:sz w:val="20"/>
                <w:szCs w:val="20"/>
                <w:color w:val="auto"/>
              </w:rPr>
            </w:pPr>
            <w:r>
              <w:rPr>
                <w:rFonts w:ascii="Arial" w:cs="Arial" w:eastAsia="Arial" w:hAnsi="Arial"/>
                <w:sz w:val="14"/>
                <w:szCs w:val="14"/>
                <w:color w:val="auto"/>
              </w:rPr>
              <w:t>3.08</w:t>
            </w: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3.17</w:t>
            </w:r>
          </w:p>
        </w:tc>
        <w:tc>
          <w:tcPr>
            <w:tcW w:w="760" w:type="dxa"/>
            <w:vAlign w:val="bottom"/>
          </w:tcPr>
          <w:p>
            <w:pPr>
              <w:jc w:val="right"/>
              <w:ind w:right="211"/>
              <w:spacing w:after="0"/>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232"/>
              <w:spacing w:after="0"/>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191"/>
              <w:spacing w:after="0"/>
              <w:rPr>
                <w:sz w:val="20"/>
                <w:szCs w:val="20"/>
                <w:color w:val="auto"/>
              </w:rPr>
            </w:pPr>
            <w:r>
              <w:rPr>
                <w:rFonts w:ascii="Arial" w:cs="Arial" w:eastAsia="Arial" w:hAnsi="Arial"/>
                <w:sz w:val="14"/>
                <w:szCs w:val="14"/>
                <w:color w:val="auto"/>
              </w:rPr>
              <w:t>4.27</w:t>
            </w:r>
          </w:p>
        </w:tc>
        <w:tc>
          <w:tcPr>
            <w:tcW w:w="640" w:type="dxa"/>
            <w:vAlign w:val="bottom"/>
            <w:gridSpan w:val="2"/>
          </w:tcPr>
          <w:p>
            <w:pPr>
              <w:jc w:val="right"/>
              <w:ind w:right="200"/>
              <w:spacing w:after="0"/>
              <w:rPr>
                <w:sz w:val="20"/>
                <w:szCs w:val="20"/>
                <w:color w:val="auto"/>
              </w:rPr>
            </w:pPr>
            <w:r>
              <w:rPr>
                <w:rFonts w:ascii="Arial" w:cs="Arial" w:eastAsia="Arial" w:hAnsi="Arial"/>
                <w:sz w:val="14"/>
                <w:szCs w:val="14"/>
                <w:color w:val="auto"/>
              </w:rPr>
              <w:t>4.55</w:t>
            </w:r>
          </w:p>
        </w:tc>
        <w:tc>
          <w:tcPr>
            <w:tcW w:w="720" w:type="dxa"/>
            <w:vAlign w:val="bottom"/>
          </w:tcPr>
          <w:p>
            <w:pPr>
              <w:jc w:val="right"/>
              <w:ind w:right="191"/>
              <w:spacing w:after="0"/>
              <w:rPr>
                <w:sz w:val="20"/>
                <w:szCs w:val="20"/>
                <w:color w:val="auto"/>
              </w:rPr>
            </w:pPr>
            <w:r>
              <w:rPr>
                <w:rFonts w:ascii="Arial" w:cs="Arial" w:eastAsia="Arial" w:hAnsi="Arial"/>
                <w:sz w:val="14"/>
                <w:szCs w:val="14"/>
                <w:color w:val="auto"/>
              </w:rPr>
              <w:t>-</w:t>
            </w:r>
          </w:p>
        </w:tc>
        <w:tc>
          <w:tcPr>
            <w:tcW w:w="5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192"/>
              <w:spacing w:after="0"/>
              <w:rPr>
                <w:sz w:val="20"/>
                <w:szCs w:val="20"/>
                <w:color w:val="auto"/>
              </w:rPr>
            </w:pPr>
            <w:r>
              <w:rPr>
                <w:rFonts w:ascii="Arial" w:cs="Arial" w:eastAsia="Arial" w:hAnsi="Arial"/>
                <w:sz w:val="14"/>
                <w:szCs w:val="14"/>
                <w:color w:val="auto"/>
              </w:rPr>
              <w:t>-</w:t>
            </w:r>
          </w:p>
        </w:tc>
        <w:tc>
          <w:tcPr>
            <w:tcW w:w="4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24"/>
        </w:trPr>
        <w:tc>
          <w:tcPr>
            <w:tcW w:w="1740" w:type="dxa"/>
            <w:vAlign w:val="bottom"/>
            <w:shd w:val="clear" w:color="auto" w:fill="CCEEFF"/>
          </w:tcPr>
          <w:p>
            <w:pPr>
              <w:spacing w:after="0" w:line="125" w:lineRule="exact"/>
              <w:rPr>
                <w:sz w:val="20"/>
                <w:szCs w:val="20"/>
                <w:color w:val="auto"/>
              </w:rPr>
            </w:pPr>
            <w:r>
              <w:rPr>
                <w:rFonts w:ascii="Arial" w:cs="Arial" w:eastAsia="Arial" w:hAnsi="Arial"/>
                <w:sz w:val="14"/>
                <w:szCs w:val="14"/>
                <w:color w:val="auto"/>
                <w:w w:val="96"/>
              </w:rPr>
              <w:t>Government Treasury bonds</w:t>
            </w:r>
          </w:p>
        </w:tc>
        <w:tc>
          <w:tcPr>
            <w:tcW w:w="800" w:type="dxa"/>
            <w:vAlign w:val="bottom"/>
            <w:gridSpan w:val="2"/>
            <w:shd w:val="clear" w:color="auto" w:fill="CCEEFF"/>
          </w:tcPr>
          <w:p>
            <w:pPr>
              <w:jc w:val="center"/>
              <w:ind w:right="120"/>
              <w:spacing w:after="0" w:line="125" w:lineRule="exact"/>
              <w:rPr>
                <w:sz w:val="20"/>
                <w:szCs w:val="20"/>
                <w:color w:val="auto"/>
              </w:rPr>
            </w:pPr>
            <w:r>
              <w:rPr>
                <w:rFonts w:ascii="Arial" w:cs="Arial" w:eastAsia="Arial" w:hAnsi="Arial"/>
                <w:sz w:val="14"/>
                <w:szCs w:val="14"/>
                <w:color w:val="auto"/>
                <w:w w:val="88"/>
              </w:rPr>
              <w:t>Feb-2018 /</w:t>
            </w:r>
          </w:p>
        </w:tc>
        <w:tc>
          <w:tcPr>
            <w:tcW w:w="800" w:type="dxa"/>
            <w:vAlign w:val="bottom"/>
            <w:gridSpan w:val="2"/>
            <w:shd w:val="clear" w:color="auto" w:fill="CCEEFF"/>
          </w:tcPr>
          <w:p>
            <w:pPr>
              <w:jc w:val="center"/>
              <w:ind w:right="100"/>
              <w:spacing w:after="0" w:line="125" w:lineRule="exact"/>
              <w:rPr>
                <w:sz w:val="20"/>
                <w:szCs w:val="20"/>
                <w:color w:val="auto"/>
              </w:rPr>
            </w:pPr>
            <w:r>
              <w:rPr>
                <w:rFonts w:ascii="Arial" w:cs="Arial" w:eastAsia="Arial" w:hAnsi="Arial"/>
                <w:sz w:val="14"/>
                <w:szCs w:val="14"/>
                <w:color w:val="auto"/>
                <w:w w:val="87"/>
              </w:rPr>
              <w:t>Jan-2017 /</w:t>
            </w:r>
          </w:p>
        </w:tc>
        <w:tc>
          <w:tcPr>
            <w:tcW w:w="5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1"/>
        </w:trPr>
        <w:tc>
          <w:tcPr>
            <w:tcW w:w="174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86"/>
              </w:rPr>
              <w:t>Feb-2055</w:t>
            </w:r>
          </w:p>
        </w:tc>
        <w:tc>
          <w:tcPr>
            <w:tcW w:w="80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86"/>
              </w:rPr>
              <w:t>Feb-2055</w:t>
            </w: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1.32</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6.25</w:t>
            </w:r>
          </w:p>
        </w:tc>
        <w:tc>
          <w:tcPr>
            <w:tcW w:w="760" w:type="dxa"/>
            <w:vAlign w:val="bottom"/>
            <w:shd w:val="clear" w:color="auto" w:fill="CCEEFF"/>
          </w:tcPr>
          <w:p>
            <w:pPr>
              <w:jc w:val="right"/>
              <w:ind w:right="211"/>
              <w:spacing w:after="0"/>
              <w:rPr>
                <w:sz w:val="20"/>
                <w:szCs w:val="20"/>
                <w:color w:val="auto"/>
              </w:rPr>
            </w:pPr>
            <w:r>
              <w:rPr>
                <w:rFonts w:ascii="Arial" w:cs="Arial" w:eastAsia="Arial" w:hAnsi="Arial"/>
                <w:sz w:val="14"/>
                <w:szCs w:val="14"/>
                <w:color w:val="auto"/>
              </w:rPr>
              <w:t>1.27</w:t>
            </w: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6.25</w:t>
            </w:r>
          </w:p>
        </w:tc>
        <w:tc>
          <w:tcPr>
            <w:tcW w:w="780" w:type="dxa"/>
            <w:vAlign w:val="bottom"/>
            <w:shd w:val="clear" w:color="auto" w:fill="CCEEFF"/>
          </w:tcPr>
          <w:p>
            <w:pPr>
              <w:jc w:val="right"/>
              <w:ind w:right="232"/>
              <w:spacing w:after="0"/>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191"/>
              <w:spacing w:after="0"/>
              <w:rPr>
                <w:sz w:val="20"/>
                <w:szCs w:val="20"/>
                <w:color w:val="auto"/>
              </w:rPr>
            </w:pPr>
            <w:r>
              <w:rPr>
                <w:rFonts w:ascii="Arial" w:cs="Arial" w:eastAsia="Arial" w:hAnsi="Arial"/>
                <w:sz w:val="14"/>
                <w:szCs w:val="14"/>
                <w:color w:val="auto"/>
              </w:rPr>
              <w:t>1.83</w:t>
            </w: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7.13</w:t>
            </w:r>
          </w:p>
        </w:tc>
        <w:tc>
          <w:tcPr>
            <w:tcW w:w="720" w:type="dxa"/>
            <w:vAlign w:val="bottom"/>
            <w:shd w:val="clear" w:color="auto" w:fill="CCEEFF"/>
          </w:tcPr>
          <w:p>
            <w:pPr>
              <w:jc w:val="right"/>
              <w:ind w:right="191"/>
              <w:spacing w:after="0"/>
              <w:rPr>
                <w:sz w:val="20"/>
                <w:szCs w:val="20"/>
                <w:color w:val="auto"/>
              </w:rPr>
            </w:pPr>
            <w:r>
              <w:rPr>
                <w:rFonts w:ascii="Arial" w:cs="Arial" w:eastAsia="Arial" w:hAnsi="Arial"/>
                <w:sz w:val="14"/>
                <w:szCs w:val="14"/>
                <w:color w:val="auto"/>
              </w:rPr>
              <w:t>0.33</w:t>
            </w: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7.10</w:t>
            </w:r>
          </w:p>
        </w:tc>
        <w:tc>
          <w:tcPr>
            <w:tcW w:w="720" w:type="dxa"/>
            <w:vAlign w:val="bottom"/>
            <w:shd w:val="clear" w:color="auto" w:fill="CCEEFF"/>
          </w:tcPr>
          <w:p>
            <w:pPr>
              <w:jc w:val="right"/>
              <w:ind w:right="192"/>
              <w:spacing w:after="0"/>
              <w:rPr>
                <w:sz w:val="20"/>
                <w:szCs w:val="20"/>
                <w:color w:val="auto"/>
              </w:rPr>
            </w:pPr>
            <w:r>
              <w:rPr>
                <w:rFonts w:ascii="Arial" w:cs="Arial" w:eastAsia="Arial" w:hAnsi="Arial"/>
                <w:sz w:val="14"/>
                <w:szCs w:val="14"/>
                <w:color w:val="auto"/>
              </w:rPr>
              <w:t>-</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24"/>
        </w:trPr>
        <w:tc>
          <w:tcPr>
            <w:tcW w:w="1740" w:type="dxa"/>
            <w:vAlign w:val="bottom"/>
          </w:tcPr>
          <w:p>
            <w:pPr>
              <w:spacing w:after="0" w:line="125" w:lineRule="exact"/>
              <w:rPr>
                <w:sz w:val="20"/>
                <w:szCs w:val="20"/>
                <w:color w:val="auto"/>
              </w:rPr>
            </w:pPr>
            <w:r>
              <w:rPr>
                <w:rFonts w:ascii="Arial" w:cs="Arial" w:eastAsia="Arial" w:hAnsi="Arial"/>
                <w:sz w:val="14"/>
                <w:szCs w:val="14"/>
                <w:color w:val="auto"/>
              </w:rPr>
              <w:t>Securitization instruments</w:t>
            </w:r>
          </w:p>
        </w:tc>
        <w:tc>
          <w:tcPr>
            <w:tcW w:w="800" w:type="dxa"/>
            <w:vAlign w:val="bottom"/>
            <w:gridSpan w:val="2"/>
          </w:tcPr>
          <w:p>
            <w:pPr>
              <w:jc w:val="center"/>
              <w:ind w:right="140"/>
              <w:spacing w:after="0" w:line="125" w:lineRule="exact"/>
              <w:rPr>
                <w:sz w:val="20"/>
                <w:szCs w:val="20"/>
                <w:color w:val="auto"/>
              </w:rPr>
            </w:pPr>
            <w:r>
              <w:rPr>
                <w:rFonts w:ascii="Arial" w:cs="Arial" w:eastAsia="Arial" w:hAnsi="Arial"/>
                <w:sz w:val="14"/>
                <w:szCs w:val="14"/>
                <w:color w:val="auto"/>
                <w:w w:val="87"/>
              </w:rPr>
              <w:t>Jan-2018 /</w:t>
            </w:r>
          </w:p>
        </w:tc>
        <w:tc>
          <w:tcPr>
            <w:tcW w:w="800" w:type="dxa"/>
            <w:vAlign w:val="bottom"/>
            <w:gridSpan w:val="2"/>
          </w:tcPr>
          <w:p>
            <w:pPr>
              <w:jc w:val="center"/>
              <w:ind w:right="100"/>
              <w:spacing w:after="0" w:line="125" w:lineRule="exact"/>
              <w:rPr>
                <w:sz w:val="20"/>
                <w:szCs w:val="20"/>
                <w:color w:val="auto"/>
              </w:rPr>
            </w:pPr>
            <w:r>
              <w:rPr>
                <w:rFonts w:ascii="Arial" w:cs="Arial" w:eastAsia="Arial" w:hAnsi="Arial"/>
                <w:sz w:val="14"/>
                <w:szCs w:val="14"/>
                <w:color w:val="auto"/>
                <w:w w:val="87"/>
              </w:rPr>
              <w:t>Jan-2018 /</w:t>
            </w:r>
          </w:p>
        </w:tc>
        <w:tc>
          <w:tcPr>
            <w:tcW w:w="5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1"/>
        </w:trPr>
        <w:tc>
          <w:tcPr>
            <w:tcW w:w="1740" w:type="dxa"/>
            <w:vAlign w:val="bottom"/>
          </w:tcPr>
          <w:p>
            <w:pPr>
              <w:spacing w:after="0"/>
              <w:rPr>
                <w:sz w:val="14"/>
                <w:szCs w:val="14"/>
                <w:color w:val="auto"/>
              </w:rPr>
            </w:pPr>
          </w:p>
        </w:tc>
        <w:tc>
          <w:tcPr>
            <w:tcW w:w="800" w:type="dxa"/>
            <w:vAlign w:val="bottom"/>
            <w:gridSpan w:val="2"/>
          </w:tcPr>
          <w:p>
            <w:pPr>
              <w:jc w:val="center"/>
              <w:ind w:right="120"/>
              <w:spacing w:after="0"/>
              <w:rPr>
                <w:sz w:val="20"/>
                <w:szCs w:val="20"/>
                <w:color w:val="auto"/>
              </w:rPr>
            </w:pPr>
            <w:r>
              <w:rPr>
                <w:rFonts w:ascii="Arial" w:cs="Arial" w:eastAsia="Arial" w:hAnsi="Arial"/>
                <w:sz w:val="14"/>
                <w:szCs w:val="14"/>
                <w:color w:val="auto"/>
                <w:w w:val="85"/>
              </w:rPr>
              <w:t>Sep-2045</w:t>
            </w:r>
          </w:p>
        </w:tc>
        <w:tc>
          <w:tcPr>
            <w:tcW w:w="800" w:type="dxa"/>
            <w:vAlign w:val="bottom"/>
            <w:gridSpan w:val="2"/>
          </w:tcPr>
          <w:p>
            <w:pPr>
              <w:jc w:val="center"/>
              <w:ind w:right="120"/>
              <w:spacing w:after="0"/>
              <w:rPr>
                <w:sz w:val="20"/>
                <w:szCs w:val="20"/>
                <w:color w:val="auto"/>
              </w:rPr>
            </w:pPr>
            <w:r>
              <w:rPr>
                <w:rFonts w:ascii="Arial" w:cs="Arial" w:eastAsia="Arial" w:hAnsi="Arial"/>
                <w:sz w:val="14"/>
                <w:szCs w:val="14"/>
                <w:color w:val="auto"/>
                <w:w w:val="85"/>
              </w:rPr>
              <w:t>Sep-2045</w:t>
            </w:r>
          </w:p>
        </w:tc>
        <w:tc>
          <w:tcPr>
            <w:tcW w:w="500" w:type="dxa"/>
            <w:vAlign w:val="bottom"/>
          </w:tcPr>
          <w:p>
            <w:pPr>
              <w:jc w:val="right"/>
              <w:spacing w:after="0"/>
              <w:rPr>
                <w:sz w:val="20"/>
                <w:szCs w:val="20"/>
                <w:color w:val="auto"/>
              </w:rPr>
            </w:pPr>
            <w:r>
              <w:rPr>
                <w:rFonts w:ascii="Arial" w:cs="Arial" w:eastAsia="Arial" w:hAnsi="Arial"/>
                <w:sz w:val="14"/>
                <w:szCs w:val="14"/>
                <w:color w:val="auto"/>
              </w:rPr>
              <w:t>4.09</w:t>
            </w:r>
          </w:p>
        </w:tc>
        <w:tc>
          <w:tcPr>
            <w:tcW w:w="680" w:type="dxa"/>
            <w:vAlign w:val="bottom"/>
          </w:tcPr>
          <w:p>
            <w:pPr>
              <w:jc w:val="right"/>
              <w:spacing w:after="0"/>
              <w:rPr>
                <w:sz w:val="20"/>
                <w:szCs w:val="20"/>
                <w:color w:val="auto"/>
              </w:rPr>
            </w:pPr>
            <w:r>
              <w:rPr>
                <w:rFonts w:ascii="Arial" w:cs="Arial" w:eastAsia="Arial" w:hAnsi="Arial"/>
                <w:sz w:val="14"/>
                <w:szCs w:val="14"/>
                <w:color w:val="auto"/>
              </w:rPr>
              <w:t>11.75</w:t>
            </w:r>
          </w:p>
        </w:tc>
        <w:tc>
          <w:tcPr>
            <w:tcW w:w="220" w:type="dxa"/>
            <w:vAlign w:val="bottom"/>
          </w:tcPr>
          <w:p>
            <w:pPr>
              <w:spacing w:after="0"/>
              <w:rPr>
                <w:sz w:val="14"/>
                <w:szCs w:val="14"/>
                <w:color w:val="auto"/>
              </w:rPr>
            </w:pPr>
          </w:p>
        </w:tc>
        <w:tc>
          <w:tcPr>
            <w:tcW w:w="760" w:type="dxa"/>
            <w:vAlign w:val="bottom"/>
          </w:tcPr>
          <w:p>
            <w:pPr>
              <w:jc w:val="right"/>
              <w:ind w:right="211"/>
              <w:spacing w:after="0"/>
              <w:rPr>
                <w:sz w:val="20"/>
                <w:szCs w:val="20"/>
                <w:color w:val="auto"/>
              </w:rPr>
            </w:pPr>
            <w:r>
              <w:rPr>
                <w:rFonts w:ascii="Arial" w:cs="Arial" w:eastAsia="Arial" w:hAnsi="Arial"/>
                <w:sz w:val="14"/>
                <w:szCs w:val="14"/>
                <w:color w:val="auto"/>
              </w:rPr>
              <w:t>3.06</w:t>
            </w:r>
          </w:p>
        </w:tc>
        <w:tc>
          <w:tcPr>
            <w:tcW w:w="640" w:type="dxa"/>
            <w:vAlign w:val="bottom"/>
            <w:gridSpan w:val="2"/>
          </w:tcPr>
          <w:p>
            <w:pPr>
              <w:jc w:val="right"/>
              <w:ind w:right="220"/>
              <w:spacing w:after="0"/>
              <w:rPr>
                <w:sz w:val="20"/>
                <w:szCs w:val="20"/>
                <w:color w:val="auto"/>
              </w:rPr>
            </w:pPr>
            <w:r>
              <w:rPr>
                <w:rFonts w:ascii="Arial" w:cs="Arial" w:eastAsia="Arial" w:hAnsi="Arial"/>
                <w:sz w:val="14"/>
                <w:szCs w:val="14"/>
                <w:color w:val="auto"/>
              </w:rPr>
              <w:t>6.16</w:t>
            </w:r>
          </w:p>
        </w:tc>
        <w:tc>
          <w:tcPr>
            <w:tcW w:w="780" w:type="dxa"/>
            <w:vAlign w:val="bottom"/>
          </w:tcPr>
          <w:p>
            <w:pPr>
              <w:jc w:val="right"/>
              <w:ind w:right="232"/>
              <w:spacing w:after="0"/>
              <w:rPr>
                <w:sz w:val="20"/>
                <w:szCs w:val="20"/>
                <w:color w:val="auto"/>
              </w:rPr>
            </w:pPr>
            <w:r>
              <w:rPr>
                <w:rFonts w:ascii="Arial" w:cs="Arial" w:eastAsia="Arial" w:hAnsi="Arial"/>
                <w:sz w:val="14"/>
                <w:szCs w:val="14"/>
                <w:color w:val="auto"/>
              </w:rPr>
              <w:t>1.68</w:t>
            </w:r>
          </w:p>
        </w:tc>
        <w:tc>
          <w:tcPr>
            <w:tcW w:w="640" w:type="dxa"/>
            <w:vAlign w:val="bottom"/>
            <w:gridSpan w:val="2"/>
          </w:tcPr>
          <w:p>
            <w:pPr>
              <w:jc w:val="right"/>
              <w:ind w:right="240"/>
              <w:spacing w:after="0"/>
              <w:rPr>
                <w:sz w:val="20"/>
                <w:szCs w:val="20"/>
                <w:color w:val="auto"/>
              </w:rPr>
            </w:pPr>
            <w:r>
              <w:rPr>
                <w:rFonts w:ascii="Arial" w:cs="Arial" w:eastAsia="Arial" w:hAnsi="Arial"/>
                <w:sz w:val="14"/>
                <w:szCs w:val="14"/>
                <w:color w:val="auto"/>
              </w:rPr>
              <w:t>6.00</w:t>
            </w:r>
          </w:p>
        </w:tc>
        <w:tc>
          <w:tcPr>
            <w:tcW w:w="720" w:type="dxa"/>
            <w:vAlign w:val="bottom"/>
          </w:tcPr>
          <w:p>
            <w:pPr>
              <w:jc w:val="right"/>
              <w:ind w:right="191"/>
              <w:spacing w:after="0"/>
              <w:rPr>
                <w:sz w:val="20"/>
                <w:szCs w:val="20"/>
                <w:color w:val="auto"/>
              </w:rPr>
            </w:pPr>
            <w:r>
              <w:rPr>
                <w:rFonts w:ascii="Arial" w:cs="Arial" w:eastAsia="Arial" w:hAnsi="Arial"/>
                <w:sz w:val="14"/>
                <w:szCs w:val="14"/>
                <w:color w:val="auto"/>
              </w:rPr>
              <w:t>4.75</w:t>
            </w:r>
          </w:p>
        </w:tc>
        <w:tc>
          <w:tcPr>
            <w:tcW w:w="640" w:type="dxa"/>
            <w:vAlign w:val="bottom"/>
            <w:gridSpan w:val="2"/>
          </w:tcPr>
          <w:p>
            <w:pPr>
              <w:jc w:val="right"/>
              <w:ind w:right="200"/>
              <w:spacing w:after="0"/>
              <w:rPr>
                <w:sz w:val="20"/>
                <w:szCs w:val="20"/>
                <w:color w:val="auto"/>
              </w:rPr>
            </w:pPr>
            <w:r>
              <w:rPr>
                <w:rFonts w:ascii="Arial" w:cs="Arial" w:eastAsia="Arial" w:hAnsi="Arial"/>
                <w:sz w:val="14"/>
                <w:szCs w:val="14"/>
                <w:color w:val="auto"/>
              </w:rPr>
              <w:t>9.30</w:t>
            </w:r>
          </w:p>
        </w:tc>
        <w:tc>
          <w:tcPr>
            <w:tcW w:w="720" w:type="dxa"/>
            <w:vAlign w:val="bottom"/>
          </w:tcPr>
          <w:p>
            <w:pPr>
              <w:jc w:val="right"/>
              <w:ind w:right="191"/>
              <w:spacing w:after="0"/>
              <w:rPr>
                <w:sz w:val="20"/>
                <w:szCs w:val="20"/>
                <w:color w:val="auto"/>
              </w:rPr>
            </w:pPr>
            <w:r>
              <w:rPr>
                <w:rFonts w:ascii="Arial" w:cs="Arial" w:eastAsia="Arial" w:hAnsi="Arial"/>
                <w:sz w:val="14"/>
                <w:szCs w:val="14"/>
                <w:color w:val="auto"/>
              </w:rPr>
              <w:t>3.27</w:t>
            </w:r>
          </w:p>
        </w:tc>
        <w:tc>
          <w:tcPr>
            <w:tcW w:w="580" w:type="dxa"/>
            <w:vAlign w:val="bottom"/>
            <w:gridSpan w:val="2"/>
          </w:tcPr>
          <w:p>
            <w:pPr>
              <w:jc w:val="right"/>
              <w:ind w:right="200"/>
              <w:spacing w:after="0"/>
              <w:rPr>
                <w:sz w:val="20"/>
                <w:szCs w:val="20"/>
                <w:color w:val="auto"/>
              </w:rPr>
            </w:pPr>
            <w:r>
              <w:rPr>
                <w:rFonts w:ascii="Arial" w:cs="Arial" w:eastAsia="Arial" w:hAnsi="Arial"/>
                <w:sz w:val="14"/>
                <w:szCs w:val="14"/>
                <w:color w:val="auto"/>
              </w:rPr>
              <w:t>9.76</w:t>
            </w:r>
          </w:p>
        </w:tc>
        <w:tc>
          <w:tcPr>
            <w:tcW w:w="720" w:type="dxa"/>
            <w:vAlign w:val="bottom"/>
          </w:tcPr>
          <w:p>
            <w:pPr>
              <w:jc w:val="right"/>
              <w:ind w:right="192"/>
              <w:spacing w:after="0"/>
              <w:rPr>
                <w:sz w:val="20"/>
                <w:szCs w:val="20"/>
                <w:color w:val="auto"/>
              </w:rPr>
            </w:pPr>
            <w:r>
              <w:rPr>
                <w:rFonts w:ascii="Arial" w:cs="Arial" w:eastAsia="Arial" w:hAnsi="Arial"/>
                <w:sz w:val="14"/>
                <w:szCs w:val="14"/>
                <w:color w:val="auto"/>
              </w:rPr>
              <w:t>0.50</w:t>
            </w:r>
          </w:p>
        </w:tc>
        <w:tc>
          <w:tcPr>
            <w:tcW w:w="480" w:type="dxa"/>
            <w:vAlign w:val="bottom"/>
            <w:gridSpan w:val="2"/>
          </w:tcPr>
          <w:p>
            <w:pPr>
              <w:jc w:val="right"/>
              <w:ind w:right="100"/>
              <w:spacing w:after="0"/>
              <w:rPr>
                <w:sz w:val="20"/>
                <w:szCs w:val="20"/>
                <w:color w:val="auto"/>
              </w:rPr>
            </w:pPr>
            <w:r>
              <w:rPr>
                <w:rFonts w:ascii="Arial" w:cs="Arial" w:eastAsia="Arial" w:hAnsi="Arial"/>
                <w:sz w:val="14"/>
                <w:szCs w:val="14"/>
                <w:color w:val="auto"/>
              </w:rPr>
              <w:t>8.44</w:t>
            </w:r>
          </w:p>
        </w:tc>
        <w:tc>
          <w:tcPr>
            <w:tcW w:w="0" w:type="dxa"/>
            <w:vAlign w:val="bottom"/>
          </w:tcPr>
          <w:p>
            <w:pPr>
              <w:spacing w:after="0"/>
              <w:rPr>
                <w:sz w:val="1"/>
                <w:szCs w:val="1"/>
                <w:color w:val="auto"/>
              </w:rPr>
            </w:pPr>
          </w:p>
        </w:tc>
      </w:tr>
      <w:tr>
        <w:trPr>
          <w:trHeight w:val="124"/>
        </w:trPr>
        <w:tc>
          <w:tcPr>
            <w:tcW w:w="1740" w:type="dxa"/>
            <w:vAlign w:val="bottom"/>
            <w:shd w:val="clear" w:color="auto" w:fill="CCEEFF"/>
          </w:tcPr>
          <w:p>
            <w:pPr>
              <w:spacing w:after="0" w:line="125" w:lineRule="exact"/>
              <w:rPr>
                <w:sz w:val="20"/>
                <w:szCs w:val="20"/>
                <w:color w:val="auto"/>
              </w:rPr>
            </w:pPr>
            <w:r>
              <w:rPr>
                <w:rFonts w:ascii="Arial" w:cs="Arial" w:eastAsia="Arial" w:hAnsi="Arial"/>
                <w:sz w:val="14"/>
                <w:szCs w:val="14"/>
                <w:color w:val="auto"/>
              </w:rPr>
              <w:t>Certificates of deposits</w:t>
            </w:r>
          </w:p>
        </w:tc>
        <w:tc>
          <w:tcPr>
            <w:tcW w:w="800" w:type="dxa"/>
            <w:vAlign w:val="bottom"/>
            <w:gridSpan w:val="2"/>
            <w:shd w:val="clear" w:color="auto" w:fill="CCEEFF"/>
          </w:tcPr>
          <w:p>
            <w:pPr>
              <w:jc w:val="center"/>
              <w:ind w:right="140"/>
              <w:spacing w:after="0" w:line="125" w:lineRule="exact"/>
              <w:rPr>
                <w:sz w:val="20"/>
                <w:szCs w:val="20"/>
                <w:color w:val="auto"/>
              </w:rPr>
            </w:pPr>
            <w:r>
              <w:rPr>
                <w:rFonts w:ascii="Arial" w:cs="Arial" w:eastAsia="Arial" w:hAnsi="Arial"/>
                <w:sz w:val="14"/>
                <w:szCs w:val="14"/>
                <w:color w:val="auto"/>
                <w:w w:val="87"/>
              </w:rPr>
              <w:t>Jan-2018 /</w:t>
            </w:r>
          </w:p>
        </w:tc>
        <w:tc>
          <w:tcPr>
            <w:tcW w:w="800" w:type="dxa"/>
            <w:vAlign w:val="bottom"/>
            <w:gridSpan w:val="2"/>
            <w:shd w:val="clear" w:color="auto" w:fill="CCEEFF"/>
          </w:tcPr>
          <w:p>
            <w:pPr>
              <w:jc w:val="center"/>
              <w:ind w:right="120"/>
              <w:spacing w:after="0" w:line="125" w:lineRule="exact"/>
              <w:rPr>
                <w:sz w:val="20"/>
                <w:szCs w:val="20"/>
                <w:color w:val="auto"/>
              </w:rPr>
            </w:pPr>
            <w:r>
              <w:rPr>
                <w:rFonts w:ascii="Arial" w:cs="Arial" w:eastAsia="Arial" w:hAnsi="Arial"/>
                <w:sz w:val="14"/>
                <w:szCs w:val="14"/>
                <w:color w:val="auto"/>
                <w:w w:val="94"/>
              </w:rPr>
              <w:t>Mar-2017 /</w:t>
            </w:r>
          </w:p>
        </w:tc>
        <w:tc>
          <w:tcPr>
            <w:tcW w:w="5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1"/>
        </w:trPr>
        <w:tc>
          <w:tcPr>
            <w:tcW w:w="1740" w:type="dxa"/>
            <w:vAlign w:val="bottom"/>
            <w:shd w:val="clear" w:color="auto" w:fill="CCEEFF"/>
          </w:tcPr>
          <w:p>
            <w:pPr>
              <w:spacing w:after="0"/>
              <w:rPr>
                <w:sz w:val="20"/>
                <w:szCs w:val="20"/>
                <w:color w:val="auto"/>
              </w:rPr>
            </w:pPr>
            <w:r>
              <w:rPr>
                <w:rFonts w:ascii="Arial" w:cs="Arial" w:eastAsia="Arial" w:hAnsi="Arial"/>
                <w:sz w:val="14"/>
                <w:szCs w:val="14"/>
                <w:color w:val="auto"/>
              </w:rPr>
              <w:t>Central Bank of Bolivia</w:t>
            </w:r>
          </w:p>
        </w:tc>
        <w:tc>
          <w:tcPr>
            <w:tcW w:w="80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85"/>
              </w:rPr>
              <w:t>Sep-2018</w:t>
            </w:r>
          </w:p>
        </w:tc>
        <w:tc>
          <w:tcPr>
            <w:tcW w:w="80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89"/>
              </w:rPr>
              <w:t>Jun-2017</w:t>
            </w: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211"/>
              <w:spacing w:after="0"/>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232"/>
              <w:spacing w:after="0"/>
              <w:rPr>
                <w:sz w:val="20"/>
                <w:szCs w:val="20"/>
                <w:color w:val="auto"/>
              </w:rPr>
            </w:pPr>
            <w:r>
              <w:rPr>
                <w:rFonts w:ascii="Arial" w:cs="Arial" w:eastAsia="Arial" w:hAnsi="Arial"/>
                <w:sz w:val="14"/>
                <w:szCs w:val="14"/>
                <w:color w:val="auto"/>
              </w:rPr>
              <w:t>0.50</w:t>
            </w: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1.15</w:t>
            </w:r>
          </w:p>
        </w:tc>
        <w:tc>
          <w:tcPr>
            <w:tcW w:w="720" w:type="dxa"/>
            <w:vAlign w:val="bottom"/>
            <w:shd w:val="clear" w:color="auto" w:fill="CCEEFF"/>
          </w:tcPr>
          <w:p>
            <w:pPr>
              <w:jc w:val="right"/>
              <w:ind w:right="191"/>
              <w:spacing w:after="0"/>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191"/>
              <w:spacing w:after="0"/>
              <w:rPr>
                <w:sz w:val="20"/>
                <w:szCs w:val="20"/>
                <w:color w:val="auto"/>
              </w:rPr>
            </w:pPr>
            <w:r>
              <w:rPr>
                <w:rFonts w:ascii="Arial" w:cs="Arial" w:eastAsia="Arial" w:hAnsi="Arial"/>
                <w:sz w:val="14"/>
                <w:szCs w:val="14"/>
                <w:color w:val="auto"/>
              </w:rPr>
              <w:t>-</w:t>
            </w: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192"/>
              <w:spacing w:after="0"/>
              <w:rPr>
                <w:sz w:val="20"/>
                <w:szCs w:val="20"/>
                <w:color w:val="auto"/>
              </w:rPr>
            </w:pPr>
            <w:r>
              <w:rPr>
                <w:rFonts w:ascii="Arial" w:cs="Arial" w:eastAsia="Arial" w:hAnsi="Arial"/>
                <w:sz w:val="14"/>
                <w:szCs w:val="14"/>
                <w:color w:val="auto"/>
              </w:rPr>
              <w:t>0.10</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0.30</w:t>
            </w:r>
          </w:p>
        </w:tc>
        <w:tc>
          <w:tcPr>
            <w:tcW w:w="0" w:type="dxa"/>
            <w:vAlign w:val="bottom"/>
          </w:tcPr>
          <w:p>
            <w:pPr>
              <w:spacing w:after="0"/>
              <w:rPr>
                <w:sz w:val="1"/>
                <w:szCs w:val="1"/>
                <w:color w:val="auto"/>
              </w:rPr>
            </w:pPr>
          </w:p>
        </w:tc>
      </w:tr>
      <w:tr>
        <w:trPr>
          <w:trHeight w:val="124"/>
        </w:trPr>
        <w:tc>
          <w:tcPr>
            <w:tcW w:w="1740" w:type="dxa"/>
            <w:vAlign w:val="bottom"/>
          </w:tcPr>
          <w:p>
            <w:pPr>
              <w:spacing w:after="0" w:line="125" w:lineRule="exact"/>
              <w:rPr>
                <w:sz w:val="20"/>
                <w:szCs w:val="20"/>
                <w:color w:val="auto"/>
              </w:rPr>
            </w:pPr>
            <w:r>
              <w:rPr>
                <w:rFonts w:ascii="Arial" w:cs="Arial" w:eastAsia="Arial" w:hAnsi="Arial"/>
                <w:sz w:val="14"/>
                <w:szCs w:val="14"/>
                <w:color w:val="auto"/>
              </w:rPr>
              <w:t>Negotiable certificates of</w:t>
            </w:r>
          </w:p>
        </w:tc>
        <w:tc>
          <w:tcPr>
            <w:tcW w:w="800" w:type="dxa"/>
            <w:vAlign w:val="bottom"/>
            <w:gridSpan w:val="2"/>
          </w:tcPr>
          <w:p>
            <w:pPr>
              <w:jc w:val="center"/>
              <w:ind w:right="140"/>
              <w:spacing w:after="0" w:line="125" w:lineRule="exact"/>
              <w:rPr>
                <w:sz w:val="20"/>
                <w:szCs w:val="20"/>
                <w:color w:val="auto"/>
              </w:rPr>
            </w:pPr>
            <w:r>
              <w:rPr>
                <w:rFonts w:ascii="Arial" w:cs="Arial" w:eastAsia="Arial" w:hAnsi="Arial"/>
                <w:sz w:val="14"/>
                <w:szCs w:val="14"/>
                <w:color w:val="auto"/>
                <w:w w:val="87"/>
              </w:rPr>
              <w:t>Jan-2018 /</w:t>
            </w:r>
          </w:p>
        </w:tc>
        <w:tc>
          <w:tcPr>
            <w:tcW w:w="800" w:type="dxa"/>
            <w:vAlign w:val="bottom"/>
            <w:gridSpan w:val="2"/>
          </w:tcPr>
          <w:p>
            <w:pPr>
              <w:jc w:val="center"/>
              <w:ind w:right="100"/>
              <w:spacing w:after="0" w:line="125" w:lineRule="exact"/>
              <w:rPr>
                <w:sz w:val="20"/>
                <w:szCs w:val="20"/>
                <w:color w:val="auto"/>
              </w:rPr>
            </w:pPr>
            <w:r>
              <w:rPr>
                <w:rFonts w:ascii="Arial" w:cs="Arial" w:eastAsia="Arial" w:hAnsi="Arial"/>
                <w:sz w:val="14"/>
                <w:szCs w:val="14"/>
                <w:color w:val="auto"/>
                <w:w w:val="87"/>
              </w:rPr>
              <w:t>Jan-2017 /</w:t>
            </w:r>
          </w:p>
        </w:tc>
        <w:tc>
          <w:tcPr>
            <w:tcW w:w="5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1"/>
        </w:trPr>
        <w:tc>
          <w:tcPr>
            <w:tcW w:w="1740" w:type="dxa"/>
            <w:vAlign w:val="bottom"/>
          </w:tcPr>
          <w:p>
            <w:pPr>
              <w:spacing w:after="0"/>
              <w:rPr>
                <w:sz w:val="20"/>
                <w:szCs w:val="20"/>
                <w:color w:val="auto"/>
              </w:rPr>
            </w:pPr>
            <w:r>
              <w:rPr>
                <w:rFonts w:ascii="Arial" w:cs="Arial" w:eastAsia="Arial" w:hAnsi="Arial"/>
                <w:sz w:val="14"/>
                <w:szCs w:val="14"/>
                <w:color w:val="auto"/>
              </w:rPr>
              <w:t>deposits</w:t>
            </w:r>
          </w:p>
        </w:tc>
        <w:tc>
          <w:tcPr>
            <w:tcW w:w="800" w:type="dxa"/>
            <w:vAlign w:val="bottom"/>
            <w:gridSpan w:val="2"/>
          </w:tcPr>
          <w:p>
            <w:pPr>
              <w:jc w:val="center"/>
              <w:ind w:right="120"/>
              <w:spacing w:after="0"/>
              <w:rPr>
                <w:sz w:val="20"/>
                <w:szCs w:val="20"/>
                <w:color w:val="auto"/>
              </w:rPr>
            </w:pPr>
            <w:r>
              <w:rPr>
                <w:rFonts w:ascii="Arial" w:cs="Arial" w:eastAsia="Arial" w:hAnsi="Arial"/>
                <w:sz w:val="14"/>
                <w:szCs w:val="14"/>
                <w:color w:val="auto"/>
                <w:w w:val="93"/>
              </w:rPr>
              <w:t>Mar-2033</w:t>
            </w:r>
          </w:p>
        </w:tc>
        <w:tc>
          <w:tcPr>
            <w:tcW w:w="800" w:type="dxa"/>
            <w:vAlign w:val="bottom"/>
            <w:gridSpan w:val="2"/>
          </w:tcPr>
          <w:p>
            <w:pPr>
              <w:jc w:val="center"/>
              <w:ind w:right="120"/>
              <w:spacing w:after="0"/>
              <w:rPr>
                <w:sz w:val="20"/>
                <w:szCs w:val="20"/>
                <w:color w:val="auto"/>
              </w:rPr>
            </w:pPr>
            <w:r>
              <w:rPr>
                <w:rFonts w:ascii="Arial" w:cs="Arial" w:eastAsia="Arial" w:hAnsi="Arial"/>
                <w:sz w:val="14"/>
                <w:szCs w:val="14"/>
                <w:color w:val="auto"/>
                <w:w w:val="86"/>
              </w:rPr>
              <w:t>Feb-2026</w:t>
            </w:r>
          </w:p>
        </w:tc>
        <w:tc>
          <w:tcPr>
            <w:tcW w:w="500" w:type="dxa"/>
            <w:vAlign w:val="bottom"/>
          </w:tcPr>
          <w:p>
            <w:pPr>
              <w:jc w:val="right"/>
              <w:spacing w:after="0"/>
              <w:rPr>
                <w:sz w:val="20"/>
                <w:szCs w:val="20"/>
                <w:color w:val="auto"/>
              </w:rPr>
            </w:pPr>
            <w:r>
              <w:rPr>
                <w:rFonts w:ascii="Arial" w:cs="Arial" w:eastAsia="Arial" w:hAnsi="Arial"/>
                <w:sz w:val="14"/>
                <w:szCs w:val="14"/>
                <w:color w:val="auto"/>
              </w:rPr>
              <w:t>0.49</w:t>
            </w: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4.33</w:t>
            </w:r>
          </w:p>
        </w:tc>
        <w:tc>
          <w:tcPr>
            <w:tcW w:w="760" w:type="dxa"/>
            <w:vAlign w:val="bottom"/>
          </w:tcPr>
          <w:p>
            <w:pPr>
              <w:jc w:val="right"/>
              <w:ind w:right="211"/>
              <w:spacing w:after="0"/>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232"/>
              <w:spacing w:after="0"/>
              <w:rPr>
                <w:sz w:val="20"/>
                <w:szCs w:val="20"/>
                <w:color w:val="auto"/>
              </w:rPr>
            </w:pPr>
            <w:r>
              <w:rPr>
                <w:rFonts w:ascii="Arial" w:cs="Arial" w:eastAsia="Arial" w:hAnsi="Arial"/>
                <w:sz w:val="14"/>
                <w:szCs w:val="14"/>
                <w:color w:val="auto"/>
              </w:rPr>
              <w:t>1.18</w:t>
            </w:r>
          </w:p>
        </w:tc>
        <w:tc>
          <w:tcPr>
            <w:tcW w:w="640" w:type="dxa"/>
            <w:vAlign w:val="bottom"/>
            <w:gridSpan w:val="2"/>
          </w:tcPr>
          <w:p>
            <w:pPr>
              <w:jc w:val="right"/>
              <w:ind w:right="240"/>
              <w:spacing w:after="0"/>
              <w:rPr>
                <w:sz w:val="20"/>
                <w:szCs w:val="20"/>
                <w:color w:val="auto"/>
              </w:rPr>
            </w:pPr>
            <w:r>
              <w:rPr>
                <w:rFonts w:ascii="Arial" w:cs="Arial" w:eastAsia="Arial" w:hAnsi="Arial"/>
                <w:sz w:val="14"/>
                <w:szCs w:val="14"/>
                <w:color w:val="auto"/>
              </w:rPr>
              <w:t>4.90</w:t>
            </w:r>
          </w:p>
        </w:tc>
        <w:tc>
          <w:tcPr>
            <w:tcW w:w="720" w:type="dxa"/>
            <w:vAlign w:val="bottom"/>
          </w:tcPr>
          <w:p>
            <w:pPr>
              <w:jc w:val="right"/>
              <w:ind w:right="191"/>
              <w:spacing w:after="0"/>
              <w:rPr>
                <w:sz w:val="20"/>
                <w:szCs w:val="20"/>
                <w:color w:val="auto"/>
              </w:rPr>
            </w:pPr>
            <w:r>
              <w:rPr>
                <w:rFonts w:ascii="Arial" w:cs="Arial" w:eastAsia="Arial" w:hAnsi="Arial"/>
                <w:sz w:val="14"/>
                <w:szCs w:val="14"/>
                <w:color w:val="auto"/>
              </w:rPr>
              <w:t>2.10</w:t>
            </w:r>
          </w:p>
        </w:tc>
        <w:tc>
          <w:tcPr>
            <w:tcW w:w="640" w:type="dxa"/>
            <w:vAlign w:val="bottom"/>
            <w:gridSpan w:val="2"/>
          </w:tcPr>
          <w:p>
            <w:pPr>
              <w:jc w:val="right"/>
              <w:ind w:right="200"/>
              <w:spacing w:after="0"/>
              <w:rPr>
                <w:sz w:val="20"/>
                <w:szCs w:val="20"/>
                <w:color w:val="auto"/>
              </w:rPr>
            </w:pPr>
            <w:r>
              <w:rPr>
                <w:rFonts w:ascii="Arial" w:cs="Arial" w:eastAsia="Arial" w:hAnsi="Arial"/>
                <w:sz w:val="14"/>
                <w:szCs w:val="14"/>
                <w:color w:val="auto"/>
              </w:rPr>
              <w:t>6.54</w:t>
            </w:r>
          </w:p>
        </w:tc>
        <w:tc>
          <w:tcPr>
            <w:tcW w:w="720" w:type="dxa"/>
            <w:vAlign w:val="bottom"/>
          </w:tcPr>
          <w:p>
            <w:pPr>
              <w:jc w:val="right"/>
              <w:ind w:right="191"/>
              <w:spacing w:after="0"/>
              <w:rPr>
                <w:sz w:val="20"/>
                <w:szCs w:val="20"/>
                <w:color w:val="auto"/>
              </w:rPr>
            </w:pPr>
            <w:r>
              <w:rPr>
                <w:rFonts w:ascii="Arial" w:cs="Arial" w:eastAsia="Arial" w:hAnsi="Arial"/>
                <w:sz w:val="14"/>
                <w:szCs w:val="14"/>
                <w:color w:val="auto"/>
              </w:rPr>
              <w:t>0.95</w:t>
            </w:r>
          </w:p>
        </w:tc>
        <w:tc>
          <w:tcPr>
            <w:tcW w:w="580" w:type="dxa"/>
            <w:vAlign w:val="bottom"/>
            <w:gridSpan w:val="2"/>
          </w:tcPr>
          <w:p>
            <w:pPr>
              <w:jc w:val="right"/>
              <w:ind w:right="200"/>
              <w:spacing w:after="0"/>
              <w:rPr>
                <w:sz w:val="20"/>
                <w:szCs w:val="20"/>
                <w:color w:val="auto"/>
              </w:rPr>
            </w:pPr>
            <w:r>
              <w:rPr>
                <w:rFonts w:ascii="Arial" w:cs="Arial" w:eastAsia="Arial" w:hAnsi="Arial"/>
                <w:sz w:val="14"/>
                <w:szCs w:val="14"/>
                <w:color w:val="auto"/>
              </w:rPr>
              <w:t>1.98</w:t>
            </w:r>
          </w:p>
        </w:tc>
        <w:tc>
          <w:tcPr>
            <w:tcW w:w="720" w:type="dxa"/>
            <w:vAlign w:val="bottom"/>
          </w:tcPr>
          <w:p>
            <w:pPr>
              <w:jc w:val="right"/>
              <w:ind w:right="192"/>
              <w:spacing w:after="0"/>
              <w:rPr>
                <w:sz w:val="20"/>
                <w:szCs w:val="20"/>
                <w:color w:val="auto"/>
              </w:rPr>
            </w:pPr>
            <w:r>
              <w:rPr>
                <w:rFonts w:ascii="Arial" w:cs="Arial" w:eastAsia="Arial" w:hAnsi="Arial"/>
                <w:sz w:val="14"/>
                <w:szCs w:val="14"/>
                <w:color w:val="auto"/>
              </w:rPr>
              <w:t>1.30</w:t>
            </w:r>
          </w:p>
        </w:tc>
        <w:tc>
          <w:tcPr>
            <w:tcW w:w="480" w:type="dxa"/>
            <w:vAlign w:val="bottom"/>
            <w:gridSpan w:val="2"/>
          </w:tcPr>
          <w:p>
            <w:pPr>
              <w:jc w:val="right"/>
              <w:ind w:right="100"/>
              <w:spacing w:after="0"/>
              <w:rPr>
                <w:sz w:val="20"/>
                <w:szCs w:val="20"/>
                <w:color w:val="auto"/>
              </w:rPr>
            </w:pPr>
            <w:r>
              <w:rPr>
                <w:rFonts w:ascii="Arial" w:cs="Arial" w:eastAsia="Arial" w:hAnsi="Arial"/>
                <w:sz w:val="14"/>
                <w:szCs w:val="14"/>
                <w:color w:val="auto"/>
              </w:rPr>
              <w:t>6.25</w:t>
            </w:r>
          </w:p>
        </w:tc>
        <w:tc>
          <w:tcPr>
            <w:tcW w:w="0" w:type="dxa"/>
            <w:vAlign w:val="bottom"/>
          </w:tcPr>
          <w:p>
            <w:pPr>
              <w:spacing w:after="0"/>
              <w:rPr>
                <w:sz w:val="1"/>
                <w:szCs w:val="1"/>
                <w:color w:val="auto"/>
              </w:rPr>
            </w:pPr>
          </w:p>
        </w:tc>
      </w:tr>
      <w:tr>
        <w:trPr>
          <w:trHeight w:val="124"/>
        </w:trPr>
        <w:tc>
          <w:tcPr>
            <w:tcW w:w="1740" w:type="dxa"/>
            <w:vAlign w:val="bottom"/>
            <w:shd w:val="clear" w:color="auto" w:fill="CCEEFF"/>
          </w:tcPr>
          <w:p>
            <w:pPr>
              <w:spacing w:after="0" w:line="125" w:lineRule="exact"/>
              <w:rPr>
                <w:sz w:val="20"/>
                <w:szCs w:val="20"/>
                <w:color w:val="auto"/>
              </w:rPr>
            </w:pPr>
            <w:r>
              <w:rPr>
                <w:rFonts w:ascii="Arial" w:cs="Arial" w:eastAsia="Arial" w:hAnsi="Arial"/>
                <w:sz w:val="14"/>
                <w:szCs w:val="14"/>
                <w:color w:val="auto"/>
              </w:rPr>
              <w:t>Multilateral organization</w:t>
            </w:r>
          </w:p>
        </w:tc>
        <w:tc>
          <w:tcPr>
            <w:tcW w:w="800" w:type="dxa"/>
            <w:vAlign w:val="bottom"/>
            <w:gridSpan w:val="2"/>
            <w:shd w:val="clear" w:color="auto" w:fill="CCEEFF"/>
          </w:tcPr>
          <w:p>
            <w:pPr>
              <w:jc w:val="center"/>
              <w:ind w:right="140"/>
              <w:spacing w:after="0" w:line="125" w:lineRule="exact"/>
              <w:rPr>
                <w:sz w:val="20"/>
                <w:szCs w:val="20"/>
                <w:color w:val="auto"/>
              </w:rPr>
            </w:pPr>
            <w:r>
              <w:rPr>
                <w:rFonts w:ascii="Arial" w:cs="Arial" w:eastAsia="Arial" w:hAnsi="Arial"/>
                <w:sz w:val="14"/>
                <w:szCs w:val="14"/>
                <w:color w:val="auto"/>
                <w:w w:val="91"/>
              </w:rPr>
              <w:t>Mar-2018 /</w:t>
            </w:r>
          </w:p>
        </w:tc>
        <w:tc>
          <w:tcPr>
            <w:tcW w:w="800" w:type="dxa"/>
            <w:vAlign w:val="bottom"/>
            <w:gridSpan w:val="2"/>
            <w:shd w:val="clear" w:color="auto" w:fill="CCEEFF"/>
          </w:tcPr>
          <w:p>
            <w:pPr>
              <w:jc w:val="center"/>
              <w:ind w:right="100"/>
              <w:spacing w:after="0" w:line="125" w:lineRule="exact"/>
              <w:rPr>
                <w:sz w:val="20"/>
                <w:szCs w:val="20"/>
                <w:color w:val="auto"/>
              </w:rPr>
            </w:pPr>
            <w:r>
              <w:rPr>
                <w:rFonts w:ascii="Arial" w:cs="Arial" w:eastAsia="Arial" w:hAnsi="Arial"/>
                <w:sz w:val="14"/>
                <w:szCs w:val="14"/>
                <w:color w:val="auto"/>
                <w:w w:val="87"/>
              </w:rPr>
              <w:t>Jan-2017 /</w:t>
            </w:r>
          </w:p>
        </w:tc>
        <w:tc>
          <w:tcPr>
            <w:tcW w:w="5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1"/>
        </w:trPr>
        <w:tc>
          <w:tcPr>
            <w:tcW w:w="1740" w:type="dxa"/>
            <w:vAlign w:val="bottom"/>
            <w:shd w:val="clear" w:color="auto" w:fill="CCEEFF"/>
          </w:tcPr>
          <w:p>
            <w:pPr>
              <w:spacing w:after="0"/>
              <w:rPr>
                <w:sz w:val="20"/>
                <w:szCs w:val="20"/>
                <w:color w:val="auto"/>
              </w:rPr>
            </w:pPr>
            <w:r>
              <w:rPr>
                <w:rFonts w:ascii="Arial" w:cs="Arial" w:eastAsia="Arial" w:hAnsi="Arial"/>
                <w:sz w:val="14"/>
                <w:szCs w:val="14"/>
                <w:color w:val="auto"/>
              </w:rPr>
              <w:t>bonds</w:t>
            </w:r>
          </w:p>
        </w:tc>
        <w:tc>
          <w:tcPr>
            <w:tcW w:w="80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86"/>
              </w:rPr>
              <w:t>Feb-2044</w:t>
            </w:r>
          </w:p>
        </w:tc>
        <w:tc>
          <w:tcPr>
            <w:tcW w:w="80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86"/>
              </w:rPr>
              <w:t>Feb-2044</w:t>
            </w: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2.13</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7.04</w:t>
            </w:r>
          </w:p>
        </w:tc>
        <w:tc>
          <w:tcPr>
            <w:tcW w:w="760" w:type="dxa"/>
            <w:vAlign w:val="bottom"/>
            <w:shd w:val="clear" w:color="auto" w:fill="CCEEFF"/>
          </w:tcPr>
          <w:p>
            <w:pPr>
              <w:jc w:val="right"/>
              <w:ind w:right="211"/>
              <w:spacing w:after="0"/>
              <w:rPr>
                <w:sz w:val="20"/>
                <w:szCs w:val="20"/>
                <w:color w:val="auto"/>
              </w:rPr>
            </w:pPr>
            <w:r>
              <w:rPr>
                <w:rFonts w:ascii="Arial" w:cs="Arial" w:eastAsia="Arial" w:hAnsi="Arial"/>
                <w:sz w:val="14"/>
                <w:szCs w:val="14"/>
                <w:color w:val="auto"/>
              </w:rPr>
              <w:t>1.83</w:t>
            </w: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2.44</w:t>
            </w:r>
          </w:p>
        </w:tc>
        <w:tc>
          <w:tcPr>
            <w:tcW w:w="780" w:type="dxa"/>
            <w:vAlign w:val="bottom"/>
            <w:shd w:val="clear" w:color="auto" w:fill="CCEEFF"/>
          </w:tcPr>
          <w:p>
            <w:pPr>
              <w:jc w:val="right"/>
              <w:ind w:right="232"/>
              <w:spacing w:after="0"/>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191"/>
              <w:spacing w:after="0"/>
              <w:rPr>
                <w:sz w:val="20"/>
                <w:szCs w:val="20"/>
                <w:color w:val="auto"/>
              </w:rPr>
            </w:pPr>
            <w:r>
              <w:rPr>
                <w:rFonts w:ascii="Arial" w:cs="Arial" w:eastAsia="Arial" w:hAnsi="Arial"/>
                <w:sz w:val="14"/>
                <w:szCs w:val="14"/>
                <w:color w:val="auto"/>
              </w:rPr>
              <w:t>3.39</w:t>
            </w: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7.47</w:t>
            </w:r>
          </w:p>
        </w:tc>
        <w:tc>
          <w:tcPr>
            <w:tcW w:w="720" w:type="dxa"/>
            <w:vAlign w:val="bottom"/>
            <w:shd w:val="clear" w:color="auto" w:fill="CCEEFF"/>
          </w:tcPr>
          <w:p>
            <w:pPr>
              <w:jc w:val="right"/>
              <w:ind w:right="191"/>
              <w:spacing w:after="0"/>
              <w:rPr>
                <w:sz w:val="20"/>
                <w:szCs w:val="20"/>
                <w:color w:val="auto"/>
              </w:rPr>
            </w:pPr>
            <w:r>
              <w:rPr>
                <w:rFonts w:ascii="Arial" w:cs="Arial" w:eastAsia="Arial" w:hAnsi="Arial"/>
                <w:sz w:val="14"/>
                <w:szCs w:val="14"/>
                <w:color w:val="auto"/>
              </w:rPr>
              <w:t>1.67</w:t>
            </w: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3.31</w:t>
            </w:r>
          </w:p>
        </w:tc>
        <w:tc>
          <w:tcPr>
            <w:tcW w:w="720" w:type="dxa"/>
            <w:vAlign w:val="bottom"/>
            <w:shd w:val="clear" w:color="auto" w:fill="CCEEFF"/>
          </w:tcPr>
          <w:p>
            <w:pPr>
              <w:jc w:val="right"/>
              <w:ind w:right="192"/>
              <w:spacing w:after="0"/>
              <w:rPr>
                <w:sz w:val="20"/>
                <w:szCs w:val="20"/>
                <w:color w:val="auto"/>
              </w:rPr>
            </w:pPr>
            <w:r>
              <w:rPr>
                <w:rFonts w:ascii="Arial" w:cs="Arial" w:eastAsia="Arial" w:hAnsi="Arial"/>
                <w:sz w:val="14"/>
                <w:szCs w:val="14"/>
                <w:color w:val="auto"/>
              </w:rPr>
              <w:t>-</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24"/>
        </w:trPr>
        <w:tc>
          <w:tcPr>
            <w:tcW w:w="1740" w:type="dxa"/>
            <w:vAlign w:val="bottom"/>
          </w:tcPr>
          <w:p>
            <w:pPr>
              <w:spacing w:after="0" w:line="125" w:lineRule="exact"/>
              <w:rPr>
                <w:sz w:val="20"/>
                <w:szCs w:val="20"/>
                <w:color w:val="auto"/>
              </w:rPr>
            </w:pPr>
            <w:r>
              <w:rPr>
                <w:rFonts w:ascii="Arial" w:cs="Arial" w:eastAsia="Arial" w:hAnsi="Arial"/>
                <w:sz w:val="14"/>
                <w:szCs w:val="14"/>
                <w:color w:val="auto"/>
              </w:rPr>
              <w:t>Collateralized mortgage</w:t>
            </w:r>
          </w:p>
        </w:tc>
        <w:tc>
          <w:tcPr>
            <w:tcW w:w="800" w:type="dxa"/>
            <w:vAlign w:val="bottom"/>
            <w:gridSpan w:val="2"/>
          </w:tcPr>
          <w:p>
            <w:pPr>
              <w:jc w:val="center"/>
              <w:ind w:right="120"/>
              <w:spacing w:after="0" w:line="125" w:lineRule="exact"/>
              <w:rPr>
                <w:sz w:val="20"/>
                <w:szCs w:val="20"/>
                <w:color w:val="auto"/>
              </w:rPr>
            </w:pPr>
            <w:r>
              <w:rPr>
                <w:rFonts w:ascii="Arial" w:cs="Arial" w:eastAsia="Arial" w:hAnsi="Arial"/>
                <w:sz w:val="14"/>
                <w:szCs w:val="14"/>
                <w:color w:val="auto"/>
                <w:w w:val="93"/>
              </w:rPr>
              <w:t>Aug-2020 /</w:t>
            </w:r>
          </w:p>
        </w:tc>
        <w:tc>
          <w:tcPr>
            <w:tcW w:w="800" w:type="dxa"/>
            <w:vAlign w:val="bottom"/>
            <w:gridSpan w:val="2"/>
          </w:tcPr>
          <w:p>
            <w:pPr>
              <w:jc w:val="center"/>
              <w:ind w:right="120"/>
              <w:spacing w:after="0" w:line="125" w:lineRule="exact"/>
              <w:rPr>
                <w:sz w:val="20"/>
                <w:szCs w:val="20"/>
                <w:color w:val="auto"/>
              </w:rPr>
            </w:pPr>
            <w:r>
              <w:rPr>
                <w:rFonts w:ascii="Arial" w:cs="Arial" w:eastAsia="Arial" w:hAnsi="Arial"/>
                <w:sz w:val="14"/>
                <w:szCs w:val="14"/>
                <w:color w:val="auto"/>
                <w:w w:val="93"/>
              </w:rPr>
              <w:t>Aug-2020 /</w:t>
            </w:r>
          </w:p>
        </w:tc>
        <w:tc>
          <w:tcPr>
            <w:tcW w:w="5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1"/>
        </w:trPr>
        <w:tc>
          <w:tcPr>
            <w:tcW w:w="1740" w:type="dxa"/>
            <w:vAlign w:val="bottom"/>
          </w:tcPr>
          <w:p>
            <w:pPr>
              <w:spacing w:after="0"/>
              <w:rPr>
                <w:sz w:val="20"/>
                <w:szCs w:val="20"/>
                <w:color w:val="auto"/>
              </w:rPr>
            </w:pPr>
            <w:r>
              <w:rPr>
                <w:rFonts w:ascii="Arial" w:cs="Arial" w:eastAsia="Arial" w:hAnsi="Arial"/>
                <w:sz w:val="14"/>
                <w:szCs w:val="14"/>
                <w:color w:val="auto"/>
              </w:rPr>
              <w:t>obligations (CMO)</w:t>
            </w:r>
          </w:p>
        </w:tc>
        <w:tc>
          <w:tcPr>
            <w:tcW w:w="800" w:type="dxa"/>
            <w:vAlign w:val="bottom"/>
            <w:gridSpan w:val="2"/>
          </w:tcPr>
          <w:p>
            <w:pPr>
              <w:jc w:val="center"/>
              <w:ind w:right="120"/>
              <w:spacing w:after="0"/>
              <w:rPr>
                <w:sz w:val="20"/>
                <w:szCs w:val="20"/>
                <w:color w:val="auto"/>
              </w:rPr>
            </w:pPr>
            <w:r>
              <w:rPr>
                <w:rFonts w:ascii="Arial" w:cs="Arial" w:eastAsia="Arial" w:hAnsi="Arial"/>
                <w:sz w:val="14"/>
                <w:szCs w:val="14"/>
                <w:color w:val="auto"/>
                <w:w w:val="92"/>
              </w:rPr>
              <w:t>Dic-2036</w:t>
            </w:r>
          </w:p>
        </w:tc>
        <w:tc>
          <w:tcPr>
            <w:tcW w:w="800" w:type="dxa"/>
            <w:vAlign w:val="bottom"/>
            <w:gridSpan w:val="2"/>
          </w:tcPr>
          <w:p>
            <w:pPr>
              <w:jc w:val="center"/>
              <w:ind w:right="120"/>
              <w:spacing w:after="0"/>
              <w:rPr>
                <w:sz w:val="20"/>
                <w:szCs w:val="20"/>
                <w:color w:val="auto"/>
              </w:rPr>
            </w:pPr>
            <w:r>
              <w:rPr>
                <w:rFonts w:ascii="Arial" w:cs="Arial" w:eastAsia="Arial" w:hAnsi="Arial"/>
                <w:sz w:val="14"/>
                <w:szCs w:val="14"/>
                <w:color w:val="auto"/>
                <w:w w:val="92"/>
              </w:rPr>
              <w:t>Dec-2036</w:t>
            </w:r>
          </w:p>
        </w:tc>
        <w:tc>
          <w:tcPr>
            <w:tcW w:w="50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760" w:type="dxa"/>
            <w:vAlign w:val="bottom"/>
          </w:tcPr>
          <w:p>
            <w:pPr>
              <w:jc w:val="right"/>
              <w:ind w:right="211"/>
              <w:spacing w:after="0"/>
              <w:rPr>
                <w:sz w:val="20"/>
                <w:szCs w:val="20"/>
                <w:color w:val="auto"/>
              </w:rPr>
            </w:pPr>
            <w:r>
              <w:rPr>
                <w:rFonts w:ascii="Arial" w:cs="Arial" w:eastAsia="Arial" w:hAnsi="Arial"/>
                <w:sz w:val="14"/>
                <w:szCs w:val="14"/>
                <w:color w:val="auto"/>
              </w:rPr>
              <w:t>2.23</w:t>
            </w:r>
          </w:p>
        </w:tc>
        <w:tc>
          <w:tcPr>
            <w:tcW w:w="640" w:type="dxa"/>
            <w:vAlign w:val="bottom"/>
            <w:gridSpan w:val="2"/>
          </w:tcPr>
          <w:p>
            <w:pPr>
              <w:jc w:val="right"/>
              <w:ind w:right="220"/>
              <w:spacing w:after="0"/>
              <w:rPr>
                <w:sz w:val="20"/>
                <w:szCs w:val="20"/>
                <w:color w:val="auto"/>
              </w:rPr>
            </w:pPr>
            <w:r>
              <w:rPr>
                <w:rFonts w:ascii="Arial" w:cs="Arial" w:eastAsia="Arial" w:hAnsi="Arial"/>
                <w:sz w:val="14"/>
                <w:szCs w:val="14"/>
                <w:color w:val="auto"/>
              </w:rPr>
              <w:t>9.40</w:t>
            </w:r>
          </w:p>
        </w:tc>
        <w:tc>
          <w:tcPr>
            <w:tcW w:w="780" w:type="dxa"/>
            <w:vAlign w:val="bottom"/>
          </w:tcPr>
          <w:p>
            <w:pPr>
              <w:jc w:val="right"/>
              <w:ind w:right="232"/>
              <w:spacing w:after="0"/>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191"/>
              <w:spacing w:after="0"/>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191"/>
              <w:spacing w:after="0"/>
              <w:rPr>
                <w:sz w:val="20"/>
                <w:szCs w:val="20"/>
                <w:color w:val="auto"/>
              </w:rPr>
            </w:pPr>
            <w:r>
              <w:rPr>
                <w:rFonts w:ascii="Arial" w:cs="Arial" w:eastAsia="Arial" w:hAnsi="Arial"/>
                <w:sz w:val="14"/>
                <w:szCs w:val="14"/>
                <w:color w:val="auto"/>
              </w:rPr>
              <w:t>2.12</w:t>
            </w:r>
          </w:p>
        </w:tc>
        <w:tc>
          <w:tcPr>
            <w:tcW w:w="580" w:type="dxa"/>
            <w:vAlign w:val="bottom"/>
            <w:gridSpan w:val="2"/>
          </w:tcPr>
          <w:p>
            <w:pPr>
              <w:jc w:val="right"/>
              <w:ind w:right="200"/>
              <w:spacing w:after="0"/>
              <w:rPr>
                <w:sz w:val="20"/>
                <w:szCs w:val="20"/>
                <w:color w:val="auto"/>
              </w:rPr>
            </w:pPr>
            <w:r>
              <w:rPr>
                <w:rFonts w:ascii="Arial" w:cs="Arial" w:eastAsia="Arial" w:hAnsi="Arial"/>
                <w:sz w:val="14"/>
                <w:szCs w:val="14"/>
                <w:color w:val="auto"/>
              </w:rPr>
              <w:t>9.79</w:t>
            </w:r>
          </w:p>
        </w:tc>
        <w:tc>
          <w:tcPr>
            <w:tcW w:w="720" w:type="dxa"/>
            <w:vAlign w:val="bottom"/>
          </w:tcPr>
          <w:p>
            <w:pPr>
              <w:jc w:val="right"/>
              <w:ind w:right="192"/>
              <w:spacing w:after="0"/>
              <w:rPr>
                <w:sz w:val="20"/>
                <w:szCs w:val="20"/>
                <w:color w:val="auto"/>
              </w:rPr>
            </w:pPr>
            <w:r>
              <w:rPr>
                <w:rFonts w:ascii="Arial" w:cs="Arial" w:eastAsia="Arial" w:hAnsi="Arial"/>
                <w:sz w:val="14"/>
                <w:szCs w:val="14"/>
                <w:color w:val="auto"/>
              </w:rPr>
              <w:t>-</w:t>
            </w:r>
          </w:p>
        </w:tc>
        <w:tc>
          <w:tcPr>
            <w:tcW w:w="4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3"/>
        </w:trPr>
        <w:tc>
          <w:tcPr>
            <w:tcW w:w="174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rPr>
              <w:t>U.S. Federal agency bonds</w:t>
            </w:r>
          </w:p>
        </w:tc>
        <w:tc>
          <w:tcPr>
            <w:tcW w:w="800" w:type="dxa"/>
            <w:vAlign w:val="bottom"/>
            <w:gridSpan w:val="2"/>
            <w:shd w:val="clear" w:color="auto" w:fill="CCEEFF"/>
          </w:tcPr>
          <w:p>
            <w:pPr>
              <w:jc w:val="center"/>
              <w:ind w:right="120"/>
              <w:spacing w:after="0" w:line="143" w:lineRule="exact"/>
              <w:rPr>
                <w:sz w:val="20"/>
                <w:szCs w:val="20"/>
                <w:color w:val="auto"/>
              </w:rPr>
            </w:pPr>
            <w:r>
              <w:rPr>
                <w:rFonts w:ascii="Arial" w:cs="Arial" w:eastAsia="Arial" w:hAnsi="Arial"/>
                <w:sz w:val="14"/>
                <w:szCs w:val="14"/>
                <w:color w:val="auto"/>
                <w:w w:val="92"/>
              </w:rPr>
              <w:t>Aug-2035</w:t>
            </w:r>
          </w:p>
        </w:tc>
        <w:tc>
          <w:tcPr>
            <w:tcW w:w="800" w:type="dxa"/>
            <w:vAlign w:val="bottom"/>
            <w:gridSpan w:val="2"/>
            <w:shd w:val="clear" w:color="auto" w:fill="CCEEFF"/>
          </w:tcPr>
          <w:p>
            <w:pPr>
              <w:jc w:val="center"/>
              <w:ind w:right="120"/>
              <w:spacing w:after="0" w:line="143" w:lineRule="exact"/>
              <w:rPr>
                <w:sz w:val="20"/>
                <w:szCs w:val="20"/>
                <w:color w:val="auto"/>
              </w:rPr>
            </w:pPr>
            <w:r>
              <w:rPr>
                <w:rFonts w:ascii="Arial" w:cs="Arial" w:eastAsia="Arial" w:hAnsi="Arial"/>
                <w:sz w:val="14"/>
                <w:szCs w:val="14"/>
                <w:color w:val="auto"/>
                <w:w w:val="92"/>
              </w:rPr>
              <w:t>Aug-2035</w:t>
            </w:r>
          </w:p>
        </w:tc>
        <w:tc>
          <w:tcPr>
            <w:tcW w:w="50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211"/>
              <w:spacing w:after="0" w:line="143" w:lineRule="exact"/>
              <w:rPr>
                <w:sz w:val="20"/>
                <w:szCs w:val="20"/>
                <w:color w:val="auto"/>
              </w:rPr>
            </w:pPr>
            <w:r>
              <w:rPr>
                <w:rFonts w:ascii="Arial" w:cs="Arial" w:eastAsia="Arial" w:hAnsi="Arial"/>
                <w:sz w:val="14"/>
                <w:szCs w:val="14"/>
                <w:color w:val="auto"/>
              </w:rPr>
              <w:t>1.66</w:t>
            </w:r>
          </w:p>
        </w:tc>
        <w:tc>
          <w:tcPr>
            <w:tcW w:w="640" w:type="dxa"/>
            <w:vAlign w:val="bottom"/>
            <w:gridSpan w:val="2"/>
            <w:shd w:val="clear" w:color="auto" w:fill="CCEEFF"/>
          </w:tcPr>
          <w:p>
            <w:pPr>
              <w:jc w:val="right"/>
              <w:ind w:right="220"/>
              <w:spacing w:after="0" w:line="143" w:lineRule="exact"/>
              <w:rPr>
                <w:sz w:val="20"/>
                <w:szCs w:val="20"/>
                <w:color w:val="auto"/>
              </w:rPr>
            </w:pPr>
            <w:r>
              <w:rPr>
                <w:rFonts w:ascii="Arial" w:cs="Arial" w:eastAsia="Arial" w:hAnsi="Arial"/>
                <w:sz w:val="14"/>
                <w:szCs w:val="14"/>
                <w:color w:val="auto"/>
              </w:rPr>
              <w:t>1.66</w:t>
            </w:r>
          </w:p>
        </w:tc>
        <w:tc>
          <w:tcPr>
            <w:tcW w:w="780" w:type="dxa"/>
            <w:vAlign w:val="bottom"/>
            <w:shd w:val="clear" w:color="auto" w:fill="CCEEFF"/>
          </w:tcPr>
          <w:p>
            <w:pPr>
              <w:jc w:val="right"/>
              <w:ind w:right="232"/>
              <w:spacing w:after="0" w:line="143"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240"/>
              <w:spacing w:after="0" w:line="143"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191"/>
              <w:spacing w:after="0" w:line="143"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200"/>
              <w:spacing w:after="0" w:line="143"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191"/>
              <w:spacing w:after="0" w:line="143" w:lineRule="exact"/>
              <w:rPr>
                <w:sz w:val="20"/>
                <w:szCs w:val="20"/>
                <w:color w:val="auto"/>
              </w:rPr>
            </w:pPr>
            <w:r>
              <w:rPr>
                <w:rFonts w:ascii="Arial" w:cs="Arial" w:eastAsia="Arial" w:hAnsi="Arial"/>
                <w:sz w:val="14"/>
                <w:szCs w:val="14"/>
                <w:color w:val="auto"/>
              </w:rPr>
              <w:t>1.47</w:t>
            </w:r>
          </w:p>
        </w:tc>
        <w:tc>
          <w:tcPr>
            <w:tcW w:w="580" w:type="dxa"/>
            <w:vAlign w:val="bottom"/>
            <w:gridSpan w:val="2"/>
            <w:shd w:val="clear" w:color="auto" w:fill="CCEEFF"/>
          </w:tcPr>
          <w:p>
            <w:pPr>
              <w:jc w:val="right"/>
              <w:ind w:right="200"/>
              <w:spacing w:after="0" w:line="143" w:lineRule="exact"/>
              <w:rPr>
                <w:sz w:val="20"/>
                <w:szCs w:val="20"/>
                <w:color w:val="auto"/>
              </w:rPr>
            </w:pPr>
            <w:r>
              <w:rPr>
                <w:rFonts w:ascii="Arial" w:cs="Arial" w:eastAsia="Arial" w:hAnsi="Arial"/>
                <w:sz w:val="14"/>
                <w:szCs w:val="14"/>
                <w:color w:val="auto"/>
              </w:rPr>
              <w:t>1.47</w:t>
            </w:r>
          </w:p>
        </w:tc>
        <w:tc>
          <w:tcPr>
            <w:tcW w:w="720" w:type="dxa"/>
            <w:vAlign w:val="bottom"/>
            <w:shd w:val="clear" w:color="auto" w:fill="CCEEFF"/>
          </w:tcPr>
          <w:p>
            <w:pPr>
              <w:jc w:val="right"/>
              <w:ind w:right="192"/>
              <w:spacing w:after="0" w:line="143" w:lineRule="exact"/>
              <w:rPr>
                <w:sz w:val="20"/>
                <w:szCs w:val="20"/>
                <w:color w:val="auto"/>
              </w:rPr>
            </w:pPr>
            <w:r>
              <w:rPr>
                <w:rFonts w:ascii="Arial" w:cs="Arial" w:eastAsia="Arial" w:hAnsi="Arial"/>
                <w:sz w:val="14"/>
                <w:szCs w:val="14"/>
                <w:color w:val="auto"/>
              </w:rPr>
              <w:t>-</w:t>
            </w:r>
          </w:p>
        </w:tc>
        <w:tc>
          <w:tcPr>
            <w:tcW w:w="480" w:type="dxa"/>
            <w:vAlign w:val="bottom"/>
            <w:gridSpan w:val="2"/>
            <w:shd w:val="clear" w:color="auto" w:fill="CCEEFF"/>
          </w:tcPr>
          <w:p>
            <w:pPr>
              <w:jc w:val="right"/>
              <w:ind w:right="100"/>
              <w:spacing w:after="0" w:line="143"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- 57 -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15875</wp:posOffset>
            </wp:positionV>
            <wp:extent cx="725170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51700" cy="8255"/>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63" w:name="page64"/>
    <w:bookmarkEnd w:id="63"/>
    <w:p>
      <w:pPr>
        <w:ind w:left="424" w:right="40" w:hanging="424"/>
        <w:spacing w:after="0" w:line="262" w:lineRule="auto"/>
        <w:tabs>
          <w:tab w:leader="none" w:pos="424" w:val="left"/>
        </w:tabs>
        <w:numPr>
          <w:ilvl w:val="0"/>
          <w:numId w:val="70"/>
        </w:numPr>
        <w:rPr>
          <w:rFonts w:ascii="Arial" w:cs="Arial" w:eastAsia="Arial" w:hAnsi="Arial"/>
          <w:sz w:val="17"/>
          <w:szCs w:val="17"/>
          <w:color w:val="auto"/>
        </w:rPr>
      </w:pPr>
      <w:r>
        <w:rPr>
          <w:rFonts w:ascii="Arial" w:cs="Arial" w:eastAsia="Arial" w:hAnsi="Arial"/>
          <w:sz w:val="17"/>
          <w:szCs w:val="17"/>
          <w:color w:val="auto"/>
        </w:rPr>
        <w:t>At December 31, 2017 the balance includes mainly BCRP certificates of deposit (securities issued at discount through public auctions, negotiated in the Peruvian secondary market and settled in soles) amounting to S/2,102.3 million, government treasury bonds for an amount of S/1,142.0 million, and multilateral organization bonds for S/260.3 million, corporate and leasing bonds for S/238.4 million, listed shares for S/122.4 million and negotiable certificates of deposit for S/60.7 million (S/2,259.9 million, S/526.5 million, S/243.2 million, S/818.8 million, S/114.2 million and S/37.4 million, respectively, at December 31, 2016).</w:t>
      </w:r>
    </w:p>
    <w:p>
      <w:pPr>
        <w:spacing w:after="0" w:line="180" w:lineRule="exact"/>
        <w:rPr>
          <w:rFonts w:ascii="Arial" w:cs="Arial" w:eastAsia="Arial" w:hAnsi="Arial"/>
          <w:sz w:val="17"/>
          <w:szCs w:val="17"/>
          <w:color w:val="auto"/>
        </w:rPr>
      </w:pPr>
    </w:p>
    <w:p>
      <w:pPr>
        <w:ind w:left="424" w:hanging="424"/>
        <w:spacing w:after="0"/>
        <w:tabs>
          <w:tab w:leader="none" w:pos="424" w:val="left"/>
        </w:tabs>
        <w:numPr>
          <w:ilvl w:val="0"/>
          <w:numId w:val="70"/>
        </w:numPr>
        <w:rPr>
          <w:rFonts w:ascii="Arial" w:cs="Arial" w:eastAsia="Arial" w:hAnsi="Arial"/>
          <w:sz w:val="15"/>
          <w:szCs w:val="15"/>
          <w:color w:val="auto"/>
        </w:rPr>
      </w:pPr>
      <w:r>
        <w:rPr>
          <w:rFonts w:ascii="Arial" w:cs="Arial" w:eastAsia="Arial" w:hAnsi="Arial"/>
          <w:sz w:val="15"/>
          <w:szCs w:val="15"/>
          <w:color w:val="auto"/>
        </w:rPr>
        <w:t>At December 31, 2017 the most significant individual unrealized loss amounted to approximately S/2.2 million (S/17.7 million, at December 31, 2016).</w:t>
      </w:r>
    </w:p>
    <w:p>
      <w:pPr>
        <w:spacing w:after="0" w:line="243" w:lineRule="exact"/>
        <w:rPr>
          <w:rFonts w:ascii="Arial" w:cs="Arial" w:eastAsia="Arial" w:hAnsi="Arial"/>
          <w:sz w:val="15"/>
          <w:szCs w:val="15"/>
          <w:color w:val="auto"/>
        </w:rPr>
      </w:pPr>
    </w:p>
    <w:p>
      <w:pPr>
        <w:ind w:left="424" w:hanging="424"/>
        <w:spacing w:after="0"/>
        <w:tabs>
          <w:tab w:leader="none" w:pos="424" w:val="left"/>
        </w:tabs>
        <w:numPr>
          <w:ilvl w:val="0"/>
          <w:numId w:val="70"/>
        </w:numPr>
        <w:rPr>
          <w:rFonts w:ascii="Arial" w:cs="Arial" w:eastAsia="Arial" w:hAnsi="Arial"/>
          <w:sz w:val="17"/>
          <w:szCs w:val="17"/>
          <w:color w:val="auto"/>
        </w:rPr>
      </w:pPr>
      <w:r>
        <w:rPr>
          <w:rFonts w:ascii="Arial" w:cs="Arial" w:eastAsia="Arial" w:hAnsi="Arial"/>
          <w:sz w:val="17"/>
          <w:szCs w:val="17"/>
          <w:color w:val="auto"/>
        </w:rPr>
        <w:t>At December 31, 2017 the Group maintains 79,901 BCRP certificates of deposits (49,504 at December 31, 2016).</w:t>
      </w:r>
    </w:p>
    <w:p>
      <w:pPr>
        <w:spacing w:after="0" w:line="220" w:lineRule="exact"/>
        <w:rPr>
          <w:rFonts w:ascii="Arial" w:cs="Arial" w:eastAsia="Arial" w:hAnsi="Arial"/>
          <w:sz w:val="17"/>
          <w:szCs w:val="17"/>
          <w:color w:val="auto"/>
        </w:rPr>
      </w:pPr>
    </w:p>
    <w:p>
      <w:pPr>
        <w:ind w:left="424" w:hanging="424"/>
        <w:spacing w:after="0"/>
        <w:tabs>
          <w:tab w:leader="none" w:pos="424" w:val="left"/>
        </w:tabs>
        <w:numPr>
          <w:ilvl w:val="0"/>
          <w:numId w:val="70"/>
        </w:numPr>
        <w:rPr>
          <w:rFonts w:ascii="Arial" w:cs="Arial" w:eastAsia="Arial" w:hAnsi="Arial"/>
          <w:sz w:val="17"/>
          <w:szCs w:val="17"/>
          <w:color w:val="auto"/>
        </w:rPr>
      </w:pPr>
      <w:r>
        <w:rPr>
          <w:rFonts w:ascii="Arial" w:cs="Arial" w:eastAsia="Arial" w:hAnsi="Arial"/>
          <w:sz w:val="17"/>
          <w:szCs w:val="17"/>
          <w:color w:val="auto"/>
        </w:rPr>
        <w:t>At December 31, 2017 and 2016, the balance includes the following Government Treasury Bonds:</w:t>
      </w:r>
    </w:p>
    <w:p>
      <w:pPr>
        <w:spacing w:after="0" w:line="227" w:lineRule="exact"/>
        <w:rPr>
          <w:sz w:val="20"/>
          <w:szCs w:val="20"/>
          <w:color w:val="auto"/>
        </w:rPr>
      </w:pPr>
    </w:p>
    <w:tbl>
      <w:tblPr>
        <w:tblLayout w:type="fixed"/>
        <w:tblInd w:w="424" w:type="dxa"/>
        <w:tblCellMar>
          <w:top w:w="0" w:type="dxa"/>
          <w:left w:w="0" w:type="dxa"/>
          <w:bottom w:w="0" w:type="dxa"/>
          <w:right w:w="0" w:type="dxa"/>
        </w:tblCellMar>
      </w:tblPr>
      <w:tr>
        <w:trPr>
          <w:trHeight w:val="226"/>
        </w:trPr>
        <w:tc>
          <w:tcPr>
            <w:tcW w:w="6900" w:type="dxa"/>
            <w:vAlign w:val="bottom"/>
          </w:tcPr>
          <w:p>
            <w:pPr>
              <w:spacing w:after="0"/>
              <w:rPr>
                <w:sz w:val="19"/>
                <w:szCs w:val="19"/>
                <w:color w:val="auto"/>
              </w:rPr>
            </w:pPr>
          </w:p>
        </w:tc>
        <w:tc>
          <w:tcPr>
            <w:tcW w:w="1260" w:type="dxa"/>
            <w:vAlign w:val="bottom"/>
            <w:tcBorders>
              <w:bottom w:val="single" w:sz="8" w:color="auto"/>
            </w:tcBorders>
          </w:tcPr>
          <w:p>
            <w:pPr>
              <w:jc w:val="right"/>
              <w:ind w:right="373"/>
              <w:spacing w:after="0"/>
              <w:rPr>
                <w:sz w:val="20"/>
                <w:szCs w:val="20"/>
                <w:color w:val="auto"/>
              </w:rPr>
            </w:pPr>
            <w:r>
              <w:rPr>
                <w:rFonts w:ascii="Arial" w:cs="Arial" w:eastAsia="Arial" w:hAnsi="Arial"/>
                <w:sz w:val="17"/>
                <w:szCs w:val="17"/>
                <w:b w:val="1"/>
                <w:bCs w:val="1"/>
                <w:color w:val="auto"/>
              </w:rPr>
              <w:t>2017</w:t>
            </w:r>
          </w:p>
        </w:tc>
        <w:tc>
          <w:tcPr>
            <w:tcW w:w="200" w:type="dxa"/>
            <w:vAlign w:val="bottom"/>
          </w:tcPr>
          <w:p>
            <w:pPr>
              <w:spacing w:after="0"/>
              <w:rPr>
                <w:sz w:val="19"/>
                <w:szCs w:val="19"/>
                <w:color w:val="auto"/>
              </w:rPr>
            </w:pPr>
          </w:p>
        </w:tc>
        <w:tc>
          <w:tcPr>
            <w:tcW w:w="1240" w:type="dxa"/>
            <w:vAlign w:val="bottom"/>
            <w:tcBorders>
              <w:bottom w:val="single" w:sz="8" w:color="auto"/>
            </w:tcBorders>
          </w:tcPr>
          <w:p>
            <w:pPr>
              <w:jc w:val="right"/>
              <w:ind w:right="353"/>
              <w:spacing w:after="0"/>
              <w:rPr>
                <w:sz w:val="20"/>
                <w:szCs w:val="20"/>
                <w:color w:val="auto"/>
              </w:rPr>
            </w:pPr>
            <w:r>
              <w:rPr>
                <w:rFonts w:ascii="Arial" w:cs="Arial" w:eastAsia="Arial" w:hAnsi="Arial"/>
                <w:sz w:val="17"/>
                <w:szCs w:val="17"/>
                <w:b w:val="1"/>
                <w:bCs w:val="1"/>
                <w:color w:val="auto"/>
              </w:rPr>
              <w:t>2016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1"/>
        </w:trPr>
        <w:tc>
          <w:tcPr>
            <w:tcW w:w="6900" w:type="dxa"/>
            <w:vAlign w:val="bottom"/>
          </w:tcPr>
          <w:p>
            <w:pPr>
              <w:spacing w:after="0"/>
              <w:rPr>
                <w:sz w:val="17"/>
                <w:szCs w:val="17"/>
                <w:color w:val="auto"/>
              </w:rPr>
            </w:pPr>
          </w:p>
        </w:tc>
        <w:tc>
          <w:tcPr>
            <w:tcW w:w="1260" w:type="dxa"/>
            <w:vAlign w:val="bottom"/>
          </w:tcPr>
          <w:p>
            <w:pPr>
              <w:jc w:val="center"/>
              <w:spacing w:after="0"/>
              <w:rPr>
                <w:sz w:val="20"/>
                <w:szCs w:val="20"/>
                <w:color w:val="auto"/>
              </w:rPr>
            </w:pPr>
            <w:r>
              <w:rPr>
                <w:rFonts w:ascii="Arial" w:cs="Arial" w:eastAsia="Arial" w:hAnsi="Arial"/>
                <w:sz w:val="17"/>
                <w:szCs w:val="17"/>
                <w:b w:val="1"/>
                <w:bCs w:val="1"/>
                <w:color w:val="auto"/>
                <w:w w:val="93"/>
              </w:rPr>
              <w:t>S/(000)</w:t>
            </w:r>
          </w:p>
        </w:tc>
        <w:tc>
          <w:tcPr>
            <w:tcW w:w="200" w:type="dxa"/>
            <w:vAlign w:val="bottom"/>
          </w:tcPr>
          <w:p>
            <w:pPr>
              <w:spacing w:after="0"/>
              <w:rPr>
                <w:sz w:val="17"/>
                <w:szCs w:val="17"/>
                <w:color w:val="auto"/>
              </w:rPr>
            </w:pPr>
          </w:p>
        </w:tc>
        <w:tc>
          <w:tcPr>
            <w:tcW w:w="1240" w:type="dxa"/>
            <w:vAlign w:val="bottom"/>
          </w:tcPr>
          <w:p>
            <w:pPr>
              <w:jc w:val="center"/>
              <w:spacing w:after="0"/>
              <w:rPr>
                <w:sz w:val="20"/>
                <w:szCs w:val="20"/>
                <w:color w:val="auto"/>
              </w:rPr>
            </w:pPr>
            <w:r>
              <w:rPr>
                <w:rFonts w:ascii="Arial" w:cs="Arial" w:eastAsia="Arial" w:hAnsi="Arial"/>
                <w:sz w:val="17"/>
                <w:szCs w:val="17"/>
                <w:b w:val="1"/>
                <w:bCs w:val="1"/>
                <w:color w:val="auto"/>
                <w:w w:val="93"/>
              </w:rPr>
              <w:t>S/(000)</w:t>
            </w:r>
          </w:p>
        </w:tc>
        <w:tc>
          <w:tcPr>
            <w:tcW w:w="10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6900" w:type="dxa"/>
            <w:vAlign w:val="bottom"/>
            <w:shd w:val="clear" w:color="auto" w:fill="CCEEFF"/>
          </w:tcPr>
          <w:p>
            <w:pPr>
              <w:spacing w:after="0"/>
              <w:rPr>
                <w:sz w:val="20"/>
                <w:szCs w:val="20"/>
                <w:color w:val="auto"/>
              </w:rPr>
            </w:pPr>
            <w:r>
              <w:rPr>
                <w:rFonts w:ascii="Arial" w:cs="Arial" w:eastAsia="Arial" w:hAnsi="Arial"/>
                <w:sz w:val="17"/>
                <w:szCs w:val="17"/>
                <w:color w:val="auto"/>
              </w:rPr>
              <w:t>Peruvian sovereign bonds</w:t>
            </w:r>
          </w:p>
        </w:tc>
        <w:tc>
          <w:tcPr>
            <w:tcW w:w="14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4,364,172</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1,820,240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6900" w:type="dxa"/>
            <w:vAlign w:val="bottom"/>
          </w:tcPr>
          <w:p>
            <w:pPr>
              <w:spacing w:after="0"/>
              <w:rPr>
                <w:sz w:val="20"/>
                <w:szCs w:val="20"/>
                <w:color w:val="auto"/>
              </w:rPr>
            </w:pPr>
            <w:r>
              <w:rPr>
                <w:rFonts w:ascii="Arial" w:cs="Arial" w:eastAsia="Arial" w:hAnsi="Arial"/>
                <w:sz w:val="17"/>
                <w:szCs w:val="17"/>
                <w:color w:val="auto"/>
              </w:rPr>
              <w:t>Bolivian sovereign bonds</w:t>
            </w:r>
          </w:p>
        </w:tc>
        <w:tc>
          <w:tcPr>
            <w:tcW w:w="1460" w:type="dxa"/>
            <w:vAlign w:val="bottom"/>
            <w:gridSpan w:val="2"/>
          </w:tcPr>
          <w:p>
            <w:pPr>
              <w:jc w:val="right"/>
              <w:ind w:right="200"/>
              <w:spacing w:after="0"/>
              <w:rPr>
                <w:sz w:val="20"/>
                <w:szCs w:val="20"/>
                <w:color w:val="auto"/>
              </w:rPr>
            </w:pPr>
            <w:r>
              <w:rPr>
                <w:rFonts w:ascii="Arial" w:cs="Arial" w:eastAsia="Arial" w:hAnsi="Arial"/>
                <w:sz w:val="17"/>
                <w:szCs w:val="17"/>
                <w:color w:val="auto"/>
              </w:rPr>
              <w:t>106,461</w:t>
            </w:r>
          </w:p>
        </w:tc>
        <w:tc>
          <w:tcPr>
            <w:tcW w:w="1260" w:type="dxa"/>
            <w:vAlign w:val="bottom"/>
            <w:gridSpan w:val="2"/>
          </w:tcPr>
          <w:p>
            <w:pPr>
              <w:jc w:val="right"/>
              <w:ind w:right="20"/>
              <w:spacing w:after="0"/>
              <w:rPr>
                <w:sz w:val="20"/>
                <w:szCs w:val="20"/>
                <w:color w:val="auto"/>
              </w:rPr>
            </w:pPr>
            <w:r>
              <w:rPr>
                <w:rFonts w:ascii="Arial" w:cs="Arial" w:eastAsia="Arial" w:hAnsi="Arial"/>
                <w:sz w:val="17"/>
                <w:szCs w:val="17"/>
                <w:color w:val="auto"/>
              </w:rPr>
              <w:t>52,462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6900" w:type="dxa"/>
            <w:vAlign w:val="bottom"/>
            <w:shd w:val="clear" w:color="auto" w:fill="CCEEFF"/>
          </w:tcPr>
          <w:p>
            <w:pPr>
              <w:spacing w:after="0"/>
              <w:rPr>
                <w:sz w:val="20"/>
                <w:szCs w:val="20"/>
                <w:color w:val="auto"/>
              </w:rPr>
            </w:pPr>
            <w:r>
              <w:rPr>
                <w:rFonts w:ascii="Arial" w:cs="Arial" w:eastAsia="Arial" w:hAnsi="Arial"/>
                <w:sz w:val="17"/>
                <w:szCs w:val="17"/>
                <w:color w:val="auto"/>
              </w:rPr>
              <w:t>Colombian sovereign bonds</w:t>
            </w:r>
          </w:p>
        </w:tc>
        <w:tc>
          <w:tcPr>
            <w:tcW w:w="14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58,381</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212,756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6900" w:type="dxa"/>
            <w:vAlign w:val="bottom"/>
          </w:tcPr>
          <w:p>
            <w:pPr>
              <w:spacing w:after="0"/>
              <w:rPr>
                <w:sz w:val="20"/>
                <w:szCs w:val="20"/>
                <w:color w:val="auto"/>
              </w:rPr>
            </w:pPr>
            <w:r>
              <w:rPr>
                <w:rFonts w:ascii="Arial" w:cs="Arial" w:eastAsia="Arial" w:hAnsi="Arial"/>
                <w:sz w:val="17"/>
                <w:szCs w:val="17"/>
                <w:color w:val="auto"/>
              </w:rPr>
              <w:t>U.S. Federal agency bonds</w:t>
            </w:r>
          </w:p>
        </w:tc>
        <w:tc>
          <w:tcPr>
            <w:tcW w:w="1460" w:type="dxa"/>
            <w:vAlign w:val="bottom"/>
            <w:gridSpan w:val="2"/>
          </w:tcPr>
          <w:p>
            <w:pPr>
              <w:jc w:val="right"/>
              <w:ind w:right="200"/>
              <w:spacing w:after="0"/>
              <w:rPr>
                <w:sz w:val="20"/>
                <w:szCs w:val="20"/>
                <w:color w:val="auto"/>
              </w:rPr>
            </w:pPr>
            <w:r>
              <w:rPr>
                <w:rFonts w:ascii="Arial" w:cs="Arial" w:eastAsia="Arial" w:hAnsi="Arial"/>
                <w:sz w:val="17"/>
                <w:szCs w:val="17"/>
                <w:color w:val="auto"/>
              </w:rPr>
              <w:t>55,875</w:t>
            </w:r>
          </w:p>
        </w:tc>
        <w:tc>
          <w:tcPr>
            <w:tcW w:w="1260" w:type="dxa"/>
            <w:vAlign w:val="bottom"/>
            <w:gridSpan w:val="2"/>
          </w:tcPr>
          <w:p>
            <w:pPr>
              <w:jc w:val="right"/>
              <w:ind w:right="20"/>
              <w:spacing w:after="0"/>
              <w:rPr>
                <w:sz w:val="20"/>
                <w:szCs w:val="20"/>
                <w:color w:val="auto"/>
              </w:rPr>
            </w:pPr>
            <w:r>
              <w:rPr>
                <w:rFonts w:ascii="Arial" w:cs="Arial" w:eastAsia="Arial" w:hAnsi="Arial"/>
                <w:sz w:val="17"/>
                <w:szCs w:val="17"/>
                <w:color w:val="auto"/>
              </w:rPr>
              <w:t>90,191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6900" w:type="dxa"/>
            <w:vAlign w:val="bottom"/>
            <w:shd w:val="clear" w:color="auto" w:fill="CCEEFF"/>
          </w:tcPr>
          <w:p>
            <w:pPr>
              <w:spacing w:after="0"/>
              <w:rPr>
                <w:sz w:val="20"/>
                <w:szCs w:val="20"/>
                <w:color w:val="auto"/>
              </w:rPr>
            </w:pPr>
            <w:r>
              <w:rPr>
                <w:rFonts w:ascii="Arial" w:cs="Arial" w:eastAsia="Arial" w:hAnsi="Arial"/>
                <w:sz w:val="17"/>
                <w:szCs w:val="17"/>
                <w:color w:val="auto"/>
              </w:rPr>
              <w:t>Other</w:t>
            </w:r>
          </w:p>
        </w:tc>
        <w:tc>
          <w:tcPr>
            <w:tcW w:w="14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55,659</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29,713</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900" w:type="dxa"/>
            <w:vAlign w:val="bottom"/>
            <w:vMerge w:val="restart"/>
          </w:tcPr>
          <w:p>
            <w:pPr>
              <w:spacing w:after="0"/>
              <w:rPr>
                <w:sz w:val="20"/>
                <w:szCs w:val="20"/>
                <w:color w:val="auto"/>
              </w:rPr>
            </w:pPr>
            <w:r>
              <w:rPr>
                <w:rFonts w:ascii="Arial" w:cs="Arial" w:eastAsia="Arial" w:hAnsi="Arial"/>
                <w:sz w:val="17"/>
                <w:szCs w:val="17"/>
                <w:b w:val="1"/>
                <w:bCs w:val="1"/>
                <w:color w:val="auto"/>
              </w:rPr>
              <w:t>Total</w:t>
            </w:r>
          </w:p>
        </w:tc>
        <w:tc>
          <w:tcPr>
            <w:tcW w:w="12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6900" w:type="dxa"/>
            <w:vAlign w:val="bottom"/>
            <w:vMerge w:val="continue"/>
          </w:tcPr>
          <w:p>
            <w:pPr>
              <w:spacing w:after="0"/>
              <w:rPr>
                <w:sz w:val="18"/>
                <w:szCs w:val="18"/>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7"/>
                <w:szCs w:val="17"/>
                <w:color w:val="auto"/>
              </w:rPr>
              <w:t>4,640,548</w:t>
            </w:r>
          </w:p>
        </w:tc>
        <w:tc>
          <w:tcPr>
            <w:tcW w:w="1260" w:type="dxa"/>
            <w:vAlign w:val="bottom"/>
            <w:gridSpan w:val="2"/>
          </w:tcPr>
          <w:p>
            <w:pPr>
              <w:jc w:val="right"/>
              <w:ind w:right="20"/>
              <w:spacing w:after="0"/>
              <w:rPr>
                <w:sz w:val="20"/>
                <w:szCs w:val="20"/>
                <w:color w:val="auto"/>
              </w:rPr>
            </w:pPr>
            <w:r>
              <w:rPr>
                <w:rFonts w:ascii="Arial" w:cs="Arial" w:eastAsia="Arial" w:hAnsi="Arial"/>
                <w:sz w:val="17"/>
                <w:szCs w:val="17"/>
                <w:color w:val="auto"/>
              </w:rPr>
              <w:t>2,205,362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90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5" w:lineRule="exact"/>
        <w:rPr>
          <w:sz w:val="20"/>
          <w:szCs w:val="20"/>
          <w:color w:val="auto"/>
        </w:rPr>
      </w:pPr>
    </w:p>
    <w:p>
      <w:pPr>
        <w:ind w:left="424"/>
        <w:spacing w:after="0"/>
        <w:rPr>
          <w:sz w:val="20"/>
          <w:szCs w:val="20"/>
          <w:color w:val="auto"/>
        </w:rPr>
      </w:pPr>
      <w:r>
        <w:rPr>
          <w:rFonts w:ascii="Arial" w:cs="Arial" w:eastAsia="Arial" w:hAnsi="Arial"/>
          <w:sz w:val="17"/>
          <w:szCs w:val="17"/>
          <w:color w:val="auto"/>
        </w:rPr>
        <w:t>Certain treasury bonds were hedged through CCS and IRS, as detailed bellow:</w:t>
      </w:r>
    </w:p>
    <w:p>
      <w:pPr>
        <w:spacing w:after="0" w:line="220" w:lineRule="exact"/>
        <w:rPr>
          <w:sz w:val="20"/>
          <w:szCs w:val="20"/>
          <w:color w:val="auto"/>
        </w:rPr>
      </w:pPr>
    </w:p>
    <w:p>
      <w:pPr>
        <w:ind w:left="824" w:right="20" w:hanging="409"/>
        <w:spacing w:after="0" w:line="294" w:lineRule="auto"/>
        <w:tabs>
          <w:tab w:leader="none" w:pos="824" w:val="left"/>
        </w:tabs>
        <w:numPr>
          <w:ilvl w:val="1"/>
          <w:numId w:val="71"/>
        </w:numPr>
        <w:rPr>
          <w:rFonts w:ascii="Arial" w:cs="Arial" w:eastAsia="Arial" w:hAnsi="Arial"/>
          <w:sz w:val="16"/>
          <w:szCs w:val="16"/>
          <w:color w:val="auto"/>
        </w:rPr>
      </w:pPr>
      <w:r>
        <w:rPr>
          <w:rFonts w:ascii="Arial" w:cs="Arial" w:eastAsia="Arial" w:hAnsi="Arial"/>
          <w:sz w:val="16"/>
          <w:szCs w:val="16"/>
          <w:color w:val="auto"/>
        </w:rPr>
        <w:t>At December 31, 2017, the Group maintains CCS, which were designated as cash flow hedges of certain corporate bonds and foreign government bonds for nominal amounts totaling S/228.8 million and S/55.1 million, respectively (S/236.3 million and S/167.8 million, respectively, at December 31, 2016), See Note 12(b); by means of said CCS, the bonds were economically converted to soles at fixed rate.</w:t>
      </w:r>
    </w:p>
    <w:p>
      <w:pPr>
        <w:spacing w:after="0" w:line="155" w:lineRule="exact"/>
        <w:rPr>
          <w:rFonts w:ascii="Arial" w:cs="Arial" w:eastAsia="Arial" w:hAnsi="Arial"/>
          <w:sz w:val="16"/>
          <w:szCs w:val="16"/>
          <w:color w:val="auto"/>
        </w:rPr>
      </w:pPr>
    </w:p>
    <w:p>
      <w:pPr>
        <w:ind w:left="824" w:hanging="409"/>
        <w:spacing w:after="0" w:line="294" w:lineRule="auto"/>
        <w:tabs>
          <w:tab w:leader="none" w:pos="824" w:val="left"/>
        </w:tabs>
        <w:numPr>
          <w:ilvl w:val="1"/>
          <w:numId w:val="71"/>
        </w:numPr>
        <w:rPr>
          <w:rFonts w:ascii="Arial" w:cs="Arial" w:eastAsia="Arial" w:hAnsi="Arial"/>
          <w:sz w:val="16"/>
          <w:szCs w:val="16"/>
          <w:color w:val="auto"/>
        </w:rPr>
      </w:pPr>
      <w:r>
        <w:rPr>
          <w:rFonts w:ascii="Arial" w:cs="Arial" w:eastAsia="Arial" w:hAnsi="Arial"/>
          <w:sz w:val="16"/>
          <w:szCs w:val="16"/>
          <w:color w:val="auto"/>
        </w:rPr>
        <w:t>At December 31, 2017, the Group maintains IRS, which have been designated as fair value hedges of certain Peruvian Government, corporate and international financial entity bonds denominated in U.S Dollars at fixed interest rate for a nominal amount of S/659.5 million (S/760.3 million at December 31, 2016), See Note 12(b); through said IRS these bonds were economically converted to variable interest rates.</w:t>
      </w:r>
    </w:p>
    <w:p>
      <w:pPr>
        <w:spacing w:after="0" w:line="155" w:lineRule="exact"/>
        <w:rPr>
          <w:rFonts w:ascii="Arial" w:cs="Arial" w:eastAsia="Arial" w:hAnsi="Arial"/>
          <w:sz w:val="16"/>
          <w:szCs w:val="16"/>
          <w:color w:val="auto"/>
        </w:rPr>
      </w:pPr>
    </w:p>
    <w:p>
      <w:pPr>
        <w:jc w:val="both"/>
        <w:ind w:left="424" w:right="20" w:hanging="424"/>
        <w:spacing w:after="0" w:line="294" w:lineRule="auto"/>
        <w:tabs>
          <w:tab w:leader="none" w:pos="424" w:val="left"/>
        </w:tabs>
        <w:numPr>
          <w:ilvl w:val="0"/>
          <w:numId w:val="71"/>
        </w:numPr>
        <w:rPr>
          <w:rFonts w:ascii="Arial" w:cs="Arial" w:eastAsia="Arial" w:hAnsi="Arial"/>
          <w:sz w:val="16"/>
          <w:szCs w:val="16"/>
          <w:color w:val="auto"/>
        </w:rPr>
      </w:pPr>
      <w:r>
        <w:rPr>
          <w:rFonts w:ascii="Arial" w:cs="Arial" w:eastAsia="Arial" w:hAnsi="Arial"/>
          <w:sz w:val="16"/>
          <w:szCs w:val="16"/>
          <w:color w:val="auto"/>
        </w:rPr>
        <w:t>At December 31, 2017, these funds total approximately S/146.2 million in bolivianos and S/381.2 million in U.S. dollars (S/168.4 million in bolivianos and S/482.4 million in U.S. dollars respectively at December 31, 2016) and comprise the investments made by the Group in the Central Bank of Bolivia as collateral for deposits received from the public. These funds have restrictions for their use and are required from all banks in Bolivia.</w:t>
      </w:r>
    </w:p>
    <w:p>
      <w:pPr>
        <w:spacing w:after="0" w:line="363" w:lineRule="exact"/>
        <w:rPr>
          <w:rFonts w:ascii="Arial" w:cs="Arial" w:eastAsia="Arial" w:hAnsi="Arial"/>
          <w:sz w:val="16"/>
          <w:szCs w:val="16"/>
          <w:color w:val="auto"/>
        </w:rPr>
      </w:pPr>
    </w:p>
    <w:p>
      <w:pPr>
        <w:ind w:left="5324" w:hanging="107"/>
        <w:spacing w:after="0"/>
        <w:tabs>
          <w:tab w:leader="none" w:pos="5324" w:val="left"/>
        </w:tabs>
        <w:numPr>
          <w:ilvl w:val="2"/>
          <w:numId w:val="71"/>
        </w:numPr>
        <w:rPr>
          <w:rFonts w:ascii="Arial" w:cs="Arial" w:eastAsia="Arial" w:hAnsi="Arial"/>
          <w:sz w:val="17"/>
          <w:szCs w:val="17"/>
          <w:color w:val="auto"/>
        </w:rPr>
      </w:pPr>
      <w:r>
        <w:rPr>
          <w:rFonts w:ascii="Arial" w:cs="Arial" w:eastAsia="Arial" w:hAnsi="Arial"/>
          <w:sz w:val="17"/>
          <w:szCs w:val="17"/>
          <w:color w:val="auto"/>
        </w:rPr>
        <w:t>58 -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-197485</wp:posOffset>
            </wp:positionH>
            <wp:positionV relativeFrom="paragraph">
              <wp:posOffset>15875</wp:posOffset>
            </wp:positionV>
            <wp:extent cx="725170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51700" cy="8255"/>
                    </a:xfrm>
                    <a:prstGeom prst="rect">
                      <a:avLst/>
                    </a:prstGeom>
                    <a:noFill/>
                  </pic:spPr>
                </pic:pic>
              </a:graphicData>
            </a:graphic>
          </wp:anchor>
        </w:drawing>
      </w:r>
    </w:p>
    <w:p>
      <w:pPr>
        <w:sectPr>
          <w:pgSz w:w="11900" w:h="16838" w:orient="portrait"/>
          <w:cols w:equalWidth="0" w:num="1">
            <w:col w:w="10964"/>
          </w:cols>
          <w:pgMar w:left="556" w:top="881" w:right="379" w:bottom="1440" w:gutter="0" w:footer="0" w:header="0"/>
        </w:sectPr>
      </w:pPr>
    </w:p>
    <w:bookmarkStart w:id="64" w:name="page65"/>
    <w:bookmarkEnd w:id="64"/>
    <w:tbl>
      <w:tblPr>
        <w:tblLayout w:type="fixed"/>
        <w:tblInd w:w="4" w:type="dxa"/>
        <w:tblCellMar>
          <w:top w:w="0" w:type="dxa"/>
          <w:left w:w="0" w:type="dxa"/>
          <w:bottom w:w="0" w:type="dxa"/>
          <w:right w:w="0" w:type="dxa"/>
        </w:tblCellMar>
      </w:tblPr>
      <w:tr>
        <w:trPr>
          <w:trHeight w:val="220"/>
        </w:trPr>
        <w:tc>
          <w:tcPr>
            <w:tcW w:w="7320" w:type="dxa"/>
            <w:vAlign w:val="bottom"/>
            <w:gridSpan w:val="2"/>
          </w:tcPr>
          <w:p>
            <w:pPr>
              <w:spacing w:after="0"/>
              <w:rPr>
                <w:sz w:val="20"/>
                <w:szCs w:val="20"/>
                <w:color w:val="auto"/>
              </w:rPr>
            </w:pPr>
            <w:r>
              <w:rPr>
                <w:rFonts w:ascii="Arial" w:cs="Arial" w:eastAsia="Arial" w:hAnsi="Arial"/>
                <w:sz w:val="17"/>
                <w:szCs w:val="17"/>
                <w:color w:val="auto"/>
                <w:w w:val="95"/>
              </w:rPr>
              <w:t>(vi)  At December 31, 2017 and 2016, the balance of securitization instruments includes the following:</w:t>
            </w:r>
          </w:p>
        </w:tc>
        <w:tc>
          <w:tcPr>
            <w:tcW w:w="1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9"/>
        </w:trPr>
        <w:tc>
          <w:tcPr>
            <w:tcW w:w="420" w:type="dxa"/>
            <w:vAlign w:val="bottom"/>
          </w:tcPr>
          <w:p>
            <w:pPr>
              <w:spacing w:after="0"/>
              <w:rPr>
                <w:sz w:val="24"/>
                <w:szCs w:val="24"/>
                <w:color w:val="auto"/>
              </w:rPr>
            </w:pPr>
          </w:p>
        </w:tc>
        <w:tc>
          <w:tcPr>
            <w:tcW w:w="6900" w:type="dxa"/>
            <w:vAlign w:val="bottom"/>
          </w:tcPr>
          <w:p>
            <w:pPr>
              <w:spacing w:after="0"/>
              <w:rPr>
                <w:sz w:val="24"/>
                <w:szCs w:val="24"/>
                <w:color w:val="auto"/>
              </w:rPr>
            </w:pPr>
          </w:p>
        </w:tc>
        <w:tc>
          <w:tcPr>
            <w:tcW w:w="1260" w:type="dxa"/>
            <w:vAlign w:val="bottom"/>
            <w:tcBorders>
              <w:bottom w:val="single" w:sz="8" w:color="auto"/>
            </w:tcBorders>
          </w:tcPr>
          <w:p>
            <w:pPr>
              <w:jc w:val="right"/>
              <w:ind w:right="373"/>
              <w:spacing w:after="0"/>
              <w:rPr>
                <w:sz w:val="20"/>
                <w:szCs w:val="20"/>
                <w:color w:val="auto"/>
              </w:rPr>
            </w:pPr>
            <w:r>
              <w:rPr>
                <w:rFonts w:ascii="Arial" w:cs="Arial" w:eastAsia="Arial" w:hAnsi="Arial"/>
                <w:sz w:val="17"/>
                <w:szCs w:val="17"/>
                <w:b w:val="1"/>
                <w:bCs w:val="1"/>
                <w:color w:val="auto"/>
              </w:rPr>
              <w:t>2017</w:t>
            </w:r>
          </w:p>
        </w:tc>
        <w:tc>
          <w:tcPr>
            <w:tcW w:w="200" w:type="dxa"/>
            <w:vAlign w:val="bottom"/>
          </w:tcPr>
          <w:p>
            <w:pPr>
              <w:spacing w:after="0"/>
              <w:rPr>
                <w:sz w:val="24"/>
                <w:szCs w:val="24"/>
                <w:color w:val="auto"/>
              </w:rPr>
            </w:pPr>
          </w:p>
        </w:tc>
        <w:tc>
          <w:tcPr>
            <w:tcW w:w="1240" w:type="dxa"/>
            <w:vAlign w:val="bottom"/>
            <w:tcBorders>
              <w:bottom w:val="single" w:sz="8" w:color="auto"/>
            </w:tcBorders>
          </w:tcPr>
          <w:p>
            <w:pPr>
              <w:jc w:val="right"/>
              <w:ind w:right="353"/>
              <w:spacing w:after="0"/>
              <w:rPr>
                <w:sz w:val="20"/>
                <w:szCs w:val="20"/>
                <w:color w:val="auto"/>
              </w:rPr>
            </w:pPr>
            <w:r>
              <w:rPr>
                <w:rFonts w:ascii="Arial" w:cs="Arial" w:eastAsia="Arial" w:hAnsi="Arial"/>
                <w:sz w:val="17"/>
                <w:szCs w:val="17"/>
                <w:b w:val="1"/>
                <w:bCs w:val="1"/>
                <w:color w:val="auto"/>
              </w:rPr>
              <w:t>2016</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1"/>
        </w:trPr>
        <w:tc>
          <w:tcPr>
            <w:tcW w:w="420" w:type="dxa"/>
            <w:vAlign w:val="bottom"/>
          </w:tcPr>
          <w:p>
            <w:pPr>
              <w:spacing w:after="0"/>
              <w:rPr>
                <w:sz w:val="17"/>
                <w:szCs w:val="17"/>
                <w:color w:val="auto"/>
              </w:rPr>
            </w:pPr>
          </w:p>
        </w:tc>
        <w:tc>
          <w:tcPr>
            <w:tcW w:w="6900" w:type="dxa"/>
            <w:vAlign w:val="bottom"/>
          </w:tcPr>
          <w:p>
            <w:pPr>
              <w:spacing w:after="0"/>
              <w:rPr>
                <w:sz w:val="17"/>
                <w:szCs w:val="17"/>
                <w:color w:val="auto"/>
              </w:rPr>
            </w:pPr>
          </w:p>
        </w:tc>
        <w:tc>
          <w:tcPr>
            <w:tcW w:w="1260" w:type="dxa"/>
            <w:vAlign w:val="bottom"/>
          </w:tcPr>
          <w:p>
            <w:pPr>
              <w:jc w:val="center"/>
              <w:spacing w:after="0"/>
              <w:rPr>
                <w:sz w:val="20"/>
                <w:szCs w:val="20"/>
                <w:color w:val="auto"/>
              </w:rPr>
            </w:pPr>
            <w:r>
              <w:rPr>
                <w:rFonts w:ascii="Arial" w:cs="Arial" w:eastAsia="Arial" w:hAnsi="Arial"/>
                <w:sz w:val="17"/>
                <w:szCs w:val="17"/>
                <w:b w:val="1"/>
                <w:bCs w:val="1"/>
                <w:color w:val="auto"/>
                <w:w w:val="93"/>
              </w:rPr>
              <w:t>S/(000)</w:t>
            </w:r>
          </w:p>
        </w:tc>
        <w:tc>
          <w:tcPr>
            <w:tcW w:w="200" w:type="dxa"/>
            <w:vAlign w:val="bottom"/>
          </w:tcPr>
          <w:p>
            <w:pPr>
              <w:spacing w:after="0"/>
              <w:rPr>
                <w:sz w:val="17"/>
                <w:szCs w:val="17"/>
                <w:color w:val="auto"/>
              </w:rPr>
            </w:pPr>
          </w:p>
        </w:tc>
        <w:tc>
          <w:tcPr>
            <w:tcW w:w="1240" w:type="dxa"/>
            <w:vAlign w:val="bottom"/>
          </w:tcPr>
          <w:p>
            <w:pPr>
              <w:jc w:val="center"/>
              <w:spacing w:after="0"/>
              <w:rPr>
                <w:sz w:val="20"/>
                <w:szCs w:val="20"/>
                <w:color w:val="auto"/>
              </w:rPr>
            </w:pPr>
            <w:r>
              <w:rPr>
                <w:rFonts w:ascii="Arial" w:cs="Arial" w:eastAsia="Arial" w:hAnsi="Arial"/>
                <w:sz w:val="17"/>
                <w:szCs w:val="17"/>
                <w:b w:val="1"/>
                <w:bCs w:val="1"/>
                <w:color w:val="auto"/>
                <w:w w:val="93"/>
              </w:rPr>
              <w:t>S/(000)</w:t>
            </w:r>
          </w:p>
        </w:tc>
        <w:tc>
          <w:tcPr>
            <w:tcW w:w="10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420" w:type="dxa"/>
            <w:vAlign w:val="bottom"/>
          </w:tcPr>
          <w:p>
            <w:pPr>
              <w:spacing w:after="0"/>
              <w:rPr>
                <w:sz w:val="18"/>
                <w:szCs w:val="18"/>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7"/>
                <w:szCs w:val="17"/>
                <w:color w:val="auto"/>
              </w:rPr>
              <w:t>Inmuebles Panamericana</w:t>
            </w:r>
          </w:p>
        </w:tc>
        <w:tc>
          <w:tcPr>
            <w:tcW w:w="14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156,186</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94,478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420" w:type="dxa"/>
            <w:vAlign w:val="bottom"/>
          </w:tcPr>
          <w:p>
            <w:pPr>
              <w:spacing w:after="0"/>
              <w:rPr>
                <w:sz w:val="18"/>
                <w:szCs w:val="18"/>
                <w:color w:val="auto"/>
              </w:rPr>
            </w:pPr>
          </w:p>
        </w:tc>
        <w:tc>
          <w:tcPr>
            <w:tcW w:w="6900" w:type="dxa"/>
            <w:vAlign w:val="bottom"/>
          </w:tcPr>
          <w:p>
            <w:pPr>
              <w:spacing w:after="0"/>
              <w:rPr>
                <w:sz w:val="20"/>
                <w:szCs w:val="20"/>
                <w:color w:val="auto"/>
              </w:rPr>
            </w:pPr>
            <w:r>
              <w:rPr>
                <w:rFonts w:ascii="Arial" w:cs="Arial" w:eastAsia="Arial" w:hAnsi="Arial"/>
                <w:sz w:val="17"/>
                <w:szCs w:val="17"/>
                <w:color w:val="auto"/>
              </w:rPr>
              <w:t>Abengoa Transmisión del Norte</w:t>
            </w:r>
          </w:p>
        </w:tc>
        <w:tc>
          <w:tcPr>
            <w:tcW w:w="1460" w:type="dxa"/>
            <w:vAlign w:val="bottom"/>
            <w:gridSpan w:val="2"/>
          </w:tcPr>
          <w:p>
            <w:pPr>
              <w:jc w:val="right"/>
              <w:ind w:right="200"/>
              <w:spacing w:after="0"/>
              <w:rPr>
                <w:sz w:val="20"/>
                <w:szCs w:val="20"/>
                <w:color w:val="auto"/>
              </w:rPr>
            </w:pPr>
            <w:r>
              <w:rPr>
                <w:rFonts w:ascii="Arial" w:cs="Arial" w:eastAsia="Arial" w:hAnsi="Arial"/>
                <w:sz w:val="17"/>
                <w:szCs w:val="17"/>
                <w:color w:val="auto"/>
              </w:rPr>
              <w:t>82,492</w:t>
            </w:r>
          </w:p>
        </w:tc>
        <w:tc>
          <w:tcPr>
            <w:tcW w:w="1260" w:type="dxa"/>
            <w:vAlign w:val="bottom"/>
            <w:gridSpan w:val="2"/>
          </w:tcPr>
          <w:p>
            <w:pPr>
              <w:jc w:val="right"/>
              <w:ind w:right="20"/>
              <w:spacing w:after="0"/>
              <w:rPr>
                <w:sz w:val="20"/>
                <w:szCs w:val="20"/>
                <w:color w:val="auto"/>
              </w:rPr>
            </w:pPr>
            <w:r>
              <w:rPr>
                <w:rFonts w:ascii="Arial" w:cs="Arial" w:eastAsia="Arial" w:hAnsi="Arial"/>
                <w:sz w:val="17"/>
                <w:szCs w:val="17"/>
                <w:color w:val="auto"/>
              </w:rPr>
              <w:t>81,581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420" w:type="dxa"/>
            <w:vAlign w:val="bottom"/>
          </w:tcPr>
          <w:p>
            <w:pPr>
              <w:spacing w:after="0"/>
              <w:rPr>
                <w:sz w:val="18"/>
                <w:szCs w:val="18"/>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7"/>
                <w:szCs w:val="17"/>
                <w:color w:val="auto"/>
              </w:rPr>
              <w:t>Concesionaria La Chira S.A.</w:t>
            </w:r>
          </w:p>
        </w:tc>
        <w:tc>
          <w:tcPr>
            <w:tcW w:w="14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30,182</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30,661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420" w:type="dxa"/>
            <w:vAlign w:val="bottom"/>
          </w:tcPr>
          <w:p>
            <w:pPr>
              <w:spacing w:after="0"/>
              <w:rPr>
                <w:sz w:val="18"/>
                <w:szCs w:val="18"/>
                <w:color w:val="auto"/>
              </w:rPr>
            </w:pPr>
          </w:p>
        </w:tc>
        <w:tc>
          <w:tcPr>
            <w:tcW w:w="6900" w:type="dxa"/>
            <w:vAlign w:val="bottom"/>
          </w:tcPr>
          <w:p>
            <w:pPr>
              <w:spacing w:after="0"/>
              <w:rPr>
                <w:sz w:val="20"/>
                <w:szCs w:val="20"/>
                <w:color w:val="auto"/>
              </w:rPr>
            </w:pPr>
            <w:r>
              <w:rPr>
                <w:rFonts w:ascii="Arial" w:cs="Arial" w:eastAsia="Arial" w:hAnsi="Arial"/>
                <w:sz w:val="17"/>
                <w:szCs w:val="17"/>
                <w:color w:val="auto"/>
              </w:rPr>
              <w:t>Hunt Oil Company</w:t>
            </w:r>
          </w:p>
        </w:tc>
        <w:tc>
          <w:tcPr>
            <w:tcW w:w="1460" w:type="dxa"/>
            <w:vAlign w:val="bottom"/>
            <w:gridSpan w:val="2"/>
          </w:tcPr>
          <w:p>
            <w:pPr>
              <w:jc w:val="right"/>
              <w:ind w:right="200"/>
              <w:spacing w:after="0"/>
              <w:rPr>
                <w:sz w:val="20"/>
                <w:szCs w:val="20"/>
                <w:color w:val="auto"/>
              </w:rPr>
            </w:pPr>
            <w:r>
              <w:rPr>
                <w:rFonts w:ascii="Arial" w:cs="Arial" w:eastAsia="Arial" w:hAnsi="Arial"/>
                <w:sz w:val="17"/>
                <w:szCs w:val="17"/>
                <w:color w:val="auto"/>
              </w:rPr>
              <w:t>23,244</w:t>
            </w:r>
          </w:p>
        </w:tc>
        <w:tc>
          <w:tcPr>
            <w:tcW w:w="1260" w:type="dxa"/>
            <w:vAlign w:val="bottom"/>
            <w:gridSpan w:val="2"/>
          </w:tcPr>
          <w:p>
            <w:pPr>
              <w:jc w:val="right"/>
              <w:ind w:right="20"/>
              <w:spacing w:after="0"/>
              <w:rPr>
                <w:sz w:val="20"/>
                <w:szCs w:val="20"/>
                <w:color w:val="auto"/>
              </w:rPr>
            </w:pPr>
            <w:r>
              <w:rPr>
                <w:rFonts w:ascii="Arial" w:cs="Arial" w:eastAsia="Arial" w:hAnsi="Arial"/>
                <w:sz w:val="17"/>
                <w:szCs w:val="17"/>
                <w:color w:val="auto"/>
              </w:rPr>
              <w:t>175,282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20" w:type="dxa"/>
            <w:vAlign w:val="bottom"/>
          </w:tcPr>
          <w:p>
            <w:pPr>
              <w:spacing w:after="0"/>
              <w:rPr>
                <w:sz w:val="19"/>
                <w:szCs w:val="19"/>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7"/>
                <w:szCs w:val="17"/>
                <w:color w:val="auto"/>
              </w:rPr>
              <w:t>Others below of S/30 million</w:t>
            </w:r>
          </w:p>
        </w:tc>
        <w:tc>
          <w:tcPr>
            <w:tcW w:w="14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215,999</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153,484</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6900" w:type="dxa"/>
            <w:vAlign w:val="bottom"/>
            <w:vMerge w:val="restart"/>
          </w:tcPr>
          <w:p>
            <w:pPr>
              <w:spacing w:after="0"/>
              <w:rPr>
                <w:sz w:val="20"/>
                <w:szCs w:val="20"/>
                <w:color w:val="auto"/>
              </w:rPr>
            </w:pPr>
            <w:r>
              <w:rPr>
                <w:rFonts w:ascii="Arial" w:cs="Arial" w:eastAsia="Arial" w:hAnsi="Arial"/>
                <w:sz w:val="17"/>
                <w:szCs w:val="17"/>
                <w:b w:val="1"/>
                <w:bCs w:val="1"/>
                <w:color w:val="auto"/>
              </w:rPr>
              <w:t>Total</w:t>
            </w:r>
          </w:p>
        </w:tc>
        <w:tc>
          <w:tcPr>
            <w:tcW w:w="12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420" w:type="dxa"/>
            <w:vAlign w:val="bottom"/>
          </w:tcPr>
          <w:p>
            <w:pPr>
              <w:spacing w:after="0"/>
              <w:rPr>
                <w:sz w:val="18"/>
                <w:szCs w:val="18"/>
                <w:color w:val="auto"/>
              </w:rPr>
            </w:pPr>
          </w:p>
        </w:tc>
        <w:tc>
          <w:tcPr>
            <w:tcW w:w="6900" w:type="dxa"/>
            <w:vAlign w:val="bottom"/>
            <w:vMerge w:val="continue"/>
          </w:tcPr>
          <w:p>
            <w:pPr>
              <w:spacing w:after="0"/>
              <w:rPr>
                <w:sz w:val="18"/>
                <w:szCs w:val="18"/>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7"/>
                <w:szCs w:val="17"/>
                <w:color w:val="auto"/>
              </w:rPr>
              <w:t>508,103</w:t>
            </w:r>
          </w:p>
        </w:tc>
        <w:tc>
          <w:tcPr>
            <w:tcW w:w="1260" w:type="dxa"/>
            <w:vAlign w:val="bottom"/>
            <w:gridSpan w:val="2"/>
          </w:tcPr>
          <w:p>
            <w:pPr>
              <w:jc w:val="right"/>
              <w:ind w:right="20"/>
              <w:spacing w:after="0"/>
              <w:rPr>
                <w:sz w:val="20"/>
                <w:szCs w:val="20"/>
                <w:color w:val="auto"/>
              </w:rPr>
            </w:pPr>
            <w:r>
              <w:rPr>
                <w:rFonts w:ascii="Arial" w:cs="Arial" w:eastAsia="Arial" w:hAnsi="Arial"/>
                <w:sz w:val="17"/>
                <w:szCs w:val="17"/>
                <w:color w:val="auto"/>
              </w:rPr>
              <w:t>535,486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690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5" w:lineRule="exact"/>
        <w:rPr>
          <w:sz w:val="20"/>
          <w:szCs w:val="20"/>
          <w:color w:val="auto"/>
        </w:rPr>
      </w:pPr>
    </w:p>
    <w:p>
      <w:pPr>
        <w:ind w:left="424"/>
        <w:spacing w:after="0"/>
        <w:rPr>
          <w:sz w:val="20"/>
          <w:szCs w:val="20"/>
          <w:color w:val="auto"/>
        </w:rPr>
      </w:pPr>
      <w:r>
        <w:rPr>
          <w:rFonts w:ascii="Arial" w:cs="Arial" w:eastAsia="Arial" w:hAnsi="Arial"/>
          <w:sz w:val="17"/>
          <w:szCs w:val="17"/>
          <w:color w:val="auto"/>
        </w:rPr>
        <w:t>At those dates, the bonds have semiannual payments until the year 2025.</w:t>
      </w:r>
    </w:p>
    <w:p>
      <w:pPr>
        <w:spacing w:after="0" w:line="220" w:lineRule="exact"/>
        <w:rPr>
          <w:sz w:val="20"/>
          <w:szCs w:val="20"/>
          <w:color w:val="auto"/>
        </w:rPr>
      </w:pPr>
    </w:p>
    <w:p>
      <w:pPr>
        <w:ind w:left="424" w:right="20"/>
        <w:spacing w:after="0" w:line="286" w:lineRule="auto"/>
        <w:rPr>
          <w:sz w:val="20"/>
          <w:szCs w:val="20"/>
          <w:color w:val="auto"/>
        </w:rPr>
      </w:pPr>
      <w:r>
        <w:rPr>
          <w:rFonts w:ascii="Arial" w:cs="Arial" w:eastAsia="Arial" w:hAnsi="Arial"/>
          <w:sz w:val="16"/>
          <w:szCs w:val="16"/>
          <w:color w:val="auto"/>
        </w:rPr>
        <w:t>The pool of underlying assets, which is traded in the Peruvian secondary market, is mainly made up of accounts receivable from income, revenues for services and from maintenance and marketing contributions (Inmuebles Panamericana), accounts receivable for electrical transmission services from the Carhuamayo - Cajamarca line (Abengoa Transmisión Norte), accounts receivable for collection via banking channels of the charge for drinking water and sanitation service (Concesionaria La Chira) and accounts receivable for the sale of hydrocarbons in Peru (Hunt Oil Company).</w:t>
      </w:r>
    </w:p>
    <w:p>
      <w:pPr>
        <w:spacing w:after="0" w:line="162" w:lineRule="exact"/>
        <w:rPr>
          <w:sz w:val="20"/>
          <w:szCs w:val="20"/>
          <w:color w:val="auto"/>
        </w:rPr>
      </w:pPr>
    </w:p>
    <w:p>
      <w:pPr>
        <w:ind w:left="424" w:right="60" w:hanging="424"/>
        <w:spacing w:after="0" w:line="355" w:lineRule="auto"/>
        <w:tabs>
          <w:tab w:leader="none" w:pos="424" w:val="left"/>
        </w:tabs>
        <w:numPr>
          <w:ilvl w:val="0"/>
          <w:numId w:val="72"/>
        </w:numPr>
        <w:rPr>
          <w:rFonts w:ascii="Arial" w:cs="Arial" w:eastAsia="Arial" w:hAnsi="Arial"/>
          <w:sz w:val="15"/>
          <w:szCs w:val="15"/>
          <w:color w:val="auto"/>
        </w:rPr>
      </w:pPr>
      <w:r>
        <w:rPr>
          <w:rFonts w:ascii="Arial" w:cs="Arial" w:eastAsia="Arial" w:hAnsi="Arial"/>
          <w:sz w:val="15"/>
          <w:szCs w:val="15"/>
          <w:color w:val="auto"/>
        </w:rPr>
        <w:t>The restricted mutual funds comprise the participation quotas in the private pension funds managed by the Group, and are maintained in compliance with the legal regulations in Peru. Their availability is restricted and the yield received is the same as that received by the private pension funds managed.</w:t>
      </w:r>
    </w:p>
    <w:p>
      <w:pPr>
        <w:spacing w:after="0" w:line="113" w:lineRule="exact"/>
        <w:rPr>
          <w:rFonts w:ascii="Arial" w:cs="Arial" w:eastAsia="Arial" w:hAnsi="Arial"/>
          <w:sz w:val="15"/>
          <w:szCs w:val="15"/>
          <w:color w:val="auto"/>
        </w:rPr>
      </w:pPr>
    </w:p>
    <w:p>
      <w:pPr>
        <w:ind w:left="424" w:hanging="424"/>
        <w:spacing w:after="0"/>
        <w:tabs>
          <w:tab w:leader="none" w:pos="424" w:val="left"/>
        </w:tabs>
        <w:numPr>
          <w:ilvl w:val="0"/>
          <w:numId w:val="72"/>
        </w:numPr>
        <w:rPr>
          <w:rFonts w:ascii="Arial" w:cs="Arial" w:eastAsia="Arial" w:hAnsi="Arial"/>
          <w:sz w:val="17"/>
          <w:szCs w:val="17"/>
          <w:color w:val="auto"/>
        </w:rPr>
      </w:pPr>
      <w:r>
        <w:rPr>
          <w:rFonts w:ascii="Arial" w:cs="Arial" w:eastAsia="Arial" w:hAnsi="Arial"/>
          <w:sz w:val="17"/>
          <w:szCs w:val="17"/>
          <w:color w:val="auto"/>
        </w:rPr>
        <w:t>At December 31, 2017 and 2016, certificates of deposit issued by the Central Bank of Bolivia are mainly denominated in Bolivianos.</w:t>
      </w:r>
    </w:p>
    <w:p>
      <w:pPr>
        <w:spacing w:after="0" w:line="220" w:lineRule="exact"/>
        <w:rPr>
          <w:rFonts w:ascii="Arial" w:cs="Arial" w:eastAsia="Arial" w:hAnsi="Arial"/>
          <w:sz w:val="17"/>
          <w:szCs w:val="17"/>
          <w:color w:val="auto"/>
        </w:rPr>
      </w:pPr>
    </w:p>
    <w:p>
      <w:pPr>
        <w:ind w:left="424" w:hanging="424"/>
        <w:spacing w:after="0"/>
        <w:tabs>
          <w:tab w:leader="none" w:pos="424" w:val="left"/>
        </w:tabs>
        <w:numPr>
          <w:ilvl w:val="0"/>
          <w:numId w:val="72"/>
        </w:numPr>
        <w:rPr>
          <w:rFonts w:ascii="Arial" w:cs="Arial" w:eastAsia="Arial" w:hAnsi="Arial"/>
          <w:sz w:val="17"/>
          <w:szCs w:val="17"/>
          <w:color w:val="auto"/>
        </w:rPr>
      </w:pPr>
      <w:r>
        <w:rPr>
          <w:rFonts w:ascii="Arial" w:cs="Arial" w:eastAsia="Arial" w:hAnsi="Arial"/>
          <w:sz w:val="17"/>
          <w:szCs w:val="17"/>
          <w:color w:val="auto"/>
        </w:rPr>
        <w:t>Collateralized mortgage obligations correspond to senior tranches (“Senior Tranches”)</w:t>
      </w:r>
    </w:p>
    <w:p>
      <w:pPr>
        <w:spacing w:after="0" w:line="220" w:lineRule="exact"/>
        <w:rPr>
          <w:rFonts w:ascii="Arial" w:cs="Arial" w:eastAsia="Arial" w:hAnsi="Arial"/>
          <w:sz w:val="17"/>
          <w:szCs w:val="17"/>
          <w:color w:val="auto"/>
        </w:rPr>
      </w:pPr>
    </w:p>
    <w:p>
      <w:pPr>
        <w:ind w:left="424" w:right="160" w:hanging="424"/>
        <w:spacing w:after="0" w:line="270" w:lineRule="auto"/>
        <w:tabs>
          <w:tab w:leader="none" w:pos="424" w:val="left"/>
        </w:tabs>
        <w:numPr>
          <w:ilvl w:val="0"/>
          <w:numId w:val="72"/>
        </w:numPr>
        <w:rPr>
          <w:rFonts w:ascii="Arial" w:cs="Arial" w:eastAsia="Arial" w:hAnsi="Arial"/>
          <w:sz w:val="17"/>
          <w:szCs w:val="17"/>
          <w:color w:val="auto"/>
        </w:rPr>
      </w:pPr>
      <w:r>
        <w:rPr>
          <w:rFonts w:ascii="Arial" w:cs="Arial" w:eastAsia="Arial" w:hAnsi="Arial"/>
          <w:sz w:val="17"/>
          <w:szCs w:val="17"/>
          <w:color w:val="auto"/>
        </w:rPr>
        <w:t>Between the years 2016 and 2017, the Group sold through Credicorp Capital Corredores de Bolsa, 100.0 percent of the shares that it held of Banco de Crédito e Inversiones de Chile (hereinafter “BCI Chile”) and 100.0 percent of the shares that it held of Enel Distribución Perú S.A.A. (formerly Edelnor S.A.A.) We present below the sales made:</w:t>
      </w:r>
    </w:p>
    <w:p>
      <w:pPr>
        <w:spacing w:after="0" w:line="171" w:lineRule="exact"/>
        <w:rPr>
          <w:rFonts w:ascii="Arial" w:cs="Arial" w:eastAsia="Arial" w:hAnsi="Arial"/>
          <w:sz w:val="17"/>
          <w:szCs w:val="17"/>
          <w:color w:val="auto"/>
        </w:rPr>
      </w:pPr>
    </w:p>
    <w:p>
      <w:pPr>
        <w:ind w:left="724" w:hanging="309"/>
        <w:spacing w:after="0" w:line="285" w:lineRule="auto"/>
        <w:tabs>
          <w:tab w:leader="none" w:pos="724" w:val="left"/>
        </w:tabs>
        <w:numPr>
          <w:ilvl w:val="1"/>
          <w:numId w:val="72"/>
        </w:numPr>
        <w:rPr>
          <w:rFonts w:ascii="Arial" w:cs="Arial" w:eastAsia="Arial" w:hAnsi="Arial"/>
          <w:sz w:val="17"/>
          <w:szCs w:val="17"/>
          <w:color w:val="auto"/>
        </w:rPr>
      </w:pPr>
      <w:r>
        <w:rPr>
          <w:rFonts w:ascii="Arial" w:cs="Arial" w:eastAsia="Arial" w:hAnsi="Arial"/>
          <w:sz w:val="17"/>
          <w:szCs w:val="17"/>
          <w:color w:val="auto"/>
        </w:rPr>
        <w:t>On March 7, 2016, Credicorp signed a Memorandum of Understanding (MOU) with BCI Chile, in which, as a minority shareholder with a 4.06 percent participation in BCI Chile, it stated its intention to sell up to 50.0 percent of said shares.</w:t>
      </w:r>
    </w:p>
    <w:p>
      <w:pPr>
        <w:spacing w:after="0" w:line="159" w:lineRule="exact"/>
        <w:rPr>
          <w:rFonts w:ascii="Arial" w:cs="Arial" w:eastAsia="Arial" w:hAnsi="Arial"/>
          <w:sz w:val="17"/>
          <w:szCs w:val="17"/>
          <w:color w:val="auto"/>
        </w:rPr>
      </w:pPr>
    </w:p>
    <w:p>
      <w:pPr>
        <w:ind w:left="724" w:right="60"/>
        <w:spacing w:after="0" w:line="270" w:lineRule="auto"/>
        <w:rPr>
          <w:rFonts w:ascii="Arial" w:cs="Arial" w:eastAsia="Arial" w:hAnsi="Arial"/>
          <w:sz w:val="17"/>
          <w:szCs w:val="17"/>
          <w:color w:val="auto"/>
        </w:rPr>
      </w:pPr>
      <w:r>
        <w:rPr>
          <w:rFonts w:ascii="Arial" w:cs="Arial" w:eastAsia="Arial" w:hAnsi="Arial"/>
          <w:sz w:val="17"/>
          <w:szCs w:val="17"/>
          <w:color w:val="auto"/>
        </w:rPr>
        <w:t>Credicorp undertook not to sell the remaining 50.0 percent of its shares in BCI Chile during the period of 180 calendar days subsequent to the expiry date of the preferred option of BCI Chile which forms part of the applicable regulations in Chile. The preferred subscription period began on March 21, 2016.</w:t>
      </w:r>
    </w:p>
    <w:p>
      <w:pPr>
        <w:spacing w:after="0" w:line="171" w:lineRule="exact"/>
        <w:rPr>
          <w:rFonts w:ascii="Arial" w:cs="Arial" w:eastAsia="Arial" w:hAnsi="Arial"/>
          <w:sz w:val="17"/>
          <w:szCs w:val="17"/>
          <w:color w:val="auto"/>
        </w:rPr>
      </w:pPr>
    </w:p>
    <w:p>
      <w:pPr>
        <w:ind w:left="724" w:right="280"/>
        <w:spacing w:after="0" w:line="270" w:lineRule="auto"/>
        <w:rPr>
          <w:rFonts w:ascii="Arial" w:cs="Arial" w:eastAsia="Arial" w:hAnsi="Arial"/>
          <w:sz w:val="17"/>
          <w:szCs w:val="17"/>
          <w:color w:val="auto"/>
        </w:rPr>
      </w:pPr>
      <w:r>
        <w:rPr>
          <w:rFonts w:ascii="Arial" w:cs="Arial" w:eastAsia="Arial" w:hAnsi="Arial"/>
          <w:sz w:val="17"/>
          <w:szCs w:val="17"/>
          <w:color w:val="auto"/>
        </w:rPr>
        <w:t>Accordingly, on April 22, 2016, Credicorp sold 50.0 percent of the shares which it held in BCI Chile (2,248,593 shares), at a price of CLP 27,500 (US$41.6) per share, generating cash for approximately US$94.0 million, equivalent to S/302 million. Said sale generated a profit net of commissions of approximately S/124.7 million.</w:t>
      </w:r>
    </w:p>
    <w:p>
      <w:pPr>
        <w:spacing w:after="0" w:line="171" w:lineRule="exact"/>
        <w:rPr>
          <w:rFonts w:ascii="Arial" w:cs="Arial" w:eastAsia="Arial" w:hAnsi="Arial"/>
          <w:sz w:val="17"/>
          <w:szCs w:val="17"/>
          <w:color w:val="auto"/>
        </w:rPr>
      </w:pPr>
    </w:p>
    <w:p>
      <w:pPr>
        <w:jc w:val="both"/>
        <w:ind w:left="724" w:hanging="309"/>
        <w:spacing w:after="0" w:line="270" w:lineRule="auto"/>
        <w:tabs>
          <w:tab w:leader="none" w:pos="724" w:val="left"/>
        </w:tabs>
        <w:numPr>
          <w:ilvl w:val="1"/>
          <w:numId w:val="72"/>
        </w:numPr>
        <w:rPr>
          <w:rFonts w:ascii="Arial" w:cs="Arial" w:eastAsia="Arial" w:hAnsi="Arial"/>
          <w:sz w:val="17"/>
          <w:szCs w:val="17"/>
          <w:color w:val="auto"/>
        </w:rPr>
      </w:pPr>
      <w:r>
        <w:rPr>
          <w:rFonts w:ascii="Arial" w:cs="Arial" w:eastAsia="Arial" w:hAnsi="Arial"/>
          <w:sz w:val="17"/>
          <w:szCs w:val="17"/>
          <w:color w:val="auto"/>
        </w:rPr>
        <w:t>On September 15, 2017, Credicorp sold the remaining 50.0 percent of shares which it held in BCI Chile (2,286,328 shares), at a price of CLP 39,000 (US$62.3) per share, generating cash for approximately US$142.4 million, equivalent to S/462.8 million. Said sale generated a profit, net of commissions, of approximately S/281.1 million.</w:t>
      </w:r>
    </w:p>
    <w:p>
      <w:pPr>
        <w:spacing w:after="0" w:line="379" w:lineRule="exact"/>
        <w:rPr>
          <w:rFonts w:ascii="Arial" w:cs="Arial" w:eastAsia="Arial" w:hAnsi="Arial"/>
          <w:sz w:val="17"/>
          <w:szCs w:val="17"/>
          <w:color w:val="auto"/>
        </w:rPr>
      </w:pPr>
    </w:p>
    <w:p>
      <w:pPr>
        <w:ind w:left="5324" w:hanging="107"/>
        <w:spacing w:after="0"/>
        <w:tabs>
          <w:tab w:leader="none" w:pos="5324" w:val="left"/>
        </w:tabs>
        <w:numPr>
          <w:ilvl w:val="2"/>
          <w:numId w:val="72"/>
        </w:numPr>
        <w:rPr>
          <w:rFonts w:ascii="Arial" w:cs="Arial" w:eastAsia="Arial" w:hAnsi="Arial"/>
          <w:sz w:val="17"/>
          <w:szCs w:val="17"/>
          <w:color w:val="auto"/>
        </w:rPr>
      </w:pPr>
      <w:r>
        <w:rPr>
          <w:rFonts w:ascii="Arial" w:cs="Arial" w:eastAsia="Arial" w:hAnsi="Arial"/>
          <w:sz w:val="17"/>
          <w:szCs w:val="17"/>
          <w:color w:val="auto"/>
        </w:rPr>
        <w:t>59 -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-197485</wp:posOffset>
            </wp:positionH>
            <wp:positionV relativeFrom="paragraph">
              <wp:posOffset>15875</wp:posOffset>
            </wp:positionV>
            <wp:extent cx="725170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51700" cy="8255"/>
                    </a:xfrm>
                    <a:prstGeom prst="rect">
                      <a:avLst/>
                    </a:prstGeom>
                    <a:noFill/>
                  </pic:spPr>
                </pic:pic>
              </a:graphicData>
            </a:graphic>
          </wp:anchor>
        </w:drawing>
      </w:r>
    </w:p>
    <w:p>
      <w:pPr>
        <w:sectPr>
          <w:pgSz w:w="11900" w:h="16838" w:orient="portrait"/>
          <w:cols w:equalWidth="0" w:num="1">
            <w:col w:w="11104"/>
          </w:cols>
          <w:pgMar w:left="556" w:top="881" w:right="239" w:bottom="1440" w:gutter="0" w:footer="0" w:header="0"/>
        </w:sectPr>
      </w:pPr>
    </w:p>
    <w:bookmarkStart w:id="65" w:name="page66"/>
    <w:bookmarkEnd w:id="65"/>
    <w:p>
      <w:pPr>
        <w:jc w:val="both"/>
        <w:ind w:left="1040" w:hanging="309"/>
        <w:spacing w:after="0" w:line="270" w:lineRule="auto"/>
        <w:tabs>
          <w:tab w:leader="none" w:pos="1040" w:val="left"/>
        </w:tabs>
        <w:numPr>
          <w:ilvl w:val="0"/>
          <w:numId w:val="73"/>
        </w:numPr>
        <w:rPr>
          <w:rFonts w:ascii="Arial" w:cs="Arial" w:eastAsia="Arial" w:hAnsi="Arial"/>
          <w:sz w:val="17"/>
          <w:szCs w:val="17"/>
          <w:color w:val="auto"/>
        </w:rPr>
      </w:pPr>
      <w:r>
        <w:rPr>
          <w:rFonts w:ascii="Arial" w:cs="Arial" w:eastAsia="Arial" w:hAnsi="Arial"/>
          <w:sz w:val="17"/>
          <w:szCs w:val="17"/>
          <w:color w:val="auto"/>
        </w:rPr>
        <w:t>On October 4, 2017, Credicorp sold in the Lima Stock Exchange all of its position in the shares of Enel Distribución Perú S.A.A. (43,554,445 shares), at a price of S/5.5 per share, generating cash for approximately S/239.5 million. The operation generated a profit, net of commissions, of approximately S/163.7 million.</w:t>
      </w:r>
    </w:p>
    <w:p>
      <w:pPr>
        <w:spacing w:after="0" w:line="172" w:lineRule="exact"/>
        <w:rPr>
          <w:sz w:val="20"/>
          <w:szCs w:val="20"/>
          <w:color w:val="auto"/>
        </w:rPr>
      </w:pPr>
    </w:p>
    <w:p>
      <w:pPr>
        <w:jc w:val="both"/>
        <w:ind w:left="320" w:right="340"/>
        <w:spacing w:after="0" w:line="270" w:lineRule="auto"/>
        <w:rPr>
          <w:sz w:val="20"/>
          <w:szCs w:val="20"/>
          <w:color w:val="auto"/>
        </w:rPr>
      </w:pPr>
      <w:r>
        <w:rPr>
          <w:rFonts w:ascii="Arial" w:cs="Arial" w:eastAsia="Arial" w:hAnsi="Arial"/>
          <w:sz w:val="17"/>
          <w:szCs w:val="17"/>
          <w:color w:val="auto"/>
        </w:rPr>
        <w:t>At December 31, 2017 the unrealized gain on listed shares arises mainly from investment in Alicorp S.A.A. and Inversiones Centenario S.A.A. and totaled S/234.1 million, and S/226.5 million, respectively (S/109.4 million in Alicorp S.A.A., S/166.5 million in Inversiones Centenario S.A.A., S/141.6 million in Enel Distribución Perú S.A.A., and S/81.2 million in BCI Chile, at December 31, 2016).</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8540" w:type="dxa"/>
            <w:vAlign w:val="bottom"/>
            <w:gridSpan w:val="2"/>
          </w:tcPr>
          <w:p>
            <w:pPr>
              <w:spacing w:after="0"/>
              <w:rPr>
                <w:sz w:val="20"/>
                <w:szCs w:val="20"/>
                <w:color w:val="auto"/>
              </w:rPr>
            </w:pPr>
            <w:r>
              <w:rPr>
                <w:rFonts w:ascii="Arial" w:cs="Arial" w:eastAsia="Arial" w:hAnsi="Arial"/>
                <w:sz w:val="17"/>
                <w:szCs w:val="17"/>
                <w:color w:val="auto"/>
              </w:rPr>
              <w:t>b)  Held-to-maturity investments consist of the following:</w:t>
            </w:r>
          </w:p>
        </w:tc>
        <w:tc>
          <w:tcPr>
            <w:tcW w:w="1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416"/>
        </w:trPr>
        <w:tc>
          <w:tcPr>
            <w:tcW w:w="320" w:type="dxa"/>
            <w:vAlign w:val="bottom"/>
          </w:tcPr>
          <w:p>
            <w:pPr>
              <w:spacing w:after="0"/>
              <w:rPr>
                <w:sz w:val="24"/>
                <w:szCs w:val="24"/>
                <w:color w:val="auto"/>
              </w:rPr>
            </w:pPr>
          </w:p>
        </w:tc>
        <w:tc>
          <w:tcPr>
            <w:tcW w:w="8220" w:type="dxa"/>
            <w:vAlign w:val="bottom"/>
          </w:tcPr>
          <w:p>
            <w:pPr>
              <w:spacing w:after="0"/>
              <w:rPr>
                <w:sz w:val="24"/>
                <w:szCs w:val="24"/>
                <w:color w:val="auto"/>
              </w:rPr>
            </w:pPr>
          </w:p>
        </w:tc>
        <w:tc>
          <w:tcPr>
            <w:tcW w:w="156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7"/>
                <w:szCs w:val="17"/>
                <w:b w:val="1"/>
                <w:bCs w:val="1"/>
                <w:color w:val="auto"/>
              </w:rPr>
              <w:t>2017</w:t>
            </w:r>
          </w:p>
        </w:tc>
        <w:tc>
          <w:tcPr>
            <w:tcW w:w="10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82"/>
        </w:trPr>
        <w:tc>
          <w:tcPr>
            <w:tcW w:w="320" w:type="dxa"/>
            <w:vAlign w:val="bottom"/>
          </w:tcPr>
          <w:p>
            <w:pPr>
              <w:spacing w:after="0"/>
              <w:rPr>
                <w:sz w:val="15"/>
                <w:szCs w:val="15"/>
                <w:color w:val="auto"/>
              </w:rPr>
            </w:pPr>
          </w:p>
        </w:tc>
        <w:tc>
          <w:tcPr>
            <w:tcW w:w="8220" w:type="dxa"/>
            <w:vAlign w:val="bottom"/>
          </w:tcPr>
          <w:p>
            <w:pPr>
              <w:spacing w:after="0"/>
              <w:rPr>
                <w:sz w:val="15"/>
                <w:szCs w:val="15"/>
                <w:color w:val="auto"/>
              </w:rPr>
            </w:pPr>
          </w:p>
        </w:tc>
        <w:tc>
          <w:tcPr>
            <w:tcW w:w="1560" w:type="dxa"/>
            <w:vAlign w:val="bottom"/>
            <w:gridSpan w:val="3"/>
          </w:tcPr>
          <w:p>
            <w:pPr>
              <w:jc w:val="center"/>
              <w:ind w:right="340"/>
              <w:spacing w:after="0" w:line="183" w:lineRule="exact"/>
              <w:rPr>
                <w:sz w:val="20"/>
                <w:szCs w:val="20"/>
                <w:color w:val="auto"/>
              </w:rPr>
            </w:pPr>
            <w:r>
              <w:rPr>
                <w:rFonts w:ascii="Arial" w:cs="Arial" w:eastAsia="Arial" w:hAnsi="Arial"/>
                <w:sz w:val="17"/>
                <w:szCs w:val="17"/>
                <w:b w:val="1"/>
                <w:bCs w:val="1"/>
                <w:color w:val="auto"/>
              </w:rPr>
              <w:t>Carrying</w:t>
            </w: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26"/>
        </w:trPr>
        <w:tc>
          <w:tcPr>
            <w:tcW w:w="320" w:type="dxa"/>
            <w:vAlign w:val="bottom"/>
          </w:tcPr>
          <w:p>
            <w:pPr>
              <w:spacing w:after="0"/>
              <w:rPr>
                <w:sz w:val="19"/>
                <w:szCs w:val="19"/>
                <w:color w:val="auto"/>
              </w:rPr>
            </w:pPr>
          </w:p>
        </w:tc>
        <w:tc>
          <w:tcPr>
            <w:tcW w:w="8220" w:type="dxa"/>
            <w:vAlign w:val="bottom"/>
          </w:tcPr>
          <w:p>
            <w:pPr>
              <w:spacing w:after="0"/>
              <w:rPr>
                <w:sz w:val="19"/>
                <w:szCs w:val="19"/>
                <w:color w:val="auto"/>
              </w:rPr>
            </w:pPr>
          </w:p>
        </w:tc>
        <w:tc>
          <w:tcPr>
            <w:tcW w:w="1560" w:type="dxa"/>
            <w:vAlign w:val="bottom"/>
            <w:gridSpan w:val="3"/>
          </w:tcPr>
          <w:p>
            <w:pPr>
              <w:jc w:val="center"/>
              <w:ind w:right="340"/>
              <w:spacing w:after="0"/>
              <w:rPr>
                <w:sz w:val="20"/>
                <w:szCs w:val="20"/>
                <w:color w:val="auto"/>
              </w:rPr>
            </w:pPr>
            <w:r>
              <w:rPr>
                <w:rFonts w:ascii="Arial" w:cs="Arial" w:eastAsia="Arial" w:hAnsi="Arial"/>
                <w:sz w:val="17"/>
                <w:szCs w:val="17"/>
                <w:b w:val="1"/>
                <w:bCs w:val="1"/>
                <w:color w:val="auto"/>
                <w:w w:val="94"/>
              </w:rPr>
              <w:t>amount</w:t>
            </w:r>
          </w:p>
        </w:tc>
        <w:tc>
          <w:tcPr>
            <w:tcW w:w="1160" w:type="dxa"/>
            <w:vAlign w:val="bottom"/>
            <w:gridSpan w:val="2"/>
          </w:tcPr>
          <w:p>
            <w:pPr>
              <w:jc w:val="center"/>
              <w:ind w:right="240"/>
              <w:spacing w:after="0"/>
              <w:rPr>
                <w:sz w:val="20"/>
                <w:szCs w:val="20"/>
                <w:color w:val="auto"/>
              </w:rPr>
            </w:pPr>
            <w:r>
              <w:rPr>
                <w:rFonts w:ascii="Arial" w:cs="Arial" w:eastAsia="Arial" w:hAnsi="Arial"/>
                <w:sz w:val="17"/>
                <w:szCs w:val="17"/>
                <w:b w:val="1"/>
                <w:bCs w:val="1"/>
                <w:color w:val="auto"/>
                <w:w w:val="95"/>
              </w:rPr>
              <w:t>Fair value</w:t>
            </w:r>
          </w:p>
        </w:tc>
      </w:tr>
      <w:tr>
        <w:trPr>
          <w:trHeight w:val="219"/>
        </w:trPr>
        <w:tc>
          <w:tcPr>
            <w:tcW w:w="320" w:type="dxa"/>
            <w:vAlign w:val="bottom"/>
          </w:tcPr>
          <w:p>
            <w:pPr>
              <w:spacing w:after="0"/>
              <w:rPr>
                <w:sz w:val="19"/>
                <w:szCs w:val="19"/>
                <w:color w:val="auto"/>
              </w:rPr>
            </w:pPr>
          </w:p>
        </w:tc>
        <w:tc>
          <w:tcPr>
            <w:tcW w:w="8220" w:type="dxa"/>
            <w:vAlign w:val="bottom"/>
          </w:tcPr>
          <w:p>
            <w:pPr>
              <w:spacing w:after="0"/>
              <w:rPr>
                <w:sz w:val="19"/>
                <w:szCs w:val="19"/>
                <w:color w:val="auto"/>
              </w:rPr>
            </w:pPr>
          </w:p>
        </w:tc>
        <w:tc>
          <w:tcPr>
            <w:tcW w:w="1220" w:type="dxa"/>
            <w:vAlign w:val="bottom"/>
            <w:tcBorders>
              <w:top w:val="single" w:sz="8" w:color="auto"/>
            </w:tcBorders>
          </w:tcPr>
          <w:p>
            <w:pPr>
              <w:jc w:val="center"/>
              <w:spacing w:after="0"/>
              <w:rPr>
                <w:sz w:val="20"/>
                <w:szCs w:val="20"/>
                <w:color w:val="auto"/>
              </w:rPr>
            </w:pPr>
            <w:r>
              <w:rPr>
                <w:rFonts w:ascii="Arial" w:cs="Arial" w:eastAsia="Arial" w:hAnsi="Arial"/>
                <w:sz w:val="17"/>
                <w:szCs w:val="17"/>
                <w:b w:val="1"/>
                <w:bCs w:val="1"/>
                <w:color w:val="auto"/>
                <w:w w:val="93"/>
              </w:rPr>
              <w:t>S/(000)</w:t>
            </w:r>
          </w:p>
        </w:tc>
        <w:tc>
          <w:tcPr>
            <w:tcW w:w="2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center"/>
              <w:ind w:right="53"/>
              <w:spacing w:after="0"/>
              <w:rPr>
                <w:sz w:val="20"/>
                <w:szCs w:val="20"/>
                <w:color w:val="auto"/>
              </w:rPr>
            </w:pPr>
            <w:r>
              <w:rPr>
                <w:rFonts w:ascii="Arial" w:cs="Arial" w:eastAsia="Arial" w:hAnsi="Arial"/>
                <w:sz w:val="17"/>
                <w:szCs w:val="17"/>
                <w:b w:val="1"/>
                <w:bCs w:val="1"/>
                <w:color w:val="auto"/>
                <w:w w:val="93"/>
              </w:rPr>
              <w:t>S/(000)</w:t>
            </w:r>
          </w:p>
        </w:tc>
        <w:tc>
          <w:tcPr>
            <w:tcW w:w="100" w:type="dxa"/>
            <w:vAlign w:val="bottom"/>
          </w:tcPr>
          <w:p>
            <w:pPr>
              <w:spacing w:after="0"/>
              <w:rPr>
                <w:sz w:val="19"/>
                <w:szCs w:val="19"/>
                <w:color w:val="auto"/>
              </w:rPr>
            </w:pPr>
          </w:p>
        </w:tc>
      </w:tr>
      <w:tr>
        <w:trPr>
          <w:trHeight w:val="189"/>
        </w:trPr>
        <w:tc>
          <w:tcPr>
            <w:tcW w:w="320" w:type="dxa"/>
            <w:vAlign w:val="bottom"/>
          </w:tcPr>
          <w:p>
            <w:pPr>
              <w:spacing w:after="0"/>
              <w:rPr>
                <w:sz w:val="16"/>
                <w:szCs w:val="16"/>
                <w:color w:val="auto"/>
              </w:rPr>
            </w:pPr>
          </w:p>
        </w:tc>
        <w:tc>
          <w:tcPr>
            <w:tcW w:w="82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08"/>
        </w:trPr>
        <w:tc>
          <w:tcPr>
            <w:tcW w:w="320" w:type="dxa"/>
            <w:vAlign w:val="bottom"/>
          </w:tcPr>
          <w:p>
            <w:pPr>
              <w:spacing w:after="0"/>
              <w:rPr>
                <w:sz w:val="18"/>
                <w:szCs w:val="18"/>
                <w:color w:val="auto"/>
              </w:rPr>
            </w:pPr>
          </w:p>
        </w:tc>
        <w:tc>
          <w:tcPr>
            <w:tcW w:w="8220" w:type="dxa"/>
            <w:vAlign w:val="bottom"/>
            <w:shd w:val="clear" w:color="auto" w:fill="CCEEFF"/>
          </w:tcPr>
          <w:p>
            <w:pPr>
              <w:spacing w:after="0"/>
              <w:rPr>
                <w:sz w:val="20"/>
                <w:szCs w:val="20"/>
                <w:color w:val="auto"/>
              </w:rPr>
            </w:pPr>
            <w:r>
              <w:rPr>
                <w:rFonts w:ascii="Arial" w:cs="Arial" w:eastAsia="Arial" w:hAnsi="Arial"/>
                <w:sz w:val="17"/>
                <w:szCs w:val="17"/>
                <w:color w:val="auto"/>
              </w:rPr>
              <w:t>Peruvian sovereign bonds</w:t>
            </w: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3,378,046</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3,700,535</w:t>
            </w:r>
          </w:p>
        </w:tc>
        <w:tc>
          <w:tcPr>
            <w:tcW w:w="100" w:type="dxa"/>
            <w:vAlign w:val="bottom"/>
            <w:shd w:val="clear" w:color="auto" w:fill="CCEEFF"/>
          </w:tcPr>
          <w:p>
            <w:pPr>
              <w:spacing w:after="0"/>
              <w:rPr>
                <w:sz w:val="18"/>
                <w:szCs w:val="18"/>
                <w:color w:val="auto"/>
              </w:rPr>
            </w:pPr>
          </w:p>
        </w:tc>
      </w:tr>
      <w:tr>
        <w:trPr>
          <w:trHeight w:val="208"/>
        </w:trPr>
        <w:tc>
          <w:tcPr>
            <w:tcW w:w="320" w:type="dxa"/>
            <w:vAlign w:val="bottom"/>
          </w:tcPr>
          <w:p>
            <w:pPr>
              <w:spacing w:after="0"/>
              <w:rPr>
                <w:sz w:val="18"/>
                <w:szCs w:val="18"/>
                <w:color w:val="auto"/>
              </w:rPr>
            </w:pPr>
          </w:p>
        </w:tc>
        <w:tc>
          <w:tcPr>
            <w:tcW w:w="8220" w:type="dxa"/>
            <w:vAlign w:val="bottom"/>
          </w:tcPr>
          <w:p>
            <w:pPr>
              <w:spacing w:after="0"/>
              <w:rPr>
                <w:sz w:val="20"/>
                <w:szCs w:val="20"/>
                <w:color w:val="auto"/>
              </w:rPr>
            </w:pPr>
            <w:r>
              <w:rPr>
                <w:rFonts w:ascii="Arial" w:cs="Arial" w:eastAsia="Arial" w:hAnsi="Arial"/>
                <w:sz w:val="17"/>
                <w:szCs w:val="17"/>
                <w:color w:val="auto"/>
              </w:rPr>
              <w:t>Bonds of foreign governments</w:t>
            </w:r>
          </w:p>
        </w:tc>
        <w:tc>
          <w:tcPr>
            <w:tcW w:w="1420" w:type="dxa"/>
            <w:vAlign w:val="bottom"/>
            <w:gridSpan w:val="2"/>
          </w:tcPr>
          <w:p>
            <w:pPr>
              <w:jc w:val="right"/>
              <w:ind w:right="200"/>
              <w:spacing w:after="0"/>
              <w:rPr>
                <w:sz w:val="20"/>
                <w:szCs w:val="20"/>
                <w:color w:val="auto"/>
              </w:rPr>
            </w:pPr>
            <w:r>
              <w:rPr>
                <w:rFonts w:ascii="Arial" w:cs="Arial" w:eastAsia="Arial" w:hAnsi="Arial"/>
                <w:sz w:val="17"/>
                <w:szCs w:val="17"/>
                <w:color w:val="auto"/>
              </w:rPr>
              <w:t>352,205</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355,438</w:t>
            </w:r>
          </w:p>
        </w:tc>
        <w:tc>
          <w:tcPr>
            <w:tcW w:w="100" w:type="dxa"/>
            <w:vAlign w:val="bottom"/>
          </w:tcPr>
          <w:p>
            <w:pPr>
              <w:spacing w:after="0"/>
              <w:rPr>
                <w:sz w:val="18"/>
                <w:szCs w:val="18"/>
                <w:color w:val="auto"/>
              </w:rPr>
            </w:pPr>
          </w:p>
        </w:tc>
      </w:tr>
      <w:tr>
        <w:trPr>
          <w:trHeight w:val="208"/>
        </w:trPr>
        <w:tc>
          <w:tcPr>
            <w:tcW w:w="320" w:type="dxa"/>
            <w:vAlign w:val="bottom"/>
          </w:tcPr>
          <w:p>
            <w:pPr>
              <w:spacing w:after="0"/>
              <w:rPr>
                <w:sz w:val="18"/>
                <w:szCs w:val="18"/>
                <w:color w:val="auto"/>
              </w:rPr>
            </w:pPr>
          </w:p>
        </w:tc>
        <w:tc>
          <w:tcPr>
            <w:tcW w:w="8220" w:type="dxa"/>
            <w:vAlign w:val="bottom"/>
            <w:shd w:val="clear" w:color="auto" w:fill="CCEEFF"/>
          </w:tcPr>
          <w:p>
            <w:pPr>
              <w:spacing w:after="0"/>
              <w:rPr>
                <w:sz w:val="20"/>
                <w:szCs w:val="20"/>
                <w:color w:val="auto"/>
              </w:rPr>
            </w:pPr>
            <w:r>
              <w:rPr>
                <w:rFonts w:ascii="Arial" w:cs="Arial" w:eastAsia="Arial" w:hAnsi="Arial"/>
                <w:sz w:val="17"/>
                <w:szCs w:val="17"/>
                <w:color w:val="auto"/>
              </w:rPr>
              <w:t>Peruvian treasury bonds</w:t>
            </w: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217,187</w:t>
            </w: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221,799</w:t>
            </w:r>
          </w:p>
        </w:tc>
        <w:tc>
          <w:tcPr>
            <w:tcW w:w="100" w:type="dxa"/>
            <w:vAlign w:val="bottom"/>
            <w:shd w:val="clear" w:color="auto" w:fill="CCEEFF"/>
          </w:tcPr>
          <w:p>
            <w:pPr>
              <w:spacing w:after="0"/>
              <w:rPr>
                <w:sz w:val="18"/>
                <w:szCs w:val="18"/>
                <w:color w:val="auto"/>
              </w:rPr>
            </w:pPr>
          </w:p>
        </w:tc>
      </w:tr>
      <w:tr>
        <w:trPr>
          <w:trHeight w:val="208"/>
        </w:trPr>
        <w:tc>
          <w:tcPr>
            <w:tcW w:w="320" w:type="dxa"/>
            <w:vAlign w:val="bottom"/>
          </w:tcPr>
          <w:p>
            <w:pPr>
              <w:spacing w:after="0"/>
              <w:rPr>
                <w:sz w:val="18"/>
                <w:szCs w:val="18"/>
                <w:color w:val="auto"/>
              </w:rPr>
            </w:pPr>
          </w:p>
        </w:tc>
        <w:tc>
          <w:tcPr>
            <w:tcW w:w="8220" w:type="dxa"/>
            <w:vAlign w:val="bottom"/>
          </w:tcPr>
          <w:p>
            <w:pPr>
              <w:spacing w:after="0"/>
              <w:rPr>
                <w:sz w:val="20"/>
                <w:szCs w:val="20"/>
                <w:color w:val="auto"/>
              </w:rPr>
            </w:pPr>
            <w:r>
              <w:rPr>
                <w:rFonts w:ascii="Arial" w:cs="Arial" w:eastAsia="Arial" w:hAnsi="Arial"/>
                <w:sz w:val="17"/>
                <w:szCs w:val="17"/>
                <w:color w:val="auto"/>
              </w:rPr>
              <w:t>Corporate bonds</w:t>
            </w:r>
          </w:p>
        </w:tc>
        <w:tc>
          <w:tcPr>
            <w:tcW w:w="1420" w:type="dxa"/>
            <w:vAlign w:val="bottom"/>
            <w:gridSpan w:val="2"/>
          </w:tcPr>
          <w:p>
            <w:pPr>
              <w:jc w:val="right"/>
              <w:ind w:right="200"/>
              <w:spacing w:after="0"/>
              <w:rPr>
                <w:sz w:val="20"/>
                <w:szCs w:val="20"/>
                <w:color w:val="auto"/>
              </w:rPr>
            </w:pPr>
            <w:r>
              <w:rPr>
                <w:rFonts w:ascii="Arial" w:cs="Arial" w:eastAsia="Arial" w:hAnsi="Arial"/>
                <w:sz w:val="17"/>
                <w:szCs w:val="17"/>
                <w:color w:val="auto"/>
              </w:rPr>
              <w:t>246,284</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254,131</w:t>
            </w:r>
          </w:p>
        </w:tc>
        <w:tc>
          <w:tcPr>
            <w:tcW w:w="100" w:type="dxa"/>
            <w:vAlign w:val="bottom"/>
          </w:tcPr>
          <w:p>
            <w:pPr>
              <w:spacing w:after="0"/>
              <w:rPr>
                <w:sz w:val="18"/>
                <w:szCs w:val="18"/>
                <w:color w:val="auto"/>
              </w:rPr>
            </w:pPr>
          </w:p>
        </w:tc>
      </w:tr>
      <w:tr>
        <w:trPr>
          <w:trHeight w:val="208"/>
        </w:trPr>
        <w:tc>
          <w:tcPr>
            <w:tcW w:w="320" w:type="dxa"/>
            <w:vAlign w:val="bottom"/>
          </w:tcPr>
          <w:p>
            <w:pPr>
              <w:spacing w:after="0"/>
              <w:rPr>
                <w:sz w:val="18"/>
                <w:szCs w:val="18"/>
                <w:color w:val="auto"/>
              </w:rPr>
            </w:pPr>
          </w:p>
        </w:tc>
        <w:tc>
          <w:tcPr>
            <w:tcW w:w="8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195"/>
        </w:trPr>
        <w:tc>
          <w:tcPr>
            <w:tcW w:w="320" w:type="dxa"/>
            <w:vAlign w:val="bottom"/>
          </w:tcPr>
          <w:p>
            <w:pPr>
              <w:spacing w:after="0"/>
              <w:rPr>
                <w:sz w:val="16"/>
                <w:szCs w:val="16"/>
                <w:color w:val="auto"/>
              </w:rPr>
            </w:pPr>
          </w:p>
        </w:tc>
        <w:tc>
          <w:tcPr>
            <w:tcW w:w="8220" w:type="dxa"/>
            <w:vAlign w:val="bottom"/>
          </w:tcPr>
          <w:p>
            <w:pPr>
              <w:spacing w:after="0"/>
              <w:rPr>
                <w:sz w:val="20"/>
                <w:szCs w:val="20"/>
                <w:color w:val="auto"/>
              </w:rPr>
            </w:pPr>
            <w:r>
              <w:rPr>
                <w:rFonts w:ascii="Arial" w:cs="Arial" w:eastAsia="Arial" w:hAnsi="Arial"/>
                <w:sz w:val="17"/>
                <w:szCs w:val="17"/>
                <w:color w:val="auto"/>
              </w:rPr>
              <w:t>Certificates of payment on work progress</w:t>
            </w:r>
          </w:p>
        </w:tc>
        <w:tc>
          <w:tcPr>
            <w:tcW w:w="1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20"/>
        </w:trPr>
        <w:tc>
          <w:tcPr>
            <w:tcW w:w="320" w:type="dxa"/>
            <w:vAlign w:val="bottom"/>
          </w:tcPr>
          <w:p>
            <w:pPr>
              <w:spacing w:after="0"/>
              <w:rPr>
                <w:sz w:val="19"/>
                <w:szCs w:val="19"/>
                <w:color w:val="auto"/>
              </w:rPr>
            </w:pPr>
          </w:p>
        </w:tc>
        <w:tc>
          <w:tcPr>
            <w:tcW w:w="8220" w:type="dxa"/>
            <w:vAlign w:val="bottom"/>
          </w:tcPr>
          <w:p>
            <w:pPr>
              <w:spacing w:after="0"/>
              <w:rPr>
                <w:sz w:val="20"/>
                <w:szCs w:val="20"/>
                <w:color w:val="auto"/>
              </w:rPr>
            </w:pPr>
            <w:r>
              <w:rPr>
                <w:rFonts w:ascii="Arial" w:cs="Arial" w:eastAsia="Arial" w:hAnsi="Arial"/>
                <w:sz w:val="17"/>
                <w:szCs w:val="17"/>
                <w:color w:val="auto"/>
              </w:rPr>
              <w:t>(CRPAO for its Spanish acronym) (*)</w:t>
            </w:r>
          </w:p>
        </w:tc>
        <w:tc>
          <w:tcPr>
            <w:tcW w:w="1420" w:type="dxa"/>
            <w:vAlign w:val="bottom"/>
            <w:gridSpan w:val="2"/>
          </w:tcPr>
          <w:p>
            <w:pPr>
              <w:jc w:val="right"/>
              <w:ind w:right="200"/>
              <w:spacing w:after="0"/>
              <w:rPr>
                <w:sz w:val="20"/>
                <w:szCs w:val="20"/>
                <w:color w:val="auto"/>
              </w:rPr>
            </w:pPr>
            <w:r>
              <w:rPr>
                <w:rFonts w:ascii="Arial" w:cs="Arial" w:eastAsia="Arial" w:hAnsi="Arial"/>
                <w:sz w:val="17"/>
                <w:szCs w:val="17"/>
                <w:color w:val="auto"/>
              </w:rPr>
              <w:t>129,443</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134,238</w:t>
            </w:r>
          </w:p>
        </w:tc>
        <w:tc>
          <w:tcPr>
            <w:tcW w:w="100" w:type="dxa"/>
            <w:vAlign w:val="bottom"/>
          </w:tcPr>
          <w:p>
            <w:pPr>
              <w:spacing w:after="0"/>
              <w:rPr>
                <w:sz w:val="19"/>
                <w:szCs w:val="19"/>
                <w:color w:val="auto"/>
              </w:rPr>
            </w:pPr>
          </w:p>
        </w:tc>
      </w:tr>
      <w:tr>
        <w:trPr>
          <w:trHeight w:val="201"/>
        </w:trPr>
        <w:tc>
          <w:tcPr>
            <w:tcW w:w="320" w:type="dxa"/>
            <w:vAlign w:val="bottom"/>
          </w:tcPr>
          <w:p>
            <w:pPr>
              <w:spacing w:after="0"/>
              <w:rPr>
                <w:sz w:val="17"/>
                <w:szCs w:val="17"/>
                <w:color w:val="auto"/>
              </w:rPr>
            </w:pPr>
          </w:p>
        </w:tc>
        <w:tc>
          <w:tcPr>
            <w:tcW w:w="8220" w:type="dxa"/>
            <w:vAlign w:val="bottom"/>
            <w:tcBorders>
              <w:top w:val="single" w:sz="8" w:color="CCEEFF"/>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4,323,165</w:t>
            </w:r>
          </w:p>
        </w:tc>
        <w:tc>
          <w:tcPr>
            <w:tcW w:w="2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4,666,141</w:t>
            </w:r>
          </w:p>
        </w:tc>
        <w:tc>
          <w:tcPr>
            <w:tcW w:w="100" w:type="dxa"/>
            <w:vAlign w:val="bottom"/>
            <w:tcBorders>
              <w:top w:val="single" w:sz="8" w:color="CCEEFF"/>
            </w:tcBorders>
            <w:shd w:val="clear" w:color="auto" w:fill="CCEEFF"/>
          </w:tcPr>
          <w:p>
            <w:pPr>
              <w:spacing w:after="0"/>
              <w:rPr>
                <w:sz w:val="17"/>
                <w:szCs w:val="17"/>
                <w:color w:val="auto"/>
              </w:rPr>
            </w:pPr>
          </w:p>
        </w:tc>
      </w:tr>
      <w:tr>
        <w:trPr>
          <w:trHeight w:val="208"/>
        </w:trPr>
        <w:tc>
          <w:tcPr>
            <w:tcW w:w="320" w:type="dxa"/>
            <w:vAlign w:val="bottom"/>
          </w:tcPr>
          <w:p>
            <w:pPr>
              <w:spacing w:after="0"/>
              <w:rPr>
                <w:sz w:val="18"/>
                <w:szCs w:val="18"/>
                <w:color w:val="auto"/>
              </w:rPr>
            </w:pPr>
          </w:p>
        </w:tc>
        <w:tc>
          <w:tcPr>
            <w:tcW w:w="8220" w:type="dxa"/>
            <w:vAlign w:val="bottom"/>
          </w:tcPr>
          <w:p>
            <w:pPr>
              <w:spacing w:after="0"/>
              <w:rPr>
                <w:sz w:val="20"/>
                <w:szCs w:val="20"/>
                <w:color w:val="auto"/>
              </w:rPr>
            </w:pPr>
            <w:r>
              <w:rPr>
                <w:rFonts w:ascii="Arial" w:cs="Arial" w:eastAsia="Arial" w:hAnsi="Arial"/>
                <w:sz w:val="17"/>
                <w:szCs w:val="17"/>
                <w:color w:val="auto"/>
              </w:rPr>
              <w:t>Accrued interest</w:t>
            </w:r>
          </w:p>
        </w:tc>
        <w:tc>
          <w:tcPr>
            <w:tcW w:w="1420" w:type="dxa"/>
            <w:vAlign w:val="bottom"/>
            <w:gridSpan w:val="2"/>
          </w:tcPr>
          <w:p>
            <w:pPr>
              <w:jc w:val="right"/>
              <w:ind w:right="200"/>
              <w:spacing w:after="0"/>
              <w:rPr>
                <w:sz w:val="20"/>
                <w:szCs w:val="20"/>
                <w:color w:val="auto"/>
              </w:rPr>
            </w:pPr>
            <w:r>
              <w:rPr>
                <w:rFonts w:ascii="Arial" w:cs="Arial" w:eastAsia="Arial" w:hAnsi="Arial"/>
                <w:sz w:val="17"/>
                <w:szCs w:val="17"/>
                <w:color w:val="auto"/>
              </w:rPr>
              <w:t>90,208</w:t>
            </w:r>
          </w:p>
        </w:tc>
        <w:tc>
          <w:tcPr>
            <w:tcW w:w="14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7"/>
                <w:szCs w:val="17"/>
                <w:color w:val="auto"/>
              </w:rPr>
              <w:t>90,208</w:t>
            </w:r>
          </w:p>
        </w:tc>
      </w:tr>
      <w:tr>
        <w:trPr>
          <w:trHeight w:val="214"/>
        </w:trPr>
        <w:tc>
          <w:tcPr>
            <w:tcW w:w="320" w:type="dxa"/>
            <w:vAlign w:val="bottom"/>
          </w:tcPr>
          <w:p>
            <w:pPr>
              <w:spacing w:after="0"/>
              <w:rPr>
                <w:sz w:val="18"/>
                <w:szCs w:val="18"/>
                <w:color w:val="auto"/>
              </w:rPr>
            </w:pPr>
          </w:p>
        </w:tc>
        <w:tc>
          <w:tcPr>
            <w:tcW w:w="82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7"/>
                <w:szCs w:val="17"/>
                <w:b w:val="1"/>
                <w:bCs w:val="1"/>
                <w:color w:val="auto"/>
              </w:rPr>
              <w:t>Total</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4,413,373</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4,756,349</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320" w:type="dxa"/>
            <w:vAlign w:val="bottom"/>
          </w:tcPr>
          <w:p>
            <w:pPr>
              <w:spacing w:after="0" w:line="20" w:lineRule="exact"/>
              <w:rPr>
                <w:sz w:val="1"/>
                <w:szCs w:val="1"/>
                <w:color w:val="auto"/>
              </w:rPr>
            </w:pPr>
          </w:p>
        </w:tc>
        <w:tc>
          <w:tcPr>
            <w:tcW w:w="82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08"/>
        </w:trPr>
        <w:tc>
          <w:tcPr>
            <w:tcW w:w="320" w:type="dxa"/>
            <w:vAlign w:val="bottom"/>
          </w:tcPr>
          <w:p>
            <w:pPr>
              <w:spacing w:after="0"/>
              <w:rPr>
                <w:sz w:val="24"/>
                <w:szCs w:val="24"/>
                <w:color w:val="auto"/>
              </w:rPr>
            </w:pPr>
          </w:p>
        </w:tc>
        <w:tc>
          <w:tcPr>
            <w:tcW w:w="8220" w:type="dxa"/>
            <w:vAlign w:val="bottom"/>
          </w:tcPr>
          <w:p>
            <w:pPr>
              <w:spacing w:after="0"/>
              <w:rPr>
                <w:sz w:val="24"/>
                <w:szCs w:val="24"/>
                <w:color w:val="auto"/>
              </w:rPr>
            </w:pPr>
          </w:p>
        </w:tc>
        <w:tc>
          <w:tcPr>
            <w:tcW w:w="156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7"/>
                <w:szCs w:val="17"/>
                <w:b w:val="1"/>
                <w:bCs w:val="1"/>
                <w:color w:val="auto"/>
              </w:rPr>
              <w:t>2016</w:t>
            </w:r>
          </w:p>
        </w:tc>
        <w:tc>
          <w:tcPr>
            <w:tcW w:w="10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82"/>
        </w:trPr>
        <w:tc>
          <w:tcPr>
            <w:tcW w:w="320" w:type="dxa"/>
            <w:vAlign w:val="bottom"/>
          </w:tcPr>
          <w:p>
            <w:pPr>
              <w:spacing w:after="0"/>
              <w:rPr>
                <w:sz w:val="15"/>
                <w:szCs w:val="15"/>
                <w:color w:val="auto"/>
              </w:rPr>
            </w:pPr>
          </w:p>
        </w:tc>
        <w:tc>
          <w:tcPr>
            <w:tcW w:w="8220" w:type="dxa"/>
            <w:vAlign w:val="bottom"/>
          </w:tcPr>
          <w:p>
            <w:pPr>
              <w:spacing w:after="0"/>
              <w:rPr>
                <w:sz w:val="15"/>
                <w:szCs w:val="15"/>
                <w:color w:val="auto"/>
              </w:rPr>
            </w:pPr>
          </w:p>
        </w:tc>
        <w:tc>
          <w:tcPr>
            <w:tcW w:w="1560" w:type="dxa"/>
            <w:vAlign w:val="bottom"/>
            <w:gridSpan w:val="3"/>
          </w:tcPr>
          <w:p>
            <w:pPr>
              <w:jc w:val="right"/>
              <w:ind w:right="620"/>
              <w:spacing w:after="0" w:line="183" w:lineRule="exact"/>
              <w:rPr>
                <w:sz w:val="20"/>
                <w:szCs w:val="20"/>
                <w:color w:val="auto"/>
              </w:rPr>
            </w:pPr>
            <w:r>
              <w:rPr>
                <w:rFonts w:ascii="Arial" w:cs="Arial" w:eastAsia="Arial" w:hAnsi="Arial"/>
                <w:sz w:val="17"/>
                <w:szCs w:val="17"/>
                <w:b w:val="1"/>
                <w:bCs w:val="1"/>
                <w:color w:val="auto"/>
              </w:rPr>
              <w:t>Carrying</w:t>
            </w:r>
          </w:p>
        </w:tc>
        <w:tc>
          <w:tcPr>
            <w:tcW w:w="1060" w:type="dxa"/>
            <w:vAlign w:val="bottom"/>
          </w:tcPr>
          <w:p>
            <w:pPr>
              <w:jc w:val="right"/>
              <w:ind w:right="373"/>
              <w:spacing w:after="0" w:line="183" w:lineRule="exact"/>
              <w:rPr>
                <w:sz w:val="20"/>
                <w:szCs w:val="20"/>
                <w:color w:val="auto"/>
              </w:rPr>
            </w:pPr>
            <w:r>
              <w:rPr>
                <w:rFonts w:ascii="Arial" w:cs="Arial" w:eastAsia="Arial" w:hAnsi="Arial"/>
                <w:sz w:val="17"/>
                <w:szCs w:val="17"/>
                <w:b w:val="1"/>
                <w:bCs w:val="1"/>
                <w:color w:val="auto"/>
              </w:rPr>
              <w:t>Fair</w:t>
            </w:r>
          </w:p>
        </w:tc>
        <w:tc>
          <w:tcPr>
            <w:tcW w:w="100" w:type="dxa"/>
            <w:vAlign w:val="bottom"/>
          </w:tcPr>
          <w:p>
            <w:pPr>
              <w:spacing w:after="0"/>
              <w:rPr>
                <w:sz w:val="15"/>
                <w:szCs w:val="15"/>
                <w:color w:val="auto"/>
              </w:rPr>
            </w:pPr>
          </w:p>
        </w:tc>
      </w:tr>
      <w:tr>
        <w:trPr>
          <w:trHeight w:val="226"/>
        </w:trPr>
        <w:tc>
          <w:tcPr>
            <w:tcW w:w="320" w:type="dxa"/>
            <w:vAlign w:val="bottom"/>
          </w:tcPr>
          <w:p>
            <w:pPr>
              <w:spacing w:after="0"/>
              <w:rPr>
                <w:sz w:val="19"/>
                <w:szCs w:val="19"/>
                <w:color w:val="auto"/>
              </w:rPr>
            </w:pPr>
          </w:p>
        </w:tc>
        <w:tc>
          <w:tcPr>
            <w:tcW w:w="8220" w:type="dxa"/>
            <w:vAlign w:val="bottom"/>
          </w:tcPr>
          <w:p>
            <w:pPr>
              <w:spacing w:after="0"/>
              <w:rPr>
                <w:sz w:val="19"/>
                <w:szCs w:val="19"/>
                <w:color w:val="auto"/>
              </w:rPr>
            </w:pPr>
          </w:p>
        </w:tc>
        <w:tc>
          <w:tcPr>
            <w:tcW w:w="1560" w:type="dxa"/>
            <w:vAlign w:val="bottom"/>
            <w:gridSpan w:val="3"/>
          </w:tcPr>
          <w:p>
            <w:pPr>
              <w:jc w:val="center"/>
              <w:ind w:right="340"/>
              <w:spacing w:after="0"/>
              <w:rPr>
                <w:sz w:val="20"/>
                <w:szCs w:val="20"/>
                <w:color w:val="auto"/>
              </w:rPr>
            </w:pPr>
            <w:r>
              <w:rPr>
                <w:rFonts w:ascii="Arial" w:cs="Arial" w:eastAsia="Arial" w:hAnsi="Arial"/>
                <w:sz w:val="17"/>
                <w:szCs w:val="17"/>
                <w:b w:val="1"/>
                <w:bCs w:val="1"/>
                <w:color w:val="auto"/>
                <w:w w:val="94"/>
              </w:rPr>
              <w:t>amount</w:t>
            </w:r>
          </w:p>
        </w:tc>
        <w:tc>
          <w:tcPr>
            <w:tcW w:w="1160" w:type="dxa"/>
            <w:vAlign w:val="bottom"/>
            <w:gridSpan w:val="2"/>
          </w:tcPr>
          <w:p>
            <w:pPr>
              <w:jc w:val="center"/>
              <w:ind w:right="240"/>
              <w:spacing w:after="0"/>
              <w:rPr>
                <w:sz w:val="20"/>
                <w:szCs w:val="20"/>
                <w:color w:val="auto"/>
              </w:rPr>
            </w:pPr>
            <w:r>
              <w:rPr>
                <w:rFonts w:ascii="Arial" w:cs="Arial" w:eastAsia="Arial" w:hAnsi="Arial"/>
                <w:sz w:val="17"/>
                <w:szCs w:val="17"/>
                <w:b w:val="1"/>
                <w:bCs w:val="1"/>
                <w:color w:val="auto"/>
                <w:w w:val="91"/>
              </w:rPr>
              <w:t>value</w:t>
            </w:r>
          </w:p>
        </w:tc>
      </w:tr>
      <w:tr>
        <w:trPr>
          <w:trHeight w:val="219"/>
        </w:trPr>
        <w:tc>
          <w:tcPr>
            <w:tcW w:w="320" w:type="dxa"/>
            <w:vAlign w:val="bottom"/>
          </w:tcPr>
          <w:p>
            <w:pPr>
              <w:spacing w:after="0"/>
              <w:rPr>
                <w:sz w:val="19"/>
                <w:szCs w:val="19"/>
                <w:color w:val="auto"/>
              </w:rPr>
            </w:pPr>
          </w:p>
        </w:tc>
        <w:tc>
          <w:tcPr>
            <w:tcW w:w="8220" w:type="dxa"/>
            <w:vAlign w:val="bottom"/>
          </w:tcPr>
          <w:p>
            <w:pPr>
              <w:spacing w:after="0"/>
              <w:rPr>
                <w:sz w:val="19"/>
                <w:szCs w:val="19"/>
                <w:color w:val="auto"/>
              </w:rPr>
            </w:pPr>
          </w:p>
        </w:tc>
        <w:tc>
          <w:tcPr>
            <w:tcW w:w="1220" w:type="dxa"/>
            <w:vAlign w:val="bottom"/>
            <w:tcBorders>
              <w:top w:val="single" w:sz="8" w:color="auto"/>
            </w:tcBorders>
          </w:tcPr>
          <w:p>
            <w:pPr>
              <w:jc w:val="center"/>
              <w:spacing w:after="0"/>
              <w:rPr>
                <w:sz w:val="20"/>
                <w:szCs w:val="20"/>
                <w:color w:val="auto"/>
              </w:rPr>
            </w:pPr>
            <w:r>
              <w:rPr>
                <w:rFonts w:ascii="Arial" w:cs="Arial" w:eastAsia="Arial" w:hAnsi="Arial"/>
                <w:sz w:val="17"/>
                <w:szCs w:val="17"/>
                <w:b w:val="1"/>
                <w:bCs w:val="1"/>
                <w:color w:val="auto"/>
                <w:w w:val="93"/>
              </w:rPr>
              <w:t>S/(000)</w:t>
            </w:r>
          </w:p>
        </w:tc>
        <w:tc>
          <w:tcPr>
            <w:tcW w:w="2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center"/>
              <w:ind w:right="53"/>
              <w:spacing w:after="0"/>
              <w:rPr>
                <w:sz w:val="20"/>
                <w:szCs w:val="20"/>
                <w:color w:val="auto"/>
              </w:rPr>
            </w:pPr>
            <w:r>
              <w:rPr>
                <w:rFonts w:ascii="Arial" w:cs="Arial" w:eastAsia="Arial" w:hAnsi="Arial"/>
                <w:sz w:val="17"/>
                <w:szCs w:val="17"/>
                <w:b w:val="1"/>
                <w:bCs w:val="1"/>
                <w:color w:val="auto"/>
                <w:w w:val="93"/>
              </w:rPr>
              <w:t>S/(000)</w:t>
            </w:r>
          </w:p>
        </w:tc>
        <w:tc>
          <w:tcPr>
            <w:tcW w:w="100" w:type="dxa"/>
            <w:vAlign w:val="bottom"/>
          </w:tcPr>
          <w:p>
            <w:pPr>
              <w:spacing w:after="0"/>
              <w:rPr>
                <w:sz w:val="19"/>
                <w:szCs w:val="19"/>
                <w:color w:val="auto"/>
              </w:rPr>
            </w:pPr>
          </w:p>
        </w:tc>
      </w:tr>
      <w:tr>
        <w:trPr>
          <w:trHeight w:val="189"/>
        </w:trPr>
        <w:tc>
          <w:tcPr>
            <w:tcW w:w="320" w:type="dxa"/>
            <w:vAlign w:val="bottom"/>
          </w:tcPr>
          <w:p>
            <w:pPr>
              <w:spacing w:after="0"/>
              <w:rPr>
                <w:sz w:val="16"/>
                <w:szCs w:val="16"/>
                <w:color w:val="auto"/>
              </w:rPr>
            </w:pPr>
          </w:p>
        </w:tc>
        <w:tc>
          <w:tcPr>
            <w:tcW w:w="82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08"/>
        </w:trPr>
        <w:tc>
          <w:tcPr>
            <w:tcW w:w="320" w:type="dxa"/>
            <w:vAlign w:val="bottom"/>
          </w:tcPr>
          <w:p>
            <w:pPr>
              <w:spacing w:after="0"/>
              <w:rPr>
                <w:sz w:val="18"/>
                <w:szCs w:val="18"/>
                <w:color w:val="auto"/>
              </w:rPr>
            </w:pPr>
          </w:p>
        </w:tc>
        <w:tc>
          <w:tcPr>
            <w:tcW w:w="8220" w:type="dxa"/>
            <w:vAlign w:val="bottom"/>
            <w:shd w:val="clear" w:color="auto" w:fill="CCEEFF"/>
          </w:tcPr>
          <w:p>
            <w:pPr>
              <w:spacing w:after="0"/>
              <w:rPr>
                <w:sz w:val="20"/>
                <w:szCs w:val="20"/>
                <w:color w:val="auto"/>
              </w:rPr>
            </w:pPr>
            <w:r>
              <w:rPr>
                <w:rFonts w:ascii="Arial" w:cs="Arial" w:eastAsia="Arial" w:hAnsi="Arial"/>
                <w:sz w:val="17"/>
                <w:szCs w:val="17"/>
                <w:color w:val="auto"/>
              </w:rPr>
              <w:t>Peruvian sovereign bonds</w:t>
            </w: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4,016,340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4,099,001</w:t>
            </w:r>
          </w:p>
        </w:tc>
        <w:tc>
          <w:tcPr>
            <w:tcW w:w="100" w:type="dxa"/>
            <w:vAlign w:val="bottom"/>
            <w:shd w:val="clear" w:color="auto" w:fill="CCEEFF"/>
          </w:tcPr>
          <w:p>
            <w:pPr>
              <w:spacing w:after="0"/>
              <w:rPr>
                <w:sz w:val="18"/>
                <w:szCs w:val="18"/>
                <w:color w:val="auto"/>
              </w:rPr>
            </w:pPr>
          </w:p>
        </w:tc>
      </w:tr>
      <w:tr>
        <w:trPr>
          <w:trHeight w:val="208"/>
        </w:trPr>
        <w:tc>
          <w:tcPr>
            <w:tcW w:w="320" w:type="dxa"/>
            <w:vAlign w:val="bottom"/>
          </w:tcPr>
          <w:p>
            <w:pPr>
              <w:spacing w:after="0"/>
              <w:rPr>
                <w:sz w:val="18"/>
                <w:szCs w:val="18"/>
                <w:color w:val="auto"/>
              </w:rPr>
            </w:pPr>
          </w:p>
        </w:tc>
        <w:tc>
          <w:tcPr>
            <w:tcW w:w="8220" w:type="dxa"/>
            <w:vAlign w:val="bottom"/>
          </w:tcPr>
          <w:p>
            <w:pPr>
              <w:spacing w:after="0"/>
              <w:rPr>
                <w:sz w:val="20"/>
                <w:szCs w:val="20"/>
                <w:color w:val="auto"/>
              </w:rPr>
            </w:pPr>
            <w:r>
              <w:rPr>
                <w:rFonts w:ascii="Arial" w:cs="Arial" w:eastAsia="Arial" w:hAnsi="Arial"/>
                <w:sz w:val="17"/>
                <w:szCs w:val="17"/>
                <w:color w:val="auto"/>
              </w:rPr>
              <w:t>Bonds of foreign governments</w:t>
            </w:r>
          </w:p>
        </w:tc>
        <w:tc>
          <w:tcPr>
            <w:tcW w:w="1420" w:type="dxa"/>
            <w:vAlign w:val="bottom"/>
            <w:gridSpan w:val="2"/>
          </w:tcPr>
          <w:p>
            <w:pPr>
              <w:jc w:val="right"/>
              <w:ind w:right="200"/>
              <w:spacing w:after="0"/>
              <w:rPr>
                <w:sz w:val="20"/>
                <w:szCs w:val="20"/>
                <w:color w:val="auto"/>
              </w:rPr>
            </w:pPr>
            <w:r>
              <w:rPr>
                <w:rFonts w:ascii="Arial" w:cs="Arial" w:eastAsia="Arial" w:hAnsi="Arial"/>
                <w:sz w:val="17"/>
                <w:szCs w:val="17"/>
                <w:color w:val="auto"/>
              </w:rPr>
              <w:t>333,133</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336,397</w:t>
            </w:r>
          </w:p>
        </w:tc>
        <w:tc>
          <w:tcPr>
            <w:tcW w:w="100" w:type="dxa"/>
            <w:vAlign w:val="bottom"/>
          </w:tcPr>
          <w:p>
            <w:pPr>
              <w:spacing w:after="0"/>
              <w:rPr>
                <w:sz w:val="18"/>
                <w:szCs w:val="18"/>
                <w:color w:val="auto"/>
              </w:rPr>
            </w:pPr>
          </w:p>
        </w:tc>
      </w:tr>
      <w:tr>
        <w:trPr>
          <w:trHeight w:val="208"/>
        </w:trPr>
        <w:tc>
          <w:tcPr>
            <w:tcW w:w="320" w:type="dxa"/>
            <w:vAlign w:val="bottom"/>
          </w:tcPr>
          <w:p>
            <w:pPr>
              <w:spacing w:after="0"/>
              <w:rPr>
                <w:sz w:val="18"/>
                <w:szCs w:val="18"/>
                <w:color w:val="auto"/>
              </w:rPr>
            </w:pPr>
          </w:p>
        </w:tc>
        <w:tc>
          <w:tcPr>
            <w:tcW w:w="8220" w:type="dxa"/>
            <w:vAlign w:val="bottom"/>
            <w:shd w:val="clear" w:color="auto" w:fill="CCEEFF"/>
          </w:tcPr>
          <w:p>
            <w:pPr>
              <w:spacing w:after="0"/>
              <w:rPr>
                <w:sz w:val="20"/>
                <w:szCs w:val="20"/>
                <w:color w:val="auto"/>
              </w:rPr>
            </w:pPr>
            <w:r>
              <w:rPr>
                <w:rFonts w:ascii="Arial" w:cs="Arial" w:eastAsia="Arial" w:hAnsi="Arial"/>
                <w:sz w:val="17"/>
                <w:szCs w:val="17"/>
                <w:color w:val="auto"/>
              </w:rPr>
              <w:t>Peruvian treasury bonds</w:t>
            </w: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234,884</w:t>
            </w: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240,166</w:t>
            </w:r>
          </w:p>
        </w:tc>
        <w:tc>
          <w:tcPr>
            <w:tcW w:w="100" w:type="dxa"/>
            <w:vAlign w:val="bottom"/>
            <w:shd w:val="clear" w:color="auto" w:fill="CCEEFF"/>
          </w:tcPr>
          <w:p>
            <w:pPr>
              <w:spacing w:after="0"/>
              <w:rPr>
                <w:sz w:val="18"/>
                <w:szCs w:val="18"/>
                <w:color w:val="auto"/>
              </w:rPr>
            </w:pPr>
          </w:p>
        </w:tc>
      </w:tr>
      <w:tr>
        <w:trPr>
          <w:trHeight w:val="208"/>
        </w:trPr>
        <w:tc>
          <w:tcPr>
            <w:tcW w:w="320" w:type="dxa"/>
            <w:vAlign w:val="bottom"/>
          </w:tcPr>
          <w:p>
            <w:pPr>
              <w:spacing w:after="0"/>
              <w:rPr>
                <w:sz w:val="18"/>
                <w:szCs w:val="18"/>
                <w:color w:val="auto"/>
              </w:rPr>
            </w:pPr>
          </w:p>
        </w:tc>
        <w:tc>
          <w:tcPr>
            <w:tcW w:w="8220" w:type="dxa"/>
            <w:vAlign w:val="bottom"/>
          </w:tcPr>
          <w:p>
            <w:pPr>
              <w:spacing w:after="0"/>
              <w:rPr>
                <w:sz w:val="20"/>
                <w:szCs w:val="20"/>
                <w:color w:val="auto"/>
              </w:rPr>
            </w:pPr>
            <w:r>
              <w:rPr>
                <w:rFonts w:ascii="Arial" w:cs="Arial" w:eastAsia="Arial" w:hAnsi="Arial"/>
                <w:sz w:val="17"/>
                <w:szCs w:val="17"/>
                <w:color w:val="auto"/>
              </w:rPr>
              <w:t>Corporate bonds</w:t>
            </w:r>
          </w:p>
        </w:tc>
        <w:tc>
          <w:tcPr>
            <w:tcW w:w="1420" w:type="dxa"/>
            <w:vAlign w:val="bottom"/>
            <w:gridSpan w:val="2"/>
          </w:tcPr>
          <w:p>
            <w:pPr>
              <w:jc w:val="right"/>
              <w:ind w:right="200"/>
              <w:spacing w:after="0"/>
              <w:rPr>
                <w:sz w:val="20"/>
                <w:szCs w:val="20"/>
                <w:color w:val="auto"/>
              </w:rPr>
            </w:pPr>
            <w:r>
              <w:rPr>
                <w:rFonts w:ascii="Arial" w:cs="Arial" w:eastAsia="Arial" w:hAnsi="Arial"/>
                <w:sz w:val="17"/>
                <w:szCs w:val="17"/>
                <w:color w:val="auto"/>
              </w:rPr>
              <w:t>277,998</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284,028</w:t>
            </w:r>
          </w:p>
        </w:tc>
        <w:tc>
          <w:tcPr>
            <w:tcW w:w="100" w:type="dxa"/>
            <w:vAlign w:val="bottom"/>
          </w:tcPr>
          <w:p>
            <w:pPr>
              <w:spacing w:after="0"/>
              <w:rPr>
                <w:sz w:val="18"/>
                <w:szCs w:val="18"/>
                <w:color w:val="auto"/>
              </w:rPr>
            </w:pPr>
          </w:p>
        </w:tc>
      </w:tr>
      <w:tr>
        <w:trPr>
          <w:trHeight w:val="195"/>
        </w:trPr>
        <w:tc>
          <w:tcPr>
            <w:tcW w:w="320" w:type="dxa"/>
            <w:vAlign w:val="bottom"/>
          </w:tcPr>
          <w:p>
            <w:pPr>
              <w:spacing w:after="0"/>
              <w:rPr>
                <w:sz w:val="16"/>
                <w:szCs w:val="16"/>
                <w:color w:val="auto"/>
              </w:rPr>
            </w:pPr>
          </w:p>
        </w:tc>
        <w:tc>
          <w:tcPr>
            <w:tcW w:w="8220" w:type="dxa"/>
            <w:vAlign w:val="bottom"/>
            <w:shd w:val="clear" w:color="auto" w:fill="CCEEFF"/>
          </w:tcPr>
          <w:p>
            <w:pPr>
              <w:spacing w:after="0"/>
              <w:rPr>
                <w:sz w:val="20"/>
                <w:szCs w:val="20"/>
                <w:color w:val="auto"/>
              </w:rPr>
            </w:pPr>
            <w:r>
              <w:rPr>
                <w:rFonts w:ascii="Arial" w:cs="Arial" w:eastAsia="Arial" w:hAnsi="Arial"/>
                <w:sz w:val="17"/>
                <w:szCs w:val="17"/>
                <w:color w:val="auto"/>
              </w:rPr>
              <w:t>Certificates of payment on work progress</w:t>
            </w:r>
          </w:p>
        </w:tc>
        <w:tc>
          <w:tcPr>
            <w:tcW w:w="12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33"/>
        </w:trPr>
        <w:tc>
          <w:tcPr>
            <w:tcW w:w="320" w:type="dxa"/>
            <w:vAlign w:val="bottom"/>
          </w:tcPr>
          <w:p>
            <w:pPr>
              <w:spacing w:after="0"/>
              <w:rPr>
                <w:sz w:val="20"/>
                <w:szCs w:val="20"/>
                <w:color w:val="auto"/>
              </w:rPr>
            </w:pPr>
          </w:p>
        </w:tc>
        <w:tc>
          <w:tcPr>
            <w:tcW w:w="8220" w:type="dxa"/>
            <w:vAlign w:val="bottom"/>
            <w:shd w:val="clear" w:color="auto" w:fill="CCEEFF"/>
          </w:tcPr>
          <w:p>
            <w:pPr>
              <w:spacing w:after="0"/>
              <w:rPr>
                <w:sz w:val="20"/>
                <w:szCs w:val="20"/>
                <w:color w:val="auto"/>
              </w:rPr>
            </w:pPr>
            <w:r>
              <w:rPr>
                <w:rFonts w:ascii="Arial" w:cs="Arial" w:eastAsia="Arial" w:hAnsi="Arial"/>
                <w:sz w:val="17"/>
                <w:szCs w:val="17"/>
                <w:color w:val="auto"/>
              </w:rPr>
              <w:t>(CRPAO for its Spanish acronym) (*)</w:t>
            </w: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154,449</w:t>
            </w:r>
          </w:p>
        </w:tc>
        <w:tc>
          <w:tcPr>
            <w:tcW w:w="14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154,496</w:t>
            </w:r>
          </w:p>
        </w:tc>
        <w:tc>
          <w:tcPr>
            <w:tcW w:w="100" w:type="dxa"/>
            <w:vAlign w:val="bottom"/>
            <w:shd w:val="clear" w:color="auto" w:fill="CCEEFF"/>
          </w:tcPr>
          <w:p>
            <w:pPr>
              <w:spacing w:after="0"/>
              <w:rPr>
                <w:sz w:val="20"/>
                <w:szCs w:val="20"/>
                <w:color w:val="auto"/>
              </w:rPr>
            </w:pPr>
          </w:p>
        </w:tc>
      </w:tr>
      <w:tr>
        <w:trPr>
          <w:trHeight w:val="201"/>
        </w:trPr>
        <w:tc>
          <w:tcPr>
            <w:tcW w:w="320" w:type="dxa"/>
            <w:vAlign w:val="bottom"/>
          </w:tcPr>
          <w:p>
            <w:pPr>
              <w:spacing w:after="0"/>
              <w:rPr>
                <w:sz w:val="17"/>
                <w:szCs w:val="17"/>
                <w:color w:val="auto"/>
              </w:rPr>
            </w:pPr>
          </w:p>
        </w:tc>
        <w:tc>
          <w:tcPr>
            <w:tcW w:w="8220" w:type="dxa"/>
            <w:vAlign w:val="bottom"/>
          </w:tcPr>
          <w:p>
            <w:pPr>
              <w:spacing w:after="0"/>
              <w:rPr>
                <w:sz w:val="17"/>
                <w:szCs w:val="17"/>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5,016,804</w:t>
            </w:r>
          </w:p>
        </w:tc>
        <w:tc>
          <w:tcPr>
            <w:tcW w:w="2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5,114,088</w:t>
            </w:r>
          </w:p>
        </w:tc>
        <w:tc>
          <w:tcPr>
            <w:tcW w:w="100" w:type="dxa"/>
            <w:vAlign w:val="bottom"/>
          </w:tcPr>
          <w:p>
            <w:pPr>
              <w:spacing w:after="0"/>
              <w:rPr>
                <w:sz w:val="17"/>
                <w:szCs w:val="17"/>
                <w:color w:val="auto"/>
              </w:rPr>
            </w:pPr>
          </w:p>
        </w:tc>
      </w:tr>
      <w:tr>
        <w:trPr>
          <w:trHeight w:val="221"/>
        </w:trPr>
        <w:tc>
          <w:tcPr>
            <w:tcW w:w="320" w:type="dxa"/>
            <w:vAlign w:val="bottom"/>
          </w:tcPr>
          <w:p>
            <w:pPr>
              <w:spacing w:after="0"/>
              <w:rPr>
                <w:sz w:val="19"/>
                <w:szCs w:val="19"/>
                <w:color w:val="auto"/>
              </w:rPr>
            </w:pPr>
          </w:p>
        </w:tc>
        <w:tc>
          <w:tcPr>
            <w:tcW w:w="8220" w:type="dxa"/>
            <w:vAlign w:val="bottom"/>
            <w:shd w:val="clear" w:color="auto" w:fill="CCEEFF"/>
          </w:tcPr>
          <w:p>
            <w:pPr>
              <w:spacing w:after="0"/>
              <w:rPr>
                <w:sz w:val="20"/>
                <w:szCs w:val="20"/>
                <w:color w:val="auto"/>
              </w:rPr>
            </w:pPr>
            <w:r>
              <w:rPr>
                <w:rFonts w:ascii="Arial" w:cs="Arial" w:eastAsia="Arial" w:hAnsi="Arial"/>
                <w:sz w:val="17"/>
                <w:szCs w:val="17"/>
                <w:color w:val="auto"/>
              </w:rPr>
              <w:t>Accrued interest</w:t>
            </w: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101,616</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101,616</w:t>
            </w:r>
          </w:p>
        </w:tc>
        <w:tc>
          <w:tcPr>
            <w:tcW w:w="100" w:type="dxa"/>
            <w:vAlign w:val="bottom"/>
            <w:shd w:val="clear" w:color="auto" w:fill="CCEEFF"/>
          </w:tcPr>
          <w:p>
            <w:pPr>
              <w:spacing w:after="0"/>
              <w:rPr>
                <w:sz w:val="19"/>
                <w:szCs w:val="19"/>
                <w:color w:val="auto"/>
              </w:rPr>
            </w:pPr>
          </w:p>
        </w:tc>
      </w:tr>
      <w:tr>
        <w:trPr>
          <w:trHeight w:val="201"/>
        </w:trPr>
        <w:tc>
          <w:tcPr>
            <w:tcW w:w="320" w:type="dxa"/>
            <w:vAlign w:val="bottom"/>
          </w:tcPr>
          <w:p>
            <w:pPr>
              <w:spacing w:after="0"/>
              <w:rPr>
                <w:sz w:val="17"/>
                <w:szCs w:val="17"/>
                <w:color w:val="auto"/>
              </w:rPr>
            </w:pPr>
          </w:p>
        </w:tc>
        <w:tc>
          <w:tcPr>
            <w:tcW w:w="8220" w:type="dxa"/>
            <w:vAlign w:val="bottom"/>
          </w:tcPr>
          <w:p>
            <w:pPr>
              <w:spacing w:after="0"/>
              <w:rPr>
                <w:sz w:val="20"/>
                <w:szCs w:val="20"/>
                <w:color w:val="auto"/>
              </w:rPr>
            </w:pPr>
            <w:r>
              <w:rPr>
                <w:rFonts w:ascii="Arial" w:cs="Arial" w:eastAsia="Arial" w:hAnsi="Arial"/>
                <w:sz w:val="17"/>
                <w:szCs w:val="17"/>
                <w:b w:val="1"/>
                <w:bCs w:val="1"/>
                <w:color w:val="auto"/>
              </w:rPr>
              <w:t>Total</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5,118,420</w:t>
            </w:r>
          </w:p>
        </w:tc>
        <w:tc>
          <w:tcPr>
            <w:tcW w:w="200" w:type="dxa"/>
            <w:vAlign w:val="bottom"/>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5,215,704</w:t>
            </w:r>
          </w:p>
        </w:tc>
        <w:tc>
          <w:tcPr>
            <w:tcW w:w="100" w:type="dxa"/>
            <w:vAlign w:val="bottom"/>
          </w:tcPr>
          <w:p>
            <w:pPr>
              <w:spacing w:after="0"/>
              <w:rPr>
                <w:sz w:val="17"/>
                <w:szCs w:val="17"/>
                <w:color w:val="auto"/>
              </w:rPr>
            </w:pPr>
          </w:p>
        </w:tc>
      </w:tr>
      <w:tr>
        <w:trPr>
          <w:trHeight w:val="20"/>
        </w:trPr>
        <w:tc>
          <w:tcPr>
            <w:tcW w:w="320" w:type="dxa"/>
            <w:vAlign w:val="bottom"/>
          </w:tcPr>
          <w:p>
            <w:pPr>
              <w:spacing w:after="0" w:line="20" w:lineRule="exact"/>
              <w:rPr>
                <w:sz w:val="1"/>
                <w:szCs w:val="1"/>
                <w:color w:val="auto"/>
              </w:rPr>
            </w:pPr>
          </w:p>
        </w:tc>
        <w:tc>
          <w:tcPr>
            <w:tcW w:w="82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5" w:lineRule="exact"/>
        <w:rPr>
          <w:sz w:val="20"/>
          <w:szCs w:val="20"/>
          <w:color w:val="auto"/>
        </w:rPr>
      </w:pPr>
    </w:p>
    <w:p>
      <w:pPr>
        <w:ind w:left="320" w:right="80"/>
        <w:spacing w:after="0" w:line="265" w:lineRule="auto"/>
        <w:rPr>
          <w:sz w:val="20"/>
          <w:szCs w:val="20"/>
          <w:color w:val="auto"/>
        </w:rPr>
      </w:pPr>
      <w:r>
        <w:rPr>
          <w:rFonts w:ascii="Arial" w:cs="Arial" w:eastAsia="Arial" w:hAnsi="Arial"/>
          <w:sz w:val="17"/>
          <w:szCs w:val="17"/>
          <w:color w:val="auto"/>
        </w:rPr>
        <w:t>At December 31, 2017, said bonds have maturities between January 2018 and February 2042, accruing interest at an annual effective interest rate between 3.19 percent and 6.09 percent on bonds denominated in soles and between 1.39 percent and 4.55 percent on bonds in U.S. dollar (at December 31, 2016 they show maturities between February 2017 and February 2042, bearing interest at an effective annual interest rate of 1.87 percent and 7.12 percent on bonds denominated in soles and between 0.47 percent and 6.03 percent per year on bonds in U.S. dollars).</w:t>
      </w: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- 60 -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15875</wp:posOffset>
            </wp:positionV>
            <wp:extent cx="725170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51700" cy="8255"/>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66" w:name="page67"/>
    <w:bookmarkEnd w:id="66"/>
    <w:p>
      <w:pPr>
        <w:ind w:left="320" w:right="680"/>
        <w:spacing w:after="0" w:line="318" w:lineRule="auto"/>
        <w:rPr>
          <w:sz w:val="20"/>
          <w:szCs w:val="20"/>
          <w:color w:val="auto"/>
        </w:rPr>
      </w:pPr>
      <w:r>
        <w:rPr>
          <w:rFonts w:ascii="Arial" w:cs="Arial" w:eastAsia="Arial" w:hAnsi="Arial"/>
          <w:sz w:val="16"/>
          <w:szCs w:val="16"/>
          <w:color w:val="auto"/>
        </w:rPr>
        <w:t>At December 31, 2017 and 2016, Credicorp Management has determined that the difference between amortized cost and fair value of held-to-maturity investment is temporary in nature and Credicorp has the intention and ability to hold each of these investments until its maturity.</w:t>
      </w:r>
    </w:p>
    <w:p>
      <w:pPr>
        <w:spacing w:after="0" w:line="136" w:lineRule="exact"/>
        <w:rPr>
          <w:sz w:val="20"/>
          <w:szCs w:val="20"/>
          <w:color w:val="auto"/>
        </w:rPr>
      </w:pPr>
    </w:p>
    <w:p>
      <w:pPr>
        <w:ind w:left="320" w:right="60"/>
        <w:spacing w:after="0" w:line="265" w:lineRule="auto"/>
        <w:rPr>
          <w:sz w:val="20"/>
          <w:szCs w:val="20"/>
          <w:color w:val="auto"/>
        </w:rPr>
      </w:pPr>
      <w:r>
        <w:rPr>
          <w:rFonts w:ascii="Arial" w:cs="Arial" w:eastAsia="Arial" w:hAnsi="Arial"/>
          <w:sz w:val="17"/>
          <w:szCs w:val="17"/>
          <w:color w:val="auto"/>
        </w:rPr>
        <w:t>At December 31, 2017 the Group has entered into repurchase agreements transactions over corporate bonds, multilateral organization bonds and foreign government bonds accounted for as available-for-sale investments for an estimated fair value of S/2,691.8 million (S/1,598.9 million at December 31, 2016), of which the related liability is presented in “Payables from repurchase agreements and security lending” of the consolidated statement of financial position, See Note 5(c).</w:t>
      </w:r>
    </w:p>
    <w:p>
      <w:pPr>
        <w:spacing w:after="0" w:line="176" w:lineRule="exact"/>
        <w:rPr>
          <w:sz w:val="20"/>
          <w:szCs w:val="20"/>
          <w:color w:val="auto"/>
        </w:rPr>
      </w:pPr>
    </w:p>
    <w:p>
      <w:pPr>
        <w:jc w:val="both"/>
        <w:ind w:left="320" w:right="20"/>
        <w:spacing w:after="0" w:line="270" w:lineRule="auto"/>
        <w:rPr>
          <w:sz w:val="20"/>
          <w:szCs w:val="20"/>
          <w:color w:val="auto"/>
        </w:rPr>
      </w:pPr>
      <w:r>
        <w:rPr>
          <w:rFonts w:ascii="Arial" w:cs="Arial" w:eastAsia="Arial" w:hAnsi="Arial"/>
          <w:sz w:val="17"/>
          <w:szCs w:val="17"/>
          <w:color w:val="auto"/>
        </w:rPr>
        <w:t>Also, at December 31, 2017, the Group maintains repurchase agreements transactions over held-to-maturity investments for an estimated fair value of S/2,725.8 million (S/2,061.6 million at December 31, 2016), the related liability of which is presented in “Payables from repurchase agreements and security lendings” of the consolidated statement of financial position, See Note 5(c).</w:t>
      </w:r>
    </w:p>
    <w:p>
      <w:pPr>
        <w:spacing w:after="0" w:line="172" w:lineRule="exact"/>
        <w:rPr>
          <w:sz w:val="20"/>
          <w:szCs w:val="20"/>
          <w:color w:val="auto"/>
        </w:rPr>
      </w:pPr>
    </w:p>
    <w:p>
      <w:pPr>
        <w:ind w:left="620" w:right="140" w:hanging="304"/>
        <w:spacing w:after="0" w:line="311" w:lineRule="auto"/>
        <w:tabs>
          <w:tab w:leader="none" w:pos="620" w:val="left"/>
        </w:tabs>
        <w:numPr>
          <w:ilvl w:val="1"/>
          <w:numId w:val="74"/>
        </w:numPr>
        <w:rPr>
          <w:rFonts w:ascii="Arial" w:cs="Arial" w:eastAsia="Arial" w:hAnsi="Arial"/>
          <w:sz w:val="15"/>
          <w:szCs w:val="15"/>
          <w:color w:val="auto"/>
        </w:rPr>
      </w:pPr>
      <w:r>
        <w:rPr>
          <w:rFonts w:ascii="Arial" w:cs="Arial" w:eastAsia="Arial" w:hAnsi="Arial"/>
          <w:sz w:val="15"/>
          <w:szCs w:val="15"/>
          <w:color w:val="auto"/>
        </w:rPr>
        <w:t>At December 31, 2017 and 2016 there are, 217 and 249 certificates of Annual Recognition of Payment for Work Progress (CRPAO from Spanish acronym), respectively, issued by the Peruvian Government to finance projects and concessions are held, said issuance is a mechanism established in the concession agreement signed between the State and the concessionaire, which allows the latter to obtain financing to continue with the works undertaken. Said investment has maturities between January 2018 and April 2026, accruing interest at an annual effective rate between 3.90 percent and 5.38 percent.</w:t>
      </w:r>
    </w:p>
    <w:p>
      <w:pPr>
        <w:spacing w:after="0" w:line="145" w:lineRule="exact"/>
        <w:rPr>
          <w:rFonts w:ascii="Arial" w:cs="Arial" w:eastAsia="Arial" w:hAnsi="Arial"/>
          <w:sz w:val="15"/>
          <w:szCs w:val="15"/>
          <w:color w:val="auto"/>
        </w:rPr>
      </w:pPr>
    </w:p>
    <w:p>
      <w:pPr>
        <w:ind w:left="320" w:hanging="316"/>
        <w:spacing w:after="0"/>
        <w:tabs>
          <w:tab w:leader="none" w:pos="320" w:val="left"/>
        </w:tabs>
        <w:numPr>
          <w:ilvl w:val="0"/>
          <w:numId w:val="74"/>
        </w:numPr>
        <w:rPr>
          <w:rFonts w:ascii="Arial" w:cs="Arial" w:eastAsia="Arial" w:hAnsi="Arial"/>
          <w:sz w:val="17"/>
          <w:szCs w:val="17"/>
          <w:color w:val="auto"/>
        </w:rPr>
      </w:pPr>
      <w:r>
        <w:rPr>
          <w:rFonts w:ascii="Arial" w:cs="Arial" w:eastAsia="Arial" w:hAnsi="Arial"/>
          <w:sz w:val="17"/>
          <w:szCs w:val="17"/>
          <w:color w:val="auto"/>
        </w:rPr>
        <w:t>The table below shows the balance of investments, by maturity groupings, before accrued interest:</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320" w:type="dxa"/>
            <w:vAlign w:val="bottom"/>
          </w:tcPr>
          <w:p>
            <w:pPr>
              <w:spacing w:after="0"/>
              <w:rPr>
                <w:sz w:val="19"/>
                <w:szCs w:val="19"/>
                <w:color w:val="auto"/>
              </w:rPr>
            </w:pPr>
          </w:p>
        </w:tc>
        <w:tc>
          <w:tcPr>
            <w:tcW w:w="3460" w:type="dxa"/>
            <w:vAlign w:val="bottom"/>
          </w:tcPr>
          <w:p>
            <w:pPr>
              <w:spacing w:after="0"/>
              <w:rPr>
                <w:sz w:val="19"/>
                <w:szCs w:val="19"/>
                <w:color w:val="auto"/>
              </w:rPr>
            </w:pPr>
          </w:p>
        </w:tc>
        <w:tc>
          <w:tcPr>
            <w:tcW w:w="3340" w:type="dxa"/>
            <w:vAlign w:val="bottom"/>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89"/>
              </w:rPr>
              <w:t>2017</w:t>
            </w: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2"/>
        </w:trPr>
        <w:tc>
          <w:tcPr>
            <w:tcW w:w="320" w:type="dxa"/>
            <w:vAlign w:val="bottom"/>
          </w:tcPr>
          <w:p>
            <w:pPr>
              <w:spacing w:after="0"/>
              <w:rPr>
                <w:sz w:val="15"/>
                <w:szCs w:val="15"/>
                <w:color w:val="auto"/>
              </w:rPr>
            </w:pPr>
          </w:p>
        </w:tc>
        <w:tc>
          <w:tcPr>
            <w:tcW w:w="3460" w:type="dxa"/>
            <w:vAlign w:val="bottom"/>
          </w:tcPr>
          <w:p>
            <w:pPr>
              <w:spacing w:after="0"/>
              <w:rPr>
                <w:sz w:val="15"/>
                <w:szCs w:val="15"/>
                <w:color w:val="auto"/>
              </w:rPr>
            </w:pPr>
          </w:p>
        </w:tc>
        <w:tc>
          <w:tcPr>
            <w:tcW w:w="33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0" w:type="dxa"/>
            <w:vAlign w:val="bottom"/>
            <w:gridSpan w:val="2"/>
          </w:tcPr>
          <w:p>
            <w:pPr>
              <w:jc w:val="center"/>
              <w:ind w:right="240"/>
              <w:spacing w:after="0" w:line="183" w:lineRule="exact"/>
              <w:rPr>
                <w:sz w:val="20"/>
                <w:szCs w:val="20"/>
                <w:color w:val="auto"/>
              </w:rPr>
            </w:pPr>
            <w:r>
              <w:rPr>
                <w:rFonts w:ascii="Arial" w:cs="Arial" w:eastAsia="Arial" w:hAnsi="Arial"/>
                <w:sz w:val="17"/>
                <w:szCs w:val="17"/>
                <w:b w:val="1"/>
                <w:bCs w:val="1"/>
                <w:color w:val="auto"/>
                <w:w w:val="94"/>
              </w:rPr>
              <w:t>Available for</w:t>
            </w:r>
          </w:p>
        </w:tc>
        <w:tc>
          <w:tcPr>
            <w:tcW w:w="1200" w:type="dxa"/>
            <w:vAlign w:val="bottom"/>
          </w:tcPr>
          <w:p>
            <w:pPr>
              <w:jc w:val="center"/>
              <w:spacing w:after="0" w:line="183" w:lineRule="exact"/>
              <w:rPr>
                <w:sz w:val="20"/>
                <w:szCs w:val="20"/>
                <w:color w:val="auto"/>
              </w:rPr>
            </w:pPr>
            <w:r>
              <w:rPr>
                <w:rFonts w:ascii="Arial" w:cs="Arial" w:eastAsia="Arial" w:hAnsi="Arial"/>
                <w:sz w:val="17"/>
                <w:szCs w:val="17"/>
                <w:b w:val="1"/>
                <w:bCs w:val="1"/>
                <w:color w:val="auto"/>
                <w:w w:val="93"/>
              </w:rPr>
              <w:t>Held to</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320" w:type="dxa"/>
            <w:vAlign w:val="bottom"/>
          </w:tcPr>
          <w:p>
            <w:pPr>
              <w:spacing w:after="0"/>
              <w:rPr>
                <w:sz w:val="19"/>
                <w:szCs w:val="19"/>
                <w:color w:val="auto"/>
              </w:rPr>
            </w:pPr>
          </w:p>
        </w:tc>
        <w:tc>
          <w:tcPr>
            <w:tcW w:w="3460" w:type="dxa"/>
            <w:vAlign w:val="bottom"/>
          </w:tcPr>
          <w:p>
            <w:pPr>
              <w:spacing w:after="0"/>
              <w:rPr>
                <w:sz w:val="19"/>
                <w:szCs w:val="19"/>
                <w:color w:val="auto"/>
              </w:rPr>
            </w:pPr>
          </w:p>
        </w:tc>
        <w:tc>
          <w:tcPr>
            <w:tcW w:w="3340" w:type="dxa"/>
            <w:vAlign w:val="bottom"/>
          </w:tcPr>
          <w:p>
            <w:pPr>
              <w:spacing w:after="0"/>
              <w:rPr>
                <w:sz w:val="19"/>
                <w:szCs w:val="19"/>
                <w:color w:val="auto"/>
              </w:rPr>
            </w:pPr>
          </w:p>
        </w:tc>
        <w:tc>
          <w:tcPr>
            <w:tcW w:w="1440" w:type="dxa"/>
            <w:vAlign w:val="bottom"/>
            <w:gridSpan w:val="2"/>
          </w:tcPr>
          <w:p>
            <w:pPr>
              <w:jc w:val="center"/>
              <w:ind w:right="200"/>
              <w:spacing w:after="0"/>
              <w:rPr>
                <w:sz w:val="20"/>
                <w:szCs w:val="20"/>
                <w:color w:val="auto"/>
              </w:rPr>
            </w:pPr>
            <w:r>
              <w:rPr>
                <w:rFonts w:ascii="Arial" w:cs="Arial" w:eastAsia="Arial" w:hAnsi="Arial"/>
                <w:sz w:val="17"/>
                <w:szCs w:val="17"/>
                <w:b w:val="1"/>
                <w:bCs w:val="1"/>
                <w:color w:val="auto"/>
                <w:w w:val="96"/>
              </w:rPr>
              <w:t>Trading</w:t>
            </w:r>
          </w:p>
        </w:tc>
        <w:tc>
          <w:tcPr>
            <w:tcW w:w="1400" w:type="dxa"/>
            <w:vAlign w:val="bottom"/>
            <w:gridSpan w:val="2"/>
          </w:tcPr>
          <w:p>
            <w:pPr>
              <w:jc w:val="right"/>
              <w:ind w:right="660"/>
              <w:spacing w:after="0"/>
              <w:rPr>
                <w:sz w:val="20"/>
                <w:szCs w:val="20"/>
                <w:color w:val="auto"/>
              </w:rPr>
            </w:pPr>
            <w:r>
              <w:rPr>
                <w:rFonts w:ascii="Arial" w:cs="Arial" w:eastAsia="Arial" w:hAnsi="Arial"/>
                <w:sz w:val="17"/>
                <w:szCs w:val="17"/>
                <w:b w:val="1"/>
                <w:bCs w:val="1"/>
                <w:color w:val="auto"/>
              </w:rPr>
              <w:t>sale</w:t>
            </w:r>
          </w:p>
        </w:tc>
        <w:tc>
          <w:tcPr>
            <w:tcW w:w="1300" w:type="dxa"/>
            <w:vAlign w:val="bottom"/>
            <w:gridSpan w:val="2"/>
          </w:tcPr>
          <w:p>
            <w:pPr>
              <w:jc w:val="center"/>
              <w:ind w:right="80"/>
              <w:spacing w:after="0"/>
              <w:rPr>
                <w:sz w:val="20"/>
                <w:szCs w:val="20"/>
                <w:color w:val="auto"/>
              </w:rPr>
            </w:pPr>
            <w:r>
              <w:rPr>
                <w:rFonts w:ascii="Arial" w:cs="Arial" w:eastAsia="Arial" w:hAnsi="Arial"/>
                <w:sz w:val="17"/>
                <w:szCs w:val="17"/>
                <w:b w:val="1"/>
                <w:bCs w:val="1"/>
                <w:color w:val="auto"/>
                <w:w w:val="98"/>
              </w:rPr>
              <w:t>maturity</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20" w:type="dxa"/>
            <w:vAlign w:val="bottom"/>
          </w:tcPr>
          <w:p>
            <w:pPr>
              <w:spacing w:after="0"/>
              <w:rPr>
                <w:sz w:val="19"/>
                <w:szCs w:val="19"/>
                <w:color w:val="auto"/>
              </w:rPr>
            </w:pPr>
          </w:p>
        </w:tc>
        <w:tc>
          <w:tcPr>
            <w:tcW w:w="3460" w:type="dxa"/>
            <w:vAlign w:val="bottom"/>
          </w:tcPr>
          <w:p>
            <w:pPr>
              <w:spacing w:after="0"/>
              <w:rPr>
                <w:sz w:val="19"/>
                <w:szCs w:val="19"/>
                <w:color w:val="auto"/>
              </w:rPr>
            </w:pPr>
          </w:p>
        </w:tc>
        <w:tc>
          <w:tcPr>
            <w:tcW w:w="3340" w:type="dxa"/>
            <w:vAlign w:val="bottom"/>
          </w:tcPr>
          <w:p>
            <w:pPr>
              <w:spacing w:after="0"/>
              <w:rPr>
                <w:sz w:val="19"/>
                <w:szCs w:val="19"/>
                <w:color w:val="auto"/>
              </w:rPr>
            </w:pPr>
          </w:p>
        </w:tc>
        <w:tc>
          <w:tcPr>
            <w:tcW w:w="1220" w:type="dxa"/>
            <w:vAlign w:val="bottom"/>
            <w:tcBorders>
              <w:top w:val="single" w:sz="8" w:color="auto"/>
            </w:tcBorders>
          </w:tcPr>
          <w:p>
            <w:pPr>
              <w:jc w:val="center"/>
              <w:spacing w:after="0"/>
              <w:rPr>
                <w:sz w:val="20"/>
                <w:szCs w:val="20"/>
                <w:color w:val="auto"/>
              </w:rPr>
            </w:pPr>
            <w:r>
              <w:rPr>
                <w:rFonts w:ascii="Arial" w:cs="Arial" w:eastAsia="Arial" w:hAnsi="Arial"/>
                <w:sz w:val="17"/>
                <w:szCs w:val="17"/>
                <w:b w:val="1"/>
                <w:bCs w:val="1"/>
                <w:color w:val="auto"/>
                <w:w w:val="93"/>
              </w:rPr>
              <w:t>S/(000)</w:t>
            </w:r>
          </w:p>
        </w:tc>
        <w:tc>
          <w:tcPr>
            <w:tcW w:w="220" w:type="dxa"/>
            <w:vAlign w:val="bottom"/>
          </w:tcPr>
          <w:p>
            <w:pPr>
              <w:spacing w:after="0"/>
              <w:rPr>
                <w:sz w:val="19"/>
                <w:szCs w:val="19"/>
                <w:color w:val="auto"/>
              </w:rPr>
            </w:pPr>
          </w:p>
        </w:tc>
        <w:tc>
          <w:tcPr>
            <w:tcW w:w="1200" w:type="dxa"/>
            <w:vAlign w:val="bottom"/>
            <w:tcBorders>
              <w:top w:val="single" w:sz="8" w:color="auto"/>
            </w:tcBorders>
          </w:tcPr>
          <w:p>
            <w:pPr>
              <w:jc w:val="center"/>
              <w:spacing w:after="0"/>
              <w:rPr>
                <w:sz w:val="20"/>
                <w:szCs w:val="20"/>
                <w:color w:val="auto"/>
              </w:rPr>
            </w:pPr>
            <w:r>
              <w:rPr>
                <w:rFonts w:ascii="Arial" w:cs="Arial" w:eastAsia="Arial" w:hAnsi="Arial"/>
                <w:sz w:val="17"/>
                <w:szCs w:val="17"/>
                <w:b w:val="1"/>
                <w:bCs w:val="1"/>
                <w:color w:val="auto"/>
                <w:w w:val="93"/>
              </w:rPr>
              <w:t>S/(000)</w:t>
            </w:r>
          </w:p>
        </w:tc>
        <w:tc>
          <w:tcPr>
            <w:tcW w:w="200" w:type="dxa"/>
            <w:vAlign w:val="bottom"/>
          </w:tcPr>
          <w:p>
            <w:pPr>
              <w:spacing w:after="0"/>
              <w:rPr>
                <w:sz w:val="19"/>
                <w:szCs w:val="19"/>
                <w:color w:val="auto"/>
              </w:rPr>
            </w:pPr>
          </w:p>
        </w:tc>
        <w:tc>
          <w:tcPr>
            <w:tcW w:w="1200" w:type="dxa"/>
            <w:vAlign w:val="bottom"/>
            <w:tcBorders>
              <w:top w:val="single" w:sz="8" w:color="auto"/>
            </w:tcBorders>
          </w:tcPr>
          <w:p>
            <w:pPr>
              <w:jc w:val="center"/>
              <w:spacing w:after="0"/>
              <w:rPr>
                <w:sz w:val="20"/>
                <w:szCs w:val="20"/>
                <w:color w:val="auto"/>
              </w:rPr>
            </w:pPr>
            <w:r>
              <w:rPr>
                <w:rFonts w:ascii="Arial" w:cs="Arial" w:eastAsia="Arial" w:hAnsi="Arial"/>
                <w:sz w:val="17"/>
                <w:szCs w:val="17"/>
                <w:b w:val="1"/>
                <w:bCs w:val="1"/>
                <w:color w:val="auto"/>
                <w:w w:val="93"/>
              </w:rPr>
              <w:t>S/(000)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320" w:type="dxa"/>
            <w:vAlign w:val="bottom"/>
          </w:tcPr>
          <w:p>
            <w:pPr>
              <w:spacing w:after="0"/>
              <w:rPr>
                <w:sz w:val="16"/>
                <w:szCs w:val="16"/>
                <w:color w:val="auto"/>
              </w:rPr>
            </w:pPr>
          </w:p>
        </w:tc>
        <w:tc>
          <w:tcPr>
            <w:tcW w:w="3460" w:type="dxa"/>
            <w:vAlign w:val="bottom"/>
          </w:tcPr>
          <w:p>
            <w:pPr>
              <w:spacing w:after="0"/>
              <w:rPr>
                <w:sz w:val="16"/>
                <w:szCs w:val="16"/>
                <w:color w:val="auto"/>
              </w:rPr>
            </w:pPr>
          </w:p>
        </w:tc>
        <w:tc>
          <w:tcPr>
            <w:tcW w:w="33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320" w:type="dxa"/>
            <w:vAlign w:val="bottom"/>
          </w:tcPr>
          <w:p>
            <w:pPr>
              <w:spacing w:after="0"/>
              <w:rPr>
                <w:sz w:val="18"/>
                <w:szCs w:val="18"/>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7"/>
                <w:szCs w:val="17"/>
                <w:color w:val="auto"/>
              </w:rPr>
              <w:t>Until 3 months</w:t>
            </w:r>
          </w:p>
        </w:tc>
        <w:tc>
          <w:tcPr>
            <w:tcW w:w="4780" w:type="dxa"/>
            <w:vAlign w:val="bottom"/>
            <w:gridSpan w:val="3"/>
            <w:shd w:val="clear" w:color="auto" w:fill="CCEEFF"/>
          </w:tcPr>
          <w:p>
            <w:pPr>
              <w:jc w:val="right"/>
              <w:ind w:right="220"/>
              <w:spacing w:after="0"/>
              <w:rPr>
                <w:sz w:val="20"/>
                <w:szCs w:val="20"/>
                <w:color w:val="auto"/>
              </w:rPr>
            </w:pPr>
            <w:r>
              <w:rPr>
                <w:rFonts w:ascii="Arial" w:cs="Arial" w:eastAsia="Arial" w:hAnsi="Arial"/>
                <w:sz w:val="17"/>
                <w:szCs w:val="17"/>
                <w:color w:val="auto"/>
              </w:rPr>
              <w:t>1,476,174</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4,987,080</w:t>
            </w: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334,791</w:t>
            </w:r>
          </w:p>
        </w:tc>
        <w:tc>
          <w:tcPr>
            <w:tcW w:w="100" w:type="dxa"/>
            <w:vAlign w:val="bottom"/>
            <w:shd w:val="clear" w:color="auto" w:fill="CCEEFF"/>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20" w:type="dxa"/>
            <w:vAlign w:val="bottom"/>
          </w:tcPr>
          <w:p>
            <w:pPr>
              <w:spacing w:after="0"/>
              <w:rPr>
                <w:sz w:val="18"/>
                <w:szCs w:val="18"/>
                <w:color w:val="auto"/>
              </w:rPr>
            </w:pPr>
          </w:p>
        </w:tc>
        <w:tc>
          <w:tcPr>
            <w:tcW w:w="3460" w:type="dxa"/>
            <w:vAlign w:val="bottom"/>
          </w:tcPr>
          <w:p>
            <w:pPr>
              <w:spacing w:after="0"/>
              <w:rPr>
                <w:sz w:val="20"/>
                <w:szCs w:val="20"/>
                <w:color w:val="auto"/>
              </w:rPr>
            </w:pPr>
            <w:r>
              <w:rPr>
                <w:rFonts w:ascii="Arial" w:cs="Arial" w:eastAsia="Arial" w:hAnsi="Arial"/>
                <w:sz w:val="17"/>
                <w:szCs w:val="17"/>
                <w:color w:val="auto"/>
              </w:rPr>
              <w:t>From 3 months to 1 year</w:t>
            </w:r>
          </w:p>
        </w:tc>
        <w:tc>
          <w:tcPr>
            <w:tcW w:w="4780" w:type="dxa"/>
            <w:vAlign w:val="bottom"/>
            <w:gridSpan w:val="3"/>
          </w:tcPr>
          <w:p>
            <w:pPr>
              <w:jc w:val="right"/>
              <w:ind w:right="220"/>
              <w:spacing w:after="0"/>
              <w:rPr>
                <w:sz w:val="20"/>
                <w:szCs w:val="20"/>
                <w:color w:val="auto"/>
              </w:rPr>
            </w:pPr>
            <w:r>
              <w:rPr>
                <w:rFonts w:ascii="Arial" w:cs="Arial" w:eastAsia="Arial" w:hAnsi="Arial"/>
                <w:sz w:val="17"/>
                <w:szCs w:val="17"/>
                <w:color w:val="auto"/>
              </w:rPr>
              <w:t>1,096,855</w:t>
            </w:r>
          </w:p>
        </w:tc>
        <w:tc>
          <w:tcPr>
            <w:tcW w:w="1200" w:type="dxa"/>
            <w:vAlign w:val="bottom"/>
          </w:tcPr>
          <w:p>
            <w:pPr>
              <w:jc w:val="right"/>
              <w:spacing w:after="0"/>
              <w:rPr>
                <w:sz w:val="20"/>
                <w:szCs w:val="20"/>
                <w:color w:val="auto"/>
              </w:rPr>
            </w:pPr>
            <w:r>
              <w:rPr>
                <w:rFonts w:ascii="Arial" w:cs="Arial" w:eastAsia="Arial" w:hAnsi="Arial"/>
                <w:sz w:val="17"/>
                <w:szCs w:val="17"/>
                <w:color w:val="auto"/>
              </w:rPr>
              <w:t>3,785,935</w:t>
            </w:r>
          </w:p>
        </w:tc>
        <w:tc>
          <w:tcPr>
            <w:tcW w:w="20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7"/>
                <w:szCs w:val="17"/>
                <w:color w:val="auto"/>
              </w:rPr>
              <w:t>68,690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20" w:type="dxa"/>
            <w:vAlign w:val="bottom"/>
          </w:tcPr>
          <w:p>
            <w:pPr>
              <w:spacing w:after="0"/>
              <w:rPr>
                <w:sz w:val="18"/>
                <w:szCs w:val="18"/>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7"/>
                <w:szCs w:val="17"/>
                <w:color w:val="auto"/>
              </w:rPr>
              <w:t>From 1 to 3 years</w:t>
            </w:r>
          </w:p>
        </w:tc>
        <w:tc>
          <w:tcPr>
            <w:tcW w:w="4780" w:type="dxa"/>
            <w:vAlign w:val="bottom"/>
            <w:gridSpan w:val="3"/>
            <w:shd w:val="clear" w:color="auto" w:fill="CCEEFF"/>
          </w:tcPr>
          <w:p>
            <w:pPr>
              <w:jc w:val="right"/>
              <w:ind w:right="220"/>
              <w:spacing w:after="0"/>
              <w:rPr>
                <w:sz w:val="20"/>
                <w:szCs w:val="20"/>
                <w:color w:val="auto"/>
              </w:rPr>
            </w:pPr>
            <w:r>
              <w:rPr>
                <w:rFonts w:ascii="Arial" w:cs="Arial" w:eastAsia="Arial" w:hAnsi="Arial"/>
                <w:sz w:val="17"/>
                <w:szCs w:val="17"/>
                <w:color w:val="auto"/>
              </w:rPr>
              <w:t>516,919</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2,407,141</w:t>
            </w: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1,625,856</w:t>
            </w:r>
          </w:p>
        </w:tc>
        <w:tc>
          <w:tcPr>
            <w:tcW w:w="100" w:type="dxa"/>
            <w:vAlign w:val="bottom"/>
            <w:shd w:val="clear" w:color="auto" w:fill="CCEEFF"/>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20" w:type="dxa"/>
            <w:vAlign w:val="bottom"/>
          </w:tcPr>
          <w:p>
            <w:pPr>
              <w:spacing w:after="0"/>
              <w:rPr>
                <w:sz w:val="18"/>
                <w:szCs w:val="18"/>
                <w:color w:val="auto"/>
              </w:rPr>
            </w:pPr>
          </w:p>
        </w:tc>
        <w:tc>
          <w:tcPr>
            <w:tcW w:w="3460" w:type="dxa"/>
            <w:vAlign w:val="bottom"/>
          </w:tcPr>
          <w:p>
            <w:pPr>
              <w:spacing w:after="0"/>
              <w:rPr>
                <w:sz w:val="20"/>
                <w:szCs w:val="20"/>
                <w:color w:val="auto"/>
              </w:rPr>
            </w:pPr>
            <w:r>
              <w:rPr>
                <w:rFonts w:ascii="Arial" w:cs="Arial" w:eastAsia="Arial" w:hAnsi="Arial"/>
                <w:sz w:val="17"/>
                <w:szCs w:val="17"/>
                <w:color w:val="auto"/>
              </w:rPr>
              <w:t>From 3 to 5 years</w:t>
            </w:r>
          </w:p>
        </w:tc>
        <w:tc>
          <w:tcPr>
            <w:tcW w:w="4780" w:type="dxa"/>
            <w:vAlign w:val="bottom"/>
            <w:gridSpan w:val="3"/>
          </w:tcPr>
          <w:p>
            <w:pPr>
              <w:jc w:val="right"/>
              <w:ind w:right="220"/>
              <w:spacing w:after="0"/>
              <w:rPr>
                <w:sz w:val="20"/>
                <w:szCs w:val="20"/>
                <w:color w:val="auto"/>
              </w:rPr>
            </w:pPr>
            <w:r>
              <w:rPr>
                <w:rFonts w:ascii="Arial" w:cs="Arial" w:eastAsia="Arial" w:hAnsi="Arial"/>
                <w:sz w:val="17"/>
                <w:szCs w:val="17"/>
                <w:color w:val="auto"/>
              </w:rPr>
              <w:t>180,739</w:t>
            </w:r>
          </w:p>
        </w:tc>
        <w:tc>
          <w:tcPr>
            <w:tcW w:w="1200" w:type="dxa"/>
            <w:vAlign w:val="bottom"/>
          </w:tcPr>
          <w:p>
            <w:pPr>
              <w:jc w:val="right"/>
              <w:spacing w:after="0"/>
              <w:rPr>
                <w:sz w:val="20"/>
                <w:szCs w:val="20"/>
                <w:color w:val="auto"/>
              </w:rPr>
            </w:pPr>
            <w:r>
              <w:rPr>
                <w:rFonts w:ascii="Arial" w:cs="Arial" w:eastAsia="Arial" w:hAnsi="Arial"/>
                <w:sz w:val="17"/>
                <w:szCs w:val="17"/>
                <w:color w:val="auto"/>
              </w:rPr>
              <w:t>1,516,653</w:t>
            </w:r>
          </w:p>
        </w:tc>
        <w:tc>
          <w:tcPr>
            <w:tcW w:w="20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7"/>
                <w:szCs w:val="17"/>
                <w:color w:val="auto"/>
              </w:rPr>
              <w:t>110,746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20" w:type="dxa"/>
            <w:vAlign w:val="bottom"/>
          </w:tcPr>
          <w:p>
            <w:pPr>
              <w:spacing w:after="0"/>
              <w:rPr>
                <w:sz w:val="18"/>
                <w:szCs w:val="18"/>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7"/>
                <w:szCs w:val="17"/>
                <w:color w:val="auto"/>
              </w:rPr>
              <w:t>Over 5 years</w:t>
            </w:r>
          </w:p>
        </w:tc>
        <w:tc>
          <w:tcPr>
            <w:tcW w:w="4780" w:type="dxa"/>
            <w:vAlign w:val="bottom"/>
            <w:gridSpan w:val="3"/>
            <w:shd w:val="clear" w:color="auto" w:fill="CCEEFF"/>
          </w:tcPr>
          <w:p>
            <w:pPr>
              <w:jc w:val="right"/>
              <w:ind w:right="220"/>
              <w:spacing w:after="0"/>
              <w:rPr>
                <w:sz w:val="20"/>
                <w:szCs w:val="20"/>
                <w:color w:val="auto"/>
              </w:rPr>
            </w:pPr>
            <w:r>
              <w:rPr>
                <w:rFonts w:ascii="Arial" w:cs="Arial" w:eastAsia="Arial" w:hAnsi="Arial"/>
                <w:sz w:val="17"/>
                <w:szCs w:val="17"/>
                <w:color w:val="auto"/>
              </w:rPr>
              <w:t>574,293</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9,327,327</w:t>
            </w: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2,183,082</w:t>
            </w:r>
          </w:p>
        </w:tc>
        <w:tc>
          <w:tcPr>
            <w:tcW w:w="100" w:type="dxa"/>
            <w:vAlign w:val="bottom"/>
            <w:shd w:val="clear" w:color="auto" w:fill="CCEEFF"/>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320" w:type="dxa"/>
            <w:vAlign w:val="bottom"/>
          </w:tcPr>
          <w:p>
            <w:pPr>
              <w:spacing w:after="0"/>
              <w:rPr>
                <w:sz w:val="19"/>
                <w:szCs w:val="19"/>
                <w:color w:val="auto"/>
              </w:rPr>
            </w:pPr>
          </w:p>
        </w:tc>
        <w:tc>
          <w:tcPr>
            <w:tcW w:w="3460" w:type="dxa"/>
            <w:vAlign w:val="bottom"/>
          </w:tcPr>
          <w:p>
            <w:pPr>
              <w:spacing w:after="0"/>
              <w:rPr>
                <w:sz w:val="20"/>
                <w:szCs w:val="20"/>
                <w:color w:val="auto"/>
              </w:rPr>
            </w:pPr>
            <w:r>
              <w:rPr>
                <w:rFonts w:ascii="Arial" w:cs="Arial" w:eastAsia="Arial" w:hAnsi="Arial"/>
                <w:sz w:val="17"/>
                <w:szCs w:val="17"/>
                <w:color w:val="auto"/>
              </w:rPr>
              <w:t>Without maturity</w:t>
            </w:r>
          </w:p>
        </w:tc>
        <w:tc>
          <w:tcPr>
            <w:tcW w:w="3340" w:type="dxa"/>
            <w:vAlign w:val="bottom"/>
          </w:tcPr>
          <w:p>
            <w:pPr>
              <w:spacing w:after="0"/>
              <w:rPr>
                <w:sz w:val="19"/>
                <w:szCs w:val="19"/>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7"/>
                <w:szCs w:val="17"/>
                <w:color w:val="auto"/>
              </w:rPr>
              <w:t>175,831</w:t>
            </w:r>
          </w:p>
        </w:tc>
        <w:tc>
          <w:tcPr>
            <w:tcW w:w="1200" w:type="dxa"/>
            <w:vAlign w:val="bottom"/>
          </w:tcPr>
          <w:p>
            <w:pPr>
              <w:jc w:val="right"/>
              <w:spacing w:after="0"/>
              <w:rPr>
                <w:sz w:val="20"/>
                <w:szCs w:val="20"/>
                <w:color w:val="auto"/>
              </w:rPr>
            </w:pPr>
            <w:r>
              <w:rPr>
                <w:rFonts w:ascii="Arial" w:cs="Arial" w:eastAsia="Arial" w:hAnsi="Arial"/>
                <w:sz w:val="17"/>
                <w:szCs w:val="17"/>
                <w:color w:val="auto"/>
              </w:rPr>
              <w:t>2,179,989</w:t>
            </w: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3460" w:type="dxa"/>
            <w:vAlign w:val="bottom"/>
            <w:vMerge w:val="restart"/>
            <w:shd w:val="clear" w:color="auto" w:fill="CCEEFF"/>
          </w:tcPr>
          <w:p>
            <w:pPr>
              <w:spacing w:after="0"/>
              <w:rPr>
                <w:sz w:val="20"/>
                <w:szCs w:val="20"/>
                <w:color w:val="auto"/>
              </w:rPr>
            </w:pPr>
            <w:r>
              <w:rPr>
                <w:rFonts w:ascii="Arial" w:cs="Arial" w:eastAsia="Arial" w:hAnsi="Arial"/>
                <w:sz w:val="17"/>
                <w:szCs w:val="17"/>
                <w:b w:val="1"/>
                <w:bCs w:val="1"/>
                <w:color w:val="auto"/>
              </w:rPr>
              <w:t>Total</w:t>
            </w:r>
          </w:p>
        </w:tc>
        <w:tc>
          <w:tcPr>
            <w:tcW w:w="3340" w:type="dxa"/>
            <w:vAlign w:val="bottom"/>
            <w:shd w:val="clear" w:color="auto" w:fill="CCEEFF"/>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320" w:type="dxa"/>
            <w:vAlign w:val="bottom"/>
          </w:tcPr>
          <w:p>
            <w:pPr>
              <w:spacing w:after="0"/>
              <w:rPr>
                <w:sz w:val="18"/>
                <w:szCs w:val="18"/>
                <w:color w:val="auto"/>
              </w:rPr>
            </w:pPr>
          </w:p>
        </w:tc>
        <w:tc>
          <w:tcPr>
            <w:tcW w:w="3460" w:type="dxa"/>
            <w:vAlign w:val="bottom"/>
            <w:vMerge w:val="continue"/>
            <w:shd w:val="clear" w:color="auto" w:fill="CCEEFF"/>
          </w:tcPr>
          <w:p>
            <w:pPr>
              <w:spacing w:after="0"/>
              <w:rPr>
                <w:sz w:val="18"/>
                <w:szCs w:val="18"/>
                <w:color w:val="auto"/>
              </w:rPr>
            </w:pPr>
          </w:p>
        </w:tc>
        <w:tc>
          <w:tcPr>
            <w:tcW w:w="33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4,020,811</w:t>
            </w: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24,204,125</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4,323,165</w:t>
            </w:r>
          </w:p>
        </w:tc>
        <w:tc>
          <w:tcPr>
            <w:tcW w:w="100" w:type="dxa"/>
            <w:vAlign w:val="bottom"/>
            <w:shd w:val="clear" w:color="auto" w:fill="CCEEFF"/>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3460" w:type="dxa"/>
            <w:vAlign w:val="bottom"/>
            <w:tcBorders>
              <w:top w:val="single" w:sz="8" w:color="CCEEFF"/>
            </w:tcBorders>
          </w:tcPr>
          <w:p>
            <w:pPr>
              <w:spacing w:after="0" w:line="20" w:lineRule="exact"/>
              <w:rPr>
                <w:sz w:val="1"/>
                <w:szCs w:val="1"/>
                <w:color w:val="auto"/>
              </w:rPr>
            </w:pPr>
          </w:p>
        </w:tc>
        <w:tc>
          <w:tcPr>
            <w:tcW w:w="334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8"/>
        </w:trPr>
        <w:tc>
          <w:tcPr>
            <w:tcW w:w="32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89"/>
              </w:rPr>
              <w:t>2016</w:t>
            </w:r>
          </w:p>
        </w:tc>
        <w:tc>
          <w:tcPr>
            <w:tcW w:w="2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320" w:type="dxa"/>
            <w:vAlign w:val="bottom"/>
          </w:tcPr>
          <w:p>
            <w:pPr>
              <w:spacing w:after="0"/>
              <w:rPr>
                <w:sz w:val="15"/>
                <w:szCs w:val="15"/>
                <w:color w:val="auto"/>
              </w:rPr>
            </w:pPr>
          </w:p>
        </w:tc>
        <w:tc>
          <w:tcPr>
            <w:tcW w:w="3460" w:type="dxa"/>
            <w:vAlign w:val="bottom"/>
          </w:tcPr>
          <w:p>
            <w:pPr>
              <w:spacing w:after="0"/>
              <w:rPr>
                <w:sz w:val="15"/>
                <w:szCs w:val="15"/>
                <w:color w:val="auto"/>
              </w:rPr>
            </w:pPr>
          </w:p>
        </w:tc>
        <w:tc>
          <w:tcPr>
            <w:tcW w:w="33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0" w:type="dxa"/>
            <w:vAlign w:val="bottom"/>
            <w:gridSpan w:val="2"/>
          </w:tcPr>
          <w:p>
            <w:pPr>
              <w:jc w:val="center"/>
              <w:ind w:right="240"/>
              <w:spacing w:after="0" w:line="183" w:lineRule="exact"/>
              <w:rPr>
                <w:sz w:val="20"/>
                <w:szCs w:val="20"/>
                <w:color w:val="auto"/>
              </w:rPr>
            </w:pPr>
            <w:r>
              <w:rPr>
                <w:rFonts w:ascii="Arial" w:cs="Arial" w:eastAsia="Arial" w:hAnsi="Arial"/>
                <w:sz w:val="17"/>
                <w:szCs w:val="17"/>
                <w:b w:val="1"/>
                <w:bCs w:val="1"/>
                <w:color w:val="auto"/>
                <w:w w:val="94"/>
              </w:rPr>
              <w:t>Available for</w:t>
            </w:r>
          </w:p>
        </w:tc>
        <w:tc>
          <w:tcPr>
            <w:tcW w:w="1200" w:type="dxa"/>
            <w:vAlign w:val="bottom"/>
          </w:tcPr>
          <w:p>
            <w:pPr>
              <w:jc w:val="center"/>
              <w:spacing w:after="0" w:line="183" w:lineRule="exact"/>
              <w:rPr>
                <w:sz w:val="20"/>
                <w:szCs w:val="20"/>
                <w:color w:val="auto"/>
              </w:rPr>
            </w:pPr>
            <w:r>
              <w:rPr>
                <w:rFonts w:ascii="Arial" w:cs="Arial" w:eastAsia="Arial" w:hAnsi="Arial"/>
                <w:sz w:val="17"/>
                <w:szCs w:val="17"/>
                <w:b w:val="1"/>
                <w:bCs w:val="1"/>
                <w:color w:val="auto"/>
                <w:w w:val="93"/>
              </w:rPr>
              <w:t>Held to</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320" w:type="dxa"/>
            <w:vAlign w:val="bottom"/>
          </w:tcPr>
          <w:p>
            <w:pPr>
              <w:spacing w:after="0"/>
              <w:rPr>
                <w:sz w:val="19"/>
                <w:szCs w:val="19"/>
                <w:color w:val="auto"/>
              </w:rPr>
            </w:pPr>
          </w:p>
        </w:tc>
        <w:tc>
          <w:tcPr>
            <w:tcW w:w="3460" w:type="dxa"/>
            <w:vAlign w:val="bottom"/>
          </w:tcPr>
          <w:p>
            <w:pPr>
              <w:spacing w:after="0"/>
              <w:rPr>
                <w:sz w:val="19"/>
                <w:szCs w:val="19"/>
                <w:color w:val="auto"/>
              </w:rPr>
            </w:pPr>
          </w:p>
        </w:tc>
        <w:tc>
          <w:tcPr>
            <w:tcW w:w="3340" w:type="dxa"/>
            <w:vAlign w:val="bottom"/>
          </w:tcPr>
          <w:p>
            <w:pPr>
              <w:spacing w:after="0"/>
              <w:rPr>
                <w:sz w:val="19"/>
                <w:szCs w:val="19"/>
                <w:color w:val="auto"/>
              </w:rPr>
            </w:pPr>
          </w:p>
        </w:tc>
        <w:tc>
          <w:tcPr>
            <w:tcW w:w="1440" w:type="dxa"/>
            <w:vAlign w:val="bottom"/>
            <w:gridSpan w:val="2"/>
          </w:tcPr>
          <w:p>
            <w:pPr>
              <w:jc w:val="center"/>
              <w:ind w:right="200"/>
              <w:spacing w:after="0"/>
              <w:rPr>
                <w:sz w:val="20"/>
                <w:szCs w:val="20"/>
                <w:color w:val="auto"/>
              </w:rPr>
            </w:pPr>
            <w:r>
              <w:rPr>
                <w:rFonts w:ascii="Arial" w:cs="Arial" w:eastAsia="Arial" w:hAnsi="Arial"/>
                <w:sz w:val="17"/>
                <w:szCs w:val="17"/>
                <w:b w:val="1"/>
                <w:bCs w:val="1"/>
                <w:color w:val="auto"/>
                <w:w w:val="96"/>
              </w:rPr>
              <w:t>Trading</w:t>
            </w:r>
          </w:p>
        </w:tc>
        <w:tc>
          <w:tcPr>
            <w:tcW w:w="1400" w:type="dxa"/>
            <w:vAlign w:val="bottom"/>
            <w:gridSpan w:val="2"/>
          </w:tcPr>
          <w:p>
            <w:pPr>
              <w:jc w:val="right"/>
              <w:ind w:right="660"/>
              <w:spacing w:after="0"/>
              <w:rPr>
                <w:sz w:val="20"/>
                <w:szCs w:val="20"/>
                <w:color w:val="auto"/>
              </w:rPr>
            </w:pPr>
            <w:r>
              <w:rPr>
                <w:rFonts w:ascii="Arial" w:cs="Arial" w:eastAsia="Arial" w:hAnsi="Arial"/>
                <w:sz w:val="17"/>
                <w:szCs w:val="17"/>
                <w:b w:val="1"/>
                <w:bCs w:val="1"/>
                <w:color w:val="auto"/>
              </w:rPr>
              <w:t>sale</w:t>
            </w:r>
          </w:p>
        </w:tc>
        <w:tc>
          <w:tcPr>
            <w:tcW w:w="1300" w:type="dxa"/>
            <w:vAlign w:val="bottom"/>
            <w:gridSpan w:val="2"/>
          </w:tcPr>
          <w:p>
            <w:pPr>
              <w:jc w:val="center"/>
              <w:ind w:right="80"/>
              <w:spacing w:after="0"/>
              <w:rPr>
                <w:sz w:val="20"/>
                <w:szCs w:val="20"/>
                <w:color w:val="auto"/>
              </w:rPr>
            </w:pPr>
            <w:r>
              <w:rPr>
                <w:rFonts w:ascii="Arial" w:cs="Arial" w:eastAsia="Arial" w:hAnsi="Arial"/>
                <w:sz w:val="17"/>
                <w:szCs w:val="17"/>
                <w:b w:val="1"/>
                <w:bCs w:val="1"/>
                <w:color w:val="auto"/>
                <w:w w:val="98"/>
              </w:rPr>
              <w:t>maturity</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20" w:type="dxa"/>
            <w:vAlign w:val="bottom"/>
          </w:tcPr>
          <w:p>
            <w:pPr>
              <w:spacing w:after="0"/>
              <w:rPr>
                <w:sz w:val="19"/>
                <w:szCs w:val="19"/>
                <w:color w:val="auto"/>
              </w:rPr>
            </w:pPr>
          </w:p>
        </w:tc>
        <w:tc>
          <w:tcPr>
            <w:tcW w:w="3460" w:type="dxa"/>
            <w:vAlign w:val="bottom"/>
          </w:tcPr>
          <w:p>
            <w:pPr>
              <w:spacing w:after="0"/>
              <w:rPr>
                <w:sz w:val="19"/>
                <w:szCs w:val="19"/>
                <w:color w:val="auto"/>
              </w:rPr>
            </w:pPr>
          </w:p>
        </w:tc>
        <w:tc>
          <w:tcPr>
            <w:tcW w:w="3340" w:type="dxa"/>
            <w:vAlign w:val="bottom"/>
          </w:tcPr>
          <w:p>
            <w:pPr>
              <w:spacing w:after="0"/>
              <w:rPr>
                <w:sz w:val="19"/>
                <w:szCs w:val="19"/>
                <w:color w:val="auto"/>
              </w:rPr>
            </w:pPr>
          </w:p>
        </w:tc>
        <w:tc>
          <w:tcPr>
            <w:tcW w:w="1220" w:type="dxa"/>
            <w:vAlign w:val="bottom"/>
            <w:tcBorders>
              <w:top w:val="single" w:sz="8" w:color="auto"/>
            </w:tcBorders>
          </w:tcPr>
          <w:p>
            <w:pPr>
              <w:jc w:val="center"/>
              <w:spacing w:after="0"/>
              <w:rPr>
                <w:sz w:val="20"/>
                <w:szCs w:val="20"/>
                <w:color w:val="auto"/>
              </w:rPr>
            </w:pPr>
            <w:r>
              <w:rPr>
                <w:rFonts w:ascii="Arial" w:cs="Arial" w:eastAsia="Arial" w:hAnsi="Arial"/>
                <w:sz w:val="17"/>
                <w:szCs w:val="17"/>
                <w:b w:val="1"/>
                <w:bCs w:val="1"/>
                <w:color w:val="auto"/>
                <w:w w:val="93"/>
              </w:rPr>
              <w:t>S/(000)</w:t>
            </w:r>
          </w:p>
        </w:tc>
        <w:tc>
          <w:tcPr>
            <w:tcW w:w="220" w:type="dxa"/>
            <w:vAlign w:val="bottom"/>
          </w:tcPr>
          <w:p>
            <w:pPr>
              <w:spacing w:after="0"/>
              <w:rPr>
                <w:sz w:val="19"/>
                <w:szCs w:val="19"/>
                <w:color w:val="auto"/>
              </w:rPr>
            </w:pPr>
          </w:p>
        </w:tc>
        <w:tc>
          <w:tcPr>
            <w:tcW w:w="1200" w:type="dxa"/>
            <w:vAlign w:val="bottom"/>
            <w:tcBorders>
              <w:top w:val="single" w:sz="8" w:color="auto"/>
            </w:tcBorders>
          </w:tcPr>
          <w:p>
            <w:pPr>
              <w:jc w:val="center"/>
              <w:spacing w:after="0"/>
              <w:rPr>
                <w:sz w:val="20"/>
                <w:szCs w:val="20"/>
                <w:color w:val="auto"/>
              </w:rPr>
            </w:pPr>
            <w:r>
              <w:rPr>
                <w:rFonts w:ascii="Arial" w:cs="Arial" w:eastAsia="Arial" w:hAnsi="Arial"/>
                <w:sz w:val="17"/>
                <w:szCs w:val="17"/>
                <w:b w:val="1"/>
                <w:bCs w:val="1"/>
                <w:color w:val="auto"/>
                <w:w w:val="93"/>
              </w:rPr>
              <w:t>S/(000)</w:t>
            </w:r>
          </w:p>
        </w:tc>
        <w:tc>
          <w:tcPr>
            <w:tcW w:w="200" w:type="dxa"/>
            <w:vAlign w:val="bottom"/>
          </w:tcPr>
          <w:p>
            <w:pPr>
              <w:spacing w:after="0"/>
              <w:rPr>
                <w:sz w:val="19"/>
                <w:szCs w:val="19"/>
                <w:color w:val="auto"/>
              </w:rPr>
            </w:pPr>
          </w:p>
        </w:tc>
        <w:tc>
          <w:tcPr>
            <w:tcW w:w="1200" w:type="dxa"/>
            <w:vAlign w:val="bottom"/>
            <w:tcBorders>
              <w:top w:val="single" w:sz="8" w:color="auto"/>
            </w:tcBorders>
          </w:tcPr>
          <w:p>
            <w:pPr>
              <w:jc w:val="center"/>
              <w:spacing w:after="0"/>
              <w:rPr>
                <w:sz w:val="20"/>
                <w:szCs w:val="20"/>
                <w:color w:val="auto"/>
              </w:rPr>
            </w:pPr>
            <w:r>
              <w:rPr>
                <w:rFonts w:ascii="Arial" w:cs="Arial" w:eastAsia="Arial" w:hAnsi="Arial"/>
                <w:sz w:val="17"/>
                <w:szCs w:val="17"/>
                <w:b w:val="1"/>
                <w:bCs w:val="1"/>
                <w:color w:val="auto"/>
                <w:w w:val="93"/>
              </w:rPr>
              <w:t>S/(000)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320" w:type="dxa"/>
            <w:vAlign w:val="bottom"/>
          </w:tcPr>
          <w:p>
            <w:pPr>
              <w:spacing w:after="0"/>
              <w:rPr>
                <w:sz w:val="16"/>
                <w:szCs w:val="16"/>
                <w:color w:val="auto"/>
              </w:rPr>
            </w:pPr>
          </w:p>
        </w:tc>
        <w:tc>
          <w:tcPr>
            <w:tcW w:w="3460" w:type="dxa"/>
            <w:vAlign w:val="bottom"/>
          </w:tcPr>
          <w:p>
            <w:pPr>
              <w:spacing w:after="0"/>
              <w:rPr>
                <w:sz w:val="16"/>
                <w:szCs w:val="16"/>
                <w:color w:val="auto"/>
              </w:rPr>
            </w:pPr>
          </w:p>
        </w:tc>
        <w:tc>
          <w:tcPr>
            <w:tcW w:w="4780" w:type="dxa"/>
            <w:vAlign w:val="bottom"/>
            <w:gridSpan w:val="3"/>
          </w:tcPr>
          <w:p>
            <w:pPr>
              <w:spacing w:after="0"/>
              <w:rPr>
                <w:sz w:val="16"/>
                <w:szCs w:val="16"/>
                <w:color w:val="auto"/>
              </w:rPr>
            </w:pPr>
          </w:p>
        </w:tc>
        <w:tc>
          <w:tcPr>
            <w:tcW w:w="1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gridSpan w:val="2"/>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320" w:type="dxa"/>
            <w:vAlign w:val="bottom"/>
          </w:tcPr>
          <w:p>
            <w:pPr>
              <w:spacing w:after="0"/>
              <w:rPr>
                <w:sz w:val="18"/>
                <w:szCs w:val="18"/>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7"/>
                <w:szCs w:val="17"/>
                <w:color w:val="auto"/>
              </w:rPr>
              <w:t>Up to 3 months</w:t>
            </w:r>
          </w:p>
        </w:tc>
        <w:tc>
          <w:tcPr>
            <w:tcW w:w="4780" w:type="dxa"/>
            <w:vAlign w:val="bottom"/>
            <w:gridSpan w:val="3"/>
            <w:shd w:val="clear" w:color="auto" w:fill="CCEEFF"/>
          </w:tcPr>
          <w:p>
            <w:pPr>
              <w:jc w:val="right"/>
              <w:ind w:right="220"/>
              <w:spacing w:after="0"/>
              <w:rPr>
                <w:sz w:val="20"/>
                <w:szCs w:val="20"/>
                <w:color w:val="auto"/>
              </w:rPr>
            </w:pPr>
            <w:r>
              <w:rPr>
                <w:rFonts w:ascii="Arial" w:cs="Arial" w:eastAsia="Arial" w:hAnsi="Arial"/>
                <w:sz w:val="17"/>
                <w:szCs w:val="17"/>
                <w:color w:val="auto"/>
              </w:rPr>
              <w:t>341,995</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1,260,163</w:t>
            </w:r>
          </w:p>
        </w:tc>
        <w:tc>
          <w:tcPr>
            <w:tcW w:w="2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17,655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20" w:type="dxa"/>
            <w:vAlign w:val="bottom"/>
          </w:tcPr>
          <w:p>
            <w:pPr>
              <w:spacing w:after="0"/>
              <w:rPr>
                <w:sz w:val="18"/>
                <w:szCs w:val="18"/>
                <w:color w:val="auto"/>
              </w:rPr>
            </w:pPr>
          </w:p>
        </w:tc>
        <w:tc>
          <w:tcPr>
            <w:tcW w:w="3460" w:type="dxa"/>
            <w:vAlign w:val="bottom"/>
          </w:tcPr>
          <w:p>
            <w:pPr>
              <w:spacing w:after="0"/>
              <w:rPr>
                <w:sz w:val="20"/>
                <w:szCs w:val="20"/>
                <w:color w:val="auto"/>
              </w:rPr>
            </w:pPr>
            <w:r>
              <w:rPr>
                <w:rFonts w:ascii="Arial" w:cs="Arial" w:eastAsia="Arial" w:hAnsi="Arial"/>
                <w:sz w:val="17"/>
                <w:szCs w:val="17"/>
                <w:color w:val="auto"/>
              </w:rPr>
              <w:t>From 3 months to 1 year</w:t>
            </w:r>
          </w:p>
        </w:tc>
        <w:tc>
          <w:tcPr>
            <w:tcW w:w="4780" w:type="dxa"/>
            <w:vAlign w:val="bottom"/>
            <w:gridSpan w:val="3"/>
          </w:tcPr>
          <w:p>
            <w:pPr>
              <w:jc w:val="right"/>
              <w:ind w:right="220"/>
              <w:spacing w:after="0"/>
              <w:rPr>
                <w:sz w:val="20"/>
                <w:szCs w:val="20"/>
                <w:color w:val="auto"/>
              </w:rPr>
            </w:pPr>
            <w:r>
              <w:rPr>
                <w:rFonts w:ascii="Arial" w:cs="Arial" w:eastAsia="Arial" w:hAnsi="Arial"/>
                <w:sz w:val="17"/>
                <w:szCs w:val="17"/>
                <w:color w:val="auto"/>
              </w:rPr>
              <w:t>1,723,578</w:t>
            </w:r>
          </w:p>
        </w:tc>
        <w:tc>
          <w:tcPr>
            <w:tcW w:w="1200" w:type="dxa"/>
            <w:vAlign w:val="bottom"/>
          </w:tcPr>
          <w:p>
            <w:pPr>
              <w:jc w:val="right"/>
              <w:spacing w:after="0"/>
              <w:rPr>
                <w:sz w:val="20"/>
                <w:szCs w:val="20"/>
                <w:color w:val="auto"/>
              </w:rPr>
            </w:pPr>
            <w:r>
              <w:rPr>
                <w:rFonts w:ascii="Arial" w:cs="Arial" w:eastAsia="Arial" w:hAnsi="Arial"/>
                <w:sz w:val="17"/>
                <w:szCs w:val="17"/>
                <w:color w:val="auto"/>
              </w:rPr>
              <w:t>2,835,467</w:t>
            </w: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807,319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20" w:type="dxa"/>
            <w:vAlign w:val="bottom"/>
          </w:tcPr>
          <w:p>
            <w:pPr>
              <w:spacing w:after="0"/>
              <w:rPr>
                <w:sz w:val="18"/>
                <w:szCs w:val="18"/>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7"/>
                <w:szCs w:val="17"/>
                <w:color w:val="auto"/>
              </w:rPr>
              <w:t>From 1 to 3 years</w:t>
            </w:r>
          </w:p>
        </w:tc>
        <w:tc>
          <w:tcPr>
            <w:tcW w:w="4780" w:type="dxa"/>
            <w:vAlign w:val="bottom"/>
            <w:gridSpan w:val="3"/>
            <w:shd w:val="clear" w:color="auto" w:fill="CCEEFF"/>
          </w:tcPr>
          <w:p>
            <w:pPr>
              <w:jc w:val="right"/>
              <w:ind w:right="220"/>
              <w:spacing w:after="0"/>
              <w:rPr>
                <w:sz w:val="20"/>
                <w:szCs w:val="20"/>
                <w:color w:val="auto"/>
              </w:rPr>
            </w:pPr>
            <w:r>
              <w:rPr>
                <w:rFonts w:ascii="Arial" w:cs="Arial" w:eastAsia="Arial" w:hAnsi="Arial"/>
                <w:sz w:val="17"/>
                <w:szCs w:val="17"/>
                <w:color w:val="auto"/>
              </w:rPr>
              <w:t>1,166,274</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2,930,790</w:t>
            </w: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956,812</w:t>
            </w:r>
          </w:p>
        </w:tc>
        <w:tc>
          <w:tcPr>
            <w:tcW w:w="100" w:type="dxa"/>
            <w:vAlign w:val="bottom"/>
            <w:shd w:val="clear" w:color="auto" w:fill="CCEEFF"/>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20" w:type="dxa"/>
            <w:vAlign w:val="bottom"/>
          </w:tcPr>
          <w:p>
            <w:pPr>
              <w:spacing w:after="0"/>
              <w:rPr>
                <w:sz w:val="18"/>
                <w:szCs w:val="18"/>
                <w:color w:val="auto"/>
              </w:rPr>
            </w:pPr>
          </w:p>
        </w:tc>
        <w:tc>
          <w:tcPr>
            <w:tcW w:w="3460" w:type="dxa"/>
            <w:vAlign w:val="bottom"/>
          </w:tcPr>
          <w:p>
            <w:pPr>
              <w:spacing w:after="0"/>
              <w:rPr>
                <w:sz w:val="20"/>
                <w:szCs w:val="20"/>
                <w:color w:val="auto"/>
              </w:rPr>
            </w:pPr>
            <w:r>
              <w:rPr>
                <w:rFonts w:ascii="Arial" w:cs="Arial" w:eastAsia="Arial" w:hAnsi="Arial"/>
                <w:sz w:val="17"/>
                <w:szCs w:val="17"/>
                <w:color w:val="auto"/>
              </w:rPr>
              <w:t>From 3 to 5 years</w:t>
            </w:r>
          </w:p>
        </w:tc>
        <w:tc>
          <w:tcPr>
            <w:tcW w:w="4780" w:type="dxa"/>
            <w:vAlign w:val="bottom"/>
            <w:gridSpan w:val="3"/>
          </w:tcPr>
          <w:p>
            <w:pPr>
              <w:jc w:val="right"/>
              <w:ind w:right="220"/>
              <w:spacing w:after="0"/>
              <w:rPr>
                <w:sz w:val="20"/>
                <w:szCs w:val="20"/>
                <w:color w:val="auto"/>
              </w:rPr>
            </w:pPr>
            <w:r>
              <w:rPr>
                <w:rFonts w:ascii="Arial" w:cs="Arial" w:eastAsia="Arial" w:hAnsi="Arial"/>
                <w:sz w:val="17"/>
                <w:szCs w:val="17"/>
                <w:color w:val="auto"/>
              </w:rPr>
              <w:t>329,590</w:t>
            </w:r>
          </w:p>
        </w:tc>
        <w:tc>
          <w:tcPr>
            <w:tcW w:w="1200" w:type="dxa"/>
            <w:vAlign w:val="bottom"/>
          </w:tcPr>
          <w:p>
            <w:pPr>
              <w:jc w:val="right"/>
              <w:spacing w:after="0"/>
              <w:rPr>
                <w:sz w:val="20"/>
                <w:szCs w:val="20"/>
                <w:color w:val="auto"/>
              </w:rPr>
            </w:pPr>
            <w:r>
              <w:rPr>
                <w:rFonts w:ascii="Arial" w:cs="Arial" w:eastAsia="Arial" w:hAnsi="Arial"/>
                <w:sz w:val="17"/>
                <w:szCs w:val="17"/>
                <w:color w:val="auto"/>
              </w:rPr>
              <w:t>1,361,623</w:t>
            </w: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1,082,244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20" w:type="dxa"/>
            <w:vAlign w:val="bottom"/>
          </w:tcPr>
          <w:p>
            <w:pPr>
              <w:spacing w:after="0"/>
              <w:rPr>
                <w:sz w:val="18"/>
                <w:szCs w:val="18"/>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7"/>
                <w:szCs w:val="17"/>
                <w:color w:val="auto"/>
              </w:rPr>
              <w:t>Over 5 years</w:t>
            </w:r>
          </w:p>
        </w:tc>
        <w:tc>
          <w:tcPr>
            <w:tcW w:w="4780" w:type="dxa"/>
            <w:vAlign w:val="bottom"/>
            <w:gridSpan w:val="3"/>
            <w:shd w:val="clear" w:color="auto" w:fill="CCEEFF"/>
          </w:tcPr>
          <w:p>
            <w:pPr>
              <w:jc w:val="right"/>
              <w:ind w:right="220"/>
              <w:spacing w:after="0"/>
              <w:rPr>
                <w:sz w:val="20"/>
                <w:szCs w:val="20"/>
                <w:color w:val="auto"/>
              </w:rPr>
            </w:pPr>
            <w:r>
              <w:rPr>
                <w:rFonts w:ascii="Arial" w:cs="Arial" w:eastAsia="Arial" w:hAnsi="Arial"/>
                <w:sz w:val="17"/>
                <w:szCs w:val="17"/>
                <w:color w:val="auto"/>
              </w:rPr>
              <w:t>324,417</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7,519,715</w:t>
            </w: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2,152,774</w:t>
            </w:r>
          </w:p>
        </w:tc>
        <w:tc>
          <w:tcPr>
            <w:tcW w:w="100" w:type="dxa"/>
            <w:vAlign w:val="bottom"/>
            <w:shd w:val="clear" w:color="auto" w:fill="CCEEFF"/>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320" w:type="dxa"/>
            <w:vAlign w:val="bottom"/>
          </w:tcPr>
          <w:p>
            <w:pPr>
              <w:spacing w:after="0"/>
              <w:rPr>
                <w:sz w:val="19"/>
                <w:szCs w:val="19"/>
                <w:color w:val="auto"/>
              </w:rPr>
            </w:pPr>
          </w:p>
        </w:tc>
        <w:tc>
          <w:tcPr>
            <w:tcW w:w="3460" w:type="dxa"/>
            <w:vAlign w:val="bottom"/>
          </w:tcPr>
          <w:p>
            <w:pPr>
              <w:spacing w:after="0"/>
              <w:rPr>
                <w:sz w:val="20"/>
                <w:szCs w:val="20"/>
                <w:color w:val="auto"/>
              </w:rPr>
            </w:pPr>
            <w:r>
              <w:rPr>
                <w:rFonts w:ascii="Arial" w:cs="Arial" w:eastAsia="Arial" w:hAnsi="Arial"/>
                <w:sz w:val="17"/>
                <w:szCs w:val="17"/>
                <w:color w:val="auto"/>
              </w:rPr>
              <w:t>Without maturity</w:t>
            </w:r>
          </w:p>
        </w:tc>
        <w:tc>
          <w:tcPr>
            <w:tcW w:w="4780" w:type="dxa"/>
            <w:vAlign w:val="bottom"/>
            <w:gridSpan w:val="3"/>
          </w:tcPr>
          <w:p>
            <w:pPr>
              <w:jc w:val="right"/>
              <w:ind w:right="220"/>
              <w:spacing w:after="0"/>
              <w:rPr>
                <w:sz w:val="20"/>
                <w:szCs w:val="20"/>
                <w:color w:val="auto"/>
              </w:rPr>
            </w:pPr>
            <w:r>
              <w:rPr>
                <w:rFonts w:ascii="Arial" w:cs="Arial" w:eastAsia="Arial" w:hAnsi="Arial"/>
                <w:sz w:val="17"/>
                <w:szCs w:val="17"/>
                <w:color w:val="auto"/>
              </w:rPr>
              <w:t>126,330</w:t>
            </w:r>
          </w:p>
        </w:tc>
        <w:tc>
          <w:tcPr>
            <w:tcW w:w="1200" w:type="dxa"/>
            <w:vAlign w:val="bottom"/>
          </w:tcPr>
          <w:p>
            <w:pPr>
              <w:jc w:val="right"/>
              <w:spacing w:after="0"/>
              <w:rPr>
                <w:sz w:val="20"/>
                <w:szCs w:val="20"/>
                <w:color w:val="auto"/>
              </w:rPr>
            </w:pPr>
            <w:r>
              <w:rPr>
                <w:rFonts w:ascii="Arial" w:cs="Arial" w:eastAsia="Arial" w:hAnsi="Arial"/>
                <w:sz w:val="17"/>
                <w:szCs w:val="17"/>
                <w:color w:val="auto"/>
              </w:rPr>
              <w:t>2,620,154</w:t>
            </w: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1"/>
        </w:trPr>
        <w:tc>
          <w:tcPr>
            <w:tcW w:w="320" w:type="dxa"/>
            <w:vAlign w:val="bottom"/>
          </w:tcPr>
          <w:p>
            <w:pPr>
              <w:spacing w:after="0"/>
              <w:rPr>
                <w:sz w:val="17"/>
                <w:szCs w:val="17"/>
                <w:color w:val="auto"/>
              </w:rPr>
            </w:pPr>
          </w:p>
        </w:tc>
        <w:tc>
          <w:tcPr>
            <w:tcW w:w="34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7"/>
                <w:szCs w:val="17"/>
                <w:b w:val="1"/>
                <w:bCs w:val="1"/>
                <w:color w:val="auto"/>
              </w:rPr>
              <w:t>Total</w:t>
            </w:r>
          </w:p>
        </w:tc>
        <w:tc>
          <w:tcPr>
            <w:tcW w:w="3340" w:type="dxa"/>
            <w:vAlign w:val="bottom"/>
            <w:tcBorders>
              <w:top w:val="single" w:sz="8" w:color="CCEEFF"/>
              <w:bottom w:val="single" w:sz="8" w:color="CCEEFF"/>
            </w:tcBorders>
            <w:shd w:val="clear" w:color="auto" w:fill="CCEEFF"/>
          </w:tcPr>
          <w:p>
            <w:pPr>
              <w:spacing w:after="0"/>
              <w:rPr>
                <w:sz w:val="17"/>
                <w:szCs w:val="17"/>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4,012,184</w:t>
            </w: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18,527,912</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5,016,804</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3340" w:type="dxa"/>
            <w:vAlign w:val="bottom"/>
            <w:vMerge w:val="restart"/>
          </w:tcPr>
          <w:p>
            <w:pPr>
              <w:jc w:val="right"/>
              <w:ind w:right="1133"/>
              <w:spacing w:after="0"/>
              <w:rPr>
                <w:sz w:val="20"/>
                <w:szCs w:val="20"/>
                <w:color w:val="auto"/>
              </w:rPr>
            </w:pPr>
            <w:r>
              <w:rPr>
                <w:rFonts w:ascii="Arial" w:cs="Arial" w:eastAsia="Arial" w:hAnsi="Arial"/>
                <w:sz w:val="17"/>
                <w:szCs w:val="17"/>
                <w:color w:val="auto"/>
              </w:rPr>
              <w:t>- 61 -</w:t>
            </w: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3"/>
        </w:trPr>
        <w:tc>
          <w:tcPr>
            <w:tcW w:w="320" w:type="dxa"/>
            <w:vAlign w:val="bottom"/>
            <w:tcBorders>
              <w:bottom w:val="single" w:sz="8" w:color="auto"/>
            </w:tcBorders>
          </w:tcPr>
          <w:p>
            <w:pPr>
              <w:spacing w:after="0"/>
              <w:rPr>
                <w:sz w:val="24"/>
                <w:szCs w:val="24"/>
                <w:color w:val="auto"/>
              </w:rPr>
            </w:pPr>
          </w:p>
        </w:tc>
        <w:tc>
          <w:tcPr>
            <w:tcW w:w="3460" w:type="dxa"/>
            <w:vAlign w:val="bottom"/>
            <w:tcBorders>
              <w:bottom w:val="single" w:sz="8" w:color="auto"/>
            </w:tcBorders>
          </w:tcPr>
          <w:p>
            <w:pPr>
              <w:spacing w:after="0"/>
              <w:rPr>
                <w:sz w:val="24"/>
                <w:szCs w:val="24"/>
                <w:color w:val="auto"/>
              </w:rPr>
            </w:pPr>
          </w:p>
        </w:tc>
        <w:tc>
          <w:tcPr>
            <w:tcW w:w="3340" w:type="dxa"/>
            <w:vAlign w:val="bottom"/>
            <w:tcBorders>
              <w:bottom w:val="single" w:sz="8" w:color="auto"/>
            </w:tcBorders>
            <w:vMerge w:val="continue"/>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81" w:right="239" w:bottom="1440" w:gutter="0" w:footer="0" w:header="0"/>
        </w:sectPr>
      </w:pPr>
    </w:p>
    <w:bookmarkStart w:id="67" w:name="page68"/>
    <w:bookmarkEnd w:id="67"/>
    <w:p>
      <w:pPr>
        <w:ind w:left="320" w:hanging="316"/>
        <w:spacing w:after="0"/>
        <w:tabs>
          <w:tab w:leader="none" w:pos="320" w:val="left"/>
        </w:tabs>
        <w:numPr>
          <w:ilvl w:val="0"/>
          <w:numId w:val="75"/>
        </w:numPr>
        <w:rPr>
          <w:rFonts w:ascii="Arial" w:cs="Arial" w:eastAsia="Arial" w:hAnsi="Arial"/>
          <w:sz w:val="17"/>
          <w:szCs w:val="17"/>
          <w:b w:val="1"/>
          <w:bCs w:val="1"/>
          <w:color w:val="auto"/>
        </w:rPr>
      </w:pPr>
      <w:r>
        <w:rPr>
          <w:rFonts w:ascii="Arial" w:cs="Arial" w:eastAsia="Arial" w:hAnsi="Arial"/>
          <w:sz w:val="17"/>
          <w:szCs w:val="17"/>
          <w:b w:val="1"/>
          <w:bCs w:val="1"/>
          <w:color w:val="auto"/>
        </w:rPr>
        <w:t>LOANS, NET</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20" w:type="dxa"/>
            <w:vAlign w:val="bottom"/>
          </w:tcPr>
          <w:p>
            <w:pPr>
              <w:spacing w:after="0"/>
              <w:rPr>
                <w:sz w:val="20"/>
                <w:szCs w:val="20"/>
                <w:color w:val="auto"/>
              </w:rPr>
            </w:pPr>
            <w:r>
              <w:rPr>
                <w:rFonts w:ascii="Arial" w:cs="Arial" w:eastAsia="Arial" w:hAnsi="Arial"/>
                <w:sz w:val="17"/>
                <w:szCs w:val="17"/>
                <w:color w:val="auto"/>
              </w:rPr>
              <w:t>a)</w:t>
            </w:r>
          </w:p>
        </w:tc>
        <w:tc>
          <w:tcPr>
            <w:tcW w:w="8220" w:type="dxa"/>
            <w:vAlign w:val="bottom"/>
          </w:tcPr>
          <w:p>
            <w:pPr>
              <w:spacing w:after="0"/>
              <w:rPr>
                <w:sz w:val="20"/>
                <w:szCs w:val="20"/>
                <w:color w:val="auto"/>
              </w:rPr>
            </w:pPr>
            <w:r>
              <w:rPr>
                <w:rFonts w:ascii="Arial" w:cs="Arial" w:eastAsia="Arial" w:hAnsi="Arial"/>
                <w:sz w:val="17"/>
                <w:szCs w:val="17"/>
                <w:color w:val="auto"/>
              </w:rPr>
              <w:t>This item consists of the following:</w:t>
            </w:r>
          </w:p>
        </w:tc>
        <w:tc>
          <w:tcPr>
            <w:tcW w:w="1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9"/>
        </w:trPr>
        <w:tc>
          <w:tcPr>
            <w:tcW w:w="320" w:type="dxa"/>
            <w:vAlign w:val="bottom"/>
          </w:tcPr>
          <w:p>
            <w:pPr>
              <w:spacing w:after="0"/>
              <w:rPr>
                <w:sz w:val="24"/>
                <w:szCs w:val="24"/>
                <w:color w:val="auto"/>
              </w:rPr>
            </w:pPr>
          </w:p>
        </w:tc>
        <w:tc>
          <w:tcPr>
            <w:tcW w:w="8220" w:type="dxa"/>
            <w:vAlign w:val="bottom"/>
          </w:tcPr>
          <w:p>
            <w:pPr>
              <w:spacing w:after="0"/>
              <w:rPr>
                <w:sz w:val="24"/>
                <w:szCs w:val="24"/>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89"/>
              </w:rPr>
              <w:t>2017</w:t>
            </w:r>
          </w:p>
        </w:tc>
        <w:tc>
          <w:tcPr>
            <w:tcW w:w="200" w:type="dxa"/>
            <w:vAlign w:val="bottom"/>
          </w:tcPr>
          <w:p>
            <w:pPr>
              <w:spacing w:after="0"/>
              <w:rPr>
                <w:sz w:val="24"/>
                <w:szCs w:val="24"/>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89"/>
              </w:rPr>
              <w:t>2016</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320" w:type="dxa"/>
            <w:vAlign w:val="bottom"/>
          </w:tcPr>
          <w:p>
            <w:pPr>
              <w:spacing w:after="0"/>
              <w:rPr>
                <w:sz w:val="19"/>
                <w:szCs w:val="19"/>
                <w:color w:val="auto"/>
              </w:rPr>
            </w:pPr>
          </w:p>
        </w:tc>
        <w:tc>
          <w:tcPr>
            <w:tcW w:w="8220" w:type="dxa"/>
            <w:vAlign w:val="bottom"/>
          </w:tcPr>
          <w:p>
            <w:pPr>
              <w:spacing w:after="0"/>
              <w:rPr>
                <w:sz w:val="19"/>
                <w:szCs w:val="19"/>
                <w:color w:val="auto"/>
              </w:rPr>
            </w:pPr>
          </w:p>
        </w:tc>
        <w:tc>
          <w:tcPr>
            <w:tcW w:w="1220" w:type="dxa"/>
            <w:vAlign w:val="bottom"/>
          </w:tcPr>
          <w:p>
            <w:pPr>
              <w:jc w:val="center"/>
              <w:spacing w:after="0"/>
              <w:rPr>
                <w:sz w:val="20"/>
                <w:szCs w:val="20"/>
                <w:color w:val="auto"/>
              </w:rPr>
            </w:pPr>
            <w:r>
              <w:rPr>
                <w:rFonts w:ascii="Arial" w:cs="Arial" w:eastAsia="Arial" w:hAnsi="Arial"/>
                <w:sz w:val="17"/>
                <w:szCs w:val="17"/>
                <w:b w:val="1"/>
                <w:bCs w:val="1"/>
                <w:color w:val="auto"/>
                <w:w w:val="93"/>
              </w:rPr>
              <w:t>S/(000)</w:t>
            </w:r>
          </w:p>
        </w:tc>
        <w:tc>
          <w:tcPr>
            <w:tcW w:w="200" w:type="dxa"/>
            <w:vAlign w:val="bottom"/>
          </w:tcPr>
          <w:p>
            <w:pPr>
              <w:spacing w:after="0"/>
              <w:rPr>
                <w:sz w:val="19"/>
                <w:szCs w:val="19"/>
                <w:color w:val="auto"/>
              </w:rPr>
            </w:pPr>
          </w:p>
        </w:tc>
        <w:tc>
          <w:tcPr>
            <w:tcW w:w="1200" w:type="dxa"/>
            <w:vAlign w:val="bottom"/>
          </w:tcPr>
          <w:p>
            <w:pPr>
              <w:jc w:val="center"/>
              <w:spacing w:after="0"/>
              <w:rPr>
                <w:sz w:val="20"/>
                <w:szCs w:val="20"/>
                <w:color w:val="auto"/>
              </w:rPr>
            </w:pPr>
            <w:r>
              <w:rPr>
                <w:rFonts w:ascii="Arial" w:cs="Arial" w:eastAsia="Arial" w:hAnsi="Arial"/>
                <w:sz w:val="17"/>
                <w:szCs w:val="17"/>
                <w:b w:val="1"/>
                <w:bCs w:val="1"/>
                <w:color w:val="auto"/>
                <w:w w:val="93"/>
              </w:rPr>
              <w:t>S/(000)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320" w:type="dxa"/>
            <w:vAlign w:val="bottom"/>
          </w:tcPr>
          <w:p>
            <w:pPr>
              <w:spacing w:after="0"/>
              <w:rPr>
                <w:sz w:val="16"/>
                <w:szCs w:val="16"/>
                <w:color w:val="auto"/>
              </w:rPr>
            </w:pPr>
          </w:p>
        </w:tc>
        <w:tc>
          <w:tcPr>
            <w:tcW w:w="82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320" w:type="dxa"/>
            <w:vAlign w:val="bottom"/>
          </w:tcPr>
          <w:p>
            <w:pPr>
              <w:spacing w:after="0"/>
              <w:rPr>
                <w:sz w:val="18"/>
                <w:szCs w:val="18"/>
                <w:color w:val="auto"/>
              </w:rPr>
            </w:pPr>
          </w:p>
        </w:tc>
        <w:tc>
          <w:tcPr>
            <w:tcW w:w="822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Direct loans</w:t>
            </w:r>
          </w:p>
        </w:tc>
        <w:tc>
          <w:tcPr>
            <w:tcW w:w="1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20" w:type="dxa"/>
            <w:vAlign w:val="bottom"/>
          </w:tcPr>
          <w:p>
            <w:pPr>
              <w:spacing w:after="0"/>
              <w:rPr>
                <w:sz w:val="18"/>
                <w:szCs w:val="18"/>
                <w:color w:val="auto"/>
              </w:rPr>
            </w:pPr>
          </w:p>
        </w:tc>
        <w:tc>
          <w:tcPr>
            <w:tcW w:w="8220" w:type="dxa"/>
            <w:vAlign w:val="bottom"/>
          </w:tcPr>
          <w:p>
            <w:pPr>
              <w:spacing w:after="0"/>
              <w:rPr>
                <w:sz w:val="20"/>
                <w:szCs w:val="20"/>
                <w:color w:val="auto"/>
              </w:rPr>
            </w:pPr>
            <w:r>
              <w:rPr>
                <w:rFonts w:ascii="Arial" w:cs="Arial" w:eastAsia="Arial" w:hAnsi="Arial"/>
                <w:sz w:val="17"/>
                <w:szCs w:val="17"/>
                <w:color w:val="auto"/>
              </w:rPr>
              <w:t>Loans</w:t>
            </w:r>
          </w:p>
        </w:tc>
        <w:tc>
          <w:tcPr>
            <w:tcW w:w="1420" w:type="dxa"/>
            <w:vAlign w:val="bottom"/>
            <w:gridSpan w:val="2"/>
          </w:tcPr>
          <w:p>
            <w:pPr>
              <w:jc w:val="right"/>
              <w:ind w:right="200"/>
              <w:spacing w:after="0"/>
              <w:rPr>
                <w:sz w:val="20"/>
                <w:szCs w:val="20"/>
                <w:color w:val="auto"/>
              </w:rPr>
            </w:pPr>
            <w:r>
              <w:rPr>
                <w:rFonts w:ascii="Arial" w:cs="Arial" w:eastAsia="Arial" w:hAnsi="Arial"/>
                <w:sz w:val="17"/>
                <w:szCs w:val="17"/>
                <w:color w:val="auto"/>
              </w:rPr>
              <w:t>77,712,186</w:t>
            </w:r>
          </w:p>
        </w:tc>
        <w:tc>
          <w:tcPr>
            <w:tcW w:w="1300" w:type="dxa"/>
            <w:vAlign w:val="bottom"/>
            <w:gridSpan w:val="2"/>
          </w:tcPr>
          <w:p>
            <w:pPr>
              <w:jc w:val="right"/>
              <w:ind w:right="100"/>
              <w:spacing w:after="0"/>
              <w:rPr>
                <w:sz w:val="20"/>
                <w:szCs w:val="20"/>
                <w:color w:val="auto"/>
              </w:rPr>
            </w:pPr>
            <w:r>
              <w:rPr>
                <w:rFonts w:ascii="Arial" w:cs="Arial" w:eastAsia="Arial" w:hAnsi="Arial"/>
                <w:sz w:val="17"/>
                <w:szCs w:val="17"/>
                <w:color w:val="auto"/>
              </w:rPr>
              <w:t>71,792,562</w:t>
            </w:r>
          </w:p>
        </w:tc>
        <w:tc>
          <w:tcPr>
            <w:tcW w:w="0" w:type="dxa"/>
            <w:vAlign w:val="bottom"/>
          </w:tcPr>
          <w:p>
            <w:pPr>
              <w:spacing w:after="0"/>
              <w:rPr>
                <w:sz w:val="1"/>
                <w:szCs w:val="1"/>
                <w:color w:val="auto"/>
              </w:rPr>
            </w:pPr>
          </w:p>
        </w:tc>
      </w:tr>
      <w:tr>
        <w:trPr>
          <w:trHeight w:val="208"/>
        </w:trPr>
        <w:tc>
          <w:tcPr>
            <w:tcW w:w="320" w:type="dxa"/>
            <w:vAlign w:val="bottom"/>
          </w:tcPr>
          <w:p>
            <w:pPr>
              <w:spacing w:after="0"/>
              <w:rPr>
                <w:sz w:val="18"/>
                <w:szCs w:val="18"/>
                <w:color w:val="auto"/>
              </w:rPr>
            </w:pPr>
          </w:p>
        </w:tc>
        <w:tc>
          <w:tcPr>
            <w:tcW w:w="8220" w:type="dxa"/>
            <w:vAlign w:val="bottom"/>
            <w:shd w:val="clear" w:color="auto" w:fill="CCEEFF"/>
          </w:tcPr>
          <w:p>
            <w:pPr>
              <w:spacing w:after="0"/>
              <w:rPr>
                <w:sz w:val="20"/>
                <w:szCs w:val="20"/>
                <w:color w:val="auto"/>
              </w:rPr>
            </w:pPr>
            <w:r>
              <w:rPr>
                <w:rFonts w:ascii="Arial" w:cs="Arial" w:eastAsia="Arial" w:hAnsi="Arial"/>
                <w:sz w:val="17"/>
                <w:szCs w:val="17"/>
                <w:color w:val="auto"/>
              </w:rPr>
              <w:t>Leasing receivables</w:t>
            </w: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7,401,018</w:t>
            </w: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8,302,898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20" w:type="dxa"/>
            <w:vAlign w:val="bottom"/>
          </w:tcPr>
          <w:p>
            <w:pPr>
              <w:spacing w:after="0"/>
              <w:rPr>
                <w:sz w:val="18"/>
                <w:szCs w:val="18"/>
                <w:color w:val="auto"/>
              </w:rPr>
            </w:pPr>
          </w:p>
        </w:tc>
        <w:tc>
          <w:tcPr>
            <w:tcW w:w="8220" w:type="dxa"/>
            <w:vAlign w:val="bottom"/>
          </w:tcPr>
          <w:p>
            <w:pPr>
              <w:spacing w:after="0"/>
              <w:rPr>
                <w:sz w:val="20"/>
                <w:szCs w:val="20"/>
                <w:color w:val="auto"/>
              </w:rPr>
            </w:pPr>
            <w:r>
              <w:rPr>
                <w:rFonts w:ascii="Arial" w:cs="Arial" w:eastAsia="Arial" w:hAnsi="Arial"/>
                <w:sz w:val="17"/>
                <w:szCs w:val="17"/>
                <w:color w:val="auto"/>
              </w:rPr>
              <w:t>Credit cards</w:t>
            </w:r>
          </w:p>
        </w:tc>
        <w:tc>
          <w:tcPr>
            <w:tcW w:w="1220" w:type="dxa"/>
            <w:vAlign w:val="bottom"/>
          </w:tcPr>
          <w:p>
            <w:pPr>
              <w:jc w:val="right"/>
              <w:spacing w:after="0"/>
              <w:rPr>
                <w:sz w:val="20"/>
                <w:szCs w:val="20"/>
                <w:color w:val="auto"/>
              </w:rPr>
            </w:pPr>
            <w:r>
              <w:rPr>
                <w:rFonts w:ascii="Arial" w:cs="Arial" w:eastAsia="Arial" w:hAnsi="Arial"/>
                <w:sz w:val="17"/>
                <w:szCs w:val="17"/>
                <w:color w:val="auto"/>
              </w:rPr>
              <w:t>6,880,017</w:t>
            </w: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7,036,975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20" w:type="dxa"/>
            <w:vAlign w:val="bottom"/>
          </w:tcPr>
          <w:p>
            <w:pPr>
              <w:spacing w:after="0"/>
              <w:rPr>
                <w:sz w:val="18"/>
                <w:szCs w:val="18"/>
                <w:color w:val="auto"/>
              </w:rPr>
            </w:pPr>
          </w:p>
        </w:tc>
        <w:tc>
          <w:tcPr>
            <w:tcW w:w="8220" w:type="dxa"/>
            <w:vAlign w:val="bottom"/>
            <w:shd w:val="clear" w:color="auto" w:fill="CCEEFF"/>
          </w:tcPr>
          <w:p>
            <w:pPr>
              <w:spacing w:after="0"/>
              <w:rPr>
                <w:sz w:val="20"/>
                <w:szCs w:val="20"/>
                <w:color w:val="auto"/>
              </w:rPr>
            </w:pPr>
            <w:r>
              <w:rPr>
                <w:rFonts w:ascii="Arial" w:cs="Arial" w:eastAsia="Arial" w:hAnsi="Arial"/>
                <w:sz w:val="17"/>
                <w:szCs w:val="17"/>
                <w:color w:val="auto"/>
              </w:rPr>
              <w:t>Discounted Notes</w:t>
            </w: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1,999,099</w:t>
            </w: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1,921,403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20" w:type="dxa"/>
            <w:vAlign w:val="bottom"/>
          </w:tcPr>
          <w:p>
            <w:pPr>
              <w:spacing w:after="0"/>
              <w:rPr>
                <w:sz w:val="18"/>
                <w:szCs w:val="18"/>
                <w:color w:val="auto"/>
              </w:rPr>
            </w:pPr>
          </w:p>
        </w:tc>
        <w:tc>
          <w:tcPr>
            <w:tcW w:w="8220" w:type="dxa"/>
            <w:vAlign w:val="bottom"/>
          </w:tcPr>
          <w:p>
            <w:pPr>
              <w:spacing w:after="0"/>
              <w:rPr>
                <w:sz w:val="20"/>
                <w:szCs w:val="20"/>
                <w:color w:val="auto"/>
              </w:rPr>
            </w:pPr>
            <w:r>
              <w:rPr>
                <w:rFonts w:ascii="Arial" w:cs="Arial" w:eastAsia="Arial" w:hAnsi="Arial"/>
                <w:sz w:val="17"/>
                <w:szCs w:val="17"/>
                <w:color w:val="auto"/>
              </w:rPr>
              <w:t>Factoring receivables</w:t>
            </w:r>
          </w:p>
        </w:tc>
        <w:tc>
          <w:tcPr>
            <w:tcW w:w="1220" w:type="dxa"/>
            <w:vAlign w:val="bottom"/>
          </w:tcPr>
          <w:p>
            <w:pPr>
              <w:jc w:val="right"/>
              <w:spacing w:after="0"/>
              <w:rPr>
                <w:sz w:val="20"/>
                <w:szCs w:val="20"/>
                <w:color w:val="auto"/>
              </w:rPr>
            </w:pPr>
            <w:r>
              <w:rPr>
                <w:rFonts w:ascii="Arial" w:cs="Arial" w:eastAsia="Arial" w:hAnsi="Arial"/>
                <w:sz w:val="17"/>
                <w:szCs w:val="17"/>
                <w:color w:val="auto"/>
              </w:rPr>
              <w:t>1,722,436</w:t>
            </w: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1,428,571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20" w:type="dxa"/>
            <w:vAlign w:val="bottom"/>
          </w:tcPr>
          <w:p>
            <w:pPr>
              <w:spacing w:after="0"/>
              <w:rPr>
                <w:sz w:val="18"/>
                <w:szCs w:val="18"/>
                <w:color w:val="auto"/>
              </w:rPr>
            </w:pPr>
          </w:p>
        </w:tc>
        <w:tc>
          <w:tcPr>
            <w:tcW w:w="8220" w:type="dxa"/>
            <w:vAlign w:val="bottom"/>
            <w:shd w:val="clear" w:color="auto" w:fill="CCEEFF"/>
          </w:tcPr>
          <w:p>
            <w:pPr>
              <w:spacing w:after="0"/>
              <w:rPr>
                <w:sz w:val="20"/>
                <w:szCs w:val="20"/>
                <w:color w:val="auto"/>
              </w:rPr>
            </w:pPr>
            <w:r>
              <w:rPr>
                <w:rFonts w:ascii="Arial" w:cs="Arial" w:eastAsia="Arial" w:hAnsi="Arial"/>
                <w:sz w:val="17"/>
                <w:szCs w:val="17"/>
                <w:color w:val="auto"/>
              </w:rPr>
              <w:t>Advances and overdrafts in current account</w:t>
            </w: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113,630</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151,613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20" w:type="dxa"/>
            <w:vAlign w:val="bottom"/>
          </w:tcPr>
          <w:p>
            <w:pPr>
              <w:spacing w:after="0"/>
              <w:rPr>
                <w:sz w:val="18"/>
                <w:szCs w:val="18"/>
                <w:color w:val="auto"/>
              </w:rPr>
            </w:pPr>
          </w:p>
        </w:tc>
        <w:tc>
          <w:tcPr>
            <w:tcW w:w="8220" w:type="dxa"/>
            <w:vAlign w:val="bottom"/>
          </w:tcPr>
          <w:p>
            <w:pPr>
              <w:spacing w:after="0"/>
              <w:rPr>
                <w:sz w:val="20"/>
                <w:szCs w:val="20"/>
                <w:color w:val="auto"/>
              </w:rPr>
            </w:pPr>
            <w:r>
              <w:rPr>
                <w:rFonts w:ascii="Arial" w:cs="Arial" w:eastAsia="Arial" w:hAnsi="Arial"/>
                <w:sz w:val="17"/>
                <w:szCs w:val="17"/>
                <w:color w:val="auto"/>
              </w:rPr>
              <w:t>Refinanced loans</w:t>
            </w:r>
          </w:p>
        </w:tc>
        <w:tc>
          <w:tcPr>
            <w:tcW w:w="1420" w:type="dxa"/>
            <w:vAlign w:val="bottom"/>
            <w:gridSpan w:val="2"/>
          </w:tcPr>
          <w:p>
            <w:pPr>
              <w:jc w:val="right"/>
              <w:ind w:right="200"/>
              <w:spacing w:after="0"/>
              <w:rPr>
                <w:sz w:val="20"/>
                <w:szCs w:val="20"/>
                <w:color w:val="auto"/>
              </w:rPr>
            </w:pPr>
            <w:r>
              <w:rPr>
                <w:rFonts w:ascii="Arial" w:cs="Arial" w:eastAsia="Arial" w:hAnsi="Arial"/>
                <w:sz w:val="17"/>
                <w:szCs w:val="17"/>
                <w:color w:val="auto"/>
              </w:rPr>
              <w:t>915,493</w:t>
            </w:r>
          </w:p>
        </w:tc>
        <w:tc>
          <w:tcPr>
            <w:tcW w:w="1200" w:type="dxa"/>
            <w:vAlign w:val="bottom"/>
          </w:tcPr>
          <w:p>
            <w:pPr>
              <w:jc w:val="right"/>
              <w:spacing w:after="0"/>
              <w:rPr>
                <w:sz w:val="20"/>
                <w:szCs w:val="20"/>
                <w:color w:val="auto"/>
              </w:rPr>
            </w:pPr>
            <w:r>
              <w:rPr>
                <w:rFonts w:ascii="Arial" w:cs="Arial" w:eastAsia="Arial" w:hAnsi="Arial"/>
                <w:sz w:val="17"/>
                <w:szCs w:val="17"/>
                <w:color w:val="auto"/>
              </w:rPr>
              <w:t>844,830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320" w:type="dxa"/>
            <w:vAlign w:val="bottom"/>
          </w:tcPr>
          <w:p>
            <w:pPr>
              <w:spacing w:after="0"/>
              <w:rPr>
                <w:sz w:val="19"/>
                <w:szCs w:val="19"/>
                <w:color w:val="auto"/>
              </w:rPr>
            </w:pPr>
          </w:p>
        </w:tc>
        <w:tc>
          <w:tcPr>
            <w:tcW w:w="8220" w:type="dxa"/>
            <w:vAlign w:val="bottom"/>
            <w:shd w:val="clear" w:color="auto" w:fill="CCEEFF"/>
          </w:tcPr>
          <w:p>
            <w:pPr>
              <w:spacing w:after="0"/>
              <w:rPr>
                <w:sz w:val="20"/>
                <w:szCs w:val="20"/>
                <w:color w:val="auto"/>
              </w:rPr>
            </w:pPr>
            <w:r>
              <w:rPr>
                <w:rFonts w:ascii="Arial" w:cs="Arial" w:eastAsia="Arial" w:hAnsi="Arial"/>
                <w:sz w:val="17"/>
                <w:szCs w:val="17"/>
                <w:color w:val="auto"/>
              </w:rPr>
              <w:t>Restructured loans</w:t>
            </w: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121</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126</w:t>
            </w:r>
          </w:p>
        </w:tc>
        <w:tc>
          <w:tcPr>
            <w:tcW w:w="0" w:type="dxa"/>
            <w:vAlign w:val="bottom"/>
          </w:tcPr>
          <w:p>
            <w:pPr>
              <w:spacing w:after="0"/>
              <w:rPr>
                <w:sz w:val="1"/>
                <w:szCs w:val="1"/>
                <w:color w:val="auto"/>
              </w:rPr>
            </w:pPr>
          </w:p>
        </w:tc>
      </w:tr>
      <w:tr>
        <w:trPr>
          <w:trHeight w:val="201"/>
        </w:trPr>
        <w:tc>
          <w:tcPr>
            <w:tcW w:w="320" w:type="dxa"/>
            <w:vAlign w:val="bottom"/>
          </w:tcPr>
          <w:p>
            <w:pPr>
              <w:spacing w:after="0"/>
              <w:rPr>
                <w:sz w:val="17"/>
                <w:szCs w:val="17"/>
                <w:color w:val="auto"/>
              </w:rPr>
            </w:pPr>
          </w:p>
        </w:tc>
        <w:tc>
          <w:tcPr>
            <w:tcW w:w="8220" w:type="dxa"/>
            <w:vAlign w:val="bottom"/>
          </w:tcPr>
          <w:p>
            <w:pPr>
              <w:spacing w:after="0"/>
              <w:rPr>
                <w:sz w:val="20"/>
                <w:szCs w:val="20"/>
                <w:color w:val="auto"/>
              </w:rPr>
            </w:pPr>
            <w:r>
              <w:rPr>
                <w:rFonts w:ascii="Arial" w:cs="Arial" w:eastAsia="Arial" w:hAnsi="Arial"/>
                <w:sz w:val="17"/>
                <w:szCs w:val="17"/>
                <w:b w:val="1"/>
                <w:bCs w:val="1"/>
                <w:color w:val="auto"/>
              </w:rPr>
              <w:t>Total direct loans</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96,744,000</w:t>
            </w:r>
          </w:p>
        </w:tc>
        <w:tc>
          <w:tcPr>
            <w:tcW w:w="200" w:type="dxa"/>
            <w:vAlign w:val="bottom"/>
          </w:tcPr>
          <w:p>
            <w:pPr>
              <w:spacing w:after="0"/>
              <w:rPr>
                <w:sz w:val="17"/>
                <w:szCs w:val="17"/>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91,478,978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320" w:type="dxa"/>
            <w:vAlign w:val="bottom"/>
          </w:tcPr>
          <w:p>
            <w:pPr>
              <w:spacing w:after="0"/>
              <w:rPr>
                <w:sz w:val="18"/>
                <w:szCs w:val="18"/>
                <w:color w:val="auto"/>
              </w:rPr>
            </w:pPr>
          </w:p>
        </w:tc>
        <w:tc>
          <w:tcPr>
            <w:tcW w:w="8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320" w:type="dxa"/>
            <w:vAlign w:val="bottom"/>
          </w:tcPr>
          <w:p>
            <w:pPr>
              <w:spacing w:after="0"/>
              <w:rPr>
                <w:sz w:val="19"/>
                <w:szCs w:val="19"/>
                <w:color w:val="auto"/>
              </w:rPr>
            </w:pPr>
          </w:p>
        </w:tc>
        <w:tc>
          <w:tcPr>
            <w:tcW w:w="8220" w:type="dxa"/>
            <w:vAlign w:val="bottom"/>
            <w:tcBorders>
              <w:bottom w:val="single" w:sz="8" w:color="CCEEFF"/>
            </w:tcBorders>
          </w:tcPr>
          <w:p>
            <w:pPr>
              <w:spacing w:after="0"/>
              <w:rPr>
                <w:sz w:val="20"/>
                <w:szCs w:val="20"/>
                <w:color w:val="auto"/>
              </w:rPr>
            </w:pPr>
            <w:r>
              <w:rPr>
                <w:rFonts w:ascii="Arial" w:cs="Arial" w:eastAsia="Arial" w:hAnsi="Arial"/>
                <w:sz w:val="17"/>
                <w:szCs w:val="17"/>
                <w:color w:val="auto"/>
              </w:rPr>
              <w:t>Internal overdue loans and under legal collection loans</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3,020,914</w:t>
            </w:r>
          </w:p>
        </w:tc>
        <w:tc>
          <w:tcPr>
            <w:tcW w:w="200" w:type="dxa"/>
            <w:vAlign w:val="bottom"/>
            <w:tcBorders>
              <w:bottom w:val="single" w:sz="8" w:color="CCEEFF"/>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2,620,411</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01"/>
        </w:trPr>
        <w:tc>
          <w:tcPr>
            <w:tcW w:w="320" w:type="dxa"/>
            <w:vAlign w:val="bottom"/>
          </w:tcPr>
          <w:p>
            <w:pPr>
              <w:spacing w:after="0"/>
              <w:rPr>
                <w:sz w:val="17"/>
                <w:szCs w:val="17"/>
                <w:color w:val="auto"/>
              </w:rPr>
            </w:pPr>
          </w:p>
        </w:tc>
        <w:tc>
          <w:tcPr>
            <w:tcW w:w="822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99,764,914</w:t>
            </w:r>
          </w:p>
        </w:tc>
        <w:tc>
          <w:tcPr>
            <w:tcW w:w="20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94,099,389</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320" w:type="dxa"/>
            <w:vAlign w:val="bottom"/>
          </w:tcPr>
          <w:p>
            <w:pPr>
              <w:spacing w:after="0"/>
              <w:rPr>
                <w:sz w:val="18"/>
                <w:szCs w:val="18"/>
                <w:color w:val="auto"/>
              </w:rPr>
            </w:pPr>
          </w:p>
        </w:tc>
        <w:tc>
          <w:tcPr>
            <w:tcW w:w="8220" w:type="dxa"/>
            <w:vAlign w:val="bottom"/>
          </w:tcPr>
          <w:p>
            <w:pPr>
              <w:spacing w:after="0"/>
              <w:rPr>
                <w:sz w:val="20"/>
                <w:szCs w:val="20"/>
                <w:color w:val="auto"/>
              </w:rPr>
            </w:pPr>
            <w:r>
              <w:rPr>
                <w:rFonts w:ascii="Arial" w:cs="Arial" w:eastAsia="Arial" w:hAnsi="Arial"/>
                <w:sz w:val="17"/>
                <w:szCs w:val="17"/>
                <w:b w:val="1"/>
                <w:bCs w:val="1"/>
                <w:color w:val="auto"/>
              </w:rPr>
              <w:t>Add (less) -</w:t>
            </w: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20" w:type="dxa"/>
            <w:vAlign w:val="bottom"/>
          </w:tcPr>
          <w:p>
            <w:pPr>
              <w:spacing w:after="0"/>
              <w:rPr>
                <w:sz w:val="18"/>
                <w:szCs w:val="18"/>
                <w:color w:val="auto"/>
              </w:rPr>
            </w:pPr>
          </w:p>
        </w:tc>
        <w:tc>
          <w:tcPr>
            <w:tcW w:w="8220" w:type="dxa"/>
            <w:vAlign w:val="bottom"/>
            <w:shd w:val="clear" w:color="auto" w:fill="CCEEFF"/>
          </w:tcPr>
          <w:p>
            <w:pPr>
              <w:spacing w:after="0"/>
              <w:rPr>
                <w:sz w:val="20"/>
                <w:szCs w:val="20"/>
                <w:color w:val="auto"/>
              </w:rPr>
            </w:pPr>
            <w:r>
              <w:rPr>
                <w:rFonts w:ascii="Arial" w:cs="Arial" w:eastAsia="Arial" w:hAnsi="Arial"/>
                <w:sz w:val="17"/>
                <w:szCs w:val="17"/>
                <w:color w:val="auto"/>
              </w:rPr>
              <w:t>Accrued interest</w:t>
            </w: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779,684</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784,391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320" w:type="dxa"/>
            <w:vAlign w:val="bottom"/>
          </w:tcPr>
          <w:p>
            <w:pPr>
              <w:spacing w:after="0"/>
              <w:rPr>
                <w:sz w:val="19"/>
                <w:szCs w:val="19"/>
                <w:color w:val="auto"/>
              </w:rPr>
            </w:pPr>
          </w:p>
        </w:tc>
        <w:tc>
          <w:tcPr>
            <w:tcW w:w="8220" w:type="dxa"/>
            <w:vAlign w:val="bottom"/>
          </w:tcPr>
          <w:p>
            <w:pPr>
              <w:spacing w:after="0"/>
              <w:rPr>
                <w:sz w:val="20"/>
                <w:szCs w:val="20"/>
                <w:color w:val="auto"/>
              </w:rPr>
            </w:pPr>
            <w:r>
              <w:rPr>
                <w:rFonts w:ascii="Arial" w:cs="Arial" w:eastAsia="Arial" w:hAnsi="Arial"/>
                <w:sz w:val="17"/>
                <w:szCs w:val="17"/>
                <w:color w:val="auto"/>
              </w:rPr>
              <w:t>Unearned interest</w:t>
            </w:r>
          </w:p>
        </w:tc>
        <w:tc>
          <w:tcPr>
            <w:tcW w:w="1420" w:type="dxa"/>
            <w:vAlign w:val="bottom"/>
            <w:gridSpan w:val="2"/>
          </w:tcPr>
          <w:p>
            <w:pPr>
              <w:jc w:val="right"/>
              <w:ind w:right="140"/>
              <w:spacing w:after="0"/>
              <w:rPr>
                <w:sz w:val="20"/>
                <w:szCs w:val="20"/>
                <w:color w:val="auto"/>
              </w:rPr>
            </w:pPr>
            <w:r>
              <w:rPr>
                <w:rFonts w:ascii="Arial" w:cs="Arial" w:eastAsia="Arial" w:hAnsi="Arial"/>
                <w:sz w:val="17"/>
                <w:szCs w:val="17"/>
                <w:color w:val="auto"/>
              </w:rPr>
              <w:t>(66,823)</w:t>
            </w:r>
          </w:p>
        </w:tc>
        <w:tc>
          <w:tcPr>
            <w:tcW w:w="1300" w:type="dxa"/>
            <w:vAlign w:val="bottom"/>
            <w:gridSpan w:val="2"/>
          </w:tcPr>
          <w:p>
            <w:pPr>
              <w:jc w:val="right"/>
              <w:ind w:right="40"/>
              <w:spacing w:after="0"/>
              <w:rPr>
                <w:sz w:val="20"/>
                <w:szCs w:val="20"/>
                <w:color w:val="auto"/>
              </w:rPr>
            </w:pPr>
            <w:r>
              <w:rPr>
                <w:rFonts w:ascii="Arial" w:cs="Arial" w:eastAsia="Arial" w:hAnsi="Arial"/>
                <w:sz w:val="17"/>
                <w:szCs w:val="17"/>
                <w:color w:val="auto"/>
              </w:rPr>
              <w:t>(114,879)</w:t>
            </w:r>
          </w:p>
        </w:tc>
        <w:tc>
          <w:tcPr>
            <w:tcW w:w="0" w:type="dxa"/>
            <w:vAlign w:val="bottom"/>
          </w:tcPr>
          <w:p>
            <w:pPr>
              <w:spacing w:after="0"/>
              <w:rPr>
                <w:sz w:val="1"/>
                <w:szCs w:val="1"/>
                <w:color w:val="auto"/>
              </w:rPr>
            </w:pPr>
          </w:p>
        </w:tc>
      </w:tr>
      <w:tr>
        <w:trPr>
          <w:trHeight w:val="201"/>
        </w:trPr>
        <w:tc>
          <w:tcPr>
            <w:tcW w:w="320" w:type="dxa"/>
            <w:vAlign w:val="bottom"/>
          </w:tcPr>
          <w:p>
            <w:pPr>
              <w:spacing w:after="0"/>
              <w:rPr>
                <w:sz w:val="17"/>
                <w:szCs w:val="17"/>
                <w:color w:val="auto"/>
              </w:rPr>
            </w:pPr>
          </w:p>
        </w:tc>
        <w:tc>
          <w:tcPr>
            <w:tcW w:w="82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Total direct loans</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100,477,775</w:t>
            </w:r>
          </w:p>
        </w:tc>
        <w:tc>
          <w:tcPr>
            <w:tcW w:w="200" w:type="dxa"/>
            <w:vAlign w:val="bottom"/>
            <w:tcBorders>
              <w:top w:val="single" w:sz="8" w:color="CCEEFF"/>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94,768,901</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320" w:type="dxa"/>
            <w:vAlign w:val="bottom"/>
          </w:tcPr>
          <w:p>
            <w:pPr>
              <w:spacing w:after="0"/>
              <w:rPr>
                <w:sz w:val="19"/>
                <w:szCs w:val="19"/>
                <w:color w:val="auto"/>
              </w:rPr>
            </w:pPr>
          </w:p>
        </w:tc>
        <w:tc>
          <w:tcPr>
            <w:tcW w:w="8220" w:type="dxa"/>
            <w:vAlign w:val="bottom"/>
          </w:tcPr>
          <w:p>
            <w:pPr>
              <w:spacing w:after="0"/>
              <w:rPr>
                <w:sz w:val="20"/>
                <w:szCs w:val="20"/>
                <w:color w:val="auto"/>
              </w:rPr>
            </w:pPr>
            <w:r>
              <w:rPr>
                <w:rFonts w:ascii="Arial" w:cs="Arial" w:eastAsia="Arial" w:hAnsi="Arial"/>
                <w:sz w:val="17"/>
                <w:szCs w:val="17"/>
                <w:color w:val="auto"/>
              </w:rPr>
              <w:t>Allowance for loan losses (d)</w:t>
            </w:r>
          </w:p>
        </w:tc>
        <w:tc>
          <w:tcPr>
            <w:tcW w:w="1420" w:type="dxa"/>
            <w:vAlign w:val="bottom"/>
            <w:gridSpan w:val="2"/>
          </w:tcPr>
          <w:p>
            <w:pPr>
              <w:jc w:val="right"/>
              <w:ind w:right="140"/>
              <w:spacing w:after="0"/>
              <w:rPr>
                <w:sz w:val="20"/>
                <w:szCs w:val="20"/>
                <w:color w:val="auto"/>
              </w:rPr>
            </w:pPr>
            <w:r>
              <w:rPr>
                <w:rFonts w:ascii="Arial" w:cs="Arial" w:eastAsia="Arial" w:hAnsi="Arial"/>
                <w:sz w:val="17"/>
                <w:szCs w:val="17"/>
                <w:color w:val="auto"/>
              </w:rPr>
              <w:t>(4,500,498)</w:t>
            </w:r>
          </w:p>
        </w:tc>
        <w:tc>
          <w:tcPr>
            <w:tcW w:w="1300" w:type="dxa"/>
            <w:vAlign w:val="bottom"/>
            <w:gridSpan w:val="2"/>
          </w:tcPr>
          <w:p>
            <w:pPr>
              <w:jc w:val="right"/>
              <w:ind w:right="40"/>
              <w:spacing w:after="0"/>
              <w:rPr>
                <w:sz w:val="20"/>
                <w:szCs w:val="20"/>
                <w:color w:val="auto"/>
              </w:rPr>
            </w:pPr>
            <w:r>
              <w:rPr>
                <w:rFonts w:ascii="Arial" w:cs="Arial" w:eastAsia="Arial" w:hAnsi="Arial"/>
                <w:sz w:val="17"/>
                <w:szCs w:val="17"/>
                <w:color w:val="auto"/>
              </w:rPr>
              <w:t>(4,207,133)</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8220" w:type="dxa"/>
            <w:vAlign w:val="bottom"/>
            <w:vMerge w:val="restart"/>
            <w:shd w:val="clear" w:color="auto" w:fill="CCEEFF"/>
          </w:tcPr>
          <w:p>
            <w:pPr>
              <w:spacing w:after="0"/>
              <w:rPr>
                <w:sz w:val="20"/>
                <w:szCs w:val="20"/>
                <w:color w:val="auto"/>
              </w:rPr>
            </w:pPr>
            <w:r>
              <w:rPr>
                <w:rFonts w:ascii="Arial" w:cs="Arial" w:eastAsia="Arial" w:hAnsi="Arial"/>
                <w:sz w:val="17"/>
                <w:szCs w:val="17"/>
                <w:b w:val="1"/>
                <w:bCs w:val="1"/>
                <w:color w:val="auto"/>
              </w:rPr>
              <w:t>Total direct loans, net</w:t>
            </w:r>
          </w:p>
        </w:tc>
        <w:tc>
          <w:tcPr>
            <w:tcW w:w="12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320" w:type="dxa"/>
            <w:vAlign w:val="bottom"/>
          </w:tcPr>
          <w:p>
            <w:pPr>
              <w:spacing w:after="0"/>
              <w:rPr>
                <w:sz w:val="18"/>
                <w:szCs w:val="18"/>
                <w:color w:val="auto"/>
              </w:rPr>
            </w:pPr>
          </w:p>
        </w:tc>
        <w:tc>
          <w:tcPr>
            <w:tcW w:w="8220" w:type="dxa"/>
            <w:vAlign w:val="bottom"/>
            <w:vMerge w:val="continue"/>
            <w:shd w:val="clear" w:color="auto" w:fill="CCEEFF"/>
          </w:tcPr>
          <w:p>
            <w:pPr>
              <w:spacing w:after="0"/>
              <w:rPr>
                <w:sz w:val="18"/>
                <w:szCs w:val="18"/>
                <w:color w:val="auto"/>
              </w:rPr>
            </w:pP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95,977,277</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90,561,768</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82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320" w:type="dxa"/>
            <w:vAlign w:val="bottom"/>
          </w:tcPr>
          <w:p>
            <w:pPr>
              <w:spacing w:after="0"/>
              <w:rPr>
                <w:sz w:val="16"/>
                <w:szCs w:val="16"/>
                <w:color w:val="auto"/>
              </w:rPr>
            </w:pPr>
          </w:p>
        </w:tc>
        <w:tc>
          <w:tcPr>
            <w:tcW w:w="82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320" w:type="dxa"/>
            <w:vAlign w:val="bottom"/>
          </w:tcPr>
          <w:p>
            <w:pPr>
              <w:spacing w:after="0"/>
              <w:rPr>
                <w:sz w:val="18"/>
                <w:szCs w:val="18"/>
                <w:color w:val="auto"/>
              </w:rPr>
            </w:pPr>
          </w:p>
        </w:tc>
        <w:tc>
          <w:tcPr>
            <w:tcW w:w="822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Indirect loans, Note 20(a)</w:t>
            </w: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19,369,559</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19,831,985</w:t>
            </w:r>
          </w:p>
        </w:tc>
        <w:tc>
          <w:tcPr>
            <w:tcW w:w="0" w:type="dxa"/>
            <w:vAlign w:val="bottom"/>
          </w:tcPr>
          <w:p>
            <w:pPr>
              <w:spacing w:after="0"/>
              <w:rPr>
                <w:sz w:val="1"/>
                <w:szCs w:val="1"/>
                <w:color w:val="auto"/>
              </w:rPr>
            </w:pPr>
          </w:p>
        </w:tc>
      </w:tr>
      <w:tr>
        <w:trPr>
          <w:trHeight w:val="20"/>
        </w:trPr>
        <w:tc>
          <w:tcPr>
            <w:tcW w:w="320" w:type="dxa"/>
            <w:vAlign w:val="bottom"/>
            <w:vMerge w:val="restart"/>
          </w:tcPr>
          <w:p>
            <w:pPr>
              <w:spacing w:after="0"/>
              <w:rPr>
                <w:sz w:val="20"/>
                <w:szCs w:val="20"/>
                <w:color w:val="auto"/>
              </w:rPr>
            </w:pPr>
            <w:r>
              <w:rPr>
                <w:rFonts w:ascii="Arial" w:cs="Arial" w:eastAsia="Arial" w:hAnsi="Arial"/>
                <w:sz w:val="17"/>
                <w:szCs w:val="17"/>
                <w:color w:val="auto"/>
              </w:rPr>
              <w:t>b)</w:t>
            </w:r>
          </w:p>
        </w:tc>
        <w:tc>
          <w:tcPr>
            <w:tcW w:w="82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7"/>
                <w:szCs w:val="17"/>
                <w:color w:val="auto"/>
              </w:rPr>
              <w:t>Direct loans by class are as follows:</w:t>
            </w: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5"/>
        </w:trPr>
        <w:tc>
          <w:tcPr>
            <w:tcW w:w="320" w:type="dxa"/>
            <w:vAlign w:val="bottom"/>
            <w:vMerge w:val="continue"/>
          </w:tcPr>
          <w:p>
            <w:pPr>
              <w:spacing w:after="0"/>
              <w:rPr>
                <w:sz w:val="24"/>
                <w:szCs w:val="24"/>
                <w:color w:val="auto"/>
              </w:rPr>
            </w:pPr>
          </w:p>
        </w:tc>
        <w:tc>
          <w:tcPr>
            <w:tcW w:w="8220" w:type="dxa"/>
            <w:vAlign w:val="bottom"/>
            <w:vMerge w:val="continue"/>
          </w:tcPr>
          <w:p>
            <w:pPr>
              <w:spacing w:after="0"/>
              <w:rPr>
                <w:sz w:val="24"/>
                <w:szCs w:val="24"/>
                <w:color w:val="auto"/>
              </w:rPr>
            </w:pPr>
          </w:p>
        </w:tc>
        <w:tc>
          <w:tcPr>
            <w:tcW w:w="1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9"/>
        </w:trPr>
        <w:tc>
          <w:tcPr>
            <w:tcW w:w="320" w:type="dxa"/>
            <w:vAlign w:val="bottom"/>
          </w:tcPr>
          <w:p>
            <w:pPr>
              <w:spacing w:after="0"/>
              <w:rPr>
                <w:sz w:val="24"/>
                <w:szCs w:val="24"/>
                <w:color w:val="auto"/>
              </w:rPr>
            </w:pPr>
          </w:p>
        </w:tc>
        <w:tc>
          <w:tcPr>
            <w:tcW w:w="8220" w:type="dxa"/>
            <w:vAlign w:val="bottom"/>
          </w:tcPr>
          <w:p>
            <w:pPr>
              <w:spacing w:after="0"/>
              <w:rPr>
                <w:sz w:val="24"/>
                <w:szCs w:val="24"/>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89"/>
              </w:rPr>
              <w:t>2017</w:t>
            </w:r>
          </w:p>
        </w:tc>
        <w:tc>
          <w:tcPr>
            <w:tcW w:w="200" w:type="dxa"/>
            <w:vAlign w:val="bottom"/>
          </w:tcPr>
          <w:p>
            <w:pPr>
              <w:spacing w:after="0"/>
              <w:rPr>
                <w:sz w:val="24"/>
                <w:szCs w:val="24"/>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89"/>
              </w:rPr>
              <w:t>2016</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320" w:type="dxa"/>
            <w:vAlign w:val="bottom"/>
          </w:tcPr>
          <w:p>
            <w:pPr>
              <w:spacing w:after="0"/>
              <w:rPr>
                <w:sz w:val="19"/>
                <w:szCs w:val="19"/>
                <w:color w:val="auto"/>
              </w:rPr>
            </w:pPr>
          </w:p>
        </w:tc>
        <w:tc>
          <w:tcPr>
            <w:tcW w:w="8220" w:type="dxa"/>
            <w:vAlign w:val="bottom"/>
          </w:tcPr>
          <w:p>
            <w:pPr>
              <w:spacing w:after="0"/>
              <w:rPr>
                <w:sz w:val="19"/>
                <w:szCs w:val="19"/>
                <w:color w:val="auto"/>
              </w:rPr>
            </w:pPr>
          </w:p>
        </w:tc>
        <w:tc>
          <w:tcPr>
            <w:tcW w:w="1220" w:type="dxa"/>
            <w:vAlign w:val="bottom"/>
          </w:tcPr>
          <w:p>
            <w:pPr>
              <w:jc w:val="center"/>
              <w:spacing w:after="0"/>
              <w:rPr>
                <w:sz w:val="20"/>
                <w:szCs w:val="20"/>
                <w:color w:val="auto"/>
              </w:rPr>
            </w:pPr>
            <w:r>
              <w:rPr>
                <w:rFonts w:ascii="Arial" w:cs="Arial" w:eastAsia="Arial" w:hAnsi="Arial"/>
                <w:sz w:val="17"/>
                <w:szCs w:val="17"/>
                <w:b w:val="1"/>
                <w:bCs w:val="1"/>
                <w:color w:val="auto"/>
                <w:w w:val="93"/>
              </w:rPr>
              <w:t>S/(000)</w:t>
            </w:r>
          </w:p>
        </w:tc>
        <w:tc>
          <w:tcPr>
            <w:tcW w:w="200" w:type="dxa"/>
            <w:vAlign w:val="bottom"/>
          </w:tcPr>
          <w:p>
            <w:pPr>
              <w:spacing w:after="0"/>
              <w:rPr>
                <w:sz w:val="19"/>
                <w:szCs w:val="19"/>
                <w:color w:val="auto"/>
              </w:rPr>
            </w:pPr>
          </w:p>
        </w:tc>
        <w:tc>
          <w:tcPr>
            <w:tcW w:w="1200" w:type="dxa"/>
            <w:vAlign w:val="bottom"/>
          </w:tcPr>
          <w:p>
            <w:pPr>
              <w:jc w:val="center"/>
              <w:spacing w:after="0"/>
              <w:rPr>
                <w:sz w:val="20"/>
                <w:szCs w:val="20"/>
                <w:color w:val="auto"/>
              </w:rPr>
            </w:pPr>
            <w:r>
              <w:rPr>
                <w:rFonts w:ascii="Arial" w:cs="Arial" w:eastAsia="Arial" w:hAnsi="Arial"/>
                <w:sz w:val="17"/>
                <w:szCs w:val="17"/>
                <w:b w:val="1"/>
                <w:bCs w:val="1"/>
                <w:color w:val="auto"/>
                <w:w w:val="93"/>
              </w:rPr>
              <w:t>S/(000)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320" w:type="dxa"/>
            <w:vAlign w:val="bottom"/>
          </w:tcPr>
          <w:p>
            <w:pPr>
              <w:spacing w:after="0"/>
              <w:rPr>
                <w:sz w:val="16"/>
                <w:szCs w:val="16"/>
                <w:color w:val="auto"/>
              </w:rPr>
            </w:pPr>
          </w:p>
        </w:tc>
        <w:tc>
          <w:tcPr>
            <w:tcW w:w="8220" w:type="dxa"/>
            <w:vAlign w:val="bottom"/>
          </w:tcPr>
          <w:p>
            <w:pPr>
              <w:spacing w:after="0"/>
              <w:rPr>
                <w:sz w:val="16"/>
                <w:szCs w:val="16"/>
                <w:color w:val="auto"/>
              </w:rPr>
            </w:pPr>
          </w:p>
        </w:tc>
        <w:tc>
          <w:tcPr>
            <w:tcW w:w="1420" w:type="dxa"/>
            <w:vAlign w:val="bottom"/>
            <w:gridSpan w:val="2"/>
          </w:tcPr>
          <w:p>
            <w:pPr>
              <w:spacing w:after="0"/>
              <w:rPr>
                <w:sz w:val="16"/>
                <w:szCs w:val="16"/>
                <w:color w:val="auto"/>
              </w:rPr>
            </w:pPr>
          </w:p>
        </w:tc>
        <w:tc>
          <w:tcPr>
            <w:tcW w:w="130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320" w:type="dxa"/>
            <w:vAlign w:val="bottom"/>
          </w:tcPr>
          <w:p>
            <w:pPr>
              <w:spacing w:after="0"/>
              <w:rPr>
                <w:sz w:val="18"/>
                <w:szCs w:val="18"/>
                <w:color w:val="auto"/>
              </w:rPr>
            </w:pPr>
          </w:p>
        </w:tc>
        <w:tc>
          <w:tcPr>
            <w:tcW w:w="8220" w:type="dxa"/>
            <w:vAlign w:val="bottom"/>
            <w:shd w:val="clear" w:color="auto" w:fill="CCEEFF"/>
          </w:tcPr>
          <w:p>
            <w:pPr>
              <w:spacing w:after="0"/>
              <w:rPr>
                <w:sz w:val="20"/>
                <w:szCs w:val="20"/>
                <w:color w:val="auto"/>
              </w:rPr>
            </w:pPr>
            <w:r>
              <w:rPr>
                <w:rFonts w:ascii="Arial" w:cs="Arial" w:eastAsia="Arial" w:hAnsi="Arial"/>
                <w:sz w:val="17"/>
                <w:szCs w:val="17"/>
                <w:color w:val="auto"/>
              </w:rPr>
              <w:t>Commercial loans</w:t>
            </w: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58,455,548</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54,133,871</w:t>
            </w:r>
          </w:p>
        </w:tc>
        <w:tc>
          <w:tcPr>
            <w:tcW w:w="0" w:type="dxa"/>
            <w:vAlign w:val="bottom"/>
          </w:tcPr>
          <w:p>
            <w:pPr>
              <w:spacing w:after="0"/>
              <w:rPr>
                <w:sz w:val="1"/>
                <w:szCs w:val="1"/>
                <w:color w:val="auto"/>
              </w:rPr>
            </w:pPr>
          </w:p>
        </w:tc>
      </w:tr>
      <w:tr>
        <w:trPr>
          <w:trHeight w:val="208"/>
        </w:trPr>
        <w:tc>
          <w:tcPr>
            <w:tcW w:w="320" w:type="dxa"/>
            <w:vAlign w:val="bottom"/>
          </w:tcPr>
          <w:p>
            <w:pPr>
              <w:spacing w:after="0"/>
              <w:rPr>
                <w:sz w:val="18"/>
                <w:szCs w:val="18"/>
                <w:color w:val="auto"/>
              </w:rPr>
            </w:pPr>
          </w:p>
        </w:tc>
        <w:tc>
          <w:tcPr>
            <w:tcW w:w="8220" w:type="dxa"/>
            <w:vAlign w:val="bottom"/>
          </w:tcPr>
          <w:p>
            <w:pPr>
              <w:spacing w:after="0"/>
              <w:rPr>
                <w:sz w:val="20"/>
                <w:szCs w:val="20"/>
                <w:color w:val="auto"/>
              </w:rPr>
            </w:pPr>
            <w:r>
              <w:rPr>
                <w:rFonts w:ascii="Arial" w:cs="Arial" w:eastAsia="Arial" w:hAnsi="Arial"/>
                <w:sz w:val="17"/>
                <w:szCs w:val="17"/>
                <w:color w:val="auto"/>
              </w:rPr>
              <w:t>Residential mortgage loans</w:t>
            </w:r>
          </w:p>
        </w:tc>
        <w:tc>
          <w:tcPr>
            <w:tcW w:w="1420" w:type="dxa"/>
            <w:vAlign w:val="bottom"/>
            <w:gridSpan w:val="2"/>
          </w:tcPr>
          <w:p>
            <w:pPr>
              <w:jc w:val="right"/>
              <w:ind w:right="200"/>
              <w:spacing w:after="0"/>
              <w:rPr>
                <w:sz w:val="20"/>
                <w:szCs w:val="20"/>
                <w:color w:val="auto"/>
              </w:rPr>
            </w:pPr>
            <w:r>
              <w:rPr>
                <w:rFonts w:ascii="Arial" w:cs="Arial" w:eastAsia="Arial" w:hAnsi="Arial"/>
                <w:sz w:val="17"/>
                <w:szCs w:val="17"/>
                <w:color w:val="auto"/>
              </w:rPr>
              <w:t>15,452,087</w:t>
            </w:r>
          </w:p>
        </w:tc>
        <w:tc>
          <w:tcPr>
            <w:tcW w:w="1300" w:type="dxa"/>
            <w:vAlign w:val="bottom"/>
            <w:gridSpan w:val="2"/>
          </w:tcPr>
          <w:p>
            <w:pPr>
              <w:jc w:val="right"/>
              <w:ind w:right="100"/>
              <w:spacing w:after="0"/>
              <w:rPr>
                <w:sz w:val="20"/>
                <w:szCs w:val="20"/>
                <w:color w:val="auto"/>
              </w:rPr>
            </w:pPr>
            <w:r>
              <w:rPr>
                <w:rFonts w:ascii="Arial" w:cs="Arial" w:eastAsia="Arial" w:hAnsi="Arial"/>
                <w:sz w:val="17"/>
                <w:szCs w:val="17"/>
                <w:color w:val="auto"/>
              </w:rPr>
              <w:t>14,495,454</w:t>
            </w:r>
          </w:p>
        </w:tc>
        <w:tc>
          <w:tcPr>
            <w:tcW w:w="0" w:type="dxa"/>
            <w:vAlign w:val="bottom"/>
          </w:tcPr>
          <w:p>
            <w:pPr>
              <w:spacing w:after="0"/>
              <w:rPr>
                <w:sz w:val="1"/>
                <w:szCs w:val="1"/>
                <w:color w:val="auto"/>
              </w:rPr>
            </w:pPr>
          </w:p>
        </w:tc>
      </w:tr>
      <w:tr>
        <w:trPr>
          <w:trHeight w:val="208"/>
        </w:trPr>
        <w:tc>
          <w:tcPr>
            <w:tcW w:w="320" w:type="dxa"/>
            <w:vAlign w:val="bottom"/>
          </w:tcPr>
          <w:p>
            <w:pPr>
              <w:spacing w:after="0"/>
              <w:rPr>
                <w:sz w:val="18"/>
                <w:szCs w:val="18"/>
                <w:color w:val="auto"/>
              </w:rPr>
            </w:pPr>
          </w:p>
        </w:tc>
        <w:tc>
          <w:tcPr>
            <w:tcW w:w="8220" w:type="dxa"/>
            <w:vAlign w:val="bottom"/>
            <w:shd w:val="clear" w:color="auto" w:fill="CCEEFF"/>
          </w:tcPr>
          <w:p>
            <w:pPr>
              <w:spacing w:after="0"/>
              <w:rPr>
                <w:sz w:val="20"/>
                <w:szCs w:val="20"/>
                <w:color w:val="auto"/>
              </w:rPr>
            </w:pPr>
            <w:r>
              <w:rPr>
                <w:rFonts w:ascii="Arial" w:cs="Arial" w:eastAsia="Arial" w:hAnsi="Arial"/>
                <w:sz w:val="17"/>
                <w:szCs w:val="17"/>
                <w:color w:val="auto"/>
              </w:rPr>
              <w:t>Micro-business loans</w:t>
            </w: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13,927,557</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12,951,628</w:t>
            </w:r>
          </w:p>
        </w:tc>
        <w:tc>
          <w:tcPr>
            <w:tcW w:w="0" w:type="dxa"/>
            <w:vAlign w:val="bottom"/>
          </w:tcPr>
          <w:p>
            <w:pPr>
              <w:spacing w:after="0"/>
              <w:rPr>
                <w:sz w:val="1"/>
                <w:szCs w:val="1"/>
                <w:color w:val="auto"/>
              </w:rPr>
            </w:pPr>
          </w:p>
        </w:tc>
      </w:tr>
      <w:tr>
        <w:trPr>
          <w:trHeight w:val="221"/>
        </w:trPr>
        <w:tc>
          <w:tcPr>
            <w:tcW w:w="320" w:type="dxa"/>
            <w:vAlign w:val="bottom"/>
          </w:tcPr>
          <w:p>
            <w:pPr>
              <w:spacing w:after="0"/>
              <w:rPr>
                <w:sz w:val="19"/>
                <w:szCs w:val="19"/>
                <w:color w:val="auto"/>
              </w:rPr>
            </w:pPr>
          </w:p>
        </w:tc>
        <w:tc>
          <w:tcPr>
            <w:tcW w:w="8220" w:type="dxa"/>
            <w:vAlign w:val="bottom"/>
          </w:tcPr>
          <w:p>
            <w:pPr>
              <w:spacing w:after="0"/>
              <w:rPr>
                <w:sz w:val="20"/>
                <w:szCs w:val="20"/>
                <w:color w:val="auto"/>
              </w:rPr>
            </w:pPr>
            <w:r>
              <w:rPr>
                <w:rFonts w:ascii="Arial" w:cs="Arial" w:eastAsia="Arial" w:hAnsi="Arial"/>
                <w:sz w:val="17"/>
                <w:szCs w:val="17"/>
                <w:color w:val="auto"/>
              </w:rPr>
              <w:t>Consumer loans</w:t>
            </w:r>
          </w:p>
        </w:tc>
        <w:tc>
          <w:tcPr>
            <w:tcW w:w="1420" w:type="dxa"/>
            <w:vAlign w:val="bottom"/>
            <w:gridSpan w:val="2"/>
          </w:tcPr>
          <w:p>
            <w:pPr>
              <w:jc w:val="right"/>
              <w:ind w:right="200"/>
              <w:spacing w:after="0"/>
              <w:rPr>
                <w:sz w:val="20"/>
                <w:szCs w:val="20"/>
                <w:color w:val="auto"/>
              </w:rPr>
            </w:pPr>
            <w:r>
              <w:rPr>
                <w:rFonts w:ascii="Arial" w:cs="Arial" w:eastAsia="Arial" w:hAnsi="Arial"/>
                <w:sz w:val="17"/>
                <w:szCs w:val="17"/>
                <w:color w:val="auto"/>
              </w:rPr>
              <w:t>11,929,722</w:t>
            </w:r>
          </w:p>
        </w:tc>
        <w:tc>
          <w:tcPr>
            <w:tcW w:w="1300" w:type="dxa"/>
            <w:vAlign w:val="bottom"/>
            <w:gridSpan w:val="2"/>
          </w:tcPr>
          <w:p>
            <w:pPr>
              <w:jc w:val="right"/>
              <w:ind w:right="100"/>
              <w:spacing w:after="0"/>
              <w:rPr>
                <w:sz w:val="20"/>
                <w:szCs w:val="20"/>
                <w:color w:val="auto"/>
              </w:rPr>
            </w:pPr>
            <w:r>
              <w:rPr>
                <w:rFonts w:ascii="Arial" w:cs="Arial" w:eastAsia="Arial" w:hAnsi="Arial"/>
                <w:sz w:val="17"/>
                <w:szCs w:val="17"/>
                <w:color w:val="auto"/>
              </w:rPr>
              <w:t>12,518,436</w:t>
            </w:r>
          </w:p>
        </w:tc>
        <w:tc>
          <w:tcPr>
            <w:tcW w:w="0" w:type="dxa"/>
            <w:vAlign w:val="bottom"/>
          </w:tcPr>
          <w:p>
            <w:pPr>
              <w:spacing w:after="0"/>
              <w:rPr>
                <w:sz w:val="1"/>
                <w:szCs w:val="1"/>
                <w:color w:val="auto"/>
              </w:rPr>
            </w:pPr>
          </w:p>
        </w:tc>
      </w:tr>
      <w:tr>
        <w:trPr>
          <w:trHeight w:val="201"/>
        </w:trPr>
        <w:tc>
          <w:tcPr>
            <w:tcW w:w="320" w:type="dxa"/>
            <w:vAlign w:val="bottom"/>
          </w:tcPr>
          <w:p>
            <w:pPr>
              <w:spacing w:after="0"/>
              <w:rPr>
                <w:sz w:val="17"/>
                <w:szCs w:val="17"/>
                <w:color w:val="auto"/>
              </w:rPr>
            </w:pPr>
          </w:p>
        </w:tc>
        <w:tc>
          <w:tcPr>
            <w:tcW w:w="82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7"/>
                <w:szCs w:val="17"/>
                <w:b w:val="1"/>
                <w:bCs w:val="1"/>
                <w:color w:val="auto"/>
              </w:rPr>
              <w:t>Total</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99,764,914</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94,099,389</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82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5" w:lineRule="exact"/>
        <w:rPr>
          <w:sz w:val="20"/>
          <w:szCs w:val="20"/>
          <w:color w:val="auto"/>
        </w:rPr>
      </w:pPr>
    </w:p>
    <w:p>
      <w:pPr>
        <w:ind w:left="320" w:hanging="316"/>
        <w:spacing w:after="0"/>
        <w:tabs>
          <w:tab w:leader="none" w:pos="320" w:val="left"/>
        </w:tabs>
        <w:numPr>
          <w:ilvl w:val="0"/>
          <w:numId w:val="76"/>
        </w:numPr>
        <w:rPr>
          <w:rFonts w:ascii="Arial" w:cs="Arial" w:eastAsia="Arial" w:hAnsi="Arial"/>
          <w:sz w:val="17"/>
          <w:szCs w:val="17"/>
          <w:color w:val="auto"/>
        </w:rPr>
      </w:pPr>
      <w:r>
        <w:rPr>
          <w:rFonts w:ascii="Arial" w:cs="Arial" w:eastAsia="Arial" w:hAnsi="Arial"/>
          <w:sz w:val="17"/>
          <w:szCs w:val="17"/>
          <w:color w:val="auto"/>
        </w:rPr>
        <w:t>Interest rates on loans are set considering the rates prevailing in the markets where the Group’s subsidiaries operate.</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36" w:lineRule="exact"/>
        <w:rPr>
          <w:rFonts w:ascii="Arial" w:cs="Arial" w:eastAsia="Arial" w:hAnsi="Arial"/>
          <w:sz w:val="17"/>
          <w:szCs w:val="17"/>
          <w:color w:val="auto"/>
        </w:rPr>
      </w:pPr>
    </w:p>
    <w:p>
      <w:pPr>
        <w:ind w:left="5640" w:hanging="107"/>
        <w:spacing w:after="0"/>
        <w:tabs>
          <w:tab w:leader="none" w:pos="5640" w:val="left"/>
        </w:tabs>
        <w:numPr>
          <w:ilvl w:val="1"/>
          <w:numId w:val="76"/>
        </w:numPr>
        <w:rPr>
          <w:rFonts w:ascii="Arial" w:cs="Arial" w:eastAsia="Arial" w:hAnsi="Arial"/>
          <w:sz w:val="17"/>
          <w:szCs w:val="17"/>
          <w:color w:val="auto"/>
        </w:rPr>
      </w:pPr>
      <w:r>
        <w:rPr>
          <w:rFonts w:ascii="Arial" w:cs="Arial" w:eastAsia="Arial" w:hAnsi="Arial"/>
          <w:sz w:val="17"/>
          <w:szCs w:val="17"/>
          <w:color w:val="auto"/>
        </w:rPr>
        <w:t>62 -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15875</wp:posOffset>
            </wp:positionV>
            <wp:extent cx="725170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51700" cy="8255"/>
                    </a:xfrm>
                    <a:prstGeom prst="rect">
                      <a:avLst/>
                    </a:prstGeom>
                    <a:noFill/>
                  </pic:spPr>
                </pic:pic>
              </a:graphicData>
            </a:graphic>
          </wp:anchor>
        </w:drawing>
      </w:r>
    </w:p>
    <w:p>
      <w:pPr>
        <w:sectPr>
          <w:pgSz w:w="11900" w:h="16838" w:orient="portrait"/>
          <w:cols w:equalWidth="0" w:num="1">
            <w:col w:w="11260"/>
          </w:cols>
          <w:pgMar w:left="240" w:top="875" w:right="399" w:bottom="1440" w:gutter="0" w:footer="0" w:header="0"/>
        </w:sectPr>
      </w:pPr>
    </w:p>
    <w:bookmarkStart w:id="68" w:name="page69"/>
    <w:bookmarkEnd w:id="68"/>
    <w:p>
      <w:pPr>
        <w:spacing w:after="0"/>
        <w:tabs>
          <w:tab w:leader="none" w:pos="300" w:val="left"/>
        </w:tabs>
        <w:rPr>
          <w:sz w:val="20"/>
          <w:szCs w:val="20"/>
          <w:color w:val="auto"/>
        </w:rPr>
      </w:pPr>
      <w:r>
        <w:rPr>
          <w:rFonts w:ascii="Arial" w:cs="Arial" w:eastAsia="Arial" w:hAnsi="Arial"/>
          <w:sz w:val="17"/>
          <w:szCs w:val="17"/>
          <w:color w:val="auto"/>
        </w:rPr>
        <w:t>d)</w:t>
      </w:r>
      <w:r>
        <w:rPr>
          <w:sz w:val="20"/>
          <w:szCs w:val="20"/>
          <w:color w:val="auto"/>
        </w:rPr>
        <w:tab/>
      </w:r>
      <w:r>
        <w:rPr>
          <w:rFonts w:ascii="Arial" w:cs="Arial" w:eastAsia="Arial" w:hAnsi="Arial"/>
          <w:sz w:val="15"/>
          <w:szCs w:val="15"/>
          <w:color w:val="auto"/>
        </w:rPr>
        <w:t>The movement in the allowance for loan losses (direct and indirect loans) is shown below:</w:t>
      </w:r>
    </w:p>
    <w:p>
      <w:pPr>
        <w:sectPr>
          <w:pgSz w:w="11900" w:h="16838" w:orient="portrait"/>
          <w:cols w:equalWidth="0" w:num="1">
            <w:col w:w="11300"/>
          </w:cols>
          <w:pgMar w:left="240" w:top="881"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320"/>
        <w:spacing w:after="0"/>
        <w:rPr>
          <w:sz w:val="20"/>
          <w:szCs w:val="20"/>
          <w:color w:val="auto"/>
        </w:rPr>
      </w:pPr>
      <w:r>
        <w:rPr>
          <w:rFonts w:ascii="Arial" w:cs="Arial" w:eastAsia="Arial" w:hAnsi="Arial"/>
          <w:sz w:val="15"/>
          <w:szCs w:val="15"/>
          <w:b w:val="1"/>
          <w:bCs w:val="1"/>
          <w:color w:val="auto"/>
        </w:rPr>
        <w:t>Balances at the beginning of the period</w:t>
      </w:r>
    </w:p>
    <w:p>
      <w:pPr>
        <w:spacing w:after="0" w:line="54" w:lineRule="exact"/>
        <w:rPr>
          <w:sz w:val="20"/>
          <w:szCs w:val="20"/>
          <w:color w:val="auto"/>
        </w:rPr>
      </w:pPr>
    </w:p>
    <w:p>
      <w:pPr>
        <w:ind w:left="320"/>
        <w:spacing w:after="0"/>
        <w:rPr>
          <w:sz w:val="20"/>
          <w:szCs w:val="20"/>
          <w:color w:val="auto"/>
        </w:rPr>
      </w:pPr>
      <w:r>
        <w:rPr>
          <w:rFonts w:ascii="Arial" w:cs="Arial" w:eastAsia="Arial" w:hAnsi="Arial"/>
          <w:sz w:val="17"/>
          <w:szCs w:val="17"/>
          <w:color w:val="auto"/>
        </w:rPr>
        <w:t>Provision, net of recoveries</w:t>
      </w:r>
    </w:p>
    <w:p>
      <w:pPr>
        <w:spacing w:after="0" w:line="12" w:lineRule="exact"/>
        <w:rPr>
          <w:sz w:val="20"/>
          <w:szCs w:val="20"/>
          <w:color w:val="auto"/>
        </w:rPr>
      </w:pPr>
    </w:p>
    <w:p>
      <w:pPr>
        <w:ind w:left="320"/>
        <w:spacing w:after="0"/>
        <w:rPr>
          <w:sz w:val="20"/>
          <w:szCs w:val="20"/>
          <w:color w:val="auto"/>
        </w:rPr>
      </w:pPr>
      <w:r>
        <w:rPr>
          <w:rFonts w:ascii="Arial" w:cs="Arial" w:eastAsia="Arial" w:hAnsi="Arial"/>
          <w:sz w:val="17"/>
          <w:szCs w:val="17"/>
          <w:color w:val="auto"/>
        </w:rPr>
        <w:t>Recovery of written-off loans</w:t>
      </w:r>
    </w:p>
    <w:p>
      <w:pPr>
        <w:spacing w:after="0" w:line="12" w:lineRule="exact"/>
        <w:rPr>
          <w:sz w:val="20"/>
          <w:szCs w:val="20"/>
          <w:color w:val="auto"/>
        </w:rPr>
      </w:pPr>
    </w:p>
    <w:p>
      <w:pPr>
        <w:ind w:left="320"/>
        <w:spacing w:after="0"/>
        <w:rPr>
          <w:sz w:val="20"/>
          <w:szCs w:val="20"/>
          <w:color w:val="auto"/>
        </w:rPr>
      </w:pPr>
      <w:r>
        <w:rPr>
          <w:rFonts w:ascii="Arial" w:cs="Arial" w:eastAsia="Arial" w:hAnsi="Arial"/>
          <w:sz w:val="17"/>
          <w:szCs w:val="17"/>
          <w:color w:val="auto"/>
        </w:rPr>
        <w:t>Loan portfolio written-off</w:t>
      </w:r>
    </w:p>
    <w:p>
      <w:pPr>
        <w:spacing w:after="0" w:line="12" w:lineRule="exact"/>
        <w:rPr>
          <w:sz w:val="20"/>
          <w:szCs w:val="20"/>
          <w:color w:val="auto"/>
        </w:rPr>
      </w:pPr>
    </w:p>
    <w:p>
      <w:pPr>
        <w:ind w:left="320"/>
        <w:spacing w:after="0"/>
        <w:rPr>
          <w:sz w:val="20"/>
          <w:szCs w:val="20"/>
          <w:color w:val="auto"/>
        </w:rPr>
      </w:pPr>
      <w:r>
        <w:rPr>
          <w:rFonts w:ascii="Arial" w:cs="Arial" w:eastAsia="Arial" w:hAnsi="Arial"/>
          <w:sz w:val="17"/>
          <w:szCs w:val="17"/>
          <w:color w:val="auto"/>
        </w:rPr>
        <w:t>Exchange difference and others</w:t>
      </w:r>
    </w:p>
    <w:p>
      <w:pPr>
        <w:spacing w:after="0" w:line="12" w:lineRule="exact"/>
        <w:rPr>
          <w:sz w:val="20"/>
          <w:szCs w:val="20"/>
          <w:color w:val="auto"/>
        </w:rPr>
      </w:pPr>
    </w:p>
    <w:p>
      <w:pPr>
        <w:ind w:left="320"/>
        <w:spacing w:after="0"/>
        <w:rPr>
          <w:sz w:val="20"/>
          <w:szCs w:val="20"/>
          <w:color w:val="auto"/>
        </w:rPr>
      </w:pPr>
      <w:r>
        <w:rPr>
          <w:rFonts w:ascii="Arial" w:cs="Arial" w:eastAsia="Arial" w:hAnsi="Arial"/>
          <w:sz w:val="16"/>
          <w:szCs w:val="16"/>
          <w:b w:val="1"/>
          <w:bCs w:val="1"/>
          <w:color w:val="auto"/>
        </w:rPr>
        <w:t>Balances at the end of the period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320"/>
        <w:spacing w:after="0"/>
        <w:rPr>
          <w:sz w:val="20"/>
          <w:szCs w:val="20"/>
          <w:color w:val="auto"/>
        </w:rPr>
      </w:pPr>
      <w:r>
        <w:rPr>
          <w:rFonts w:ascii="Arial" w:cs="Arial" w:eastAsia="Arial" w:hAnsi="Arial"/>
          <w:sz w:val="15"/>
          <w:szCs w:val="15"/>
          <w:b w:val="1"/>
          <w:bCs w:val="1"/>
          <w:color w:val="auto"/>
        </w:rPr>
        <w:t>Balances at the beginning of the period</w:t>
      </w:r>
    </w:p>
    <w:p>
      <w:pPr>
        <w:spacing w:after="0" w:line="54" w:lineRule="exact"/>
        <w:rPr>
          <w:sz w:val="20"/>
          <w:szCs w:val="20"/>
          <w:color w:val="auto"/>
        </w:rPr>
      </w:pPr>
    </w:p>
    <w:p>
      <w:pPr>
        <w:ind w:left="320"/>
        <w:spacing w:after="0"/>
        <w:rPr>
          <w:sz w:val="20"/>
          <w:szCs w:val="20"/>
          <w:color w:val="auto"/>
        </w:rPr>
      </w:pPr>
      <w:r>
        <w:rPr>
          <w:rFonts w:ascii="Arial" w:cs="Arial" w:eastAsia="Arial" w:hAnsi="Arial"/>
          <w:sz w:val="17"/>
          <w:szCs w:val="17"/>
          <w:color w:val="auto"/>
        </w:rPr>
        <w:t>Provision, net of recoveries</w:t>
      </w:r>
    </w:p>
    <w:p>
      <w:pPr>
        <w:spacing w:after="0" w:line="12" w:lineRule="exact"/>
        <w:rPr>
          <w:sz w:val="20"/>
          <w:szCs w:val="20"/>
          <w:color w:val="auto"/>
        </w:rPr>
      </w:pPr>
    </w:p>
    <w:p>
      <w:pPr>
        <w:ind w:left="320"/>
        <w:spacing w:after="0"/>
        <w:rPr>
          <w:sz w:val="20"/>
          <w:szCs w:val="20"/>
          <w:color w:val="auto"/>
        </w:rPr>
      </w:pPr>
      <w:r>
        <w:rPr>
          <w:rFonts w:ascii="Arial" w:cs="Arial" w:eastAsia="Arial" w:hAnsi="Arial"/>
          <w:sz w:val="17"/>
          <w:szCs w:val="17"/>
          <w:color w:val="auto"/>
        </w:rPr>
        <w:t>Recovery of written-off loans</w:t>
      </w:r>
    </w:p>
    <w:p>
      <w:pPr>
        <w:spacing w:after="0" w:line="12" w:lineRule="exact"/>
        <w:rPr>
          <w:sz w:val="20"/>
          <w:szCs w:val="20"/>
          <w:color w:val="auto"/>
        </w:rPr>
      </w:pPr>
    </w:p>
    <w:p>
      <w:pPr>
        <w:ind w:left="320"/>
        <w:spacing w:after="0"/>
        <w:rPr>
          <w:sz w:val="20"/>
          <w:szCs w:val="20"/>
          <w:color w:val="auto"/>
        </w:rPr>
      </w:pPr>
      <w:r>
        <w:rPr>
          <w:rFonts w:ascii="Arial" w:cs="Arial" w:eastAsia="Arial" w:hAnsi="Arial"/>
          <w:sz w:val="17"/>
          <w:szCs w:val="17"/>
          <w:color w:val="auto"/>
        </w:rPr>
        <w:t>Loan portfolio written-off</w:t>
      </w:r>
    </w:p>
    <w:p>
      <w:pPr>
        <w:spacing w:after="0" w:line="12" w:lineRule="exact"/>
        <w:rPr>
          <w:sz w:val="20"/>
          <w:szCs w:val="20"/>
          <w:color w:val="auto"/>
        </w:rPr>
      </w:pPr>
    </w:p>
    <w:p>
      <w:pPr>
        <w:ind w:left="320"/>
        <w:spacing w:after="0"/>
        <w:rPr>
          <w:sz w:val="20"/>
          <w:szCs w:val="20"/>
          <w:color w:val="auto"/>
        </w:rPr>
      </w:pPr>
      <w:r>
        <w:rPr>
          <w:rFonts w:ascii="Arial" w:cs="Arial" w:eastAsia="Arial" w:hAnsi="Arial"/>
          <w:sz w:val="17"/>
          <w:szCs w:val="17"/>
          <w:color w:val="auto"/>
        </w:rPr>
        <w:t>Exchange difference and others</w:t>
      </w:r>
    </w:p>
    <w:p>
      <w:pPr>
        <w:spacing w:after="0" w:line="12" w:lineRule="exact"/>
        <w:rPr>
          <w:sz w:val="20"/>
          <w:szCs w:val="20"/>
          <w:color w:val="auto"/>
        </w:rPr>
      </w:pPr>
    </w:p>
    <w:p>
      <w:pPr>
        <w:ind w:left="320"/>
        <w:spacing w:after="0"/>
        <w:rPr>
          <w:sz w:val="20"/>
          <w:szCs w:val="20"/>
          <w:color w:val="auto"/>
        </w:rPr>
      </w:pPr>
      <w:r>
        <w:rPr>
          <w:rFonts w:ascii="Arial" w:cs="Arial" w:eastAsia="Arial" w:hAnsi="Arial"/>
          <w:sz w:val="16"/>
          <w:szCs w:val="16"/>
          <w:b w:val="1"/>
          <w:bCs w:val="1"/>
          <w:color w:val="auto"/>
        </w:rPr>
        <w:t>Balances at the end of the period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320"/>
        <w:spacing w:after="0"/>
        <w:rPr>
          <w:sz w:val="20"/>
          <w:szCs w:val="20"/>
          <w:color w:val="auto"/>
        </w:rPr>
      </w:pPr>
      <w:r>
        <w:rPr>
          <w:rFonts w:ascii="Arial" w:cs="Arial" w:eastAsia="Arial" w:hAnsi="Arial"/>
          <w:sz w:val="15"/>
          <w:szCs w:val="15"/>
          <w:b w:val="1"/>
          <w:bCs w:val="1"/>
          <w:color w:val="auto"/>
        </w:rPr>
        <w:t>Balances at the beginning of the period</w:t>
      </w:r>
    </w:p>
    <w:p>
      <w:pPr>
        <w:spacing w:after="0" w:line="54" w:lineRule="exact"/>
        <w:rPr>
          <w:sz w:val="20"/>
          <w:szCs w:val="20"/>
          <w:color w:val="auto"/>
        </w:rPr>
      </w:pPr>
    </w:p>
    <w:p>
      <w:pPr>
        <w:ind w:left="320"/>
        <w:spacing w:after="0"/>
        <w:rPr>
          <w:sz w:val="20"/>
          <w:szCs w:val="20"/>
          <w:color w:val="auto"/>
        </w:rPr>
      </w:pPr>
      <w:r>
        <w:rPr>
          <w:rFonts w:ascii="Arial" w:cs="Arial" w:eastAsia="Arial" w:hAnsi="Arial"/>
          <w:sz w:val="17"/>
          <w:szCs w:val="17"/>
          <w:color w:val="auto"/>
        </w:rPr>
        <w:t>Provision, net of recoveries</w:t>
      </w:r>
    </w:p>
    <w:p>
      <w:pPr>
        <w:spacing w:after="0" w:line="12" w:lineRule="exact"/>
        <w:rPr>
          <w:sz w:val="20"/>
          <w:szCs w:val="20"/>
          <w:color w:val="auto"/>
        </w:rPr>
      </w:pPr>
    </w:p>
    <w:p>
      <w:pPr>
        <w:ind w:left="320"/>
        <w:spacing w:after="0"/>
        <w:rPr>
          <w:sz w:val="20"/>
          <w:szCs w:val="20"/>
          <w:color w:val="auto"/>
        </w:rPr>
      </w:pPr>
      <w:r>
        <w:rPr>
          <w:rFonts w:ascii="Arial" w:cs="Arial" w:eastAsia="Arial" w:hAnsi="Arial"/>
          <w:sz w:val="17"/>
          <w:szCs w:val="17"/>
          <w:color w:val="auto"/>
        </w:rPr>
        <w:t>Recovery of written-off loans</w:t>
      </w:r>
    </w:p>
    <w:p>
      <w:pPr>
        <w:spacing w:after="0" w:line="12" w:lineRule="exact"/>
        <w:rPr>
          <w:sz w:val="20"/>
          <w:szCs w:val="20"/>
          <w:color w:val="auto"/>
        </w:rPr>
      </w:pPr>
    </w:p>
    <w:p>
      <w:pPr>
        <w:ind w:left="320"/>
        <w:spacing w:after="0"/>
        <w:rPr>
          <w:sz w:val="20"/>
          <w:szCs w:val="20"/>
          <w:color w:val="auto"/>
        </w:rPr>
      </w:pPr>
      <w:r>
        <w:rPr>
          <w:rFonts w:ascii="Arial" w:cs="Arial" w:eastAsia="Arial" w:hAnsi="Arial"/>
          <w:sz w:val="17"/>
          <w:szCs w:val="17"/>
          <w:color w:val="auto"/>
        </w:rPr>
        <w:t>Loan portfolio written-off</w:t>
      </w:r>
    </w:p>
    <w:p>
      <w:pPr>
        <w:spacing w:after="0" w:line="12" w:lineRule="exact"/>
        <w:rPr>
          <w:sz w:val="20"/>
          <w:szCs w:val="20"/>
          <w:color w:val="auto"/>
        </w:rPr>
      </w:pPr>
    </w:p>
    <w:p>
      <w:pPr>
        <w:ind w:left="320"/>
        <w:spacing w:after="0"/>
        <w:rPr>
          <w:sz w:val="20"/>
          <w:szCs w:val="20"/>
          <w:color w:val="auto"/>
        </w:rPr>
      </w:pPr>
      <w:r>
        <w:rPr>
          <w:rFonts w:ascii="Arial" w:cs="Arial" w:eastAsia="Arial" w:hAnsi="Arial"/>
          <w:sz w:val="17"/>
          <w:szCs w:val="17"/>
          <w:color w:val="auto"/>
        </w:rPr>
        <w:t>Exchange difference and others</w:t>
      </w:r>
    </w:p>
    <w:p>
      <w:pPr>
        <w:spacing w:after="0" w:line="12" w:lineRule="exact"/>
        <w:rPr>
          <w:sz w:val="20"/>
          <w:szCs w:val="20"/>
          <w:color w:val="auto"/>
        </w:rPr>
      </w:pPr>
    </w:p>
    <w:p>
      <w:pPr>
        <w:ind w:left="320"/>
        <w:spacing w:after="0"/>
        <w:rPr>
          <w:sz w:val="20"/>
          <w:szCs w:val="20"/>
          <w:color w:val="auto"/>
        </w:rPr>
      </w:pPr>
      <w:r>
        <w:rPr>
          <w:rFonts w:ascii="Arial" w:cs="Arial" w:eastAsia="Arial" w:hAnsi="Arial"/>
          <w:sz w:val="16"/>
          <w:szCs w:val="16"/>
          <w:b w:val="1"/>
          <w:bCs w:val="1"/>
          <w:color w:val="auto"/>
        </w:rPr>
        <w:t>Balances at the end of the period (*)</w:t>
      </w:r>
    </w:p>
    <w:p>
      <w:pPr>
        <w:spacing w:after="0" w:line="20" w:lineRule="exact"/>
        <w:rPr>
          <w:sz w:val="20"/>
          <w:szCs w:val="20"/>
          <w:color w:val="auto"/>
        </w:rPr>
      </w:pPr>
      <w:r>
        <w:rPr>
          <w:sz w:val="20"/>
          <w:szCs w:val="20"/>
          <w:color w:val="auto"/>
        </w:rPr>
        <w:br w:type="column"/>
      </w:r>
    </w:p>
    <w:p>
      <w:pPr>
        <w:spacing w:after="0" w:line="207" w:lineRule="exact"/>
        <w:rPr>
          <w:sz w:val="20"/>
          <w:szCs w:val="20"/>
          <w:color w:val="auto"/>
        </w:rPr>
      </w:pPr>
    </w:p>
    <w:p>
      <w:pPr>
        <w:ind w:left="3300"/>
        <w:spacing w:after="0"/>
        <w:rPr>
          <w:sz w:val="20"/>
          <w:szCs w:val="20"/>
          <w:color w:val="auto"/>
        </w:rPr>
      </w:pPr>
      <w:r>
        <w:rPr>
          <w:rFonts w:ascii="Arial" w:cs="Arial" w:eastAsia="Arial" w:hAnsi="Arial"/>
          <w:sz w:val="17"/>
          <w:szCs w:val="17"/>
          <w:b w:val="1"/>
          <w:bCs w:val="1"/>
          <w:color w:val="auto"/>
        </w:rPr>
        <w:t>2017</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134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400" w:type="dxa"/>
            <w:vAlign w:val="bottom"/>
            <w:tcBorders>
              <w:top w:val="single" w:sz="8" w:color="auto"/>
            </w:tcBorders>
            <w:gridSpan w:val="2"/>
          </w:tcPr>
          <w:p>
            <w:pPr>
              <w:jc w:val="center"/>
              <w:ind w:right="260"/>
              <w:spacing w:after="0" w:line="183" w:lineRule="exact"/>
              <w:rPr>
                <w:sz w:val="20"/>
                <w:szCs w:val="20"/>
                <w:color w:val="auto"/>
              </w:rPr>
            </w:pPr>
            <w:r>
              <w:rPr>
                <w:rFonts w:ascii="Arial" w:cs="Arial" w:eastAsia="Arial" w:hAnsi="Arial"/>
                <w:sz w:val="17"/>
                <w:szCs w:val="17"/>
                <w:b w:val="1"/>
                <w:bCs w:val="1"/>
                <w:color w:val="auto"/>
                <w:w w:val="90"/>
              </w:rPr>
              <w:t>Residential</w:t>
            </w:r>
          </w:p>
        </w:tc>
        <w:tc>
          <w:tcPr>
            <w:tcW w:w="1400" w:type="dxa"/>
            <w:vAlign w:val="bottom"/>
            <w:tcBorders>
              <w:top w:val="single" w:sz="8" w:color="auto"/>
            </w:tcBorders>
            <w:gridSpan w:val="2"/>
          </w:tcPr>
          <w:p>
            <w:pPr>
              <w:jc w:val="center"/>
              <w:ind w:right="240"/>
              <w:spacing w:after="0" w:line="183" w:lineRule="exact"/>
              <w:rPr>
                <w:sz w:val="20"/>
                <w:szCs w:val="20"/>
                <w:color w:val="auto"/>
              </w:rPr>
            </w:pPr>
            <w:r>
              <w:rPr>
                <w:rFonts w:ascii="Arial" w:cs="Arial" w:eastAsia="Arial" w:hAnsi="Arial"/>
                <w:sz w:val="17"/>
                <w:szCs w:val="17"/>
                <w:b w:val="1"/>
                <w:bCs w:val="1"/>
                <w:color w:val="auto"/>
                <w:w w:val="89"/>
              </w:rPr>
              <w:t>Micro-business</w:t>
            </w:r>
          </w:p>
        </w:tc>
        <w:tc>
          <w:tcPr>
            <w:tcW w:w="120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r>
      <w:tr>
        <w:trPr>
          <w:trHeight w:val="226"/>
        </w:trPr>
        <w:tc>
          <w:tcPr>
            <w:tcW w:w="1540" w:type="dxa"/>
            <w:vAlign w:val="bottom"/>
            <w:gridSpan w:val="2"/>
          </w:tcPr>
          <w:p>
            <w:pPr>
              <w:jc w:val="center"/>
              <w:ind w:right="200"/>
              <w:spacing w:after="0"/>
              <w:rPr>
                <w:sz w:val="20"/>
                <w:szCs w:val="20"/>
                <w:color w:val="auto"/>
              </w:rPr>
            </w:pPr>
            <w:r>
              <w:rPr>
                <w:rFonts w:ascii="Arial" w:cs="Arial" w:eastAsia="Arial" w:hAnsi="Arial"/>
                <w:sz w:val="17"/>
                <w:szCs w:val="17"/>
                <w:b w:val="1"/>
                <w:bCs w:val="1"/>
                <w:color w:val="auto"/>
                <w:w w:val="91"/>
              </w:rPr>
              <w:t>Commercial loans</w:t>
            </w:r>
          </w:p>
        </w:tc>
        <w:tc>
          <w:tcPr>
            <w:tcW w:w="1400" w:type="dxa"/>
            <w:vAlign w:val="bottom"/>
            <w:gridSpan w:val="2"/>
          </w:tcPr>
          <w:p>
            <w:pPr>
              <w:jc w:val="center"/>
              <w:ind w:right="200"/>
              <w:spacing w:after="0"/>
              <w:rPr>
                <w:sz w:val="20"/>
                <w:szCs w:val="20"/>
                <w:color w:val="auto"/>
              </w:rPr>
            </w:pPr>
            <w:r>
              <w:rPr>
                <w:rFonts w:ascii="Arial" w:cs="Arial" w:eastAsia="Arial" w:hAnsi="Arial"/>
                <w:sz w:val="17"/>
                <w:szCs w:val="17"/>
                <w:b w:val="1"/>
                <w:bCs w:val="1"/>
                <w:color w:val="auto"/>
                <w:w w:val="88"/>
              </w:rPr>
              <w:t>mortgage loans</w:t>
            </w:r>
          </w:p>
        </w:tc>
        <w:tc>
          <w:tcPr>
            <w:tcW w:w="1400" w:type="dxa"/>
            <w:vAlign w:val="bottom"/>
            <w:gridSpan w:val="2"/>
          </w:tcPr>
          <w:p>
            <w:pPr>
              <w:jc w:val="right"/>
              <w:ind w:right="600"/>
              <w:spacing w:after="0"/>
              <w:rPr>
                <w:sz w:val="20"/>
                <w:szCs w:val="20"/>
                <w:color w:val="auto"/>
              </w:rPr>
            </w:pPr>
            <w:r>
              <w:rPr>
                <w:rFonts w:ascii="Arial" w:cs="Arial" w:eastAsia="Arial" w:hAnsi="Arial"/>
                <w:sz w:val="17"/>
                <w:szCs w:val="17"/>
                <w:b w:val="1"/>
                <w:bCs w:val="1"/>
                <w:color w:val="auto"/>
              </w:rPr>
              <w:t>loans</w:t>
            </w:r>
          </w:p>
        </w:tc>
        <w:tc>
          <w:tcPr>
            <w:tcW w:w="1400" w:type="dxa"/>
            <w:vAlign w:val="bottom"/>
            <w:gridSpan w:val="2"/>
          </w:tcPr>
          <w:p>
            <w:pPr>
              <w:jc w:val="center"/>
              <w:ind w:right="200"/>
              <w:spacing w:after="0"/>
              <w:rPr>
                <w:sz w:val="20"/>
                <w:szCs w:val="20"/>
                <w:color w:val="auto"/>
              </w:rPr>
            </w:pPr>
            <w:r>
              <w:rPr>
                <w:rFonts w:ascii="Arial" w:cs="Arial" w:eastAsia="Arial" w:hAnsi="Arial"/>
                <w:sz w:val="17"/>
                <w:szCs w:val="17"/>
                <w:b w:val="1"/>
                <w:bCs w:val="1"/>
                <w:color w:val="auto"/>
                <w:w w:val="90"/>
              </w:rPr>
              <w:t>Consumer loans</w:t>
            </w:r>
          </w:p>
        </w:tc>
        <w:tc>
          <w:tcPr>
            <w:tcW w:w="1260" w:type="dxa"/>
            <w:vAlign w:val="bottom"/>
            <w:gridSpan w:val="2"/>
          </w:tcPr>
          <w:p>
            <w:pPr>
              <w:jc w:val="center"/>
              <w:ind w:right="40"/>
              <w:spacing w:after="0"/>
              <w:rPr>
                <w:sz w:val="20"/>
                <w:szCs w:val="20"/>
                <w:color w:val="auto"/>
              </w:rPr>
            </w:pPr>
            <w:r>
              <w:rPr>
                <w:rFonts w:ascii="Arial" w:cs="Arial" w:eastAsia="Arial" w:hAnsi="Arial"/>
                <w:sz w:val="17"/>
                <w:szCs w:val="17"/>
                <w:b w:val="1"/>
                <w:bCs w:val="1"/>
                <w:color w:val="auto"/>
                <w:w w:val="93"/>
              </w:rPr>
              <w:t>Total</w:t>
            </w:r>
          </w:p>
        </w:tc>
      </w:tr>
      <w:tr>
        <w:trPr>
          <w:trHeight w:val="219"/>
        </w:trPr>
        <w:tc>
          <w:tcPr>
            <w:tcW w:w="1340" w:type="dxa"/>
            <w:vAlign w:val="bottom"/>
            <w:tcBorders>
              <w:top w:val="single" w:sz="8" w:color="auto"/>
            </w:tcBorders>
          </w:tcPr>
          <w:p>
            <w:pPr>
              <w:jc w:val="center"/>
              <w:spacing w:after="0"/>
              <w:rPr>
                <w:sz w:val="20"/>
                <w:szCs w:val="20"/>
                <w:color w:val="auto"/>
              </w:rPr>
            </w:pPr>
            <w:r>
              <w:rPr>
                <w:rFonts w:ascii="Arial" w:cs="Arial" w:eastAsia="Arial" w:hAnsi="Arial"/>
                <w:sz w:val="17"/>
                <w:szCs w:val="17"/>
                <w:b w:val="1"/>
                <w:bCs w:val="1"/>
                <w:color w:val="auto"/>
                <w:w w:val="93"/>
              </w:rPr>
              <w:t>S/(000)</w:t>
            </w:r>
          </w:p>
        </w:tc>
        <w:tc>
          <w:tcPr>
            <w:tcW w:w="200" w:type="dxa"/>
            <w:vAlign w:val="bottom"/>
          </w:tcPr>
          <w:p>
            <w:pPr>
              <w:spacing w:after="0"/>
              <w:rPr>
                <w:sz w:val="19"/>
                <w:szCs w:val="19"/>
                <w:color w:val="auto"/>
              </w:rPr>
            </w:pPr>
          </w:p>
        </w:tc>
        <w:tc>
          <w:tcPr>
            <w:tcW w:w="1200" w:type="dxa"/>
            <w:vAlign w:val="bottom"/>
            <w:tcBorders>
              <w:top w:val="single" w:sz="8" w:color="auto"/>
            </w:tcBorders>
          </w:tcPr>
          <w:p>
            <w:pPr>
              <w:jc w:val="center"/>
              <w:spacing w:after="0"/>
              <w:rPr>
                <w:sz w:val="20"/>
                <w:szCs w:val="20"/>
                <w:color w:val="auto"/>
              </w:rPr>
            </w:pPr>
            <w:r>
              <w:rPr>
                <w:rFonts w:ascii="Arial" w:cs="Arial" w:eastAsia="Arial" w:hAnsi="Arial"/>
                <w:sz w:val="17"/>
                <w:szCs w:val="17"/>
                <w:b w:val="1"/>
                <w:bCs w:val="1"/>
                <w:color w:val="auto"/>
                <w:w w:val="93"/>
              </w:rPr>
              <w:t>S/(000)</w:t>
            </w:r>
          </w:p>
        </w:tc>
        <w:tc>
          <w:tcPr>
            <w:tcW w:w="200" w:type="dxa"/>
            <w:vAlign w:val="bottom"/>
          </w:tcPr>
          <w:p>
            <w:pPr>
              <w:spacing w:after="0"/>
              <w:rPr>
                <w:sz w:val="19"/>
                <w:szCs w:val="19"/>
                <w:color w:val="auto"/>
              </w:rPr>
            </w:pPr>
          </w:p>
        </w:tc>
        <w:tc>
          <w:tcPr>
            <w:tcW w:w="1200" w:type="dxa"/>
            <w:vAlign w:val="bottom"/>
            <w:tcBorders>
              <w:top w:val="single" w:sz="8" w:color="auto"/>
            </w:tcBorders>
          </w:tcPr>
          <w:p>
            <w:pPr>
              <w:jc w:val="center"/>
              <w:spacing w:after="0"/>
              <w:rPr>
                <w:sz w:val="20"/>
                <w:szCs w:val="20"/>
                <w:color w:val="auto"/>
              </w:rPr>
            </w:pPr>
            <w:r>
              <w:rPr>
                <w:rFonts w:ascii="Arial" w:cs="Arial" w:eastAsia="Arial" w:hAnsi="Arial"/>
                <w:sz w:val="17"/>
                <w:szCs w:val="17"/>
                <w:b w:val="1"/>
                <w:bCs w:val="1"/>
                <w:color w:val="auto"/>
                <w:w w:val="93"/>
              </w:rPr>
              <w:t>S/(000)</w:t>
            </w:r>
          </w:p>
        </w:tc>
        <w:tc>
          <w:tcPr>
            <w:tcW w:w="200" w:type="dxa"/>
            <w:vAlign w:val="bottom"/>
          </w:tcPr>
          <w:p>
            <w:pPr>
              <w:spacing w:after="0"/>
              <w:rPr>
                <w:sz w:val="19"/>
                <w:szCs w:val="19"/>
                <w:color w:val="auto"/>
              </w:rPr>
            </w:pPr>
          </w:p>
        </w:tc>
        <w:tc>
          <w:tcPr>
            <w:tcW w:w="1200" w:type="dxa"/>
            <w:vAlign w:val="bottom"/>
            <w:tcBorders>
              <w:top w:val="single" w:sz="8" w:color="auto"/>
            </w:tcBorders>
          </w:tcPr>
          <w:p>
            <w:pPr>
              <w:jc w:val="center"/>
              <w:spacing w:after="0"/>
              <w:rPr>
                <w:sz w:val="20"/>
                <w:szCs w:val="20"/>
                <w:color w:val="auto"/>
              </w:rPr>
            </w:pPr>
            <w:r>
              <w:rPr>
                <w:rFonts w:ascii="Arial" w:cs="Arial" w:eastAsia="Arial" w:hAnsi="Arial"/>
                <w:sz w:val="17"/>
                <w:szCs w:val="17"/>
                <w:b w:val="1"/>
                <w:bCs w:val="1"/>
                <w:color w:val="auto"/>
                <w:w w:val="93"/>
              </w:rPr>
              <w:t>S/(000)</w:t>
            </w:r>
          </w:p>
        </w:tc>
        <w:tc>
          <w:tcPr>
            <w:tcW w:w="200" w:type="dxa"/>
            <w:vAlign w:val="bottom"/>
          </w:tcPr>
          <w:p>
            <w:pPr>
              <w:spacing w:after="0"/>
              <w:rPr>
                <w:sz w:val="19"/>
                <w:szCs w:val="19"/>
                <w:color w:val="auto"/>
              </w:rPr>
            </w:pPr>
          </w:p>
        </w:tc>
        <w:tc>
          <w:tcPr>
            <w:tcW w:w="1200" w:type="dxa"/>
            <w:vAlign w:val="bottom"/>
            <w:tcBorders>
              <w:top w:val="single" w:sz="8" w:color="auto"/>
            </w:tcBorders>
          </w:tcPr>
          <w:p>
            <w:pPr>
              <w:jc w:val="center"/>
              <w:spacing w:after="0"/>
              <w:rPr>
                <w:sz w:val="20"/>
                <w:szCs w:val="20"/>
                <w:color w:val="auto"/>
              </w:rPr>
            </w:pPr>
            <w:r>
              <w:rPr>
                <w:rFonts w:ascii="Arial" w:cs="Arial" w:eastAsia="Arial" w:hAnsi="Arial"/>
                <w:sz w:val="17"/>
                <w:szCs w:val="17"/>
                <w:b w:val="1"/>
                <w:bCs w:val="1"/>
                <w:color w:val="auto"/>
                <w:w w:val="93"/>
              </w:rPr>
              <w:t>S/(000)</w:t>
            </w:r>
          </w:p>
        </w:tc>
        <w:tc>
          <w:tcPr>
            <w:tcW w:w="60" w:type="dxa"/>
            <w:vAlign w:val="bottom"/>
          </w:tcPr>
          <w:p>
            <w:pPr>
              <w:spacing w:after="0"/>
              <w:rPr>
                <w:sz w:val="19"/>
                <w:szCs w:val="19"/>
                <w:color w:val="auto"/>
              </w:rPr>
            </w:pPr>
          </w:p>
        </w:tc>
      </w:tr>
      <w:tr>
        <w:trPr>
          <w:trHeight w:val="385"/>
        </w:trPr>
        <w:tc>
          <w:tcPr>
            <w:tcW w:w="1540" w:type="dxa"/>
            <w:vAlign w:val="bottom"/>
            <w:gridSpan w:val="2"/>
          </w:tcPr>
          <w:p>
            <w:pPr>
              <w:jc w:val="right"/>
              <w:ind w:right="200"/>
              <w:spacing w:after="0"/>
              <w:rPr>
                <w:sz w:val="20"/>
                <w:szCs w:val="20"/>
                <w:color w:val="auto"/>
              </w:rPr>
            </w:pPr>
            <w:r>
              <w:rPr>
                <w:rFonts w:ascii="Arial" w:cs="Arial" w:eastAsia="Arial" w:hAnsi="Arial"/>
                <w:sz w:val="17"/>
                <w:szCs w:val="17"/>
                <w:color w:val="auto"/>
              </w:rPr>
              <w:t>1,235,970</w:t>
            </w:r>
          </w:p>
        </w:tc>
        <w:tc>
          <w:tcPr>
            <w:tcW w:w="1400" w:type="dxa"/>
            <w:vAlign w:val="bottom"/>
            <w:gridSpan w:val="2"/>
          </w:tcPr>
          <w:p>
            <w:pPr>
              <w:jc w:val="right"/>
              <w:ind w:right="200"/>
              <w:spacing w:after="0"/>
              <w:rPr>
                <w:sz w:val="20"/>
                <w:szCs w:val="20"/>
                <w:color w:val="auto"/>
              </w:rPr>
            </w:pPr>
            <w:r>
              <w:rPr>
                <w:rFonts w:ascii="Arial" w:cs="Arial" w:eastAsia="Arial" w:hAnsi="Arial"/>
                <w:sz w:val="17"/>
                <w:szCs w:val="17"/>
                <w:color w:val="auto"/>
              </w:rPr>
              <w:t>193,385</w:t>
            </w:r>
          </w:p>
        </w:tc>
        <w:tc>
          <w:tcPr>
            <w:tcW w:w="1400" w:type="dxa"/>
            <w:vAlign w:val="bottom"/>
            <w:gridSpan w:val="2"/>
          </w:tcPr>
          <w:p>
            <w:pPr>
              <w:jc w:val="right"/>
              <w:ind w:right="200"/>
              <w:spacing w:after="0"/>
              <w:rPr>
                <w:sz w:val="20"/>
                <w:szCs w:val="20"/>
                <w:color w:val="auto"/>
              </w:rPr>
            </w:pPr>
            <w:r>
              <w:rPr>
                <w:rFonts w:ascii="Arial" w:cs="Arial" w:eastAsia="Arial" w:hAnsi="Arial"/>
                <w:sz w:val="17"/>
                <w:szCs w:val="17"/>
                <w:color w:val="auto"/>
              </w:rPr>
              <w:t>1,353,168</w:t>
            </w:r>
          </w:p>
        </w:tc>
        <w:tc>
          <w:tcPr>
            <w:tcW w:w="1200" w:type="dxa"/>
            <w:vAlign w:val="bottom"/>
          </w:tcPr>
          <w:p>
            <w:pPr>
              <w:jc w:val="right"/>
              <w:spacing w:after="0"/>
              <w:rPr>
                <w:sz w:val="20"/>
                <w:szCs w:val="20"/>
                <w:color w:val="auto"/>
              </w:rPr>
            </w:pPr>
            <w:r>
              <w:rPr>
                <w:rFonts w:ascii="Arial" w:cs="Arial" w:eastAsia="Arial" w:hAnsi="Arial"/>
                <w:sz w:val="17"/>
                <w:szCs w:val="17"/>
                <w:color w:val="auto"/>
              </w:rPr>
              <w:t>1,634,169</w:t>
            </w:r>
          </w:p>
        </w:tc>
        <w:tc>
          <w:tcPr>
            <w:tcW w:w="20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4,416,692</w:t>
            </w:r>
          </w:p>
        </w:tc>
        <w:tc>
          <w:tcPr>
            <w:tcW w:w="60" w:type="dxa"/>
            <w:vAlign w:val="bottom"/>
          </w:tcPr>
          <w:p>
            <w:pPr>
              <w:spacing w:after="0"/>
              <w:rPr>
                <w:sz w:val="24"/>
                <w:szCs w:val="24"/>
                <w:color w:val="auto"/>
              </w:rPr>
            </w:pPr>
          </w:p>
        </w:tc>
      </w:tr>
      <w:tr>
        <w:trPr>
          <w:trHeight w:val="208"/>
        </w:trPr>
        <w:tc>
          <w:tcPr>
            <w:tcW w:w="1540" w:type="dxa"/>
            <w:vAlign w:val="bottom"/>
            <w:gridSpan w:val="2"/>
          </w:tcPr>
          <w:p>
            <w:pPr>
              <w:jc w:val="right"/>
              <w:ind w:right="200"/>
              <w:spacing w:after="0"/>
              <w:rPr>
                <w:sz w:val="20"/>
                <w:szCs w:val="20"/>
                <w:color w:val="auto"/>
              </w:rPr>
            </w:pPr>
            <w:r>
              <w:rPr>
                <w:rFonts w:ascii="Arial" w:cs="Arial" w:eastAsia="Arial" w:hAnsi="Arial"/>
                <w:sz w:val="17"/>
                <w:szCs w:val="17"/>
                <w:color w:val="auto"/>
              </w:rPr>
              <w:t>715,072</w:t>
            </w:r>
          </w:p>
        </w:tc>
        <w:tc>
          <w:tcPr>
            <w:tcW w:w="1400" w:type="dxa"/>
            <w:vAlign w:val="bottom"/>
            <w:gridSpan w:val="2"/>
          </w:tcPr>
          <w:p>
            <w:pPr>
              <w:jc w:val="right"/>
              <w:ind w:right="200"/>
              <w:spacing w:after="0"/>
              <w:rPr>
                <w:sz w:val="20"/>
                <w:szCs w:val="20"/>
                <w:color w:val="auto"/>
              </w:rPr>
            </w:pPr>
            <w:r>
              <w:rPr>
                <w:rFonts w:ascii="Arial" w:cs="Arial" w:eastAsia="Arial" w:hAnsi="Arial"/>
                <w:sz w:val="17"/>
                <w:szCs w:val="17"/>
                <w:color w:val="auto"/>
              </w:rPr>
              <w:t>49,505</w:t>
            </w:r>
          </w:p>
        </w:tc>
        <w:tc>
          <w:tcPr>
            <w:tcW w:w="1400" w:type="dxa"/>
            <w:vAlign w:val="bottom"/>
            <w:gridSpan w:val="2"/>
          </w:tcPr>
          <w:p>
            <w:pPr>
              <w:jc w:val="right"/>
              <w:ind w:right="200"/>
              <w:spacing w:after="0"/>
              <w:rPr>
                <w:sz w:val="20"/>
                <w:szCs w:val="20"/>
                <w:color w:val="auto"/>
              </w:rPr>
            </w:pPr>
            <w:r>
              <w:rPr>
                <w:rFonts w:ascii="Arial" w:cs="Arial" w:eastAsia="Arial" w:hAnsi="Arial"/>
                <w:sz w:val="17"/>
                <w:szCs w:val="17"/>
                <w:color w:val="auto"/>
              </w:rPr>
              <w:t>522,885</w:t>
            </w:r>
          </w:p>
        </w:tc>
        <w:tc>
          <w:tcPr>
            <w:tcW w:w="1400" w:type="dxa"/>
            <w:vAlign w:val="bottom"/>
            <w:gridSpan w:val="2"/>
          </w:tcPr>
          <w:p>
            <w:pPr>
              <w:jc w:val="right"/>
              <w:ind w:right="200"/>
              <w:spacing w:after="0"/>
              <w:rPr>
                <w:sz w:val="20"/>
                <w:szCs w:val="20"/>
                <w:color w:val="auto"/>
              </w:rPr>
            </w:pPr>
            <w:r>
              <w:rPr>
                <w:rFonts w:ascii="Arial" w:cs="Arial" w:eastAsia="Arial" w:hAnsi="Arial"/>
                <w:sz w:val="17"/>
                <w:szCs w:val="17"/>
                <w:color w:val="auto"/>
              </w:rPr>
              <w:t>501,703</w:t>
            </w:r>
          </w:p>
        </w:tc>
        <w:tc>
          <w:tcPr>
            <w:tcW w:w="1200" w:type="dxa"/>
            <w:vAlign w:val="bottom"/>
          </w:tcPr>
          <w:p>
            <w:pPr>
              <w:jc w:val="right"/>
              <w:spacing w:after="0"/>
              <w:rPr>
                <w:sz w:val="20"/>
                <w:szCs w:val="20"/>
                <w:color w:val="auto"/>
              </w:rPr>
            </w:pPr>
            <w:r>
              <w:rPr>
                <w:rFonts w:ascii="Arial" w:cs="Arial" w:eastAsia="Arial" w:hAnsi="Arial"/>
                <w:sz w:val="17"/>
                <w:szCs w:val="17"/>
                <w:color w:val="auto"/>
              </w:rPr>
              <w:t>1,789,165</w:t>
            </w:r>
          </w:p>
        </w:tc>
        <w:tc>
          <w:tcPr>
            <w:tcW w:w="60" w:type="dxa"/>
            <w:vAlign w:val="bottom"/>
          </w:tcPr>
          <w:p>
            <w:pPr>
              <w:spacing w:after="0"/>
              <w:rPr>
                <w:sz w:val="18"/>
                <w:szCs w:val="18"/>
                <w:color w:val="auto"/>
              </w:rPr>
            </w:pPr>
          </w:p>
        </w:tc>
      </w:tr>
      <w:tr>
        <w:trPr>
          <w:trHeight w:val="208"/>
        </w:trPr>
        <w:tc>
          <w:tcPr>
            <w:tcW w:w="1540" w:type="dxa"/>
            <w:vAlign w:val="bottom"/>
            <w:gridSpan w:val="2"/>
          </w:tcPr>
          <w:p>
            <w:pPr>
              <w:jc w:val="right"/>
              <w:ind w:right="200"/>
              <w:spacing w:after="0"/>
              <w:rPr>
                <w:sz w:val="20"/>
                <w:szCs w:val="20"/>
                <w:color w:val="auto"/>
              </w:rPr>
            </w:pPr>
            <w:r>
              <w:rPr>
                <w:rFonts w:ascii="Arial" w:cs="Arial" w:eastAsia="Arial" w:hAnsi="Arial"/>
                <w:sz w:val="17"/>
                <w:szCs w:val="17"/>
                <w:color w:val="auto"/>
              </w:rPr>
              <w:t>22,857</w:t>
            </w:r>
          </w:p>
        </w:tc>
        <w:tc>
          <w:tcPr>
            <w:tcW w:w="1400" w:type="dxa"/>
            <w:vAlign w:val="bottom"/>
            <w:gridSpan w:val="2"/>
          </w:tcPr>
          <w:p>
            <w:pPr>
              <w:jc w:val="right"/>
              <w:ind w:right="200"/>
              <w:spacing w:after="0"/>
              <w:rPr>
                <w:sz w:val="20"/>
                <w:szCs w:val="20"/>
                <w:color w:val="auto"/>
              </w:rPr>
            </w:pPr>
            <w:r>
              <w:rPr>
                <w:rFonts w:ascii="Arial" w:cs="Arial" w:eastAsia="Arial" w:hAnsi="Arial"/>
                <w:sz w:val="17"/>
                <w:szCs w:val="17"/>
                <w:color w:val="auto"/>
              </w:rPr>
              <w:t>1,158</w:t>
            </w:r>
          </w:p>
        </w:tc>
        <w:tc>
          <w:tcPr>
            <w:tcW w:w="1400" w:type="dxa"/>
            <w:vAlign w:val="bottom"/>
            <w:gridSpan w:val="2"/>
          </w:tcPr>
          <w:p>
            <w:pPr>
              <w:jc w:val="right"/>
              <w:ind w:right="200"/>
              <w:spacing w:after="0"/>
              <w:rPr>
                <w:sz w:val="20"/>
                <w:szCs w:val="20"/>
                <w:color w:val="auto"/>
              </w:rPr>
            </w:pPr>
            <w:r>
              <w:rPr>
                <w:rFonts w:ascii="Arial" w:cs="Arial" w:eastAsia="Arial" w:hAnsi="Arial"/>
                <w:sz w:val="17"/>
                <w:szCs w:val="17"/>
                <w:color w:val="auto"/>
              </w:rPr>
              <w:t>54,046</w:t>
            </w:r>
          </w:p>
        </w:tc>
        <w:tc>
          <w:tcPr>
            <w:tcW w:w="1400" w:type="dxa"/>
            <w:vAlign w:val="bottom"/>
            <w:gridSpan w:val="2"/>
          </w:tcPr>
          <w:p>
            <w:pPr>
              <w:jc w:val="right"/>
              <w:ind w:right="200"/>
              <w:spacing w:after="0"/>
              <w:rPr>
                <w:sz w:val="20"/>
                <w:szCs w:val="20"/>
                <w:color w:val="auto"/>
              </w:rPr>
            </w:pPr>
            <w:r>
              <w:rPr>
                <w:rFonts w:ascii="Arial" w:cs="Arial" w:eastAsia="Arial" w:hAnsi="Arial"/>
                <w:sz w:val="17"/>
                <w:szCs w:val="17"/>
                <w:color w:val="auto"/>
              </w:rPr>
              <w:t>190,252</w:t>
            </w:r>
          </w:p>
        </w:tc>
        <w:tc>
          <w:tcPr>
            <w:tcW w:w="1200" w:type="dxa"/>
            <w:vAlign w:val="bottom"/>
          </w:tcPr>
          <w:p>
            <w:pPr>
              <w:jc w:val="right"/>
              <w:spacing w:after="0"/>
              <w:rPr>
                <w:sz w:val="20"/>
                <w:szCs w:val="20"/>
                <w:color w:val="auto"/>
              </w:rPr>
            </w:pPr>
            <w:r>
              <w:rPr>
                <w:rFonts w:ascii="Arial" w:cs="Arial" w:eastAsia="Arial" w:hAnsi="Arial"/>
                <w:sz w:val="17"/>
                <w:szCs w:val="17"/>
                <w:color w:val="auto"/>
              </w:rPr>
              <w:t>268,313</w:t>
            </w:r>
          </w:p>
        </w:tc>
        <w:tc>
          <w:tcPr>
            <w:tcW w:w="60" w:type="dxa"/>
            <w:vAlign w:val="bottom"/>
          </w:tcPr>
          <w:p>
            <w:pPr>
              <w:spacing w:after="0"/>
              <w:rPr>
                <w:sz w:val="18"/>
                <w:szCs w:val="18"/>
                <w:color w:val="auto"/>
              </w:rPr>
            </w:pPr>
          </w:p>
        </w:tc>
      </w:tr>
      <w:tr>
        <w:trPr>
          <w:trHeight w:val="208"/>
        </w:trPr>
        <w:tc>
          <w:tcPr>
            <w:tcW w:w="1540" w:type="dxa"/>
            <w:vAlign w:val="bottom"/>
            <w:gridSpan w:val="2"/>
          </w:tcPr>
          <w:p>
            <w:pPr>
              <w:jc w:val="right"/>
              <w:ind w:right="160"/>
              <w:spacing w:after="0"/>
              <w:rPr>
                <w:sz w:val="20"/>
                <w:szCs w:val="20"/>
                <w:color w:val="auto"/>
              </w:rPr>
            </w:pPr>
            <w:r>
              <w:rPr>
                <w:rFonts w:ascii="Arial" w:cs="Arial" w:eastAsia="Arial" w:hAnsi="Arial"/>
                <w:sz w:val="17"/>
                <w:szCs w:val="17"/>
                <w:color w:val="auto"/>
              </w:rPr>
              <w:t>(217,160)</w:t>
            </w:r>
          </w:p>
        </w:tc>
        <w:tc>
          <w:tcPr>
            <w:tcW w:w="1400" w:type="dxa"/>
            <w:vAlign w:val="bottom"/>
            <w:gridSpan w:val="2"/>
          </w:tcPr>
          <w:p>
            <w:pPr>
              <w:jc w:val="right"/>
              <w:ind w:right="140"/>
              <w:spacing w:after="0"/>
              <w:rPr>
                <w:sz w:val="20"/>
                <w:szCs w:val="20"/>
                <w:color w:val="auto"/>
              </w:rPr>
            </w:pPr>
            <w:r>
              <w:rPr>
                <w:rFonts w:ascii="Arial" w:cs="Arial" w:eastAsia="Arial" w:hAnsi="Arial"/>
                <w:sz w:val="17"/>
                <w:szCs w:val="17"/>
                <w:color w:val="auto"/>
              </w:rPr>
              <w:t>(10,662)</w:t>
            </w:r>
          </w:p>
        </w:tc>
        <w:tc>
          <w:tcPr>
            <w:tcW w:w="1400" w:type="dxa"/>
            <w:vAlign w:val="bottom"/>
            <w:gridSpan w:val="2"/>
          </w:tcPr>
          <w:p>
            <w:pPr>
              <w:jc w:val="right"/>
              <w:ind w:right="140"/>
              <w:spacing w:after="0"/>
              <w:rPr>
                <w:sz w:val="20"/>
                <w:szCs w:val="20"/>
                <w:color w:val="auto"/>
              </w:rPr>
            </w:pPr>
            <w:r>
              <w:rPr>
                <w:rFonts w:ascii="Arial" w:cs="Arial" w:eastAsia="Arial" w:hAnsi="Arial"/>
                <w:sz w:val="17"/>
                <w:szCs w:val="17"/>
                <w:color w:val="auto"/>
              </w:rPr>
              <w:t>(437,594)</w:t>
            </w:r>
          </w:p>
        </w:tc>
        <w:tc>
          <w:tcPr>
            <w:tcW w:w="1400" w:type="dxa"/>
            <w:vAlign w:val="bottom"/>
            <w:gridSpan w:val="2"/>
          </w:tcPr>
          <w:p>
            <w:pPr>
              <w:jc w:val="right"/>
              <w:ind w:right="140"/>
              <w:spacing w:after="0"/>
              <w:rPr>
                <w:sz w:val="20"/>
                <w:szCs w:val="20"/>
                <w:color w:val="auto"/>
              </w:rPr>
            </w:pPr>
            <w:r>
              <w:rPr>
                <w:rFonts w:ascii="Arial" w:cs="Arial" w:eastAsia="Arial" w:hAnsi="Arial"/>
                <w:sz w:val="17"/>
                <w:szCs w:val="17"/>
                <w:color w:val="auto"/>
              </w:rPr>
              <w:t>(760,785)</w:t>
            </w:r>
          </w:p>
        </w:tc>
        <w:tc>
          <w:tcPr>
            <w:tcW w:w="1260" w:type="dxa"/>
            <w:vAlign w:val="bottom"/>
            <w:gridSpan w:val="2"/>
          </w:tcPr>
          <w:p>
            <w:pPr>
              <w:jc w:val="right"/>
              <w:spacing w:after="0"/>
              <w:rPr>
                <w:sz w:val="20"/>
                <w:szCs w:val="20"/>
                <w:color w:val="auto"/>
              </w:rPr>
            </w:pPr>
            <w:r>
              <w:rPr>
                <w:rFonts w:ascii="Arial" w:cs="Arial" w:eastAsia="Arial" w:hAnsi="Arial"/>
                <w:sz w:val="17"/>
                <w:szCs w:val="17"/>
                <w:color w:val="auto"/>
              </w:rPr>
              <w:t>(1,426,201)</w:t>
            </w:r>
          </w:p>
        </w:tc>
      </w:tr>
      <w:tr>
        <w:trPr>
          <w:trHeight w:val="233"/>
        </w:trPr>
        <w:tc>
          <w:tcPr>
            <w:tcW w:w="1540" w:type="dxa"/>
            <w:vAlign w:val="bottom"/>
            <w:gridSpan w:val="2"/>
          </w:tcPr>
          <w:p>
            <w:pPr>
              <w:jc w:val="right"/>
              <w:ind w:right="160"/>
              <w:spacing w:after="0"/>
              <w:rPr>
                <w:sz w:val="20"/>
                <w:szCs w:val="20"/>
                <w:color w:val="auto"/>
              </w:rPr>
            </w:pPr>
            <w:r>
              <w:rPr>
                <w:rFonts w:ascii="Arial" w:cs="Arial" w:eastAsia="Arial" w:hAnsi="Arial"/>
                <w:sz w:val="17"/>
                <w:szCs w:val="17"/>
                <w:color w:val="auto"/>
              </w:rPr>
              <w:t>(76,613)</w:t>
            </w:r>
          </w:p>
        </w:tc>
        <w:tc>
          <w:tcPr>
            <w:tcW w:w="1400" w:type="dxa"/>
            <w:vAlign w:val="bottom"/>
            <w:gridSpan w:val="2"/>
          </w:tcPr>
          <w:p>
            <w:pPr>
              <w:jc w:val="right"/>
              <w:ind w:right="140"/>
              <w:spacing w:after="0"/>
              <w:rPr>
                <w:sz w:val="20"/>
                <w:szCs w:val="20"/>
                <w:color w:val="auto"/>
              </w:rPr>
            </w:pPr>
            <w:r>
              <w:rPr>
                <w:rFonts w:ascii="Arial" w:cs="Arial" w:eastAsia="Arial" w:hAnsi="Arial"/>
                <w:sz w:val="17"/>
                <w:szCs w:val="17"/>
                <w:color w:val="auto"/>
              </w:rPr>
              <w:t>(5,099)</w:t>
            </w:r>
          </w:p>
        </w:tc>
        <w:tc>
          <w:tcPr>
            <w:tcW w:w="1400" w:type="dxa"/>
            <w:vAlign w:val="bottom"/>
            <w:gridSpan w:val="2"/>
          </w:tcPr>
          <w:p>
            <w:pPr>
              <w:jc w:val="right"/>
              <w:ind w:right="140"/>
              <w:spacing w:after="0"/>
              <w:rPr>
                <w:sz w:val="20"/>
                <w:szCs w:val="20"/>
                <w:color w:val="auto"/>
              </w:rPr>
            </w:pPr>
            <w:r>
              <w:rPr>
                <w:rFonts w:ascii="Arial" w:cs="Arial" w:eastAsia="Arial" w:hAnsi="Arial"/>
                <w:sz w:val="17"/>
                <w:szCs w:val="17"/>
                <w:color w:val="auto"/>
              </w:rPr>
              <w:t>(15,927)</w:t>
            </w:r>
          </w:p>
        </w:tc>
        <w:tc>
          <w:tcPr>
            <w:tcW w:w="1400" w:type="dxa"/>
            <w:vAlign w:val="bottom"/>
            <w:gridSpan w:val="2"/>
          </w:tcPr>
          <w:p>
            <w:pPr>
              <w:jc w:val="right"/>
              <w:ind w:right="140"/>
              <w:spacing w:after="0"/>
              <w:rPr>
                <w:sz w:val="20"/>
                <w:szCs w:val="20"/>
                <w:color w:val="auto"/>
              </w:rPr>
            </w:pPr>
            <w:r>
              <w:rPr>
                <w:rFonts w:ascii="Arial" w:cs="Arial" w:eastAsia="Arial" w:hAnsi="Arial"/>
                <w:sz w:val="17"/>
                <w:szCs w:val="17"/>
                <w:color w:val="auto"/>
              </w:rPr>
              <w:t>(7,322)</w:t>
            </w:r>
          </w:p>
        </w:tc>
        <w:tc>
          <w:tcPr>
            <w:tcW w:w="1260" w:type="dxa"/>
            <w:vAlign w:val="bottom"/>
            <w:gridSpan w:val="2"/>
          </w:tcPr>
          <w:p>
            <w:pPr>
              <w:jc w:val="right"/>
              <w:spacing w:after="0"/>
              <w:rPr>
                <w:sz w:val="20"/>
                <w:szCs w:val="20"/>
                <w:color w:val="auto"/>
              </w:rPr>
            </w:pPr>
            <w:r>
              <w:rPr>
                <w:rFonts w:ascii="Arial" w:cs="Arial" w:eastAsia="Arial" w:hAnsi="Arial"/>
                <w:sz w:val="17"/>
                <w:szCs w:val="17"/>
                <w:color w:val="auto"/>
              </w:rPr>
              <w:t>(104,961)</w:t>
            </w:r>
          </w:p>
        </w:tc>
      </w:tr>
      <w:tr>
        <w:trPr>
          <w:trHeight w:val="214"/>
        </w:trPr>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1,680,126</w:t>
            </w:r>
          </w:p>
        </w:tc>
        <w:tc>
          <w:tcPr>
            <w:tcW w:w="200" w:type="dxa"/>
            <w:vAlign w:val="bottom"/>
          </w:tcPr>
          <w:p>
            <w:pPr>
              <w:spacing w:after="0"/>
              <w:rPr>
                <w:sz w:val="18"/>
                <w:szCs w:val="18"/>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228,287</w:t>
            </w:r>
          </w:p>
        </w:tc>
        <w:tc>
          <w:tcPr>
            <w:tcW w:w="200" w:type="dxa"/>
            <w:vAlign w:val="bottom"/>
          </w:tcPr>
          <w:p>
            <w:pPr>
              <w:spacing w:after="0"/>
              <w:rPr>
                <w:sz w:val="18"/>
                <w:szCs w:val="18"/>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1,476,578</w:t>
            </w:r>
          </w:p>
        </w:tc>
        <w:tc>
          <w:tcPr>
            <w:tcW w:w="200" w:type="dxa"/>
            <w:vAlign w:val="bottom"/>
          </w:tcPr>
          <w:p>
            <w:pPr>
              <w:spacing w:after="0"/>
              <w:rPr>
                <w:sz w:val="18"/>
                <w:szCs w:val="18"/>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1,558,017</w:t>
            </w:r>
          </w:p>
        </w:tc>
        <w:tc>
          <w:tcPr>
            <w:tcW w:w="200" w:type="dxa"/>
            <w:vAlign w:val="bottom"/>
          </w:tcPr>
          <w:p>
            <w:pPr>
              <w:spacing w:after="0"/>
              <w:rPr>
                <w:sz w:val="18"/>
                <w:szCs w:val="18"/>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4,943,008</w:t>
            </w:r>
          </w:p>
        </w:tc>
        <w:tc>
          <w:tcPr>
            <w:tcW w:w="60" w:type="dxa"/>
            <w:vAlign w:val="bottom"/>
          </w:tcPr>
          <w:p>
            <w:pPr>
              <w:spacing w:after="0"/>
              <w:rPr>
                <w:sz w:val="18"/>
                <w:szCs w:val="18"/>
                <w:color w:val="auto"/>
              </w:rPr>
            </w:pPr>
          </w:p>
        </w:tc>
      </w:tr>
      <w:tr>
        <w:trPr>
          <w:trHeight w:val="20"/>
        </w:trPr>
        <w:tc>
          <w:tcPr>
            <w:tcW w:w="13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08"/>
        </w:trPr>
        <w:tc>
          <w:tcPr>
            <w:tcW w:w="13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413"/>
              <w:spacing w:after="0"/>
              <w:rPr>
                <w:sz w:val="20"/>
                <w:szCs w:val="20"/>
                <w:color w:val="auto"/>
              </w:rPr>
            </w:pPr>
            <w:r>
              <w:rPr>
                <w:rFonts w:ascii="Arial" w:cs="Arial" w:eastAsia="Arial" w:hAnsi="Arial"/>
                <w:sz w:val="17"/>
                <w:szCs w:val="17"/>
                <w:b w:val="1"/>
                <w:bCs w:val="1"/>
                <w:color w:val="auto"/>
              </w:rPr>
              <w:t>2016</w:t>
            </w:r>
          </w:p>
        </w:tc>
        <w:tc>
          <w:tcPr>
            <w:tcW w:w="2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182"/>
        </w:trPr>
        <w:tc>
          <w:tcPr>
            <w:tcW w:w="1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0" w:type="dxa"/>
            <w:vAlign w:val="bottom"/>
            <w:gridSpan w:val="2"/>
          </w:tcPr>
          <w:p>
            <w:pPr>
              <w:jc w:val="center"/>
              <w:ind w:right="260"/>
              <w:spacing w:after="0" w:line="183" w:lineRule="exact"/>
              <w:rPr>
                <w:sz w:val="20"/>
                <w:szCs w:val="20"/>
                <w:color w:val="auto"/>
              </w:rPr>
            </w:pPr>
            <w:r>
              <w:rPr>
                <w:rFonts w:ascii="Arial" w:cs="Arial" w:eastAsia="Arial" w:hAnsi="Arial"/>
                <w:sz w:val="17"/>
                <w:szCs w:val="17"/>
                <w:b w:val="1"/>
                <w:bCs w:val="1"/>
                <w:color w:val="auto"/>
                <w:w w:val="90"/>
              </w:rPr>
              <w:t>Residential</w:t>
            </w:r>
          </w:p>
        </w:tc>
        <w:tc>
          <w:tcPr>
            <w:tcW w:w="1400" w:type="dxa"/>
            <w:vAlign w:val="bottom"/>
            <w:gridSpan w:val="2"/>
          </w:tcPr>
          <w:p>
            <w:pPr>
              <w:jc w:val="center"/>
              <w:ind w:right="240"/>
              <w:spacing w:after="0" w:line="183" w:lineRule="exact"/>
              <w:rPr>
                <w:sz w:val="20"/>
                <w:szCs w:val="20"/>
                <w:color w:val="auto"/>
              </w:rPr>
            </w:pPr>
            <w:r>
              <w:rPr>
                <w:rFonts w:ascii="Arial" w:cs="Arial" w:eastAsia="Arial" w:hAnsi="Arial"/>
                <w:sz w:val="17"/>
                <w:szCs w:val="17"/>
                <w:b w:val="1"/>
                <w:bCs w:val="1"/>
                <w:color w:val="auto"/>
                <w:w w:val="89"/>
              </w:rPr>
              <w:t>Micro-business</w:t>
            </w:r>
          </w:p>
        </w:tc>
        <w:tc>
          <w:tcPr>
            <w:tcW w:w="1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226"/>
        </w:trPr>
        <w:tc>
          <w:tcPr>
            <w:tcW w:w="1540" w:type="dxa"/>
            <w:vAlign w:val="bottom"/>
            <w:gridSpan w:val="2"/>
          </w:tcPr>
          <w:p>
            <w:pPr>
              <w:jc w:val="center"/>
              <w:ind w:right="200"/>
              <w:spacing w:after="0"/>
              <w:rPr>
                <w:sz w:val="20"/>
                <w:szCs w:val="20"/>
                <w:color w:val="auto"/>
              </w:rPr>
            </w:pPr>
            <w:r>
              <w:rPr>
                <w:rFonts w:ascii="Arial" w:cs="Arial" w:eastAsia="Arial" w:hAnsi="Arial"/>
                <w:sz w:val="17"/>
                <w:szCs w:val="17"/>
                <w:b w:val="1"/>
                <w:bCs w:val="1"/>
                <w:color w:val="auto"/>
                <w:w w:val="91"/>
              </w:rPr>
              <w:t>Commercial loans</w:t>
            </w:r>
          </w:p>
        </w:tc>
        <w:tc>
          <w:tcPr>
            <w:tcW w:w="1400" w:type="dxa"/>
            <w:vAlign w:val="bottom"/>
            <w:gridSpan w:val="2"/>
          </w:tcPr>
          <w:p>
            <w:pPr>
              <w:jc w:val="center"/>
              <w:ind w:right="200"/>
              <w:spacing w:after="0"/>
              <w:rPr>
                <w:sz w:val="20"/>
                <w:szCs w:val="20"/>
                <w:color w:val="auto"/>
              </w:rPr>
            </w:pPr>
            <w:r>
              <w:rPr>
                <w:rFonts w:ascii="Arial" w:cs="Arial" w:eastAsia="Arial" w:hAnsi="Arial"/>
                <w:sz w:val="17"/>
                <w:szCs w:val="17"/>
                <w:b w:val="1"/>
                <w:bCs w:val="1"/>
                <w:color w:val="auto"/>
                <w:w w:val="88"/>
              </w:rPr>
              <w:t>mortgage loans</w:t>
            </w:r>
          </w:p>
        </w:tc>
        <w:tc>
          <w:tcPr>
            <w:tcW w:w="1400" w:type="dxa"/>
            <w:vAlign w:val="bottom"/>
            <w:gridSpan w:val="2"/>
          </w:tcPr>
          <w:p>
            <w:pPr>
              <w:jc w:val="right"/>
              <w:ind w:right="600"/>
              <w:spacing w:after="0"/>
              <w:rPr>
                <w:sz w:val="20"/>
                <w:szCs w:val="20"/>
                <w:color w:val="auto"/>
              </w:rPr>
            </w:pPr>
            <w:r>
              <w:rPr>
                <w:rFonts w:ascii="Arial" w:cs="Arial" w:eastAsia="Arial" w:hAnsi="Arial"/>
                <w:sz w:val="17"/>
                <w:szCs w:val="17"/>
                <w:b w:val="1"/>
                <w:bCs w:val="1"/>
                <w:color w:val="auto"/>
              </w:rPr>
              <w:t>loans</w:t>
            </w:r>
          </w:p>
        </w:tc>
        <w:tc>
          <w:tcPr>
            <w:tcW w:w="1400" w:type="dxa"/>
            <w:vAlign w:val="bottom"/>
            <w:gridSpan w:val="2"/>
          </w:tcPr>
          <w:p>
            <w:pPr>
              <w:jc w:val="center"/>
              <w:ind w:right="200"/>
              <w:spacing w:after="0"/>
              <w:rPr>
                <w:sz w:val="20"/>
                <w:szCs w:val="20"/>
                <w:color w:val="auto"/>
              </w:rPr>
            </w:pPr>
            <w:r>
              <w:rPr>
                <w:rFonts w:ascii="Arial" w:cs="Arial" w:eastAsia="Arial" w:hAnsi="Arial"/>
                <w:sz w:val="17"/>
                <w:szCs w:val="17"/>
                <w:b w:val="1"/>
                <w:bCs w:val="1"/>
                <w:color w:val="auto"/>
                <w:w w:val="90"/>
              </w:rPr>
              <w:t>Consumer loans</w:t>
            </w:r>
          </w:p>
        </w:tc>
        <w:tc>
          <w:tcPr>
            <w:tcW w:w="1260" w:type="dxa"/>
            <w:vAlign w:val="bottom"/>
            <w:gridSpan w:val="2"/>
          </w:tcPr>
          <w:p>
            <w:pPr>
              <w:jc w:val="center"/>
              <w:ind w:right="40"/>
              <w:spacing w:after="0"/>
              <w:rPr>
                <w:sz w:val="20"/>
                <w:szCs w:val="20"/>
                <w:color w:val="auto"/>
              </w:rPr>
            </w:pPr>
            <w:r>
              <w:rPr>
                <w:rFonts w:ascii="Arial" w:cs="Arial" w:eastAsia="Arial" w:hAnsi="Arial"/>
                <w:sz w:val="17"/>
                <w:szCs w:val="17"/>
                <w:b w:val="1"/>
                <w:bCs w:val="1"/>
                <w:color w:val="auto"/>
                <w:w w:val="93"/>
              </w:rPr>
              <w:t>Total</w:t>
            </w:r>
          </w:p>
        </w:tc>
      </w:tr>
      <w:tr>
        <w:trPr>
          <w:trHeight w:val="219"/>
        </w:trPr>
        <w:tc>
          <w:tcPr>
            <w:tcW w:w="1340" w:type="dxa"/>
            <w:vAlign w:val="bottom"/>
            <w:tcBorders>
              <w:top w:val="single" w:sz="8" w:color="auto"/>
            </w:tcBorders>
          </w:tcPr>
          <w:p>
            <w:pPr>
              <w:jc w:val="center"/>
              <w:spacing w:after="0"/>
              <w:rPr>
                <w:sz w:val="20"/>
                <w:szCs w:val="20"/>
                <w:color w:val="auto"/>
              </w:rPr>
            </w:pPr>
            <w:r>
              <w:rPr>
                <w:rFonts w:ascii="Arial" w:cs="Arial" w:eastAsia="Arial" w:hAnsi="Arial"/>
                <w:sz w:val="17"/>
                <w:szCs w:val="17"/>
                <w:b w:val="1"/>
                <w:bCs w:val="1"/>
                <w:color w:val="auto"/>
                <w:w w:val="93"/>
              </w:rPr>
              <w:t>S/(000)</w:t>
            </w:r>
          </w:p>
        </w:tc>
        <w:tc>
          <w:tcPr>
            <w:tcW w:w="200" w:type="dxa"/>
            <w:vAlign w:val="bottom"/>
          </w:tcPr>
          <w:p>
            <w:pPr>
              <w:spacing w:after="0"/>
              <w:rPr>
                <w:sz w:val="19"/>
                <w:szCs w:val="19"/>
                <w:color w:val="auto"/>
              </w:rPr>
            </w:pPr>
          </w:p>
        </w:tc>
        <w:tc>
          <w:tcPr>
            <w:tcW w:w="1200" w:type="dxa"/>
            <w:vAlign w:val="bottom"/>
            <w:tcBorders>
              <w:top w:val="single" w:sz="8" w:color="auto"/>
            </w:tcBorders>
          </w:tcPr>
          <w:p>
            <w:pPr>
              <w:jc w:val="center"/>
              <w:spacing w:after="0"/>
              <w:rPr>
                <w:sz w:val="20"/>
                <w:szCs w:val="20"/>
                <w:color w:val="auto"/>
              </w:rPr>
            </w:pPr>
            <w:r>
              <w:rPr>
                <w:rFonts w:ascii="Arial" w:cs="Arial" w:eastAsia="Arial" w:hAnsi="Arial"/>
                <w:sz w:val="17"/>
                <w:szCs w:val="17"/>
                <w:b w:val="1"/>
                <w:bCs w:val="1"/>
                <w:color w:val="auto"/>
                <w:w w:val="93"/>
              </w:rPr>
              <w:t>S/(000)</w:t>
            </w:r>
          </w:p>
        </w:tc>
        <w:tc>
          <w:tcPr>
            <w:tcW w:w="200" w:type="dxa"/>
            <w:vAlign w:val="bottom"/>
          </w:tcPr>
          <w:p>
            <w:pPr>
              <w:spacing w:after="0"/>
              <w:rPr>
                <w:sz w:val="19"/>
                <w:szCs w:val="19"/>
                <w:color w:val="auto"/>
              </w:rPr>
            </w:pPr>
          </w:p>
        </w:tc>
        <w:tc>
          <w:tcPr>
            <w:tcW w:w="1200" w:type="dxa"/>
            <w:vAlign w:val="bottom"/>
            <w:tcBorders>
              <w:top w:val="single" w:sz="8" w:color="auto"/>
            </w:tcBorders>
          </w:tcPr>
          <w:p>
            <w:pPr>
              <w:jc w:val="center"/>
              <w:spacing w:after="0"/>
              <w:rPr>
                <w:sz w:val="20"/>
                <w:szCs w:val="20"/>
                <w:color w:val="auto"/>
              </w:rPr>
            </w:pPr>
            <w:r>
              <w:rPr>
                <w:rFonts w:ascii="Arial" w:cs="Arial" w:eastAsia="Arial" w:hAnsi="Arial"/>
                <w:sz w:val="17"/>
                <w:szCs w:val="17"/>
                <w:b w:val="1"/>
                <w:bCs w:val="1"/>
                <w:color w:val="auto"/>
                <w:w w:val="93"/>
              </w:rPr>
              <w:t>S/(000)</w:t>
            </w:r>
          </w:p>
        </w:tc>
        <w:tc>
          <w:tcPr>
            <w:tcW w:w="200" w:type="dxa"/>
            <w:vAlign w:val="bottom"/>
          </w:tcPr>
          <w:p>
            <w:pPr>
              <w:spacing w:after="0"/>
              <w:rPr>
                <w:sz w:val="19"/>
                <w:szCs w:val="19"/>
                <w:color w:val="auto"/>
              </w:rPr>
            </w:pPr>
          </w:p>
        </w:tc>
        <w:tc>
          <w:tcPr>
            <w:tcW w:w="1200" w:type="dxa"/>
            <w:vAlign w:val="bottom"/>
            <w:tcBorders>
              <w:top w:val="single" w:sz="8" w:color="auto"/>
            </w:tcBorders>
          </w:tcPr>
          <w:p>
            <w:pPr>
              <w:jc w:val="center"/>
              <w:spacing w:after="0"/>
              <w:rPr>
                <w:sz w:val="20"/>
                <w:szCs w:val="20"/>
                <w:color w:val="auto"/>
              </w:rPr>
            </w:pPr>
            <w:r>
              <w:rPr>
                <w:rFonts w:ascii="Arial" w:cs="Arial" w:eastAsia="Arial" w:hAnsi="Arial"/>
                <w:sz w:val="17"/>
                <w:szCs w:val="17"/>
                <w:b w:val="1"/>
                <w:bCs w:val="1"/>
                <w:color w:val="auto"/>
                <w:w w:val="93"/>
              </w:rPr>
              <w:t>S/(000)</w:t>
            </w:r>
          </w:p>
        </w:tc>
        <w:tc>
          <w:tcPr>
            <w:tcW w:w="200" w:type="dxa"/>
            <w:vAlign w:val="bottom"/>
          </w:tcPr>
          <w:p>
            <w:pPr>
              <w:spacing w:after="0"/>
              <w:rPr>
                <w:sz w:val="19"/>
                <w:szCs w:val="19"/>
                <w:color w:val="auto"/>
              </w:rPr>
            </w:pPr>
          </w:p>
        </w:tc>
        <w:tc>
          <w:tcPr>
            <w:tcW w:w="1200" w:type="dxa"/>
            <w:vAlign w:val="bottom"/>
            <w:tcBorders>
              <w:top w:val="single" w:sz="8" w:color="auto"/>
            </w:tcBorders>
          </w:tcPr>
          <w:p>
            <w:pPr>
              <w:jc w:val="center"/>
              <w:spacing w:after="0"/>
              <w:rPr>
                <w:sz w:val="20"/>
                <w:szCs w:val="20"/>
                <w:color w:val="auto"/>
              </w:rPr>
            </w:pPr>
            <w:r>
              <w:rPr>
                <w:rFonts w:ascii="Arial" w:cs="Arial" w:eastAsia="Arial" w:hAnsi="Arial"/>
                <w:sz w:val="17"/>
                <w:szCs w:val="17"/>
                <w:b w:val="1"/>
                <w:bCs w:val="1"/>
                <w:color w:val="auto"/>
                <w:w w:val="93"/>
              </w:rPr>
              <w:t>S/(000)</w:t>
            </w:r>
          </w:p>
        </w:tc>
        <w:tc>
          <w:tcPr>
            <w:tcW w:w="60" w:type="dxa"/>
            <w:vAlign w:val="bottom"/>
          </w:tcPr>
          <w:p>
            <w:pPr>
              <w:spacing w:after="0"/>
              <w:rPr>
                <w:sz w:val="19"/>
                <w:szCs w:val="19"/>
                <w:color w:val="auto"/>
              </w:rPr>
            </w:pPr>
          </w:p>
        </w:tc>
      </w:tr>
      <w:tr>
        <w:trPr>
          <w:trHeight w:val="385"/>
        </w:trPr>
        <w:tc>
          <w:tcPr>
            <w:tcW w:w="1540" w:type="dxa"/>
            <w:vAlign w:val="bottom"/>
            <w:gridSpan w:val="2"/>
          </w:tcPr>
          <w:p>
            <w:pPr>
              <w:jc w:val="right"/>
              <w:ind w:right="200"/>
              <w:spacing w:after="0"/>
              <w:rPr>
                <w:sz w:val="20"/>
                <w:szCs w:val="20"/>
                <w:color w:val="auto"/>
              </w:rPr>
            </w:pPr>
            <w:r>
              <w:rPr>
                <w:rFonts w:ascii="Arial" w:cs="Arial" w:eastAsia="Arial" w:hAnsi="Arial"/>
                <w:sz w:val="17"/>
                <w:szCs w:val="17"/>
                <w:color w:val="auto"/>
              </w:rPr>
              <w:t>1,197,713</w:t>
            </w:r>
          </w:p>
        </w:tc>
        <w:tc>
          <w:tcPr>
            <w:tcW w:w="1400" w:type="dxa"/>
            <w:vAlign w:val="bottom"/>
            <w:gridSpan w:val="2"/>
          </w:tcPr>
          <w:p>
            <w:pPr>
              <w:jc w:val="right"/>
              <w:ind w:right="200"/>
              <w:spacing w:after="0"/>
              <w:rPr>
                <w:sz w:val="20"/>
                <w:szCs w:val="20"/>
                <w:color w:val="auto"/>
              </w:rPr>
            </w:pPr>
            <w:r>
              <w:rPr>
                <w:rFonts w:ascii="Arial" w:cs="Arial" w:eastAsia="Arial" w:hAnsi="Arial"/>
                <w:sz w:val="17"/>
                <w:szCs w:val="17"/>
                <w:color w:val="auto"/>
              </w:rPr>
              <w:t>173,879</w:t>
            </w:r>
          </w:p>
        </w:tc>
        <w:tc>
          <w:tcPr>
            <w:tcW w:w="1400" w:type="dxa"/>
            <w:vAlign w:val="bottom"/>
            <w:gridSpan w:val="2"/>
          </w:tcPr>
          <w:p>
            <w:pPr>
              <w:jc w:val="right"/>
              <w:ind w:right="200"/>
              <w:spacing w:after="0"/>
              <w:rPr>
                <w:sz w:val="20"/>
                <w:szCs w:val="20"/>
                <w:color w:val="auto"/>
              </w:rPr>
            </w:pPr>
            <w:r>
              <w:rPr>
                <w:rFonts w:ascii="Arial" w:cs="Arial" w:eastAsia="Arial" w:hAnsi="Arial"/>
                <w:sz w:val="17"/>
                <w:szCs w:val="17"/>
                <w:color w:val="auto"/>
              </w:rPr>
              <w:t>1,372,099</w:t>
            </w:r>
          </w:p>
        </w:tc>
        <w:tc>
          <w:tcPr>
            <w:tcW w:w="1200" w:type="dxa"/>
            <w:vAlign w:val="bottom"/>
          </w:tcPr>
          <w:p>
            <w:pPr>
              <w:jc w:val="right"/>
              <w:spacing w:after="0"/>
              <w:rPr>
                <w:sz w:val="20"/>
                <w:szCs w:val="20"/>
                <w:color w:val="auto"/>
              </w:rPr>
            </w:pPr>
            <w:r>
              <w:rPr>
                <w:rFonts w:ascii="Arial" w:cs="Arial" w:eastAsia="Arial" w:hAnsi="Arial"/>
                <w:sz w:val="17"/>
                <w:szCs w:val="17"/>
                <w:color w:val="auto"/>
              </w:rPr>
              <w:t>1,288,528</w:t>
            </w:r>
          </w:p>
        </w:tc>
        <w:tc>
          <w:tcPr>
            <w:tcW w:w="20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4,032,219</w:t>
            </w:r>
          </w:p>
        </w:tc>
        <w:tc>
          <w:tcPr>
            <w:tcW w:w="60" w:type="dxa"/>
            <w:vAlign w:val="bottom"/>
          </w:tcPr>
          <w:p>
            <w:pPr>
              <w:spacing w:after="0"/>
              <w:rPr>
                <w:sz w:val="24"/>
                <w:szCs w:val="24"/>
                <w:color w:val="auto"/>
              </w:rPr>
            </w:pPr>
          </w:p>
        </w:tc>
      </w:tr>
      <w:tr>
        <w:trPr>
          <w:trHeight w:val="208"/>
        </w:trPr>
        <w:tc>
          <w:tcPr>
            <w:tcW w:w="1540" w:type="dxa"/>
            <w:vAlign w:val="bottom"/>
            <w:gridSpan w:val="2"/>
          </w:tcPr>
          <w:p>
            <w:pPr>
              <w:jc w:val="right"/>
              <w:ind w:right="200"/>
              <w:spacing w:after="0"/>
              <w:rPr>
                <w:sz w:val="20"/>
                <w:szCs w:val="20"/>
                <w:color w:val="auto"/>
              </w:rPr>
            </w:pPr>
            <w:r>
              <w:rPr>
                <w:rFonts w:ascii="Arial" w:cs="Arial" w:eastAsia="Arial" w:hAnsi="Arial"/>
                <w:sz w:val="17"/>
                <w:szCs w:val="17"/>
                <w:color w:val="auto"/>
              </w:rPr>
              <w:t>25,567</w:t>
            </w:r>
          </w:p>
        </w:tc>
        <w:tc>
          <w:tcPr>
            <w:tcW w:w="1400" w:type="dxa"/>
            <w:vAlign w:val="bottom"/>
            <w:gridSpan w:val="2"/>
          </w:tcPr>
          <w:p>
            <w:pPr>
              <w:jc w:val="right"/>
              <w:ind w:right="200"/>
              <w:spacing w:after="0"/>
              <w:rPr>
                <w:sz w:val="20"/>
                <w:szCs w:val="20"/>
                <w:color w:val="auto"/>
              </w:rPr>
            </w:pPr>
            <w:r>
              <w:rPr>
                <w:rFonts w:ascii="Arial" w:cs="Arial" w:eastAsia="Arial" w:hAnsi="Arial"/>
                <w:sz w:val="17"/>
                <w:szCs w:val="17"/>
                <w:color w:val="auto"/>
              </w:rPr>
              <w:t>26,845</w:t>
            </w:r>
          </w:p>
        </w:tc>
        <w:tc>
          <w:tcPr>
            <w:tcW w:w="1400" w:type="dxa"/>
            <w:vAlign w:val="bottom"/>
            <w:gridSpan w:val="2"/>
          </w:tcPr>
          <w:p>
            <w:pPr>
              <w:jc w:val="right"/>
              <w:ind w:right="200"/>
              <w:spacing w:after="0"/>
              <w:rPr>
                <w:sz w:val="20"/>
                <w:szCs w:val="20"/>
                <w:color w:val="auto"/>
              </w:rPr>
            </w:pPr>
            <w:r>
              <w:rPr>
                <w:rFonts w:ascii="Arial" w:cs="Arial" w:eastAsia="Arial" w:hAnsi="Arial"/>
                <w:sz w:val="17"/>
                <w:szCs w:val="17"/>
                <w:color w:val="auto"/>
              </w:rPr>
              <w:t>538,233</w:t>
            </w:r>
          </w:p>
        </w:tc>
        <w:tc>
          <w:tcPr>
            <w:tcW w:w="1200" w:type="dxa"/>
            <w:vAlign w:val="bottom"/>
          </w:tcPr>
          <w:p>
            <w:pPr>
              <w:jc w:val="right"/>
              <w:spacing w:after="0"/>
              <w:rPr>
                <w:sz w:val="20"/>
                <w:szCs w:val="20"/>
                <w:color w:val="auto"/>
              </w:rPr>
            </w:pPr>
            <w:r>
              <w:rPr>
                <w:rFonts w:ascii="Arial" w:cs="Arial" w:eastAsia="Arial" w:hAnsi="Arial"/>
                <w:sz w:val="17"/>
                <w:szCs w:val="17"/>
                <w:color w:val="auto"/>
              </w:rPr>
              <w:t>1,194,850</w:t>
            </w: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1,785,495</w:t>
            </w:r>
          </w:p>
        </w:tc>
        <w:tc>
          <w:tcPr>
            <w:tcW w:w="60" w:type="dxa"/>
            <w:vAlign w:val="bottom"/>
          </w:tcPr>
          <w:p>
            <w:pPr>
              <w:spacing w:after="0"/>
              <w:rPr>
                <w:sz w:val="18"/>
                <w:szCs w:val="18"/>
                <w:color w:val="auto"/>
              </w:rPr>
            </w:pPr>
          </w:p>
        </w:tc>
      </w:tr>
      <w:tr>
        <w:trPr>
          <w:trHeight w:val="208"/>
        </w:trPr>
        <w:tc>
          <w:tcPr>
            <w:tcW w:w="1540" w:type="dxa"/>
            <w:vAlign w:val="bottom"/>
            <w:gridSpan w:val="2"/>
          </w:tcPr>
          <w:p>
            <w:pPr>
              <w:jc w:val="right"/>
              <w:ind w:right="200"/>
              <w:spacing w:after="0"/>
              <w:rPr>
                <w:sz w:val="20"/>
                <w:szCs w:val="20"/>
                <w:color w:val="auto"/>
              </w:rPr>
            </w:pPr>
            <w:r>
              <w:rPr>
                <w:rFonts w:ascii="Arial" w:cs="Arial" w:eastAsia="Arial" w:hAnsi="Arial"/>
                <w:sz w:val="17"/>
                <w:szCs w:val="17"/>
                <w:color w:val="auto"/>
              </w:rPr>
              <w:t>219,986</w:t>
            </w:r>
          </w:p>
        </w:tc>
        <w:tc>
          <w:tcPr>
            <w:tcW w:w="1400" w:type="dxa"/>
            <w:vAlign w:val="bottom"/>
            <w:gridSpan w:val="2"/>
          </w:tcPr>
          <w:p>
            <w:pPr>
              <w:jc w:val="right"/>
              <w:ind w:right="200"/>
              <w:spacing w:after="0"/>
              <w:rPr>
                <w:sz w:val="20"/>
                <w:szCs w:val="20"/>
                <w:color w:val="auto"/>
              </w:rPr>
            </w:pPr>
            <w:r>
              <w:rPr>
                <w:rFonts w:ascii="Arial" w:cs="Arial" w:eastAsia="Arial" w:hAnsi="Arial"/>
                <w:sz w:val="17"/>
                <w:szCs w:val="17"/>
                <w:color w:val="auto"/>
              </w:rPr>
              <w:t>814</w:t>
            </w:r>
          </w:p>
        </w:tc>
        <w:tc>
          <w:tcPr>
            <w:tcW w:w="1400" w:type="dxa"/>
            <w:vAlign w:val="bottom"/>
            <w:gridSpan w:val="2"/>
          </w:tcPr>
          <w:p>
            <w:pPr>
              <w:jc w:val="right"/>
              <w:ind w:right="200"/>
              <w:spacing w:after="0"/>
              <w:rPr>
                <w:sz w:val="20"/>
                <w:szCs w:val="20"/>
                <w:color w:val="auto"/>
              </w:rPr>
            </w:pPr>
            <w:r>
              <w:rPr>
                <w:rFonts w:ascii="Arial" w:cs="Arial" w:eastAsia="Arial" w:hAnsi="Arial"/>
                <w:sz w:val="17"/>
                <w:szCs w:val="17"/>
                <w:color w:val="auto"/>
              </w:rPr>
              <w:t>50,588</w:t>
            </w:r>
          </w:p>
        </w:tc>
        <w:tc>
          <w:tcPr>
            <w:tcW w:w="1400" w:type="dxa"/>
            <w:vAlign w:val="bottom"/>
            <w:gridSpan w:val="2"/>
          </w:tcPr>
          <w:p>
            <w:pPr>
              <w:jc w:val="right"/>
              <w:ind w:right="200"/>
              <w:spacing w:after="0"/>
              <w:rPr>
                <w:sz w:val="20"/>
                <w:szCs w:val="20"/>
                <w:color w:val="auto"/>
              </w:rPr>
            </w:pPr>
            <w:r>
              <w:rPr>
                <w:rFonts w:ascii="Arial" w:cs="Arial" w:eastAsia="Arial" w:hAnsi="Arial"/>
                <w:sz w:val="17"/>
                <w:szCs w:val="17"/>
                <w:color w:val="auto"/>
              </w:rPr>
              <w:t>6,326</w:t>
            </w:r>
          </w:p>
        </w:tc>
        <w:tc>
          <w:tcPr>
            <w:tcW w:w="1200" w:type="dxa"/>
            <w:vAlign w:val="bottom"/>
          </w:tcPr>
          <w:p>
            <w:pPr>
              <w:jc w:val="right"/>
              <w:spacing w:after="0"/>
              <w:rPr>
                <w:sz w:val="20"/>
                <w:szCs w:val="20"/>
                <w:color w:val="auto"/>
              </w:rPr>
            </w:pPr>
            <w:r>
              <w:rPr>
                <w:rFonts w:ascii="Arial" w:cs="Arial" w:eastAsia="Arial" w:hAnsi="Arial"/>
                <w:sz w:val="17"/>
                <w:szCs w:val="17"/>
                <w:color w:val="auto"/>
              </w:rPr>
              <w:t>277,714</w:t>
            </w:r>
          </w:p>
        </w:tc>
        <w:tc>
          <w:tcPr>
            <w:tcW w:w="60" w:type="dxa"/>
            <w:vAlign w:val="bottom"/>
          </w:tcPr>
          <w:p>
            <w:pPr>
              <w:spacing w:after="0"/>
              <w:rPr>
                <w:sz w:val="18"/>
                <w:szCs w:val="18"/>
                <w:color w:val="auto"/>
              </w:rPr>
            </w:pPr>
          </w:p>
        </w:tc>
      </w:tr>
      <w:tr>
        <w:trPr>
          <w:trHeight w:val="208"/>
        </w:trPr>
        <w:tc>
          <w:tcPr>
            <w:tcW w:w="1540" w:type="dxa"/>
            <w:vAlign w:val="bottom"/>
            <w:gridSpan w:val="2"/>
          </w:tcPr>
          <w:p>
            <w:pPr>
              <w:jc w:val="right"/>
              <w:ind w:right="160"/>
              <w:spacing w:after="0"/>
              <w:rPr>
                <w:sz w:val="20"/>
                <w:szCs w:val="20"/>
                <w:color w:val="auto"/>
              </w:rPr>
            </w:pPr>
            <w:r>
              <w:rPr>
                <w:rFonts w:ascii="Arial" w:cs="Arial" w:eastAsia="Arial" w:hAnsi="Arial"/>
                <w:sz w:val="17"/>
                <w:szCs w:val="17"/>
                <w:color w:val="auto"/>
              </w:rPr>
              <w:t>(143,871)</w:t>
            </w:r>
          </w:p>
        </w:tc>
        <w:tc>
          <w:tcPr>
            <w:tcW w:w="1400" w:type="dxa"/>
            <w:vAlign w:val="bottom"/>
            <w:gridSpan w:val="2"/>
          </w:tcPr>
          <w:p>
            <w:pPr>
              <w:jc w:val="right"/>
              <w:ind w:right="140"/>
              <w:spacing w:after="0"/>
              <w:rPr>
                <w:sz w:val="20"/>
                <w:szCs w:val="20"/>
                <w:color w:val="auto"/>
              </w:rPr>
            </w:pPr>
            <w:r>
              <w:rPr>
                <w:rFonts w:ascii="Arial" w:cs="Arial" w:eastAsia="Arial" w:hAnsi="Arial"/>
                <w:sz w:val="17"/>
                <w:szCs w:val="17"/>
                <w:color w:val="auto"/>
              </w:rPr>
              <w:t>(7,877)</w:t>
            </w:r>
          </w:p>
        </w:tc>
        <w:tc>
          <w:tcPr>
            <w:tcW w:w="1400" w:type="dxa"/>
            <w:vAlign w:val="bottom"/>
            <w:gridSpan w:val="2"/>
          </w:tcPr>
          <w:p>
            <w:pPr>
              <w:jc w:val="right"/>
              <w:ind w:right="140"/>
              <w:spacing w:after="0"/>
              <w:rPr>
                <w:sz w:val="20"/>
                <w:szCs w:val="20"/>
                <w:color w:val="auto"/>
              </w:rPr>
            </w:pPr>
            <w:r>
              <w:rPr>
                <w:rFonts w:ascii="Arial" w:cs="Arial" w:eastAsia="Arial" w:hAnsi="Arial"/>
                <w:sz w:val="17"/>
                <w:szCs w:val="17"/>
                <w:color w:val="auto"/>
              </w:rPr>
              <w:t>(606,546)</w:t>
            </w:r>
          </w:p>
        </w:tc>
        <w:tc>
          <w:tcPr>
            <w:tcW w:w="1400" w:type="dxa"/>
            <w:vAlign w:val="bottom"/>
            <w:gridSpan w:val="2"/>
          </w:tcPr>
          <w:p>
            <w:pPr>
              <w:jc w:val="right"/>
              <w:ind w:right="140"/>
              <w:spacing w:after="0"/>
              <w:rPr>
                <w:sz w:val="20"/>
                <w:szCs w:val="20"/>
                <w:color w:val="auto"/>
              </w:rPr>
            </w:pPr>
            <w:r>
              <w:rPr>
                <w:rFonts w:ascii="Arial" w:cs="Arial" w:eastAsia="Arial" w:hAnsi="Arial"/>
                <w:sz w:val="17"/>
                <w:szCs w:val="17"/>
                <w:color w:val="auto"/>
              </w:rPr>
              <w:t>(853,844)</w:t>
            </w:r>
          </w:p>
        </w:tc>
        <w:tc>
          <w:tcPr>
            <w:tcW w:w="1260" w:type="dxa"/>
            <w:vAlign w:val="bottom"/>
            <w:gridSpan w:val="2"/>
          </w:tcPr>
          <w:p>
            <w:pPr>
              <w:jc w:val="right"/>
              <w:spacing w:after="0"/>
              <w:rPr>
                <w:sz w:val="20"/>
                <w:szCs w:val="20"/>
                <w:color w:val="auto"/>
              </w:rPr>
            </w:pPr>
            <w:r>
              <w:rPr>
                <w:rFonts w:ascii="Arial" w:cs="Arial" w:eastAsia="Arial" w:hAnsi="Arial"/>
                <w:sz w:val="17"/>
                <w:szCs w:val="17"/>
                <w:color w:val="auto"/>
              </w:rPr>
              <w:t>(1,612,138)</w:t>
            </w:r>
          </w:p>
        </w:tc>
      </w:tr>
      <w:tr>
        <w:trPr>
          <w:trHeight w:val="233"/>
        </w:trPr>
        <w:tc>
          <w:tcPr>
            <w:tcW w:w="1540" w:type="dxa"/>
            <w:vAlign w:val="bottom"/>
            <w:gridSpan w:val="2"/>
          </w:tcPr>
          <w:p>
            <w:pPr>
              <w:jc w:val="right"/>
              <w:ind w:right="160"/>
              <w:spacing w:after="0"/>
              <w:rPr>
                <w:sz w:val="20"/>
                <w:szCs w:val="20"/>
                <w:color w:val="auto"/>
              </w:rPr>
            </w:pPr>
            <w:r>
              <w:rPr>
                <w:rFonts w:ascii="Arial" w:cs="Arial" w:eastAsia="Arial" w:hAnsi="Arial"/>
                <w:sz w:val="17"/>
                <w:szCs w:val="17"/>
                <w:color w:val="auto"/>
              </w:rPr>
              <w:t>(63,425)</w:t>
            </w:r>
          </w:p>
        </w:tc>
        <w:tc>
          <w:tcPr>
            <w:tcW w:w="1400" w:type="dxa"/>
            <w:vAlign w:val="bottom"/>
            <w:gridSpan w:val="2"/>
          </w:tcPr>
          <w:p>
            <w:pPr>
              <w:jc w:val="right"/>
              <w:ind w:right="140"/>
              <w:spacing w:after="0"/>
              <w:rPr>
                <w:sz w:val="20"/>
                <w:szCs w:val="20"/>
                <w:color w:val="auto"/>
              </w:rPr>
            </w:pPr>
            <w:r>
              <w:rPr>
                <w:rFonts w:ascii="Arial" w:cs="Arial" w:eastAsia="Arial" w:hAnsi="Arial"/>
                <w:sz w:val="17"/>
                <w:szCs w:val="17"/>
                <w:color w:val="auto"/>
              </w:rPr>
              <w:t>(276)</w:t>
            </w:r>
          </w:p>
        </w:tc>
        <w:tc>
          <w:tcPr>
            <w:tcW w:w="1400" w:type="dxa"/>
            <w:vAlign w:val="bottom"/>
            <w:gridSpan w:val="2"/>
          </w:tcPr>
          <w:p>
            <w:pPr>
              <w:jc w:val="right"/>
              <w:ind w:right="140"/>
              <w:spacing w:after="0"/>
              <w:rPr>
                <w:sz w:val="20"/>
                <w:szCs w:val="20"/>
                <w:color w:val="auto"/>
              </w:rPr>
            </w:pPr>
            <w:r>
              <w:rPr>
                <w:rFonts w:ascii="Arial" w:cs="Arial" w:eastAsia="Arial" w:hAnsi="Arial"/>
                <w:sz w:val="17"/>
                <w:szCs w:val="17"/>
                <w:color w:val="auto"/>
              </w:rPr>
              <w:t>(1,206)</w:t>
            </w:r>
          </w:p>
        </w:tc>
        <w:tc>
          <w:tcPr>
            <w:tcW w:w="1400" w:type="dxa"/>
            <w:vAlign w:val="bottom"/>
            <w:gridSpan w:val="2"/>
          </w:tcPr>
          <w:p>
            <w:pPr>
              <w:jc w:val="right"/>
              <w:ind w:right="140"/>
              <w:spacing w:after="0"/>
              <w:rPr>
                <w:sz w:val="20"/>
                <w:szCs w:val="20"/>
                <w:color w:val="auto"/>
              </w:rPr>
            </w:pPr>
            <w:r>
              <w:rPr>
                <w:rFonts w:ascii="Arial" w:cs="Arial" w:eastAsia="Arial" w:hAnsi="Arial"/>
                <w:sz w:val="17"/>
                <w:szCs w:val="17"/>
                <w:color w:val="auto"/>
              </w:rPr>
              <w:t>(1,691)</w:t>
            </w:r>
          </w:p>
        </w:tc>
        <w:tc>
          <w:tcPr>
            <w:tcW w:w="1260" w:type="dxa"/>
            <w:vAlign w:val="bottom"/>
            <w:gridSpan w:val="2"/>
          </w:tcPr>
          <w:p>
            <w:pPr>
              <w:jc w:val="right"/>
              <w:spacing w:after="0"/>
              <w:rPr>
                <w:sz w:val="20"/>
                <w:szCs w:val="20"/>
                <w:color w:val="auto"/>
              </w:rPr>
            </w:pPr>
            <w:r>
              <w:rPr>
                <w:rFonts w:ascii="Arial" w:cs="Arial" w:eastAsia="Arial" w:hAnsi="Arial"/>
                <w:sz w:val="17"/>
                <w:szCs w:val="17"/>
                <w:color w:val="auto"/>
              </w:rPr>
              <w:t>(66,598)</w:t>
            </w:r>
          </w:p>
        </w:tc>
      </w:tr>
      <w:tr>
        <w:trPr>
          <w:trHeight w:val="214"/>
        </w:trPr>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1,235,970</w:t>
            </w:r>
          </w:p>
        </w:tc>
        <w:tc>
          <w:tcPr>
            <w:tcW w:w="200" w:type="dxa"/>
            <w:vAlign w:val="bottom"/>
          </w:tcPr>
          <w:p>
            <w:pPr>
              <w:spacing w:after="0"/>
              <w:rPr>
                <w:sz w:val="18"/>
                <w:szCs w:val="18"/>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193,385</w:t>
            </w:r>
          </w:p>
        </w:tc>
        <w:tc>
          <w:tcPr>
            <w:tcW w:w="200" w:type="dxa"/>
            <w:vAlign w:val="bottom"/>
          </w:tcPr>
          <w:p>
            <w:pPr>
              <w:spacing w:after="0"/>
              <w:rPr>
                <w:sz w:val="18"/>
                <w:szCs w:val="18"/>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1,353,168</w:t>
            </w:r>
          </w:p>
        </w:tc>
        <w:tc>
          <w:tcPr>
            <w:tcW w:w="200" w:type="dxa"/>
            <w:vAlign w:val="bottom"/>
          </w:tcPr>
          <w:p>
            <w:pPr>
              <w:spacing w:after="0"/>
              <w:rPr>
                <w:sz w:val="18"/>
                <w:szCs w:val="18"/>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1,634,169</w:t>
            </w:r>
          </w:p>
        </w:tc>
        <w:tc>
          <w:tcPr>
            <w:tcW w:w="200" w:type="dxa"/>
            <w:vAlign w:val="bottom"/>
          </w:tcPr>
          <w:p>
            <w:pPr>
              <w:spacing w:after="0"/>
              <w:rPr>
                <w:sz w:val="18"/>
                <w:szCs w:val="18"/>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4,416,692</w:t>
            </w:r>
          </w:p>
        </w:tc>
        <w:tc>
          <w:tcPr>
            <w:tcW w:w="60" w:type="dxa"/>
            <w:vAlign w:val="bottom"/>
          </w:tcPr>
          <w:p>
            <w:pPr>
              <w:spacing w:after="0"/>
              <w:rPr>
                <w:sz w:val="18"/>
                <w:szCs w:val="18"/>
                <w:color w:val="auto"/>
              </w:rPr>
            </w:pPr>
          </w:p>
        </w:tc>
      </w:tr>
      <w:tr>
        <w:trPr>
          <w:trHeight w:val="20"/>
        </w:trPr>
        <w:tc>
          <w:tcPr>
            <w:tcW w:w="13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08"/>
        </w:trPr>
        <w:tc>
          <w:tcPr>
            <w:tcW w:w="13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413"/>
              <w:spacing w:after="0"/>
              <w:rPr>
                <w:sz w:val="20"/>
                <w:szCs w:val="20"/>
                <w:color w:val="auto"/>
              </w:rPr>
            </w:pPr>
            <w:r>
              <w:rPr>
                <w:rFonts w:ascii="Arial" w:cs="Arial" w:eastAsia="Arial" w:hAnsi="Arial"/>
                <w:sz w:val="17"/>
                <w:szCs w:val="17"/>
                <w:b w:val="1"/>
                <w:bCs w:val="1"/>
                <w:color w:val="auto"/>
              </w:rPr>
              <w:t>2015</w:t>
            </w:r>
          </w:p>
        </w:tc>
        <w:tc>
          <w:tcPr>
            <w:tcW w:w="2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182"/>
        </w:trPr>
        <w:tc>
          <w:tcPr>
            <w:tcW w:w="1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0" w:type="dxa"/>
            <w:vAlign w:val="bottom"/>
            <w:gridSpan w:val="2"/>
          </w:tcPr>
          <w:p>
            <w:pPr>
              <w:jc w:val="center"/>
              <w:ind w:right="260"/>
              <w:spacing w:after="0" w:line="183" w:lineRule="exact"/>
              <w:rPr>
                <w:sz w:val="20"/>
                <w:szCs w:val="20"/>
                <w:color w:val="auto"/>
              </w:rPr>
            </w:pPr>
            <w:r>
              <w:rPr>
                <w:rFonts w:ascii="Arial" w:cs="Arial" w:eastAsia="Arial" w:hAnsi="Arial"/>
                <w:sz w:val="17"/>
                <w:szCs w:val="17"/>
                <w:b w:val="1"/>
                <w:bCs w:val="1"/>
                <w:color w:val="auto"/>
                <w:w w:val="90"/>
              </w:rPr>
              <w:t>Residential</w:t>
            </w:r>
          </w:p>
        </w:tc>
        <w:tc>
          <w:tcPr>
            <w:tcW w:w="1400" w:type="dxa"/>
            <w:vAlign w:val="bottom"/>
            <w:gridSpan w:val="2"/>
          </w:tcPr>
          <w:p>
            <w:pPr>
              <w:jc w:val="center"/>
              <w:ind w:right="240"/>
              <w:spacing w:after="0" w:line="183" w:lineRule="exact"/>
              <w:rPr>
                <w:sz w:val="20"/>
                <w:szCs w:val="20"/>
                <w:color w:val="auto"/>
              </w:rPr>
            </w:pPr>
            <w:r>
              <w:rPr>
                <w:rFonts w:ascii="Arial" w:cs="Arial" w:eastAsia="Arial" w:hAnsi="Arial"/>
                <w:sz w:val="17"/>
                <w:szCs w:val="17"/>
                <w:b w:val="1"/>
                <w:bCs w:val="1"/>
                <w:color w:val="auto"/>
                <w:w w:val="89"/>
              </w:rPr>
              <w:t>Micro-business</w:t>
            </w:r>
          </w:p>
        </w:tc>
        <w:tc>
          <w:tcPr>
            <w:tcW w:w="1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226"/>
        </w:trPr>
        <w:tc>
          <w:tcPr>
            <w:tcW w:w="1540" w:type="dxa"/>
            <w:vAlign w:val="bottom"/>
            <w:gridSpan w:val="2"/>
          </w:tcPr>
          <w:p>
            <w:pPr>
              <w:jc w:val="center"/>
              <w:ind w:right="200"/>
              <w:spacing w:after="0"/>
              <w:rPr>
                <w:sz w:val="20"/>
                <w:szCs w:val="20"/>
                <w:color w:val="auto"/>
              </w:rPr>
            </w:pPr>
            <w:r>
              <w:rPr>
                <w:rFonts w:ascii="Arial" w:cs="Arial" w:eastAsia="Arial" w:hAnsi="Arial"/>
                <w:sz w:val="17"/>
                <w:szCs w:val="17"/>
                <w:b w:val="1"/>
                <w:bCs w:val="1"/>
                <w:color w:val="auto"/>
                <w:w w:val="91"/>
              </w:rPr>
              <w:t>Commercial loans</w:t>
            </w:r>
          </w:p>
        </w:tc>
        <w:tc>
          <w:tcPr>
            <w:tcW w:w="1400" w:type="dxa"/>
            <w:vAlign w:val="bottom"/>
            <w:gridSpan w:val="2"/>
          </w:tcPr>
          <w:p>
            <w:pPr>
              <w:jc w:val="center"/>
              <w:ind w:right="200"/>
              <w:spacing w:after="0"/>
              <w:rPr>
                <w:sz w:val="20"/>
                <w:szCs w:val="20"/>
                <w:color w:val="auto"/>
              </w:rPr>
            </w:pPr>
            <w:r>
              <w:rPr>
                <w:rFonts w:ascii="Arial" w:cs="Arial" w:eastAsia="Arial" w:hAnsi="Arial"/>
                <w:sz w:val="17"/>
                <w:szCs w:val="17"/>
                <w:b w:val="1"/>
                <w:bCs w:val="1"/>
                <w:color w:val="auto"/>
                <w:w w:val="88"/>
              </w:rPr>
              <w:t>mortgage loans</w:t>
            </w:r>
          </w:p>
        </w:tc>
        <w:tc>
          <w:tcPr>
            <w:tcW w:w="1400" w:type="dxa"/>
            <w:vAlign w:val="bottom"/>
            <w:gridSpan w:val="2"/>
          </w:tcPr>
          <w:p>
            <w:pPr>
              <w:jc w:val="right"/>
              <w:ind w:right="600"/>
              <w:spacing w:after="0"/>
              <w:rPr>
                <w:sz w:val="20"/>
                <w:szCs w:val="20"/>
                <w:color w:val="auto"/>
              </w:rPr>
            </w:pPr>
            <w:r>
              <w:rPr>
                <w:rFonts w:ascii="Arial" w:cs="Arial" w:eastAsia="Arial" w:hAnsi="Arial"/>
                <w:sz w:val="17"/>
                <w:szCs w:val="17"/>
                <w:b w:val="1"/>
                <w:bCs w:val="1"/>
                <w:color w:val="auto"/>
              </w:rPr>
              <w:t>loans</w:t>
            </w:r>
          </w:p>
        </w:tc>
        <w:tc>
          <w:tcPr>
            <w:tcW w:w="1400" w:type="dxa"/>
            <w:vAlign w:val="bottom"/>
            <w:gridSpan w:val="2"/>
          </w:tcPr>
          <w:p>
            <w:pPr>
              <w:jc w:val="center"/>
              <w:ind w:right="200"/>
              <w:spacing w:after="0"/>
              <w:rPr>
                <w:sz w:val="20"/>
                <w:szCs w:val="20"/>
                <w:color w:val="auto"/>
              </w:rPr>
            </w:pPr>
            <w:r>
              <w:rPr>
                <w:rFonts w:ascii="Arial" w:cs="Arial" w:eastAsia="Arial" w:hAnsi="Arial"/>
                <w:sz w:val="17"/>
                <w:szCs w:val="17"/>
                <w:b w:val="1"/>
                <w:bCs w:val="1"/>
                <w:color w:val="auto"/>
                <w:w w:val="90"/>
              </w:rPr>
              <w:t>Consumer loans</w:t>
            </w:r>
          </w:p>
        </w:tc>
        <w:tc>
          <w:tcPr>
            <w:tcW w:w="1260" w:type="dxa"/>
            <w:vAlign w:val="bottom"/>
            <w:gridSpan w:val="2"/>
          </w:tcPr>
          <w:p>
            <w:pPr>
              <w:jc w:val="center"/>
              <w:ind w:right="40"/>
              <w:spacing w:after="0"/>
              <w:rPr>
                <w:sz w:val="20"/>
                <w:szCs w:val="20"/>
                <w:color w:val="auto"/>
              </w:rPr>
            </w:pPr>
            <w:r>
              <w:rPr>
                <w:rFonts w:ascii="Arial" w:cs="Arial" w:eastAsia="Arial" w:hAnsi="Arial"/>
                <w:sz w:val="17"/>
                <w:szCs w:val="17"/>
                <w:b w:val="1"/>
                <w:bCs w:val="1"/>
                <w:color w:val="auto"/>
                <w:w w:val="93"/>
              </w:rPr>
              <w:t>Total</w:t>
            </w:r>
          </w:p>
        </w:tc>
      </w:tr>
      <w:tr>
        <w:trPr>
          <w:trHeight w:val="219"/>
        </w:trPr>
        <w:tc>
          <w:tcPr>
            <w:tcW w:w="1340" w:type="dxa"/>
            <w:vAlign w:val="bottom"/>
            <w:tcBorders>
              <w:top w:val="single" w:sz="8" w:color="auto"/>
            </w:tcBorders>
          </w:tcPr>
          <w:p>
            <w:pPr>
              <w:jc w:val="center"/>
              <w:spacing w:after="0"/>
              <w:rPr>
                <w:sz w:val="20"/>
                <w:szCs w:val="20"/>
                <w:color w:val="auto"/>
              </w:rPr>
            </w:pPr>
            <w:r>
              <w:rPr>
                <w:rFonts w:ascii="Arial" w:cs="Arial" w:eastAsia="Arial" w:hAnsi="Arial"/>
                <w:sz w:val="17"/>
                <w:szCs w:val="17"/>
                <w:b w:val="1"/>
                <w:bCs w:val="1"/>
                <w:color w:val="auto"/>
                <w:w w:val="93"/>
              </w:rPr>
              <w:t>S/(000)</w:t>
            </w:r>
          </w:p>
        </w:tc>
        <w:tc>
          <w:tcPr>
            <w:tcW w:w="200" w:type="dxa"/>
            <w:vAlign w:val="bottom"/>
          </w:tcPr>
          <w:p>
            <w:pPr>
              <w:spacing w:after="0"/>
              <w:rPr>
                <w:sz w:val="19"/>
                <w:szCs w:val="19"/>
                <w:color w:val="auto"/>
              </w:rPr>
            </w:pPr>
          </w:p>
        </w:tc>
        <w:tc>
          <w:tcPr>
            <w:tcW w:w="1200" w:type="dxa"/>
            <w:vAlign w:val="bottom"/>
            <w:tcBorders>
              <w:top w:val="single" w:sz="8" w:color="auto"/>
            </w:tcBorders>
          </w:tcPr>
          <w:p>
            <w:pPr>
              <w:jc w:val="center"/>
              <w:spacing w:after="0"/>
              <w:rPr>
                <w:sz w:val="20"/>
                <w:szCs w:val="20"/>
                <w:color w:val="auto"/>
              </w:rPr>
            </w:pPr>
            <w:r>
              <w:rPr>
                <w:rFonts w:ascii="Arial" w:cs="Arial" w:eastAsia="Arial" w:hAnsi="Arial"/>
                <w:sz w:val="17"/>
                <w:szCs w:val="17"/>
                <w:b w:val="1"/>
                <w:bCs w:val="1"/>
                <w:color w:val="auto"/>
                <w:w w:val="93"/>
              </w:rPr>
              <w:t>S/(000)</w:t>
            </w:r>
          </w:p>
        </w:tc>
        <w:tc>
          <w:tcPr>
            <w:tcW w:w="200" w:type="dxa"/>
            <w:vAlign w:val="bottom"/>
          </w:tcPr>
          <w:p>
            <w:pPr>
              <w:spacing w:after="0"/>
              <w:rPr>
                <w:sz w:val="19"/>
                <w:szCs w:val="19"/>
                <w:color w:val="auto"/>
              </w:rPr>
            </w:pPr>
          </w:p>
        </w:tc>
        <w:tc>
          <w:tcPr>
            <w:tcW w:w="1200" w:type="dxa"/>
            <w:vAlign w:val="bottom"/>
            <w:tcBorders>
              <w:top w:val="single" w:sz="8" w:color="auto"/>
            </w:tcBorders>
          </w:tcPr>
          <w:p>
            <w:pPr>
              <w:jc w:val="center"/>
              <w:spacing w:after="0"/>
              <w:rPr>
                <w:sz w:val="20"/>
                <w:szCs w:val="20"/>
                <w:color w:val="auto"/>
              </w:rPr>
            </w:pPr>
            <w:r>
              <w:rPr>
                <w:rFonts w:ascii="Arial" w:cs="Arial" w:eastAsia="Arial" w:hAnsi="Arial"/>
                <w:sz w:val="17"/>
                <w:szCs w:val="17"/>
                <w:b w:val="1"/>
                <w:bCs w:val="1"/>
                <w:color w:val="auto"/>
                <w:w w:val="93"/>
              </w:rPr>
              <w:t>S/(000)</w:t>
            </w:r>
          </w:p>
        </w:tc>
        <w:tc>
          <w:tcPr>
            <w:tcW w:w="200" w:type="dxa"/>
            <w:vAlign w:val="bottom"/>
          </w:tcPr>
          <w:p>
            <w:pPr>
              <w:spacing w:after="0"/>
              <w:rPr>
                <w:sz w:val="19"/>
                <w:szCs w:val="19"/>
                <w:color w:val="auto"/>
              </w:rPr>
            </w:pPr>
          </w:p>
        </w:tc>
        <w:tc>
          <w:tcPr>
            <w:tcW w:w="1200" w:type="dxa"/>
            <w:vAlign w:val="bottom"/>
            <w:tcBorders>
              <w:top w:val="single" w:sz="8" w:color="auto"/>
            </w:tcBorders>
          </w:tcPr>
          <w:p>
            <w:pPr>
              <w:jc w:val="center"/>
              <w:spacing w:after="0"/>
              <w:rPr>
                <w:sz w:val="20"/>
                <w:szCs w:val="20"/>
                <w:color w:val="auto"/>
              </w:rPr>
            </w:pPr>
            <w:r>
              <w:rPr>
                <w:rFonts w:ascii="Arial" w:cs="Arial" w:eastAsia="Arial" w:hAnsi="Arial"/>
                <w:sz w:val="17"/>
                <w:szCs w:val="17"/>
                <w:b w:val="1"/>
                <w:bCs w:val="1"/>
                <w:color w:val="auto"/>
                <w:w w:val="93"/>
              </w:rPr>
              <w:t>S/(000)</w:t>
            </w:r>
          </w:p>
        </w:tc>
        <w:tc>
          <w:tcPr>
            <w:tcW w:w="200" w:type="dxa"/>
            <w:vAlign w:val="bottom"/>
          </w:tcPr>
          <w:p>
            <w:pPr>
              <w:spacing w:after="0"/>
              <w:rPr>
                <w:sz w:val="19"/>
                <w:szCs w:val="19"/>
                <w:color w:val="auto"/>
              </w:rPr>
            </w:pPr>
          </w:p>
        </w:tc>
        <w:tc>
          <w:tcPr>
            <w:tcW w:w="1200" w:type="dxa"/>
            <w:vAlign w:val="bottom"/>
            <w:tcBorders>
              <w:top w:val="single" w:sz="8" w:color="auto"/>
            </w:tcBorders>
          </w:tcPr>
          <w:p>
            <w:pPr>
              <w:jc w:val="center"/>
              <w:spacing w:after="0"/>
              <w:rPr>
                <w:sz w:val="20"/>
                <w:szCs w:val="20"/>
                <w:color w:val="auto"/>
              </w:rPr>
            </w:pPr>
            <w:r>
              <w:rPr>
                <w:rFonts w:ascii="Arial" w:cs="Arial" w:eastAsia="Arial" w:hAnsi="Arial"/>
                <w:sz w:val="17"/>
                <w:szCs w:val="17"/>
                <w:b w:val="1"/>
                <w:bCs w:val="1"/>
                <w:color w:val="auto"/>
                <w:w w:val="93"/>
              </w:rPr>
              <w:t>S/(000)</w:t>
            </w:r>
          </w:p>
        </w:tc>
        <w:tc>
          <w:tcPr>
            <w:tcW w:w="60" w:type="dxa"/>
            <w:vAlign w:val="bottom"/>
          </w:tcPr>
          <w:p>
            <w:pPr>
              <w:spacing w:after="0"/>
              <w:rPr>
                <w:sz w:val="19"/>
                <w:szCs w:val="19"/>
                <w:color w:val="auto"/>
              </w:rPr>
            </w:pPr>
          </w:p>
        </w:tc>
      </w:tr>
      <w:tr>
        <w:trPr>
          <w:trHeight w:val="385"/>
        </w:trPr>
        <w:tc>
          <w:tcPr>
            <w:tcW w:w="1540" w:type="dxa"/>
            <w:vAlign w:val="bottom"/>
            <w:gridSpan w:val="2"/>
          </w:tcPr>
          <w:p>
            <w:pPr>
              <w:jc w:val="right"/>
              <w:ind w:right="200"/>
              <w:spacing w:after="0"/>
              <w:rPr>
                <w:sz w:val="20"/>
                <w:szCs w:val="20"/>
                <w:color w:val="auto"/>
              </w:rPr>
            </w:pPr>
            <w:r>
              <w:rPr>
                <w:rFonts w:ascii="Arial" w:cs="Arial" w:eastAsia="Arial" w:hAnsi="Arial"/>
                <w:sz w:val="17"/>
                <w:szCs w:val="17"/>
                <w:color w:val="auto"/>
              </w:rPr>
              <w:t>556,270</w:t>
            </w:r>
          </w:p>
        </w:tc>
        <w:tc>
          <w:tcPr>
            <w:tcW w:w="1400" w:type="dxa"/>
            <w:vAlign w:val="bottom"/>
            <w:gridSpan w:val="2"/>
          </w:tcPr>
          <w:p>
            <w:pPr>
              <w:jc w:val="right"/>
              <w:ind w:right="200"/>
              <w:spacing w:after="0"/>
              <w:rPr>
                <w:sz w:val="20"/>
                <w:szCs w:val="20"/>
                <w:color w:val="auto"/>
              </w:rPr>
            </w:pPr>
            <w:r>
              <w:rPr>
                <w:rFonts w:ascii="Arial" w:cs="Arial" w:eastAsia="Arial" w:hAnsi="Arial"/>
                <w:sz w:val="17"/>
                <w:szCs w:val="17"/>
                <w:color w:val="auto"/>
              </w:rPr>
              <w:t>165,138</w:t>
            </w:r>
          </w:p>
        </w:tc>
        <w:tc>
          <w:tcPr>
            <w:tcW w:w="1400" w:type="dxa"/>
            <w:vAlign w:val="bottom"/>
            <w:gridSpan w:val="2"/>
          </w:tcPr>
          <w:p>
            <w:pPr>
              <w:jc w:val="right"/>
              <w:ind w:right="200"/>
              <w:spacing w:after="0"/>
              <w:rPr>
                <w:sz w:val="20"/>
                <w:szCs w:val="20"/>
                <w:color w:val="auto"/>
              </w:rPr>
            </w:pPr>
            <w:r>
              <w:rPr>
                <w:rFonts w:ascii="Arial" w:cs="Arial" w:eastAsia="Arial" w:hAnsi="Arial"/>
                <w:sz w:val="17"/>
                <w:szCs w:val="17"/>
                <w:color w:val="auto"/>
              </w:rPr>
              <w:t>1,124,072</w:t>
            </w:r>
          </w:p>
        </w:tc>
        <w:tc>
          <w:tcPr>
            <w:tcW w:w="1200" w:type="dxa"/>
            <w:vAlign w:val="bottom"/>
          </w:tcPr>
          <w:p>
            <w:pPr>
              <w:jc w:val="right"/>
              <w:spacing w:after="0"/>
              <w:rPr>
                <w:sz w:val="20"/>
                <w:szCs w:val="20"/>
                <w:color w:val="auto"/>
              </w:rPr>
            </w:pPr>
            <w:r>
              <w:rPr>
                <w:rFonts w:ascii="Arial" w:cs="Arial" w:eastAsia="Arial" w:hAnsi="Arial"/>
                <w:sz w:val="17"/>
                <w:szCs w:val="17"/>
                <w:color w:val="auto"/>
              </w:rPr>
              <w:t>1,256,616</w:t>
            </w:r>
          </w:p>
        </w:tc>
        <w:tc>
          <w:tcPr>
            <w:tcW w:w="20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3,102,096</w:t>
            </w:r>
          </w:p>
        </w:tc>
        <w:tc>
          <w:tcPr>
            <w:tcW w:w="60" w:type="dxa"/>
            <w:vAlign w:val="bottom"/>
          </w:tcPr>
          <w:p>
            <w:pPr>
              <w:spacing w:after="0"/>
              <w:rPr>
                <w:sz w:val="24"/>
                <w:szCs w:val="24"/>
                <w:color w:val="auto"/>
              </w:rPr>
            </w:pPr>
          </w:p>
        </w:tc>
      </w:tr>
      <w:tr>
        <w:trPr>
          <w:trHeight w:val="208"/>
        </w:trPr>
        <w:tc>
          <w:tcPr>
            <w:tcW w:w="1540" w:type="dxa"/>
            <w:vAlign w:val="bottom"/>
            <w:gridSpan w:val="2"/>
          </w:tcPr>
          <w:p>
            <w:pPr>
              <w:jc w:val="right"/>
              <w:ind w:right="200"/>
              <w:spacing w:after="0"/>
              <w:rPr>
                <w:sz w:val="20"/>
                <w:szCs w:val="20"/>
                <w:color w:val="auto"/>
              </w:rPr>
            </w:pPr>
            <w:r>
              <w:rPr>
                <w:rFonts w:ascii="Arial" w:cs="Arial" w:eastAsia="Arial" w:hAnsi="Arial"/>
                <w:sz w:val="17"/>
                <w:szCs w:val="17"/>
                <w:color w:val="auto"/>
              </w:rPr>
              <w:t>732,834</w:t>
            </w:r>
          </w:p>
        </w:tc>
        <w:tc>
          <w:tcPr>
            <w:tcW w:w="1400" w:type="dxa"/>
            <w:vAlign w:val="bottom"/>
            <w:gridSpan w:val="2"/>
          </w:tcPr>
          <w:p>
            <w:pPr>
              <w:jc w:val="right"/>
              <w:ind w:right="140"/>
              <w:spacing w:after="0"/>
              <w:rPr>
                <w:sz w:val="20"/>
                <w:szCs w:val="20"/>
                <w:color w:val="auto"/>
              </w:rPr>
            </w:pPr>
            <w:r>
              <w:rPr>
                <w:rFonts w:ascii="Arial" w:cs="Arial" w:eastAsia="Arial" w:hAnsi="Arial"/>
                <w:sz w:val="17"/>
                <w:szCs w:val="17"/>
                <w:color w:val="auto"/>
              </w:rPr>
              <w:t>(321)</w:t>
            </w:r>
          </w:p>
        </w:tc>
        <w:tc>
          <w:tcPr>
            <w:tcW w:w="1400" w:type="dxa"/>
            <w:vAlign w:val="bottom"/>
            <w:gridSpan w:val="2"/>
          </w:tcPr>
          <w:p>
            <w:pPr>
              <w:jc w:val="right"/>
              <w:ind w:right="200"/>
              <w:spacing w:after="0"/>
              <w:rPr>
                <w:sz w:val="20"/>
                <w:szCs w:val="20"/>
                <w:color w:val="auto"/>
              </w:rPr>
            </w:pPr>
            <w:r>
              <w:rPr>
                <w:rFonts w:ascii="Arial" w:cs="Arial" w:eastAsia="Arial" w:hAnsi="Arial"/>
                <w:sz w:val="17"/>
                <w:szCs w:val="17"/>
                <w:color w:val="auto"/>
              </w:rPr>
              <w:t>512,052</w:t>
            </w:r>
          </w:p>
        </w:tc>
        <w:tc>
          <w:tcPr>
            <w:tcW w:w="1400" w:type="dxa"/>
            <w:vAlign w:val="bottom"/>
            <w:gridSpan w:val="2"/>
          </w:tcPr>
          <w:p>
            <w:pPr>
              <w:jc w:val="right"/>
              <w:ind w:right="200"/>
              <w:spacing w:after="0"/>
              <w:rPr>
                <w:sz w:val="20"/>
                <w:szCs w:val="20"/>
                <w:color w:val="auto"/>
              </w:rPr>
            </w:pPr>
            <w:r>
              <w:rPr>
                <w:rFonts w:ascii="Arial" w:cs="Arial" w:eastAsia="Arial" w:hAnsi="Arial"/>
                <w:sz w:val="17"/>
                <w:szCs w:val="17"/>
                <w:color w:val="auto"/>
              </w:rPr>
              <w:t>636,333</w:t>
            </w:r>
          </w:p>
        </w:tc>
        <w:tc>
          <w:tcPr>
            <w:tcW w:w="1200" w:type="dxa"/>
            <w:vAlign w:val="bottom"/>
          </w:tcPr>
          <w:p>
            <w:pPr>
              <w:jc w:val="right"/>
              <w:spacing w:after="0"/>
              <w:rPr>
                <w:sz w:val="20"/>
                <w:szCs w:val="20"/>
                <w:color w:val="auto"/>
              </w:rPr>
            </w:pPr>
            <w:r>
              <w:rPr>
                <w:rFonts w:ascii="Arial" w:cs="Arial" w:eastAsia="Arial" w:hAnsi="Arial"/>
                <w:sz w:val="17"/>
                <w:szCs w:val="17"/>
                <w:color w:val="auto"/>
              </w:rPr>
              <w:t>1,880,898</w:t>
            </w:r>
          </w:p>
        </w:tc>
        <w:tc>
          <w:tcPr>
            <w:tcW w:w="60" w:type="dxa"/>
            <w:vAlign w:val="bottom"/>
          </w:tcPr>
          <w:p>
            <w:pPr>
              <w:spacing w:after="0"/>
              <w:rPr>
                <w:sz w:val="18"/>
                <w:szCs w:val="18"/>
                <w:color w:val="auto"/>
              </w:rPr>
            </w:pPr>
          </w:p>
        </w:tc>
      </w:tr>
      <w:tr>
        <w:trPr>
          <w:trHeight w:val="208"/>
        </w:trPr>
        <w:tc>
          <w:tcPr>
            <w:tcW w:w="1540" w:type="dxa"/>
            <w:vAlign w:val="bottom"/>
            <w:gridSpan w:val="2"/>
          </w:tcPr>
          <w:p>
            <w:pPr>
              <w:jc w:val="right"/>
              <w:ind w:right="200"/>
              <w:spacing w:after="0"/>
              <w:rPr>
                <w:sz w:val="20"/>
                <w:szCs w:val="20"/>
                <w:color w:val="auto"/>
              </w:rPr>
            </w:pPr>
            <w:r>
              <w:rPr>
                <w:rFonts w:ascii="Arial" w:cs="Arial" w:eastAsia="Arial" w:hAnsi="Arial"/>
                <w:sz w:val="17"/>
                <w:szCs w:val="17"/>
                <w:color w:val="auto"/>
              </w:rPr>
              <w:t>157,790</w:t>
            </w:r>
          </w:p>
        </w:tc>
        <w:tc>
          <w:tcPr>
            <w:tcW w:w="1400" w:type="dxa"/>
            <w:vAlign w:val="bottom"/>
            <w:gridSpan w:val="2"/>
          </w:tcPr>
          <w:p>
            <w:pPr>
              <w:jc w:val="right"/>
              <w:ind w:right="200"/>
              <w:spacing w:after="0"/>
              <w:rPr>
                <w:sz w:val="20"/>
                <w:szCs w:val="20"/>
                <w:color w:val="auto"/>
              </w:rPr>
            </w:pPr>
            <w:r>
              <w:rPr>
                <w:rFonts w:ascii="Arial" w:cs="Arial" w:eastAsia="Arial" w:hAnsi="Arial"/>
                <w:sz w:val="17"/>
                <w:szCs w:val="17"/>
                <w:color w:val="auto"/>
              </w:rPr>
              <w:t>362</w:t>
            </w:r>
          </w:p>
        </w:tc>
        <w:tc>
          <w:tcPr>
            <w:tcW w:w="1400" w:type="dxa"/>
            <w:vAlign w:val="bottom"/>
            <w:gridSpan w:val="2"/>
          </w:tcPr>
          <w:p>
            <w:pPr>
              <w:jc w:val="right"/>
              <w:ind w:right="200"/>
              <w:spacing w:after="0"/>
              <w:rPr>
                <w:sz w:val="20"/>
                <w:szCs w:val="20"/>
                <w:color w:val="auto"/>
              </w:rPr>
            </w:pPr>
            <w:r>
              <w:rPr>
                <w:rFonts w:ascii="Arial" w:cs="Arial" w:eastAsia="Arial" w:hAnsi="Arial"/>
                <w:sz w:val="17"/>
                <w:szCs w:val="17"/>
                <w:color w:val="auto"/>
              </w:rPr>
              <w:t>7,333</w:t>
            </w:r>
          </w:p>
        </w:tc>
        <w:tc>
          <w:tcPr>
            <w:tcW w:w="1400" w:type="dxa"/>
            <w:vAlign w:val="bottom"/>
            <w:gridSpan w:val="2"/>
          </w:tcPr>
          <w:p>
            <w:pPr>
              <w:jc w:val="right"/>
              <w:ind w:right="200"/>
              <w:spacing w:after="0"/>
              <w:rPr>
                <w:sz w:val="20"/>
                <w:szCs w:val="20"/>
                <w:color w:val="auto"/>
              </w:rPr>
            </w:pPr>
            <w:r>
              <w:rPr>
                <w:rFonts w:ascii="Arial" w:cs="Arial" w:eastAsia="Arial" w:hAnsi="Arial"/>
                <w:sz w:val="17"/>
                <w:szCs w:val="17"/>
                <w:color w:val="auto"/>
              </w:rPr>
              <w:t>5,794</w:t>
            </w:r>
          </w:p>
        </w:tc>
        <w:tc>
          <w:tcPr>
            <w:tcW w:w="1200" w:type="dxa"/>
            <w:vAlign w:val="bottom"/>
          </w:tcPr>
          <w:p>
            <w:pPr>
              <w:jc w:val="right"/>
              <w:spacing w:after="0"/>
              <w:rPr>
                <w:sz w:val="20"/>
                <w:szCs w:val="20"/>
                <w:color w:val="auto"/>
              </w:rPr>
            </w:pPr>
            <w:r>
              <w:rPr>
                <w:rFonts w:ascii="Arial" w:cs="Arial" w:eastAsia="Arial" w:hAnsi="Arial"/>
                <w:sz w:val="17"/>
                <w:szCs w:val="17"/>
                <w:color w:val="auto"/>
              </w:rPr>
              <w:t>171,279</w:t>
            </w:r>
          </w:p>
        </w:tc>
        <w:tc>
          <w:tcPr>
            <w:tcW w:w="60" w:type="dxa"/>
            <w:vAlign w:val="bottom"/>
          </w:tcPr>
          <w:p>
            <w:pPr>
              <w:spacing w:after="0"/>
              <w:rPr>
                <w:sz w:val="18"/>
                <w:szCs w:val="18"/>
                <w:color w:val="auto"/>
              </w:rPr>
            </w:pPr>
          </w:p>
        </w:tc>
      </w:tr>
      <w:tr>
        <w:trPr>
          <w:trHeight w:val="220"/>
        </w:trPr>
        <w:tc>
          <w:tcPr>
            <w:tcW w:w="1540" w:type="dxa"/>
            <w:vAlign w:val="bottom"/>
            <w:gridSpan w:val="2"/>
          </w:tcPr>
          <w:p>
            <w:pPr>
              <w:jc w:val="right"/>
              <w:ind w:right="160"/>
              <w:spacing w:after="0"/>
              <w:rPr>
                <w:sz w:val="20"/>
                <w:szCs w:val="20"/>
                <w:color w:val="auto"/>
              </w:rPr>
            </w:pPr>
            <w:r>
              <w:rPr>
                <w:rFonts w:ascii="Arial" w:cs="Arial" w:eastAsia="Arial" w:hAnsi="Arial"/>
                <w:sz w:val="17"/>
                <w:szCs w:val="17"/>
                <w:color w:val="auto"/>
              </w:rPr>
              <w:t>(341,067)</w:t>
            </w:r>
          </w:p>
        </w:tc>
        <w:tc>
          <w:tcPr>
            <w:tcW w:w="1400" w:type="dxa"/>
            <w:vAlign w:val="bottom"/>
            <w:gridSpan w:val="2"/>
          </w:tcPr>
          <w:p>
            <w:pPr>
              <w:jc w:val="right"/>
              <w:ind w:right="140"/>
              <w:spacing w:after="0"/>
              <w:rPr>
                <w:sz w:val="20"/>
                <w:szCs w:val="20"/>
                <w:color w:val="auto"/>
              </w:rPr>
            </w:pPr>
            <w:r>
              <w:rPr>
                <w:rFonts w:ascii="Arial" w:cs="Arial" w:eastAsia="Arial" w:hAnsi="Arial"/>
                <w:sz w:val="17"/>
                <w:szCs w:val="17"/>
                <w:color w:val="auto"/>
              </w:rPr>
              <w:t>(4,936)</w:t>
            </w:r>
          </w:p>
        </w:tc>
        <w:tc>
          <w:tcPr>
            <w:tcW w:w="1400" w:type="dxa"/>
            <w:vAlign w:val="bottom"/>
            <w:gridSpan w:val="2"/>
          </w:tcPr>
          <w:p>
            <w:pPr>
              <w:jc w:val="right"/>
              <w:ind w:right="140"/>
              <w:spacing w:after="0"/>
              <w:rPr>
                <w:sz w:val="20"/>
                <w:szCs w:val="20"/>
                <w:color w:val="auto"/>
              </w:rPr>
            </w:pPr>
            <w:r>
              <w:rPr>
                <w:rFonts w:ascii="Arial" w:cs="Arial" w:eastAsia="Arial" w:hAnsi="Arial"/>
                <w:sz w:val="17"/>
                <w:szCs w:val="17"/>
                <w:color w:val="auto"/>
              </w:rPr>
              <w:t>(403,993)</w:t>
            </w:r>
          </w:p>
        </w:tc>
        <w:tc>
          <w:tcPr>
            <w:tcW w:w="1400" w:type="dxa"/>
            <w:vAlign w:val="bottom"/>
            <w:gridSpan w:val="2"/>
          </w:tcPr>
          <w:p>
            <w:pPr>
              <w:jc w:val="right"/>
              <w:ind w:right="140"/>
              <w:spacing w:after="0"/>
              <w:rPr>
                <w:sz w:val="20"/>
                <w:szCs w:val="20"/>
                <w:color w:val="auto"/>
              </w:rPr>
            </w:pPr>
            <w:r>
              <w:rPr>
                <w:rFonts w:ascii="Arial" w:cs="Arial" w:eastAsia="Arial" w:hAnsi="Arial"/>
                <w:sz w:val="17"/>
                <w:szCs w:val="17"/>
                <w:color w:val="auto"/>
              </w:rPr>
              <w:t>(721,326)</w:t>
            </w:r>
          </w:p>
        </w:tc>
        <w:tc>
          <w:tcPr>
            <w:tcW w:w="1260" w:type="dxa"/>
            <w:vAlign w:val="bottom"/>
            <w:gridSpan w:val="2"/>
          </w:tcPr>
          <w:p>
            <w:pPr>
              <w:jc w:val="right"/>
              <w:spacing w:after="0"/>
              <w:rPr>
                <w:sz w:val="20"/>
                <w:szCs w:val="20"/>
                <w:color w:val="auto"/>
              </w:rPr>
            </w:pPr>
            <w:r>
              <w:rPr>
                <w:rFonts w:ascii="Arial" w:cs="Arial" w:eastAsia="Arial" w:hAnsi="Arial"/>
                <w:sz w:val="17"/>
                <w:szCs w:val="17"/>
                <w:color w:val="auto"/>
              </w:rPr>
              <w:t>(1,471,322)</w:t>
            </w:r>
          </w:p>
        </w:tc>
      </w:tr>
      <w:tr>
        <w:trPr>
          <w:trHeight w:val="221"/>
        </w:trPr>
        <w:tc>
          <w:tcPr>
            <w:tcW w:w="1340" w:type="dxa"/>
            <w:vAlign w:val="bottom"/>
          </w:tcPr>
          <w:p>
            <w:pPr>
              <w:jc w:val="right"/>
              <w:spacing w:after="0"/>
              <w:rPr>
                <w:sz w:val="20"/>
                <w:szCs w:val="20"/>
                <w:color w:val="auto"/>
              </w:rPr>
            </w:pPr>
            <w:r>
              <w:rPr>
                <w:rFonts w:ascii="Arial" w:cs="Arial" w:eastAsia="Arial" w:hAnsi="Arial"/>
                <w:sz w:val="17"/>
                <w:szCs w:val="17"/>
                <w:color w:val="auto"/>
              </w:rPr>
              <w:t>91,886</w:t>
            </w: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13,636</w:t>
            </w: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132,635</w:t>
            </w:r>
          </w:p>
        </w:tc>
        <w:tc>
          <w:tcPr>
            <w:tcW w:w="200" w:type="dxa"/>
            <w:vAlign w:val="bottom"/>
          </w:tcPr>
          <w:p>
            <w:pPr>
              <w:spacing w:after="0"/>
              <w:rPr>
                <w:sz w:val="19"/>
                <w:szCs w:val="19"/>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7"/>
                <w:szCs w:val="17"/>
                <w:color w:val="auto"/>
              </w:rPr>
              <w:t>111,111</w:t>
            </w:r>
          </w:p>
        </w:tc>
        <w:tc>
          <w:tcPr>
            <w:tcW w:w="1200" w:type="dxa"/>
            <w:vAlign w:val="bottom"/>
          </w:tcPr>
          <w:p>
            <w:pPr>
              <w:jc w:val="right"/>
              <w:spacing w:after="0"/>
              <w:rPr>
                <w:sz w:val="20"/>
                <w:szCs w:val="20"/>
                <w:color w:val="auto"/>
              </w:rPr>
            </w:pPr>
            <w:r>
              <w:rPr>
                <w:rFonts w:ascii="Arial" w:cs="Arial" w:eastAsia="Arial" w:hAnsi="Arial"/>
                <w:sz w:val="17"/>
                <w:szCs w:val="17"/>
                <w:color w:val="auto"/>
              </w:rPr>
              <w:t>349,268</w:t>
            </w:r>
          </w:p>
        </w:tc>
        <w:tc>
          <w:tcPr>
            <w:tcW w:w="60" w:type="dxa"/>
            <w:vAlign w:val="bottom"/>
          </w:tcPr>
          <w:p>
            <w:pPr>
              <w:spacing w:after="0"/>
              <w:rPr>
                <w:sz w:val="19"/>
                <w:szCs w:val="19"/>
                <w:color w:val="auto"/>
              </w:rPr>
            </w:pPr>
          </w:p>
        </w:tc>
      </w:tr>
      <w:tr>
        <w:trPr>
          <w:trHeight w:val="214"/>
        </w:trPr>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1,197,713</w:t>
            </w:r>
          </w:p>
        </w:tc>
        <w:tc>
          <w:tcPr>
            <w:tcW w:w="200" w:type="dxa"/>
            <w:vAlign w:val="bottom"/>
          </w:tcPr>
          <w:p>
            <w:pPr>
              <w:spacing w:after="0"/>
              <w:rPr>
                <w:sz w:val="18"/>
                <w:szCs w:val="18"/>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173,879</w:t>
            </w:r>
          </w:p>
        </w:tc>
        <w:tc>
          <w:tcPr>
            <w:tcW w:w="200" w:type="dxa"/>
            <w:vAlign w:val="bottom"/>
          </w:tcPr>
          <w:p>
            <w:pPr>
              <w:spacing w:after="0"/>
              <w:rPr>
                <w:sz w:val="18"/>
                <w:szCs w:val="18"/>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1,372,099</w:t>
            </w:r>
          </w:p>
        </w:tc>
        <w:tc>
          <w:tcPr>
            <w:tcW w:w="200" w:type="dxa"/>
            <w:vAlign w:val="bottom"/>
          </w:tcPr>
          <w:p>
            <w:pPr>
              <w:spacing w:after="0"/>
              <w:rPr>
                <w:sz w:val="18"/>
                <w:szCs w:val="18"/>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1,288,528</w:t>
            </w:r>
          </w:p>
        </w:tc>
        <w:tc>
          <w:tcPr>
            <w:tcW w:w="200" w:type="dxa"/>
            <w:vAlign w:val="bottom"/>
          </w:tcPr>
          <w:p>
            <w:pPr>
              <w:spacing w:after="0"/>
              <w:rPr>
                <w:sz w:val="18"/>
                <w:szCs w:val="18"/>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4,032,219</w:t>
            </w:r>
          </w:p>
        </w:tc>
        <w:tc>
          <w:tcPr>
            <w:tcW w:w="60" w:type="dxa"/>
            <w:vAlign w:val="bottom"/>
          </w:tcPr>
          <w:p>
            <w:pPr>
              <w:spacing w:after="0"/>
              <w:rPr>
                <w:sz w:val="18"/>
                <w:szCs w:val="18"/>
                <w:color w:val="auto"/>
              </w:rPr>
            </w:pPr>
          </w:p>
        </w:tc>
      </w:tr>
      <w:tr>
        <w:trPr>
          <w:trHeight w:val="20"/>
        </w:trPr>
        <w:tc>
          <w:tcPr>
            <w:tcW w:w="13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-2478405</wp:posOffset>
            </wp:positionH>
            <wp:positionV relativeFrom="paragraph">
              <wp:posOffset>-4157345</wp:posOffset>
            </wp:positionV>
            <wp:extent cx="6954520" cy="13208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954520" cy="132080"/>
                    </a:xfrm>
                    <a:prstGeom prst="rect">
                      <a:avLst/>
                    </a:prstGeom>
                    <a:noFill/>
                  </pic:spPr>
                </pic:pic>
              </a:graphicData>
            </a:graphic>
          </wp:anchor>
        </w:drawing>
        <w:drawing>
          <wp:anchor simplePos="0" relativeHeight="251657728" behindDoc="1" locked="0" layoutInCell="0" allowOverlap="1">
            <wp:simplePos x="0" y="0"/>
            <wp:positionH relativeFrom="column">
              <wp:posOffset>-2478405</wp:posOffset>
            </wp:positionH>
            <wp:positionV relativeFrom="paragraph">
              <wp:posOffset>-3893185</wp:posOffset>
            </wp:positionV>
            <wp:extent cx="6954520" cy="13208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954520" cy="132080"/>
                    </a:xfrm>
                    <a:prstGeom prst="rect">
                      <a:avLst/>
                    </a:prstGeom>
                    <a:noFill/>
                  </pic:spPr>
                </pic:pic>
              </a:graphicData>
            </a:graphic>
          </wp:anchor>
        </w:drawing>
        <w:drawing>
          <wp:anchor simplePos="0" relativeHeight="251657728" behindDoc="1" locked="0" layoutInCell="0" allowOverlap="1">
            <wp:simplePos x="0" y="0"/>
            <wp:positionH relativeFrom="column">
              <wp:posOffset>-2478405</wp:posOffset>
            </wp:positionH>
            <wp:positionV relativeFrom="paragraph">
              <wp:posOffset>-3629660</wp:posOffset>
            </wp:positionV>
            <wp:extent cx="6954520" cy="1403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954520" cy="140335"/>
                    </a:xfrm>
                    <a:prstGeom prst="rect">
                      <a:avLst/>
                    </a:prstGeom>
                    <a:noFill/>
                  </pic:spPr>
                </pic:pic>
              </a:graphicData>
            </a:graphic>
          </wp:anchor>
        </w:drawing>
        <w:drawing>
          <wp:anchor simplePos="0" relativeHeight="251657728" behindDoc="1" locked="0" layoutInCell="0" allowOverlap="1">
            <wp:simplePos x="0" y="0"/>
            <wp:positionH relativeFrom="column">
              <wp:posOffset>-2478405</wp:posOffset>
            </wp:positionH>
            <wp:positionV relativeFrom="paragraph">
              <wp:posOffset>-2499360</wp:posOffset>
            </wp:positionV>
            <wp:extent cx="6954520" cy="13208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954520" cy="132080"/>
                    </a:xfrm>
                    <a:prstGeom prst="rect">
                      <a:avLst/>
                    </a:prstGeom>
                    <a:noFill/>
                  </pic:spPr>
                </pic:pic>
              </a:graphicData>
            </a:graphic>
          </wp:anchor>
        </w:drawing>
        <w:drawing>
          <wp:anchor simplePos="0" relativeHeight="251657728" behindDoc="1" locked="0" layoutInCell="0" allowOverlap="1">
            <wp:simplePos x="0" y="0"/>
            <wp:positionH relativeFrom="column">
              <wp:posOffset>-2478405</wp:posOffset>
            </wp:positionH>
            <wp:positionV relativeFrom="paragraph">
              <wp:posOffset>-2235200</wp:posOffset>
            </wp:positionV>
            <wp:extent cx="6954520" cy="13208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954520" cy="132080"/>
                    </a:xfrm>
                    <a:prstGeom prst="rect">
                      <a:avLst/>
                    </a:prstGeom>
                    <a:noFill/>
                  </pic:spPr>
                </pic:pic>
              </a:graphicData>
            </a:graphic>
          </wp:anchor>
        </w:drawing>
        <w:drawing>
          <wp:anchor simplePos="0" relativeHeight="251657728" behindDoc="1" locked="0" layoutInCell="0" allowOverlap="1">
            <wp:simplePos x="0" y="0"/>
            <wp:positionH relativeFrom="column">
              <wp:posOffset>-2478405</wp:posOffset>
            </wp:positionH>
            <wp:positionV relativeFrom="paragraph">
              <wp:posOffset>-1971040</wp:posOffset>
            </wp:positionV>
            <wp:extent cx="6954520" cy="1403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954520" cy="140335"/>
                    </a:xfrm>
                    <a:prstGeom prst="rect">
                      <a:avLst/>
                    </a:prstGeom>
                    <a:noFill/>
                  </pic:spPr>
                </pic:pic>
              </a:graphicData>
            </a:graphic>
          </wp:anchor>
        </w:drawing>
        <w:drawing>
          <wp:anchor simplePos="0" relativeHeight="251657728" behindDoc="1" locked="0" layoutInCell="0" allowOverlap="1">
            <wp:simplePos x="0" y="0"/>
            <wp:positionH relativeFrom="column">
              <wp:posOffset>-2478405</wp:posOffset>
            </wp:positionH>
            <wp:positionV relativeFrom="paragraph">
              <wp:posOffset>-840740</wp:posOffset>
            </wp:positionV>
            <wp:extent cx="6954520" cy="13208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954520" cy="132080"/>
                    </a:xfrm>
                    <a:prstGeom prst="rect">
                      <a:avLst/>
                    </a:prstGeom>
                    <a:noFill/>
                  </pic:spPr>
                </pic:pic>
              </a:graphicData>
            </a:graphic>
          </wp:anchor>
        </w:drawing>
        <w:drawing>
          <wp:anchor simplePos="0" relativeHeight="251657728" behindDoc="1" locked="0" layoutInCell="0" allowOverlap="1">
            <wp:simplePos x="0" y="0"/>
            <wp:positionH relativeFrom="column">
              <wp:posOffset>-2478405</wp:posOffset>
            </wp:positionH>
            <wp:positionV relativeFrom="paragraph">
              <wp:posOffset>-576580</wp:posOffset>
            </wp:positionV>
            <wp:extent cx="6954520" cy="13208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954520" cy="132080"/>
                    </a:xfrm>
                    <a:prstGeom prst="rect">
                      <a:avLst/>
                    </a:prstGeom>
                    <a:noFill/>
                  </pic:spPr>
                </pic:pic>
              </a:graphicData>
            </a:graphic>
          </wp:anchor>
        </w:drawing>
        <w:drawing>
          <wp:anchor simplePos="0" relativeHeight="251657728" behindDoc="1" locked="0" layoutInCell="0" allowOverlap="1">
            <wp:simplePos x="0" y="0"/>
            <wp:positionH relativeFrom="column">
              <wp:posOffset>-2478405</wp:posOffset>
            </wp:positionH>
            <wp:positionV relativeFrom="paragraph">
              <wp:posOffset>-313055</wp:posOffset>
            </wp:positionV>
            <wp:extent cx="6954520" cy="1403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954520" cy="140335"/>
                    </a:xfrm>
                    <a:prstGeom prst="rect">
                      <a:avLst/>
                    </a:prstGeom>
                    <a:noFill/>
                  </pic:spPr>
                </pic:pic>
              </a:graphicData>
            </a:graphic>
          </wp:anchor>
        </w:drawing>
      </w:r>
    </w:p>
    <w:p>
      <w:pPr>
        <w:spacing w:after="0" w:line="195" w:lineRule="exact"/>
        <w:rPr>
          <w:sz w:val="20"/>
          <w:szCs w:val="20"/>
          <w:color w:val="auto"/>
        </w:rPr>
      </w:pPr>
    </w:p>
    <w:p>
      <w:pPr>
        <w:sectPr>
          <w:pgSz w:w="11900" w:h="16838" w:orient="portrait"/>
          <w:cols w:equalWidth="0" w:num="2">
            <w:col w:w="3500" w:space="720"/>
            <w:col w:w="7080"/>
          </w:cols>
          <w:pgMar w:left="240" w:top="881" w:right="359" w:bottom="1440" w:gutter="0" w:footer="0" w:header="0"/>
          <w:type w:val="continuous"/>
        </w:sectPr>
      </w:pPr>
    </w:p>
    <w:p>
      <w:pPr>
        <w:ind w:left="620" w:hanging="304"/>
        <w:spacing w:after="0" w:line="283" w:lineRule="auto"/>
        <w:tabs>
          <w:tab w:leader="none" w:pos="620" w:val="left"/>
        </w:tabs>
        <w:numPr>
          <w:ilvl w:val="0"/>
          <w:numId w:val="77"/>
        </w:numPr>
        <w:rPr>
          <w:rFonts w:ascii="Arial" w:cs="Arial" w:eastAsia="Arial" w:hAnsi="Arial"/>
          <w:sz w:val="16"/>
          <w:szCs w:val="16"/>
          <w:color w:val="auto"/>
        </w:rPr>
      </w:pPr>
      <w:r>
        <w:rPr>
          <w:rFonts w:ascii="Arial" w:cs="Arial" w:eastAsia="Arial" w:hAnsi="Arial"/>
          <w:sz w:val="16"/>
          <w:szCs w:val="16"/>
          <w:color w:val="auto"/>
        </w:rPr>
        <w:t>The movement in the allowance for loan losses includes the allowance for direct and indirect loans for approximately S/4,500.5 million and S/442.5 million, respectively, at December 31, 2017 (approximately S/4,207.1 million and S/209.6 million, respectively, at December 31, 2016 and approximately S/3,840.3 million and S/191.9 million, respectively, at December 31, 2015). The allowance for indirect loan losses is included in “Other liabilities” of the consolidated statement of financial position, Note 12(a). In Management’s opinion, the allowance for loan losses recorded as of December 31, 2017, 2016 and 2015 has been established in accordance with IAS 39 and is sufficient to cover incurred losses on the loan portfolio.</w:t>
      </w:r>
    </w:p>
    <w:p>
      <w:pPr>
        <w:spacing w:after="0" w:line="370" w:lineRule="exact"/>
        <w:rPr>
          <w:rFonts w:ascii="Arial" w:cs="Arial" w:eastAsia="Arial" w:hAnsi="Arial"/>
          <w:sz w:val="16"/>
          <w:szCs w:val="16"/>
          <w:color w:val="auto"/>
        </w:rPr>
      </w:pPr>
    </w:p>
    <w:p>
      <w:pPr>
        <w:ind w:left="5640" w:hanging="107"/>
        <w:spacing w:after="0"/>
        <w:tabs>
          <w:tab w:leader="none" w:pos="5640" w:val="left"/>
        </w:tabs>
        <w:numPr>
          <w:ilvl w:val="1"/>
          <w:numId w:val="77"/>
        </w:numPr>
        <w:rPr>
          <w:rFonts w:ascii="Arial" w:cs="Arial" w:eastAsia="Arial" w:hAnsi="Arial"/>
          <w:sz w:val="17"/>
          <w:szCs w:val="17"/>
          <w:color w:val="auto"/>
        </w:rPr>
      </w:pPr>
      <w:r>
        <w:rPr>
          <w:rFonts w:ascii="Arial" w:cs="Arial" w:eastAsia="Arial" w:hAnsi="Arial"/>
          <w:sz w:val="17"/>
          <w:szCs w:val="17"/>
          <w:color w:val="auto"/>
        </w:rPr>
        <w:t>63 -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15875</wp:posOffset>
            </wp:positionV>
            <wp:extent cx="725170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51700" cy="8255"/>
                    </a:xfrm>
                    <a:prstGeom prst="rect">
                      <a:avLst/>
                    </a:prstGeom>
                    <a:noFill/>
                  </pic:spPr>
                </pic:pic>
              </a:graphicData>
            </a:graphic>
          </wp:anchor>
        </w:drawing>
      </w:r>
    </w:p>
    <w:p>
      <w:pPr>
        <w:sectPr>
          <w:pgSz w:w="11900" w:h="16838" w:orient="portrait"/>
          <w:cols w:equalWidth="0" w:num="1">
            <w:col w:w="11300"/>
          </w:cols>
          <w:pgMar w:left="240" w:top="881" w:right="359" w:bottom="1440" w:gutter="0" w:footer="0" w:header="0"/>
          <w:type w:val="continuous"/>
        </w:sectPr>
      </w:pPr>
    </w:p>
    <w:bookmarkStart w:id="69" w:name="page70"/>
    <w:bookmarkEnd w:id="69"/>
    <w:p>
      <w:pPr>
        <w:ind w:left="320" w:right="220" w:hanging="316"/>
        <w:spacing w:after="0" w:line="285" w:lineRule="auto"/>
        <w:tabs>
          <w:tab w:leader="none" w:pos="320" w:val="left"/>
        </w:tabs>
        <w:numPr>
          <w:ilvl w:val="0"/>
          <w:numId w:val="78"/>
        </w:numPr>
        <w:rPr>
          <w:rFonts w:ascii="Arial" w:cs="Arial" w:eastAsia="Arial" w:hAnsi="Arial"/>
          <w:sz w:val="17"/>
          <w:szCs w:val="17"/>
          <w:color w:val="auto"/>
        </w:rPr>
      </w:pPr>
      <w:r>
        <w:rPr>
          <w:rFonts w:ascii="Arial" w:cs="Arial" w:eastAsia="Arial" w:hAnsi="Arial"/>
          <w:sz w:val="17"/>
          <w:szCs w:val="17"/>
          <w:color w:val="auto"/>
        </w:rPr>
        <w:t>Part of the loan portfolio is collateralized with guarantees received from clients, which mainly consist of mortgages, trust assignments, financial instruments and industrial and mercantile pledges.</w:t>
      </w:r>
    </w:p>
    <w:p>
      <w:pPr>
        <w:spacing w:after="0" w:line="159" w:lineRule="exact"/>
        <w:rPr>
          <w:rFonts w:ascii="Arial" w:cs="Arial" w:eastAsia="Arial" w:hAnsi="Arial"/>
          <w:sz w:val="17"/>
          <w:szCs w:val="17"/>
          <w:color w:val="auto"/>
        </w:rPr>
      </w:pPr>
    </w:p>
    <w:p>
      <w:pPr>
        <w:ind w:left="320" w:hanging="316"/>
        <w:spacing w:after="0"/>
        <w:tabs>
          <w:tab w:leader="none" w:pos="320" w:val="left"/>
        </w:tabs>
        <w:numPr>
          <w:ilvl w:val="0"/>
          <w:numId w:val="78"/>
        </w:numPr>
        <w:rPr>
          <w:rFonts w:ascii="Arial" w:cs="Arial" w:eastAsia="Arial" w:hAnsi="Arial"/>
          <w:sz w:val="16"/>
          <w:szCs w:val="16"/>
          <w:color w:val="auto"/>
        </w:rPr>
      </w:pPr>
      <w:r>
        <w:rPr>
          <w:rFonts w:ascii="Arial" w:cs="Arial" w:eastAsia="Arial" w:hAnsi="Arial"/>
          <w:sz w:val="16"/>
          <w:szCs w:val="16"/>
          <w:color w:val="auto"/>
        </w:rPr>
        <w:t>The table below shows the gross direct loan portfolio at December 31, 2017 and 2016 by maturity based on the remaining period to repayment due date:</w:t>
      </w:r>
    </w:p>
    <w:p>
      <w:pPr>
        <w:spacing w:after="0" w:line="239" w:lineRule="exact"/>
        <w:rPr>
          <w:sz w:val="20"/>
          <w:szCs w:val="20"/>
          <w:color w:val="auto"/>
        </w:rPr>
      </w:pPr>
    </w:p>
    <w:tbl>
      <w:tblPr>
        <w:tblLayout w:type="fixed"/>
        <w:tblInd w:w="320" w:type="dxa"/>
        <w:tblCellMar>
          <w:top w:w="0" w:type="dxa"/>
          <w:left w:w="0" w:type="dxa"/>
          <w:bottom w:w="0" w:type="dxa"/>
          <w:right w:w="0" w:type="dxa"/>
        </w:tblCellMar>
      </w:tblPr>
      <w:tr>
        <w:trPr>
          <w:trHeight w:val="226"/>
        </w:trPr>
        <w:tc>
          <w:tcPr>
            <w:tcW w:w="8220" w:type="dxa"/>
            <w:vAlign w:val="bottom"/>
          </w:tcPr>
          <w:p>
            <w:pPr>
              <w:spacing w:after="0"/>
              <w:rPr>
                <w:sz w:val="19"/>
                <w:szCs w:val="19"/>
                <w:color w:val="auto"/>
              </w:rPr>
            </w:pPr>
          </w:p>
        </w:tc>
        <w:tc>
          <w:tcPr>
            <w:tcW w:w="1220" w:type="dxa"/>
            <w:vAlign w:val="bottom"/>
            <w:tcBorders>
              <w:bottom w:val="single" w:sz="8" w:color="auto"/>
            </w:tcBorders>
          </w:tcPr>
          <w:p>
            <w:pPr>
              <w:jc w:val="right"/>
              <w:ind w:right="353"/>
              <w:spacing w:after="0"/>
              <w:rPr>
                <w:sz w:val="20"/>
                <w:szCs w:val="20"/>
                <w:color w:val="auto"/>
              </w:rPr>
            </w:pPr>
            <w:r>
              <w:rPr>
                <w:rFonts w:ascii="Arial" w:cs="Arial" w:eastAsia="Arial" w:hAnsi="Arial"/>
                <w:sz w:val="17"/>
                <w:szCs w:val="17"/>
                <w:b w:val="1"/>
                <w:bCs w:val="1"/>
                <w:color w:val="auto"/>
              </w:rPr>
              <w:t>2017</w:t>
            </w:r>
          </w:p>
        </w:tc>
        <w:tc>
          <w:tcPr>
            <w:tcW w:w="200" w:type="dxa"/>
            <w:vAlign w:val="bottom"/>
          </w:tcPr>
          <w:p>
            <w:pPr>
              <w:spacing w:after="0"/>
              <w:rPr>
                <w:sz w:val="19"/>
                <w:szCs w:val="19"/>
                <w:color w:val="auto"/>
              </w:rPr>
            </w:pPr>
          </w:p>
        </w:tc>
        <w:tc>
          <w:tcPr>
            <w:tcW w:w="1200" w:type="dxa"/>
            <w:vAlign w:val="bottom"/>
            <w:tcBorders>
              <w:bottom w:val="single" w:sz="8" w:color="auto"/>
            </w:tcBorders>
          </w:tcPr>
          <w:p>
            <w:pPr>
              <w:jc w:val="right"/>
              <w:ind w:right="333"/>
              <w:spacing w:after="0"/>
              <w:rPr>
                <w:sz w:val="20"/>
                <w:szCs w:val="20"/>
                <w:color w:val="auto"/>
              </w:rPr>
            </w:pPr>
            <w:r>
              <w:rPr>
                <w:rFonts w:ascii="Arial" w:cs="Arial" w:eastAsia="Arial" w:hAnsi="Arial"/>
                <w:sz w:val="17"/>
                <w:szCs w:val="17"/>
                <w:b w:val="1"/>
                <w:bCs w:val="1"/>
                <w:color w:val="auto"/>
              </w:rPr>
              <w:t>2016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1"/>
        </w:trPr>
        <w:tc>
          <w:tcPr>
            <w:tcW w:w="8220" w:type="dxa"/>
            <w:vAlign w:val="bottom"/>
          </w:tcPr>
          <w:p>
            <w:pPr>
              <w:spacing w:after="0"/>
              <w:rPr>
                <w:sz w:val="17"/>
                <w:szCs w:val="17"/>
                <w:color w:val="auto"/>
              </w:rPr>
            </w:pPr>
          </w:p>
        </w:tc>
        <w:tc>
          <w:tcPr>
            <w:tcW w:w="1220" w:type="dxa"/>
            <w:vAlign w:val="bottom"/>
          </w:tcPr>
          <w:p>
            <w:pPr>
              <w:jc w:val="center"/>
              <w:spacing w:after="0"/>
              <w:rPr>
                <w:sz w:val="20"/>
                <w:szCs w:val="20"/>
                <w:color w:val="auto"/>
              </w:rPr>
            </w:pPr>
            <w:r>
              <w:rPr>
                <w:rFonts w:ascii="Arial" w:cs="Arial" w:eastAsia="Arial" w:hAnsi="Arial"/>
                <w:sz w:val="17"/>
                <w:szCs w:val="17"/>
                <w:b w:val="1"/>
                <w:bCs w:val="1"/>
                <w:color w:val="auto"/>
                <w:w w:val="93"/>
              </w:rPr>
              <w:t>S/(000)</w:t>
            </w:r>
          </w:p>
        </w:tc>
        <w:tc>
          <w:tcPr>
            <w:tcW w:w="200" w:type="dxa"/>
            <w:vAlign w:val="bottom"/>
          </w:tcPr>
          <w:p>
            <w:pPr>
              <w:spacing w:after="0"/>
              <w:rPr>
                <w:sz w:val="17"/>
                <w:szCs w:val="17"/>
                <w:color w:val="auto"/>
              </w:rPr>
            </w:pPr>
          </w:p>
        </w:tc>
        <w:tc>
          <w:tcPr>
            <w:tcW w:w="1200" w:type="dxa"/>
            <w:vAlign w:val="bottom"/>
          </w:tcPr>
          <w:p>
            <w:pPr>
              <w:jc w:val="center"/>
              <w:spacing w:after="0"/>
              <w:rPr>
                <w:sz w:val="20"/>
                <w:szCs w:val="20"/>
                <w:color w:val="auto"/>
              </w:rPr>
            </w:pPr>
            <w:r>
              <w:rPr>
                <w:rFonts w:ascii="Arial" w:cs="Arial" w:eastAsia="Arial" w:hAnsi="Arial"/>
                <w:sz w:val="17"/>
                <w:szCs w:val="17"/>
                <w:b w:val="1"/>
                <w:bCs w:val="1"/>
                <w:color w:val="auto"/>
                <w:w w:val="93"/>
              </w:rPr>
              <w:t>S/(000)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822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Outstanding loans -</w:t>
            </w:r>
          </w:p>
        </w:tc>
        <w:tc>
          <w:tcPr>
            <w:tcW w:w="1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8220" w:type="dxa"/>
            <w:vAlign w:val="bottom"/>
          </w:tcPr>
          <w:p>
            <w:pPr>
              <w:spacing w:after="0"/>
              <w:rPr>
                <w:sz w:val="20"/>
                <w:szCs w:val="20"/>
                <w:color w:val="auto"/>
              </w:rPr>
            </w:pPr>
            <w:r>
              <w:rPr>
                <w:rFonts w:ascii="Arial" w:cs="Arial" w:eastAsia="Arial" w:hAnsi="Arial"/>
                <w:sz w:val="17"/>
                <w:szCs w:val="17"/>
                <w:color w:val="auto"/>
              </w:rPr>
              <w:t>Up to 1 year</w:t>
            </w:r>
          </w:p>
        </w:tc>
        <w:tc>
          <w:tcPr>
            <w:tcW w:w="1420" w:type="dxa"/>
            <w:vAlign w:val="bottom"/>
            <w:gridSpan w:val="2"/>
          </w:tcPr>
          <w:p>
            <w:pPr>
              <w:jc w:val="right"/>
              <w:ind w:right="200"/>
              <w:spacing w:after="0"/>
              <w:rPr>
                <w:sz w:val="20"/>
                <w:szCs w:val="20"/>
                <w:color w:val="auto"/>
              </w:rPr>
            </w:pPr>
            <w:r>
              <w:rPr>
                <w:rFonts w:ascii="Arial" w:cs="Arial" w:eastAsia="Arial" w:hAnsi="Arial"/>
                <w:sz w:val="17"/>
                <w:szCs w:val="17"/>
                <w:color w:val="auto"/>
              </w:rPr>
              <w:t>38,052,430</w:t>
            </w:r>
          </w:p>
        </w:tc>
        <w:tc>
          <w:tcPr>
            <w:tcW w:w="1300" w:type="dxa"/>
            <w:vAlign w:val="bottom"/>
            <w:gridSpan w:val="2"/>
          </w:tcPr>
          <w:p>
            <w:pPr>
              <w:jc w:val="right"/>
              <w:ind w:right="100"/>
              <w:spacing w:after="0"/>
              <w:rPr>
                <w:sz w:val="20"/>
                <w:szCs w:val="20"/>
                <w:color w:val="auto"/>
              </w:rPr>
            </w:pPr>
            <w:r>
              <w:rPr>
                <w:rFonts w:ascii="Arial" w:cs="Arial" w:eastAsia="Arial" w:hAnsi="Arial"/>
                <w:sz w:val="17"/>
                <w:szCs w:val="17"/>
                <w:color w:val="auto"/>
              </w:rPr>
              <w:t>35,455,309</w:t>
            </w:r>
          </w:p>
        </w:tc>
        <w:tc>
          <w:tcPr>
            <w:tcW w:w="0" w:type="dxa"/>
            <w:vAlign w:val="bottom"/>
          </w:tcPr>
          <w:p>
            <w:pPr>
              <w:spacing w:after="0"/>
              <w:rPr>
                <w:sz w:val="1"/>
                <w:szCs w:val="1"/>
                <w:color w:val="auto"/>
              </w:rPr>
            </w:pPr>
          </w:p>
        </w:tc>
      </w:tr>
      <w:tr>
        <w:trPr>
          <w:trHeight w:val="208"/>
        </w:trPr>
        <w:tc>
          <w:tcPr>
            <w:tcW w:w="8220" w:type="dxa"/>
            <w:vAlign w:val="bottom"/>
            <w:shd w:val="clear" w:color="auto" w:fill="CCEEFF"/>
          </w:tcPr>
          <w:p>
            <w:pPr>
              <w:spacing w:after="0"/>
              <w:rPr>
                <w:sz w:val="20"/>
                <w:szCs w:val="20"/>
                <w:color w:val="auto"/>
              </w:rPr>
            </w:pPr>
            <w:r>
              <w:rPr>
                <w:rFonts w:ascii="Arial" w:cs="Arial" w:eastAsia="Arial" w:hAnsi="Arial"/>
                <w:sz w:val="17"/>
                <w:szCs w:val="17"/>
                <w:color w:val="auto"/>
              </w:rPr>
              <w:t>From 1 to 3 years</w:t>
            </w: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20,167,475</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19,214,591</w:t>
            </w:r>
          </w:p>
        </w:tc>
        <w:tc>
          <w:tcPr>
            <w:tcW w:w="0" w:type="dxa"/>
            <w:vAlign w:val="bottom"/>
          </w:tcPr>
          <w:p>
            <w:pPr>
              <w:spacing w:after="0"/>
              <w:rPr>
                <w:sz w:val="1"/>
                <w:szCs w:val="1"/>
                <w:color w:val="auto"/>
              </w:rPr>
            </w:pPr>
          </w:p>
        </w:tc>
      </w:tr>
      <w:tr>
        <w:trPr>
          <w:trHeight w:val="208"/>
        </w:trPr>
        <w:tc>
          <w:tcPr>
            <w:tcW w:w="8220" w:type="dxa"/>
            <w:vAlign w:val="bottom"/>
          </w:tcPr>
          <w:p>
            <w:pPr>
              <w:spacing w:after="0"/>
              <w:rPr>
                <w:sz w:val="20"/>
                <w:szCs w:val="20"/>
                <w:color w:val="auto"/>
              </w:rPr>
            </w:pPr>
            <w:r>
              <w:rPr>
                <w:rFonts w:ascii="Arial" w:cs="Arial" w:eastAsia="Arial" w:hAnsi="Arial"/>
                <w:sz w:val="17"/>
                <w:szCs w:val="17"/>
                <w:color w:val="auto"/>
              </w:rPr>
              <w:t>From 3 to 5 years</w:t>
            </w:r>
          </w:p>
        </w:tc>
        <w:tc>
          <w:tcPr>
            <w:tcW w:w="1420" w:type="dxa"/>
            <w:vAlign w:val="bottom"/>
            <w:gridSpan w:val="2"/>
          </w:tcPr>
          <w:p>
            <w:pPr>
              <w:jc w:val="right"/>
              <w:ind w:right="200"/>
              <w:spacing w:after="0"/>
              <w:rPr>
                <w:sz w:val="20"/>
                <w:szCs w:val="20"/>
                <w:color w:val="auto"/>
              </w:rPr>
            </w:pPr>
            <w:r>
              <w:rPr>
                <w:rFonts w:ascii="Arial" w:cs="Arial" w:eastAsia="Arial" w:hAnsi="Arial"/>
                <w:sz w:val="17"/>
                <w:szCs w:val="17"/>
                <w:color w:val="auto"/>
              </w:rPr>
              <w:t>12,082,996</w:t>
            </w:r>
          </w:p>
        </w:tc>
        <w:tc>
          <w:tcPr>
            <w:tcW w:w="1300" w:type="dxa"/>
            <w:vAlign w:val="bottom"/>
            <w:gridSpan w:val="2"/>
          </w:tcPr>
          <w:p>
            <w:pPr>
              <w:jc w:val="right"/>
              <w:ind w:right="100"/>
              <w:spacing w:after="0"/>
              <w:rPr>
                <w:sz w:val="20"/>
                <w:szCs w:val="20"/>
                <w:color w:val="auto"/>
              </w:rPr>
            </w:pPr>
            <w:r>
              <w:rPr>
                <w:rFonts w:ascii="Arial" w:cs="Arial" w:eastAsia="Arial" w:hAnsi="Arial"/>
                <w:sz w:val="17"/>
                <w:szCs w:val="17"/>
                <w:color w:val="auto"/>
              </w:rPr>
              <w:t>11,907,513</w:t>
            </w:r>
          </w:p>
        </w:tc>
        <w:tc>
          <w:tcPr>
            <w:tcW w:w="0" w:type="dxa"/>
            <w:vAlign w:val="bottom"/>
          </w:tcPr>
          <w:p>
            <w:pPr>
              <w:spacing w:after="0"/>
              <w:rPr>
                <w:sz w:val="1"/>
                <w:szCs w:val="1"/>
                <w:color w:val="auto"/>
              </w:rPr>
            </w:pPr>
          </w:p>
        </w:tc>
      </w:tr>
      <w:tr>
        <w:trPr>
          <w:trHeight w:val="221"/>
        </w:trPr>
        <w:tc>
          <w:tcPr>
            <w:tcW w:w="8220" w:type="dxa"/>
            <w:vAlign w:val="bottom"/>
            <w:shd w:val="clear" w:color="auto" w:fill="CCEEFF"/>
          </w:tcPr>
          <w:p>
            <w:pPr>
              <w:spacing w:after="0"/>
              <w:rPr>
                <w:sz w:val="20"/>
                <w:szCs w:val="20"/>
                <w:color w:val="auto"/>
              </w:rPr>
            </w:pPr>
            <w:r>
              <w:rPr>
                <w:rFonts w:ascii="Arial" w:cs="Arial" w:eastAsia="Arial" w:hAnsi="Arial"/>
                <w:sz w:val="17"/>
                <w:szCs w:val="17"/>
                <w:color w:val="auto"/>
              </w:rPr>
              <w:t>Over 5 years</w:t>
            </w: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26,441,099</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24,901,565</w:t>
            </w:r>
          </w:p>
        </w:tc>
        <w:tc>
          <w:tcPr>
            <w:tcW w:w="0" w:type="dxa"/>
            <w:vAlign w:val="bottom"/>
          </w:tcPr>
          <w:p>
            <w:pPr>
              <w:spacing w:after="0"/>
              <w:rPr>
                <w:sz w:val="1"/>
                <w:szCs w:val="1"/>
                <w:color w:val="auto"/>
              </w:rPr>
            </w:pPr>
          </w:p>
        </w:tc>
      </w:tr>
      <w:tr>
        <w:trPr>
          <w:trHeight w:val="201"/>
        </w:trPr>
        <w:tc>
          <w:tcPr>
            <w:tcW w:w="8220" w:type="dxa"/>
            <w:vAlign w:val="bottom"/>
          </w:tcPr>
          <w:p>
            <w:pPr>
              <w:spacing w:after="0"/>
              <w:rPr>
                <w:sz w:val="17"/>
                <w:szCs w:val="17"/>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96,744,000</w:t>
            </w:r>
          </w:p>
        </w:tc>
        <w:tc>
          <w:tcPr>
            <w:tcW w:w="200" w:type="dxa"/>
            <w:vAlign w:val="bottom"/>
          </w:tcPr>
          <w:p>
            <w:pPr>
              <w:spacing w:after="0"/>
              <w:rPr>
                <w:sz w:val="17"/>
                <w:szCs w:val="17"/>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91,478,978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822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Internal overdue loans -</w:t>
            </w:r>
          </w:p>
        </w:tc>
        <w:tc>
          <w:tcPr>
            <w:tcW w:w="1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8220" w:type="dxa"/>
            <w:vAlign w:val="bottom"/>
          </w:tcPr>
          <w:p>
            <w:pPr>
              <w:spacing w:after="0"/>
              <w:rPr>
                <w:sz w:val="20"/>
                <w:szCs w:val="20"/>
                <w:color w:val="auto"/>
              </w:rPr>
            </w:pPr>
            <w:r>
              <w:rPr>
                <w:rFonts w:ascii="Arial" w:cs="Arial" w:eastAsia="Arial" w:hAnsi="Arial"/>
                <w:sz w:val="17"/>
                <w:szCs w:val="17"/>
                <w:color w:val="auto"/>
              </w:rPr>
              <w:t>Overdue 90 days</w:t>
            </w:r>
          </w:p>
        </w:tc>
        <w:tc>
          <w:tcPr>
            <w:tcW w:w="1420" w:type="dxa"/>
            <w:vAlign w:val="bottom"/>
            <w:gridSpan w:val="2"/>
          </w:tcPr>
          <w:p>
            <w:pPr>
              <w:jc w:val="right"/>
              <w:ind w:right="200"/>
              <w:spacing w:after="0"/>
              <w:rPr>
                <w:sz w:val="20"/>
                <w:szCs w:val="20"/>
                <w:color w:val="auto"/>
              </w:rPr>
            </w:pPr>
            <w:r>
              <w:rPr>
                <w:rFonts w:ascii="Arial" w:cs="Arial" w:eastAsia="Arial" w:hAnsi="Arial"/>
                <w:sz w:val="17"/>
                <w:szCs w:val="17"/>
                <w:color w:val="auto"/>
              </w:rPr>
              <w:t>639,329</w:t>
            </w:r>
          </w:p>
        </w:tc>
        <w:tc>
          <w:tcPr>
            <w:tcW w:w="1200" w:type="dxa"/>
            <w:vAlign w:val="bottom"/>
          </w:tcPr>
          <w:p>
            <w:pPr>
              <w:jc w:val="right"/>
              <w:spacing w:after="0"/>
              <w:rPr>
                <w:sz w:val="20"/>
                <w:szCs w:val="20"/>
                <w:color w:val="auto"/>
              </w:rPr>
            </w:pPr>
            <w:r>
              <w:rPr>
                <w:rFonts w:ascii="Arial" w:cs="Arial" w:eastAsia="Arial" w:hAnsi="Arial"/>
                <w:sz w:val="17"/>
                <w:szCs w:val="17"/>
                <w:color w:val="auto"/>
              </w:rPr>
              <w:t>539,947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8220" w:type="dxa"/>
            <w:vAlign w:val="bottom"/>
            <w:shd w:val="clear" w:color="auto" w:fill="CCEEFF"/>
          </w:tcPr>
          <w:p>
            <w:pPr>
              <w:spacing w:after="0"/>
              <w:rPr>
                <w:sz w:val="20"/>
                <w:szCs w:val="20"/>
                <w:color w:val="auto"/>
              </w:rPr>
            </w:pPr>
            <w:r>
              <w:rPr>
                <w:rFonts w:ascii="Arial" w:cs="Arial" w:eastAsia="Arial" w:hAnsi="Arial"/>
                <w:sz w:val="17"/>
                <w:szCs w:val="17"/>
                <w:color w:val="auto"/>
              </w:rPr>
              <w:t>Over 90 days</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2,381,585</w:t>
            </w:r>
          </w:p>
        </w:tc>
        <w:tc>
          <w:tcPr>
            <w:tcW w:w="200" w:type="dxa"/>
            <w:vAlign w:val="bottom"/>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2,080,464</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1"/>
        </w:trPr>
        <w:tc>
          <w:tcPr>
            <w:tcW w:w="822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3,020,914</w:t>
            </w:r>
          </w:p>
        </w:tc>
        <w:tc>
          <w:tcPr>
            <w:tcW w:w="2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2,620,411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8220" w:type="dxa"/>
            <w:vAlign w:val="bottom"/>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1"/>
        </w:trPr>
        <w:tc>
          <w:tcPr>
            <w:tcW w:w="8220" w:type="dxa"/>
            <w:vAlign w:val="bottom"/>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99,764,914</w:t>
            </w:r>
          </w:p>
        </w:tc>
        <w:tc>
          <w:tcPr>
            <w:tcW w:w="200" w:type="dxa"/>
            <w:vAlign w:val="bottom"/>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94,099,389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220" w:type="dxa"/>
            <w:vAlign w:val="bottom"/>
            <w:vMerge w:val="restart"/>
          </w:tcPr>
          <w:p>
            <w:pPr>
              <w:spacing w:after="0"/>
              <w:rPr>
                <w:sz w:val="20"/>
                <w:szCs w:val="20"/>
                <w:color w:val="auto"/>
              </w:rPr>
            </w:pPr>
            <w:r>
              <w:rPr>
                <w:rFonts w:ascii="Arial" w:cs="Arial" w:eastAsia="Arial" w:hAnsi="Arial"/>
                <w:sz w:val="17"/>
                <w:szCs w:val="17"/>
                <w:color w:val="auto"/>
              </w:rPr>
              <w:t>See credit risk analysis in Note 32.1.</w:t>
            </w:r>
          </w:p>
        </w:tc>
        <w:tc>
          <w:tcPr>
            <w:tcW w:w="12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5"/>
        </w:trPr>
        <w:tc>
          <w:tcPr>
            <w:tcW w:w="8220" w:type="dxa"/>
            <w:vAlign w:val="bottom"/>
            <w:vMerge w:val="continue"/>
          </w:tcPr>
          <w:p>
            <w:pPr>
              <w:spacing w:after="0"/>
              <w:rPr>
                <w:sz w:val="24"/>
                <w:szCs w:val="24"/>
                <w:color w:val="auto"/>
              </w:rPr>
            </w:pPr>
          </w:p>
        </w:tc>
        <w:tc>
          <w:tcPr>
            <w:tcW w:w="1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89" w:lineRule="exact"/>
        <w:rPr>
          <w:sz w:val="20"/>
          <w:szCs w:val="20"/>
          <w:color w:val="auto"/>
        </w:rPr>
      </w:pPr>
    </w:p>
    <w:p>
      <w:pPr>
        <w:ind w:left="320" w:hanging="316"/>
        <w:spacing w:after="0"/>
        <w:tabs>
          <w:tab w:leader="none" w:pos="320" w:val="left"/>
        </w:tabs>
        <w:numPr>
          <w:ilvl w:val="0"/>
          <w:numId w:val="79"/>
        </w:numPr>
        <w:rPr>
          <w:rFonts w:ascii="Arial" w:cs="Arial" w:eastAsia="Arial" w:hAnsi="Arial"/>
          <w:sz w:val="17"/>
          <w:szCs w:val="17"/>
          <w:b w:val="1"/>
          <w:bCs w:val="1"/>
          <w:color w:val="auto"/>
        </w:rPr>
      </w:pPr>
      <w:r>
        <w:rPr>
          <w:rFonts w:ascii="Arial" w:cs="Arial" w:eastAsia="Arial" w:hAnsi="Arial"/>
          <w:sz w:val="17"/>
          <w:szCs w:val="17"/>
          <w:b w:val="1"/>
          <w:bCs w:val="1"/>
          <w:color w:val="auto"/>
        </w:rPr>
        <w:t>FINANCIAL ASSETS DESIGNATED AT FAIR VALUE THROUGH PROFIT OR LOSS</w:t>
      </w:r>
    </w:p>
    <w:p>
      <w:pPr>
        <w:spacing w:after="0" w:line="226"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The Group issues Investment Link life insurance contracts whereby the policyholder takes the investment risk on the assets held in the Investment Link funds as the policy benefits are directly linked to the value of the assets in the fund. The Group’s exposure to market risk is limited to the extent that income arising from asset management charges is based on the value of assets in the fund.</w:t>
      </w:r>
    </w:p>
    <w:p>
      <w:pPr>
        <w:spacing w:after="0" w:line="172" w:lineRule="exact"/>
        <w:rPr>
          <w:sz w:val="20"/>
          <w:szCs w:val="20"/>
          <w:color w:val="auto"/>
        </w:rPr>
      </w:pPr>
    </w:p>
    <w:p>
      <w:pPr>
        <w:ind w:right="100"/>
        <w:spacing w:after="0" w:line="311" w:lineRule="auto"/>
        <w:rPr>
          <w:sz w:val="20"/>
          <w:szCs w:val="20"/>
          <w:color w:val="auto"/>
        </w:rPr>
      </w:pPr>
      <w:r>
        <w:rPr>
          <w:rFonts w:ascii="Arial" w:cs="Arial" w:eastAsia="Arial" w:hAnsi="Arial"/>
          <w:sz w:val="15"/>
          <w:szCs w:val="15"/>
          <w:color w:val="auto"/>
        </w:rPr>
        <w:t>For the years 2017 and 2016, the profit resulting from the difference between cost and estimated fair value for these financial assets amounted to approximately S/67.6 million and S/51.7 million, respectively (loss of S/33.5 million for the year 2015) and is shown in “Net income on financial assets designated at fair value through profit or loss” of the consolidated statement of income (“net loss on financial assets designated at fair value through profit or loss” for the year 2015). The offsetting of this effect is included in gross premiums which are part of “Net premiums earned” of the consolidated statement of income, See Note 23.</w:t>
      </w:r>
    </w:p>
    <w:p>
      <w:pPr>
        <w:spacing w:after="0" w:line="139" w:lineRule="exact"/>
        <w:rPr>
          <w:sz w:val="20"/>
          <w:szCs w:val="20"/>
          <w:color w:val="auto"/>
        </w:rPr>
      </w:pPr>
    </w:p>
    <w:p>
      <w:pPr>
        <w:ind w:left="320" w:hanging="316"/>
        <w:spacing w:after="0"/>
        <w:tabs>
          <w:tab w:leader="none" w:pos="320" w:val="left"/>
        </w:tabs>
        <w:numPr>
          <w:ilvl w:val="0"/>
          <w:numId w:val="80"/>
        </w:numPr>
        <w:rPr>
          <w:rFonts w:ascii="Arial" w:cs="Arial" w:eastAsia="Arial" w:hAnsi="Arial"/>
          <w:sz w:val="17"/>
          <w:szCs w:val="17"/>
          <w:b w:val="1"/>
          <w:bCs w:val="1"/>
          <w:color w:val="auto"/>
        </w:rPr>
      </w:pPr>
      <w:r>
        <w:rPr>
          <w:rFonts w:ascii="Arial" w:cs="Arial" w:eastAsia="Arial" w:hAnsi="Arial"/>
          <w:sz w:val="17"/>
          <w:szCs w:val="17"/>
          <w:b w:val="1"/>
          <w:bCs w:val="1"/>
          <w:color w:val="auto"/>
        </w:rPr>
        <w:t>ACCOUNTS RECEIVABLE AND PAYABLE FROM INSURANCE CONTRACTS</w:t>
      </w:r>
    </w:p>
    <w:p>
      <w:pPr>
        <w:spacing w:after="0" w:line="226" w:lineRule="exact"/>
        <w:rPr>
          <w:sz w:val="20"/>
          <w:szCs w:val="20"/>
          <w:color w:val="auto"/>
        </w:rPr>
      </w:pPr>
    </w:p>
    <w:p>
      <w:pPr>
        <w:ind w:left="320" w:right="240" w:hanging="316"/>
        <w:spacing w:after="0" w:line="270" w:lineRule="auto"/>
        <w:tabs>
          <w:tab w:leader="none" w:pos="320" w:val="left"/>
        </w:tabs>
        <w:numPr>
          <w:ilvl w:val="0"/>
          <w:numId w:val="81"/>
        </w:numPr>
        <w:rPr>
          <w:rFonts w:ascii="Arial" w:cs="Arial" w:eastAsia="Arial" w:hAnsi="Arial"/>
          <w:sz w:val="17"/>
          <w:szCs w:val="17"/>
          <w:color w:val="auto"/>
        </w:rPr>
      </w:pPr>
      <w:r>
        <w:rPr>
          <w:rFonts w:ascii="Arial" w:cs="Arial" w:eastAsia="Arial" w:hAnsi="Arial"/>
          <w:sz w:val="17"/>
          <w:szCs w:val="17"/>
          <w:color w:val="auto"/>
        </w:rPr>
        <w:t>As of December 31, 2017 and 2016, “Premiums and other policies receivable” in the consolidated statement of financial position includes balances for approximately S/656.8 million and S/643.2 million, respectively, which are primarily of current maturity, have no specific collateral and present no material past due balances.</w:t>
      </w:r>
    </w:p>
    <w:p>
      <w:pPr>
        <w:spacing w:after="0" w:line="379" w:lineRule="exact"/>
        <w:rPr>
          <w:rFonts w:ascii="Arial" w:cs="Arial" w:eastAsia="Arial" w:hAnsi="Arial"/>
          <w:sz w:val="17"/>
          <w:szCs w:val="17"/>
          <w:color w:val="auto"/>
        </w:rPr>
      </w:pPr>
    </w:p>
    <w:p>
      <w:pPr>
        <w:ind w:left="5640" w:hanging="107"/>
        <w:spacing w:after="0"/>
        <w:tabs>
          <w:tab w:leader="none" w:pos="5640" w:val="left"/>
        </w:tabs>
        <w:numPr>
          <w:ilvl w:val="1"/>
          <w:numId w:val="81"/>
        </w:numPr>
        <w:rPr>
          <w:rFonts w:ascii="Arial" w:cs="Arial" w:eastAsia="Arial" w:hAnsi="Arial"/>
          <w:sz w:val="17"/>
          <w:szCs w:val="17"/>
          <w:color w:val="auto"/>
        </w:rPr>
      </w:pPr>
      <w:r>
        <w:rPr>
          <w:rFonts w:ascii="Arial" w:cs="Arial" w:eastAsia="Arial" w:hAnsi="Arial"/>
          <w:sz w:val="17"/>
          <w:szCs w:val="17"/>
          <w:color w:val="auto"/>
        </w:rPr>
        <w:t>64 -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15875</wp:posOffset>
            </wp:positionV>
            <wp:extent cx="725170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51700" cy="8255"/>
                    </a:xfrm>
                    <a:prstGeom prst="rect">
                      <a:avLst/>
                    </a:prstGeom>
                    <a:noFill/>
                  </pic:spPr>
                </pic:pic>
              </a:graphicData>
            </a:graphic>
          </wp:anchor>
        </w:drawing>
      </w:r>
    </w:p>
    <w:p>
      <w:pPr>
        <w:sectPr>
          <w:pgSz w:w="11900" w:h="16838" w:orient="portrait"/>
          <w:cols w:equalWidth="0" w:num="1">
            <w:col w:w="11360"/>
          </w:cols>
          <w:pgMar w:left="240" w:top="881" w:right="299" w:bottom="1440" w:gutter="0" w:footer="0" w:header="0"/>
        </w:sectPr>
      </w:pPr>
    </w:p>
    <w:bookmarkStart w:id="70" w:name="page71"/>
    <w:bookmarkEnd w:id="70"/>
    <w:p>
      <w:pPr>
        <w:ind w:left="316" w:hanging="316"/>
        <w:spacing w:after="0"/>
        <w:tabs>
          <w:tab w:leader="none" w:pos="316" w:val="left"/>
        </w:tabs>
        <w:numPr>
          <w:ilvl w:val="0"/>
          <w:numId w:val="82"/>
        </w:numPr>
        <w:rPr>
          <w:rFonts w:ascii="Arial" w:cs="Arial" w:eastAsia="Arial" w:hAnsi="Arial"/>
          <w:sz w:val="17"/>
          <w:szCs w:val="17"/>
          <w:color w:val="auto"/>
        </w:rPr>
      </w:pPr>
      <w:r>
        <w:rPr>
          <w:rFonts w:ascii="Arial" w:cs="Arial" w:eastAsia="Arial" w:hAnsi="Arial"/>
          <w:sz w:val="17"/>
          <w:szCs w:val="17"/>
          <w:color w:val="auto"/>
        </w:rPr>
        <w:t>The movements of the captions “Accounts receivable and payable to reinsurers and coinsurers” are as follows:</w:t>
      </w:r>
    </w:p>
    <w:p>
      <w:pPr>
        <w:spacing w:after="0" w:line="214" w:lineRule="exact"/>
        <w:rPr>
          <w:rFonts w:ascii="Arial" w:cs="Arial" w:eastAsia="Arial" w:hAnsi="Arial"/>
          <w:sz w:val="17"/>
          <w:szCs w:val="17"/>
          <w:color w:val="auto"/>
        </w:rPr>
      </w:pPr>
    </w:p>
    <w:p>
      <w:pPr>
        <w:ind w:left="316"/>
        <w:spacing w:after="0"/>
        <w:rPr>
          <w:rFonts w:ascii="Arial" w:cs="Arial" w:eastAsia="Arial" w:hAnsi="Arial"/>
          <w:sz w:val="17"/>
          <w:szCs w:val="17"/>
          <w:color w:val="auto"/>
        </w:rPr>
      </w:pPr>
      <w:r>
        <w:rPr>
          <w:rFonts w:ascii="Arial" w:cs="Arial" w:eastAsia="Arial" w:hAnsi="Arial"/>
          <w:sz w:val="17"/>
          <w:szCs w:val="17"/>
          <w:b w:val="1"/>
          <w:bCs w:val="1"/>
          <w:color w:val="auto"/>
        </w:rPr>
        <w:t>Accounts receivable:</w:t>
      </w:r>
    </w:p>
    <w:p>
      <w:pPr>
        <w:spacing w:after="0" w:line="233" w:lineRule="exact"/>
        <w:rPr>
          <w:sz w:val="20"/>
          <w:szCs w:val="20"/>
          <w:color w:val="auto"/>
        </w:rPr>
      </w:pPr>
    </w:p>
    <w:tbl>
      <w:tblPr>
        <w:tblLayout w:type="fixed"/>
        <w:tblInd w:w="316" w:type="dxa"/>
        <w:tblCellMar>
          <w:top w:w="0" w:type="dxa"/>
          <w:left w:w="0" w:type="dxa"/>
          <w:bottom w:w="0" w:type="dxa"/>
          <w:right w:w="0" w:type="dxa"/>
        </w:tblCellMar>
      </w:tblPr>
      <w:tr>
        <w:trPr>
          <w:trHeight w:val="226"/>
        </w:trPr>
        <w:tc>
          <w:tcPr>
            <w:tcW w:w="6800" w:type="dxa"/>
            <w:vAlign w:val="bottom"/>
          </w:tcPr>
          <w:p>
            <w:pPr>
              <w:spacing w:after="0"/>
              <w:rPr>
                <w:sz w:val="19"/>
                <w:szCs w:val="19"/>
                <w:color w:val="auto"/>
              </w:rPr>
            </w:pPr>
          </w:p>
        </w:tc>
        <w:tc>
          <w:tcPr>
            <w:tcW w:w="1220" w:type="dxa"/>
            <w:vAlign w:val="bottom"/>
            <w:tcBorders>
              <w:bottom w:val="single" w:sz="8" w:color="auto"/>
            </w:tcBorders>
          </w:tcPr>
          <w:p>
            <w:pPr>
              <w:jc w:val="right"/>
              <w:ind w:right="353"/>
              <w:spacing w:after="0"/>
              <w:rPr>
                <w:sz w:val="20"/>
                <w:szCs w:val="20"/>
                <w:color w:val="auto"/>
              </w:rPr>
            </w:pPr>
            <w:r>
              <w:rPr>
                <w:rFonts w:ascii="Arial" w:cs="Arial" w:eastAsia="Arial" w:hAnsi="Arial"/>
                <w:sz w:val="17"/>
                <w:szCs w:val="17"/>
                <w:b w:val="1"/>
                <w:bCs w:val="1"/>
                <w:color w:val="auto"/>
              </w:rPr>
              <w:t>2017</w:t>
            </w:r>
          </w:p>
        </w:tc>
        <w:tc>
          <w:tcPr>
            <w:tcW w:w="220" w:type="dxa"/>
            <w:vAlign w:val="bottom"/>
          </w:tcPr>
          <w:p>
            <w:pPr>
              <w:spacing w:after="0"/>
              <w:rPr>
                <w:sz w:val="19"/>
                <w:szCs w:val="19"/>
                <w:color w:val="auto"/>
              </w:rPr>
            </w:pPr>
          </w:p>
        </w:tc>
        <w:tc>
          <w:tcPr>
            <w:tcW w:w="1200" w:type="dxa"/>
            <w:vAlign w:val="bottom"/>
            <w:tcBorders>
              <w:bottom w:val="single" w:sz="8" w:color="auto"/>
            </w:tcBorders>
          </w:tcPr>
          <w:p>
            <w:pPr>
              <w:jc w:val="right"/>
              <w:ind w:right="333"/>
              <w:spacing w:after="0"/>
              <w:rPr>
                <w:sz w:val="20"/>
                <w:szCs w:val="20"/>
                <w:color w:val="auto"/>
              </w:rPr>
            </w:pPr>
            <w:r>
              <w:rPr>
                <w:rFonts w:ascii="Arial" w:cs="Arial" w:eastAsia="Arial" w:hAnsi="Arial"/>
                <w:sz w:val="17"/>
                <w:szCs w:val="17"/>
                <w:b w:val="1"/>
                <w:bCs w:val="1"/>
                <w:color w:val="auto"/>
              </w:rPr>
              <w:t>2016</w:t>
            </w:r>
          </w:p>
        </w:tc>
        <w:tc>
          <w:tcPr>
            <w:tcW w:w="200" w:type="dxa"/>
            <w:vAlign w:val="bottom"/>
          </w:tcPr>
          <w:p>
            <w:pPr>
              <w:spacing w:after="0"/>
              <w:rPr>
                <w:sz w:val="19"/>
                <w:szCs w:val="19"/>
                <w:color w:val="auto"/>
              </w:rPr>
            </w:pPr>
          </w:p>
        </w:tc>
        <w:tc>
          <w:tcPr>
            <w:tcW w:w="1200" w:type="dxa"/>
            <w:vAlign w:val="bottom"/>
            <w:tcBorders>
              <w:bottom w:val="single" w:sz="8" w:color="auto"/>
            </w:tcBorders>
          </w:tcPr>
          <w:p>
            <w:pPr>
              <w:jc w:val="right"/>
              <w:ind w:right="333"/>
              <w:spacing w:after="0"/>
              <w:rPr>
                <w:sz w:val="20"/>
                <w:szCs w:val="20"/>
                <w:color w:val="auto"/>
              </w:rPr>
            </w:pPr>
            <w:r>
              <w:rPr>
                <w:rFonts w:ascii="Arial" w:cs="Arial" w:eastAsia="Arial" w:hAnsi="Arial"/>
                <w:sz w:val="17"/>
                <w:szCs w:val="17"/>
                <w:b w:val="1"/>
                <w:bCs w:val="1"/>
                <w:color w:val="auto"/>
              </w:rPr>
              <w:t>2015</w:t>
            </w:r>
          </w:p>
        </w:tc>
        <w:tc>
          <w:tcPr>
            <w:tcW w:w="100" w:type="dxa"/>
            <w:vAlign w:val="bottom"/>
          </w:tcPr>
          <w:p>
            <w:pPr>
              <w:spacing w:after="0"/>
              <w:rPr>
                <w:sz w:val="19"/>
                <w:szCs w:val="19"/>
                <w:color w:val="auto"/>
              </w:rPr>
            </w:pPr>
          </w:p>
        </w:tc>
      </w:tr>
      <w:tr>
        <w:trPr>
          <w:trHeight w:val="219"/>
        </w:trPr>
        <w:tc>
          <w:tcPr>
            <w:tcW w:w="6800" w:type="dxa"/>
            <w:vAlign w:val="bottom"/>
          </w:tcPr>
          <w:p>
            <w:pPr>
              <w:spacing w:after="0"/>
              <w:rPr>
                <w:sz w:val="19"/>
                <w:szCs w:val="19"/>
                <w:color w:val="auto"/>
              </w:rPr>
            </w:pPr>
          </w:p>
        </w:tc>
        <w:tc>
          <w:tcPr>
            <w:tcW w:w="1220" w:type="dxa"/>
            <w:vAlign w:val="bottom"/>
          </w:tcPr>
          <w:p>
            <w:pPr>
              <w:jc w:val="center"/>
              <w:spacing w:after="0"/>
              <w:rPr>
                <w:sz w:val="20"/>
                <w:szCs w:val="20"/>
                <w:color w:val="auto"/>
              </w:rPr>
            </w:pPr>
            <w:r>
              <w:rPr>
                <w:rFonts w:ascii="Arial" w:cs="Arial" w:eastAsia="Arial" w:hAnsi="Arial"/>
                <w:sz w:val="17"/>
                <w:szCs w:val="17"/>
                <w:b w:val="1"/>
                <w:bCs w:val="1"/>
                <w:color w:val="auto"/>
                <w:w w:val="93"/>
              </w:rPr>
              <w:t>S/(000)</w:t>
            </w:r>
          </w:p>
        </w:tc>
        <w:tc>
          <w:tcPr>
            <w:tcW w:w="220" w:type="dxa"/>
            <w:vAlign w:val="bottom"/>
          </w:tcPr>
          <w:p>
            <w:pPr>
              <w:spacing w:after="0"/>
              <w:rPr>
                <w:sz w:val="19"/>
                <w:szCs w:val="19"/>
                <w:color w:val="auto"/>
              </w:rPr>
            </w:pPr>
          </w:p>
        </w:tc>
        <w:tc>
          <w:tcPr>
            <w:tcW w:w="1200" w:type="dxa"/>
            <w:vAlign w:val="bottom"/>
          </w:tcPr>
          <w:p>
            <w:pPr>
              <w:jc w:val="center"/>
              <w:spacing w:after="0"/>
              <w:rPr>
                <w:sz w:val="20"/>
                <w:szCs w:val="20"/>
                <w:color w:val="auto"/>
              </w:rPr>
            </w:pPr>
            <w:r>
              <w:rPr>
                <w:rFonts w:ascii="Arial" w:cs="Arial" w:eastAsia="Arial" w:hAnsi="Arial"/>
                <w:sz w:val="17"/>
                <w:szCs w:val="17"/>
                <w:b w:val="1"/>
                <w:bCs w:val="1"/>
                <w:color w:val="auto"/>
                <w:w w:val="93"/>
              </w:rPr>
              <w:t>S/(000)</w:t>
            </w:r>
          </w:p>
        </w:tc>
        <w:tc>
          <w:tcPr>
            <w:tcW w:w="200" w:type="dxa"/>
            <w:vAlign w:val="bottom"/>
          </w:tcPr>
          <w:p>
            <w:pPr>
              <w:spacing w:after="0"/>
              <w:rPr>
                <w:sz w:val="19"/>
                <w:szCs w:val="19"/>
                <w:color w:val="auto"/>
              </w:rPr>
            </w:pPr>
          </w:p>
        </w:tc>
        <w:tc>
          <w:tcPr>
            <w:tcW w:w="1200" w:type="dxa"/>
            <w:vAlign w:val="bottom"/>
          </w:tcPr>
          <w:p>
            <w:pPr>
              <w:jc w:val="center"/>
              <w:spacing w:after="0"/>
              <w:rPr>
                <w:sz w:val="20"/>
                <w:szCs w:val="20"/>
                <w:color w:val="auto"/>
              </w:rPr>
            </w:pPr>
            <w:r>
              <w:rPr>
                <w:rFonts w:ascii="Arial" w:cs="Arial" w:eastAsia="Arial" w:hAnsi="Arial"/>
                <w:sz w:val="17"/>
                <w:szCs w:val="17"/>
                <w:b w:val="1"/>
                <w:bCs w:val="1"/>
                <w:color w:val="auto"/>
                <w:w w:val="93"/>
              </w:rPr>
              <w:t>S/(000)</w:t>
            </w:r>
          </w:p>
        </w:tc>
        <w:tc>
          <w:tcPr>
            <w:tcW w:w="100" w:type="dxa"/>
            <w:vAlign w:val="bottom"/>
          </w:tcPr>
          <w:p>
            <w:pPr>
              <w:spacing w:after="0"/>
              <w:rPr>
                <w:sz w:val="19"/>
                <w:szCs w:val="19"/>
                <w:color w:val="auto"/>
              </w:rPr>
            </w:pPr>
          </w:p>
        </w:tc>
      </w:tr>
      <w:tr>
        <w:trPr>
          <w:trHeight w:val="189"/>
        </w:trPr>
        <w:tc>
          <w:tcPr>
            <w:tcW w:w="68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08"/>
        </w:trPr>
        <w:tc>
          <w:tcPr>
            <w:tcW w:w="680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Balances at the beginning of the period</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454,187</w:t>
            </w: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457,189</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468,137</w:t>
            </w:r>
          </w:p>
        </w:tc>
        <w:tc>
          <w:tcPr>
            <w:tcW w:w="100" w:type="dxa"/>
            <w:vAlign w:val="bottom"/>
            <w:shd w:val="clear" w:color="auto" w:fill="CCEEFF"/>
          </w:tcPr>
          <w:p>
            <w:pPr>
              <w:spacing w:after="0"/>
              <w:rPr>
                <w:sz w:val="18"/>
                <w:szCs w:val="18"/>
                <w:color w:val="auto"/>
              </w:rPr>
            </w:pPr>
          </w:p>
        </w:tc>
      </w:tr>
      <w:tr>
        <w:trPr>
          <w:trHeight w:val="208"/>
        </w:trPr>
        <w:tc>
          <w:tcPr>
            <w:tcW w:w="6800" w:type="dxa"/>
            <w:vAlign w:val="bottom"/>
          </w:tcPr>
          <w:p>
            <w:pPr>
              <w:spacing w:after="0"/>
              <w:rPr>
                <w:sz w:val="20"/>
                <w:szCs w:val="20"/>
                <w:color w:val="auto"/>
              </w:rPr>
            </w:pPr>
            <w:r>
              <w:rPr>
                <w:rFonts w:ascii="Arial" w:cs="Arial" w:eastAsia="Arial" w:hAnsi="Arial"/>
                <w:sz w:val="17"/>
                <w:szCs w:val="17"/>
                <w:color w:val="auto"/>
              </w:rPr>
              <w:t>Reported claims of premiums ceded, Note 24</w:t>
            </w:r>
          </w:p>
        </w:tc>
        <w:tc>
          <w:tcPr>
            <w:tcW w:w="1440" w:type="dxa"/>
            <w:vAlign w:val="bottom"/>
            <w:gridSpan w:val="2"/>
          </w:tcPr>
          <w:p>
            <w:pPr>
              <w:jc w:val="right"/>
              <w:ind w:right="220"/>
              <w:spacing w:after="0"/>
              <w:rPr>
                <w:sz w:val="20"/>
                <w:szCs w:val="20"/>
                <w:color w:val="auto"/>
              </w:rPr>
            </w:pPr>
            <w:r>
              <w:rPr>
                <w:rFonts w:ascii="Arial" w:cs="Arial" w:eastAsia="Arial" w:hAnsi="Arial"/>
                <w:sz w:val="17"/>
                <w:szCs w:val="17"/>
                <w:color w:val="auto"/>
              </w:rPr>
              <w:t>483,387</w:t>
            </w:r>
          </w:p>
        </w:tc>
        <w:tc>
          <w:tcPr>
            <w:tcW w:w="1400" w:type="dxa"/>
            <w:vAlign w:val="bottom"/>
            <w:gridSpan w:val="2"/>
          </w:tcPr>
          <w:p>
            <w:pPr>
              <w:jc w:val="right"/>
              <w:ind w:right="200"/>
              <w:spacing w:after="0"/>
              <w:rPr>
                <w:sz w:val="20"/>
                <w:szCs w:val="20"/>
                <w:color w:val="auto"/>
              </w:rPr>
            </w:pPr>
            <w:r>
              <w:rPr>
                <w:rFonts w:ascii="Arial" w:cs="Arial" w:eastAsia="Arial" w:hAnsi="Arial"/>
                <w:sz w:val="17"/>
                <w:szCs w:val="17"/>
                <w:color w:val="auto"/>
              </w:rPr>
              <w:t>145,498</w:t>
            </w:r>
          </w:p>
        </w:tc>
        <w:tc>
          <w:tcPr>
            <w:tcW w:w="1300" w:type="dxa"/>
            <w:vAlign w:val="bottom"/>
            <w:gridSpan w:val="2"/>
          </w:tcPr>
          <w:p>
            <w:pPr>
              <w:jc w:val="right"/>
              <w:ind w:right="100"/>
              <w:spacing w:after="0"/>
              <w:rPr>
                <w:sz w:val="20"/>
                <w:szCs w:val="20"/>
                <w:color w:val="auto"/>
              </w:rPr>
            </w:pPr>
            <w:r>
              <w:rPr>
                <w:rFonts w:ascii="Arial" w:cs="Arial" w:eastAsia="Arial" w:hAnsi="Arial"/>
                <w:sz w:val="17"/>
                <w:szCs w:val="17"/>
                <w:color w:val="auto"/>
              </w:rPr>
              <w:t>119,894</w:t>
            </w:r>
          </w:p>
        </w:tc>
      </w:tr>
      <w:tr>
        <w:trPr>
          <w:trHeight w:val="208"/>
        </w:trPr>
        <w:tc>
          <w:tcPr>
            <w:tcW w:w="6800" w:type="dxa"/>
            <w:vAlign w:val="bottom"/>
            <w:shd w:val="clear" w:color="auto" w:fill="CCEEFF"/>
          </w:tcPr>
          <w:p>
            <w:pPr>
              <w:spacing w:after="0"/>
              <w:rPr>
                <w:sz w:val="20"/>
                <w:szCs w:val="20"/>
                <w:color w:val="auto"/>
              </w:rPr>
            </w:pPr>
            <w:r>
              <w:rPr>
                <w:rFonts w:ascii="Arial" w:cs="Arial" w:eastAsia="Arial" w:hAnsi="Arial"/>
                <w:sz w:val="17"/>
                <w:szCs w:val="17"/>
                <w:color w:val="auto"/>
              </w:rPr>
              <w:t>Premiums ceded unearned during the year, Note 23(a)(**)</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21,192</w:t>
            </w:r>
          </w:p>
        </w:tc>
        <w:tc>
          <w:tcPr>
            <w:tcW w:w="14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(9,139)</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6,835</w:t>
            </w:r>
          </w:p>
        </w:tc>
        <w:tc>
          <w:tcPr>
            <w:tcW w:w="100" w:type="dxa"/>
            <w:vAlign w:val="bottom"/>
            <w:shd w:val="clear" w:color="auto" w:fill="CCEEFF"/>
          </w:tcPr>
          <w:p>
            <w:pPr>
              <w:spacing w:after="0"/>
              <w:rPr>
                <w:sz w:val="18"/>
                <w:szCs w:val="18"/>
                <w:color w:val="auto"/>
              </w:rPr>
            </w:pPr>
          </w:p>
        </w:tc>
      </w:tr>
      <w:tr>
        <w:trPr>
          <w:trHeight w:val="208"/>
        </w:trPr>
        <w:tc>
          <w:tcPr>
            <w:tcW w:w="6800" w:type="dxa"/>
            <w:vAlign w:val="bottom"/>
          </w:tcPr>
          <w:p>
            <w:pPr>
              <w:spacing w:after="0"/>
              <w:rPr>
                <w:sz w:val="20"/>
                <w:szCs w:val="20"/>
                <w:color w:val="auto"/>
              </w:rPr>
            </w:pPr>
            <w:r>
              <w:rPr>
                <w:rFonts w:ascii="Arial" w:cs="Arial" w:eastAsia="Arial" w:hAnsi="Arial"/>
                <w:sz w:val="17"/>
                <w:szCs w:val="17"/>
                <w:color w:val="auto"/>
              </w:rPr>
              <w:t>Premiums assumed</w:t>
            </w:r>
          </w:p>
        </w:tc>
        <w:tc>
          <w:tcPr>
            <w:tcW w:w="1440" w:type="dxa"/>
            <w:vAlign w:val="bottom"/>
            <w:gridSpan w:val="2"/>
          </w:tcPr>
          <w:p>
            <w:pPr>
              <w:jc w:val="right"/>
              <w:ind w:right="220"/>
              <w:spacing w:after="0"/>
              <w:rPr>
                <w:sz w:val="20"/>
                <w:szCs w:val="20"/>
                <w:color w:val="auto"/>
              </w:rPr>
            </w:pPr>
            <w:r>
              <w:rPr>
                <w:rFonts w:ascii="Arial" w:cs="Arial" w:eastAsia="Arial" w:hAnsi="Arial"/>
                <w:sz w:val="17"/>
                <w:szCs w:val="17"/>
                <w:color w:val="auto"/>
              </w:rPr>
              <w:t>246,205</w:t>
            </w:r>
          </w:p>
        </w:tc>
        <w:tc>
          <w:tcPr>
            <w:tcW w:w="1400" w:type="dxa"/>
            <w:vAlign w:val="bottom"/>
            <w:gridSpan w:val="2"/>
          </w:tcPr>
          <w:p>
            <w:pPr>
              <w:jc w:val="right"/>
              <w:ind w:right="200"/>
              <w:spacing w:after="0"/>
              <w:rPr>
                <w:sz w:val="20"/>
                <w:szCs w:val="20"/>
                <w:color w:val="auto"/>
              </w:rPr>
            </w:pPr>
            <w:r>
              <w:rPr>
                <w:rFonts w:ascii="Arial" w:cs="Arial" w:eastAsia="Arial" w:hAnsi="Arial"/>
                <w:sz w:val="17"/>
                <w:szCs w:val="17"/>
                <w:color w:val="auto"/>
              </w:rPr>
              <w:t>72,448</w:t>
            </w:r>
          </w:p>
        </w:tc>
        <w:tc>
          <w:tcPr>
            <w:tcW w:w="1200" w:type="dxa"/>
            <w:vAlign w:val="bottom"/>
          </w:tcPr>
          <w:p>
            <w:pPr>
              <w:jc w:val="right"/>
              <w:spacing w:after="0"/>
              <w:rPr>
                <w:sz w:val="20"/>
                <w:szCs w:val="20"/>
                <w:color w:val="auto"/>
              </w:rPr>
            </w:pPr>
            <w:r>
              <w:rPr>
                <w:rFonts w:ascii="Arial" w:cs="Arial" w:eastAsia="Arial" w:hAnsi="Arial"/>
                <w:sz w:val="17"/>
                <w:szCs w:val="17"/>
                <w:color w:val="auto"/>
              </w:rPr>
              <w:t>180,321</w:t>
            </w:r>
          </w:p>
        </w:tc>
        <w:tc>
          <w:tcPr>
            <w:tcW w:w="100" w:type="dxa"/>
            <w:vAlign w:val="bottom"/>
          </w:tcPr>
          <w:p>
            <w:pPr>
              <w:spacing w:after="0"/>
              <w:rPr>
                <w:sz w:val="18"/>
                <w:szCs w:val="18"/>
                <w:color w:val="auto"/>
              </w:rPr>
            </w:pPr>
          </w:p>
        </w:tc>
      </w:tr>
      <w:tr>
        <w:trPr>
          <w:trHeight w:val="208"/>
        </w:trPr>
        <w:tc>
          <w:tcPr>
            <w:tcW w:w="6800" w:type="dxa"/>
            <w:vAlign w:val="bottom"/>
            <w:shd w:val="clear" w:color="auto" w:fill="CCEEFF"/>
          </w:tcPr>
          <w:p>
            <w:pPr>
              <w:spacing w:after="0"/>
              <w:rPr>
                <w:sz w:val="20"/>
                <w:szCs w:val="20"/>
                <w:color w:val="auto"/>
              </w:rPr>
            </w:pPr>
            <w:r>
              <w:rPr>
                <w:rFonts w:ascii="Arial" w:cs="Arial" w:eastAsia="Arial" w:hAnsi="Arial"/>
                <w:sz w:val="17"/>
                <w:szCs w:val="17"/>
                <w:color w:val="auto"/>
              </w:rPr>
              <w:t>Settled claims of premiums ceded by facultative contracts</w:t>
            </w: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(231,298)</w:t>
            </w:r>
          </w:p>
        </w:tc>
        <w:tc>
          <w:tcPr>
            <w:tcW w:w="14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(90,550)</w:t>
            </w:r>
          </w:p>
        </w:tc>
        <w:tc>
          <w:tcPr>
            <w:tcW w:w="13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(125,156)</w:t>
            </w:r>
          </w:p>
        </w:tc>
      </w:tr>
      <w:tr>
        <w:trPr>
          <w:trHeight w:val="221"/>
        </w:trPr>
        <w:tc>
          <w:tcPr>
            <w:tcW w:w="6800" w:type="dxa"/>
            <w:vAlign w:val="bottom"/>
          </w:tcPr>
          <w:p>
            <w:pPr>
              <w:spacing w:after="0"/>
              <w:rPr>
                <w:sz w:val="20"/>
                <w:szCs w:val="20"/>
                <w:color w:val="auto"/>
              </w:rPr>
            </w:pPr>
            <w:r>
              <w:rPr>
                <w:rFonts w:ascii="Arial" w:cs="Arial" w:eastAsia="Arial" w:hAnsi="Arial"/>
                <w:sz w:val="17"/>
                <w:szCs w:val="17"/>
                <w:color w:val="auto"/>
              </w:rPr>
              <w:t>Collections and others, net</w:t>
            </w:r>
          </w:p>
        </w:tc>
        <w:tc>
          <w:tcPr>
            <w:tcW w:w="1440" w:type="dxa"/>
            <w:vAlign w:val="bottom"/>
            <w:gridSpan w:val="2"/>
          </w:tcPr>
          <w:p>
            <w:pPr>
              <w:jc w:val="right"/>
              <w:ind w:right="160"/>
              <w:spacing w:after="0"/>
              <w:rPr>
                <w:sz w:val="20"/>
                <w:szCs w:val="20"/>
                <w:color w:val="auto"/>
              </w:rPr>
            </w:pPr>
            <w:r>
              <w:rPr>
                <w:rFonts w:ascii="Arial" w:cs="Arial" w:eastAsia="Arial" w:hAnsi="Arial"/>
                <w:sz w:val="17"/>
                <w:szCs w:val="17"/>
                <w:color w:val="auto"/>
              </w:rPr>
              <w:t>(257,978)</w:t>
            </w:r>
          </w:p>
        </w:tc>
        <w:tc>
          <w:tcPr>
            <w:tcW w:w="1400" w:type="dxa"/>
            <w:vAlign w:val="bottom"/>
            <w:gridSpan w:val="2"/>
          </w:tcPr>
          <w:p>
            <w:pPr>
              <w:jc w:val="right"/>
              <w:ind w:right="140"/>
              <w:spacing w:after="0"/>
              <w:rPr>
                <w:sz w:val="20"/>
                <w:szCs w:val="20"/>
                <w:color w:val="auto"/>
              </w:rPr>
            </w:pPr>
            <w:r>
              <w:rPr>
                <w:rFonts w:ascii="Arial" w:cs="Arial" w:eastAsia="Arial" w:hAnsi="Arial"/>
                <w:sz w:val="17"/>
                <w:szCs w:val="17"/>
                <w:color w:val="auto"/>
              </w:rPr>
              <w:t>(121,259)</w:t>
            </w:r>
          </w:p>
        </w:tc>
        <w:tc>
          <w:tcPr>
            <w:tcW w:w="1300" w:type="dxa"/>
            <w:vAlign w:val="bottom"/>
            <w:gridSpan w:val="2"/>
          </w:tcPr>
          <w:p>
            <w:pPr>
              <w:jc w:val="right"/>
              <w:ind w:right="40"/>
              <w:spacing w:after="0"/>
              <w:rPr>
                <w:sz w:val="20"/>
                <w:szCs w:val="20"/>
                <w:color w:val="auto"/>
              </w:rPr>
            </w:pPr>
            <w:r>
              <w:rPr>
                <w:rFonts w:ascii="Arial" w:cs="Arial" w:eastAsia="Arial" w:hAnsi="Arial"/>
                <w:sz w:val="17"/>
                <w:szCs w:val="17"/>
                <w:color w:val="auto"/>
              </w:rPr>
              <w:t>(192,842)</w:t>
            </w:r>
          </w:p>
        </w:tc>
      </w:tr>
      <w:tr>
        <w:trPr>
          <w:trHeight w:val="201"/>
        </w:trPr>
        <w:tc>
          <w:tcPr>
            <w:tcW w:w="68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7"/>
                <w:szCs w:val="17"/>
                <w:b w:val="1"/>
                <w:bCs w:val="1"/>
                <w:color w:val="auto"/>
              </w:rPr>
              <w:t>Balances at the end of the period</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715,695</w:t>
            </w: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454,187</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457,189</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r>
      <w:tr>
        <w:trPr>
          <w:trHeight w:val="20"/>
        </w:trPr>
        <w:tc>
          <w:tcPr>
            <w:tcW w:w="68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5" w:lineRule="exact"/>
        <w:rPr>
          <w:sz w:val="20"/>
          <w:szCs w:val="20"/>
          <w:color w:val="auto"/>
        </w:rPr>
      </w:pPr>
    </w:p>
    <w:p>
      <w:pPr>
        <w:ind w:left="316"/>
        <w:spacing w:after="0" w:line="285" w:lineRule="auto"/>
        <w:rPr>
          <w:sz w:val="20"/>
          <w:szCs w:val="20"/>
          <w:color w:val="auto"/>
        </w:rPr>
      </w:pPr>
      <w:r>
        <w:rPr>
          <w:rFonts w:ascii="Arial" w:cs="Arial" w:eastAsia="Arial" w:hAnsi="Arial"/>
          <w:sz w:val="17"/>
          <w:szCs w:val="17"/>
          <w:color w:val="auto"/>
        </w:rPr>
        <w:t>Accounts receivable as of December 31, 2017 and 2016, include S/151.6 million and S/139.4 million, respectively, which correspond to the unearned portion of the premiums ceded to the reinsurers.</w:t>
      </w:r>
    </w:p>
    <w:p>
      <w:pPr>
        <w:spacing w:after="0" w:line="153" w:lineRule="exact"/>
        <w:rPr>
          <w:sz w:val="20"/>
          <w:szCs w:val="20"/>
          <w:color w:val="auto"/>
        </w:rPr>
      </w:pPr>
    </w:p>
    <w:tbl>
      <w:tblPr>
        <w:tblLayout w:type="fixed"/>
        <w:tblInd w:w="316" w:type="dxa"/>
        <w:tblCellMar>
          <w:top w:w="0" w:type="dxa"/>
          <w:left w:w="0" w:type="dxa"/>
          <w:bottom w:w="0" w:type="dxa"/>
          <w:right w:w="0" w:type="dxa"/>
        </w:tblCellMar>
      </w:tblPr>
      <w:tr>
        <w:trPr>
          <w:trHeight w:val="226"/>
        </w:trPr>
        <w:tc>
          <w:tcPr>
            <w:tcW w:w="6800" w:type="dxa"/>
            <w:vAlign w:val="bottom"/>
          </w:tcPr>
          <w:p>
            <w:pPr>
              <w:spacing w:after="0"/>
              <w:rPr>
                <w:sz w:val="20"/>
                <w:szCs w:val="20"/>
                <w:color w:val="auto"/>
              </w:rPr>
            </w:pPr>
            <w:r>
              <w:rPr>
                <w:rFonts w:ascii="Arial" w:cs="Arial" w:eastAsia="Arial" w:hAnsi="Arial"/>
                <w:sz w:val="17"/>
                <w:szCs w:val="17"/>
                <w:b w:val="1"/>
                <w:bCs w:val="1"/>
                <w:color w:val="auto"/>
              </w:rPr>
              <w:t>Accounts Payable:</w:t>
            </w:r>
          </w:p>
        </w:tc>
        <w:tc>
          <w:tcPr>
            <w:tcW w:w="1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429"/>
        </w:trPr>
        <w:tc>
          <w:tcPr>
            <w:tcW w:w="6800" w:type="dxa"/>
            <w:vAlign w:val="bottom"/>
          </w:tcPr>
          <w:p>
            <w:pPr>
              <w:spacing w:after="0"/>
              <w:rPr>
                <w:sz w:val="24"/>
                <w:szCs w:val="24"/>
                <w:color w:val="auto"/>
              </w:rPr>
            </w:pPr>
          </w:p>
        </w:tc>
        <w:tc>
          <w:tcPr>
            <w:tcW w:w="1220" w:type="dxa"/>
            <w:vAlign w:val="bottom"/>
            <w:tcBorders>
              <w:bottom w:val="single" w:sz="8" w:color="auto"/>
            </w:tcBorders>
          </w:tcPr>
          <w:p>
            <w:pPr>
              <w:jc w:val="right"/>
              <w:ind w:right="353"/>
              <w:spacing w:after="0"/>
              <w:rPr>
                <w:sz w:val="20"/>
                <w:szCs w:val="20"/>
                <w:color w:val="auto"/>
              </w:rPr>
            </w:pPr>
            <w:r>
              <w:rPr>
                <w:rFonts w:ascii="Arial" w:cs="Arial" w:eastAsia="Arial" w:hAnsi="Arial"/>
                <w:sz w:val="17"/>
                <w:szCs w:val="17"/>
                <w:b w:val="1"/>
                <w:bCs w:val="1"/>
                <w:color w:val="auto"/>
              </w:rPr>
              <w:t>2017</w:t>
            </w:r>
          </w:p>
        </w:tc>
        <w:tc>
          <w:tcPr>
            <w:tcW w:w="220" w:type="dxa"/>
            <w:vAlign w:val="bottom"/>
          </w:tcPr>
          <w:p>
            <w:pPr>
              <w:spacing w:after="0"/>
              <w:rPr>
                <w:sz w:val="24"/>
                <w:szCs w:val="24"/>
                <w:color w:val="auto"/>
              </w:rPr>
            </w:pPr>
          </w:p>
        </w:tc>
        <w:tc>
          <w:tcPr>
            <w:tcW w:w="1200" w:type="dxa"/>
            <w:vAlign w:val="bottom"/>
            <w:tcBorders>
              <w:bottom w:val="single" w:sz="8" w:color="auto"/>
            </w:tcBorders>
          </w:tcPr>
          <w:p>
            <w:pPr>
              <w:jc w:val="right"/>
              <w:ind w:right="333"/>
              <w:spacing w:after="0"/>
              <w:rPr>
                <w:sz w:val="20"/>
                <w:szCs w:val="20"/>
                <w:color w:val="auto"/>
              </w:rPr>
            </w:pPr>
            <w:r>
              <w:rPr>
                <w:rFonts w:ascii="Arial" w:cs="Arial" w:eastAsia="Arial" w:hAnsi="Arial"/>
                <w:sz w:val="17"/>
                <w:szCs w:val="17"/>
                <w:b w:val="1"/>
                <w:bCs w:val="1"/>
                <w:color w:val="auto"/>
              </w:rPr>
              <w:t>2016</w:t>
            </w:r>
          </w:p>
        </w:tc>
        <w:tc>
          <w:tcPr>
            <w:tcW w:w="200" w:type="dxa"/>
            <w:vAlign w:val="bottom"/>
          </w:tcPr>
          <w:p>
            <w:pPr>
              <w:spacing w:after="0"/>
              <w:rPr>
                <w:sz w:val="24"/>
                <w:szCs w:val="24"/>
                <w:color w:val="auto"/>
              </w:rPr>
            </w:pPr>
          </w:p>
        </w:tc>
        <w:tc>
          <w:tcPr>
            <w:tcW w:w="1200" w:type="dxa"/>
            <w:vAlign w:val="bottom"/>
            <w:tcBorders>
              <w:bottom w:val="single" w:sz="8" w:color="auto"/>
            </w:tcBorders>
          </w:tcPr>
          <w:p>
            <w:pPr>
              <w:jc w:val="right"/>
              <w:ind w:right="333"/>
              <w:spacing w:after="0"/>
              <w:rPr>
                <w:sz w:val="20"/>
                <w:szCs w:val="20"/>
                <w:color w:val="auto"/>
              </w:rPr>
            </w:pPr>
            <w:r>
              <w:rPr>
                <w:rFonts w:ascii="Arial" w:cs="Arial" w:eastAsia="Arial" w:hAnsi="Arial"/>
                <w:sz w:val="17"/>
                <w:szCs w:val="17"/>
                <w:b w:val="1"/>
                <w:bCs w:val="1"/>
                <w:color w:val="auto"/>
              </w:rPr>
              <w:t>2015</w:t>
            </w:r>
          </w:p>
        </w:tc>
        <w:tc>
          <w:tcPr>
            <w:tcW w:w="100" w:type="dxa"/>
            <w:vAlign w:val="bottom"/>
          </w:tcPr>
          <w:p>
            <w:pPr>
              <w:spacing w:after="0"/>
              <w:rPr>
                <w:sz w:val="24"/>
                <w:szCs w:val="24"/>
                <w:color w:val="auto"/>
              </w:rPr>
            </w:pPr>
          </w:p>
        </w:tc>
      </w:tr>
      <w:tr>
        <w:trPr>
          <w:trHeight w:val="219"/>
        </w:trPr>
        <w:tc>
          <w:tcPr>
            <w:tcW w:w="6800" w:type="dxa"/>
            <w:vAlign w:val="bottom"/>
          </w:tcPr>
          <w:p>
            <w:pPr>
              <w:spacing w:after="0"/>
              <w:rPr>
                <w:sz w:val="19"/>
                <w:szCs w:val="19"/>
                <w:color w:val="auto"/>
              </w:rPr>
            </w:pPr>
          </w:p>
        </w:tc>
        <w:tc>
          <w:tcPr>
            <w:tcW w:w="1220" w:type="dxa"/>
            <w:vAlign w:val="bottom"/>
          </w:tcPr>
          <w:p>
            <w:pPr>
              <w:jc w:val="center"/>
              <w:spacing w:after="0"/>
              <w:rPr>
                <w:sz w:val="20"/>
                <w:szCs w:val="20"/>
                <w:color w:val="auto"/>
              </w:rPr>
            </w:pPr>
            <w:r>
              <w:rPr>
                <w:rFonts w:ascii="Arial" w:cs="Arial" w:eastAsia="Arial" w:hAnsi="Arial"/>
                <w:sz w:val="17"/>
                <w:szCs w:val="17"/>
                <w:b w:val="1"/>
                <w:bCs w:val="1"/>
                <w:color w:val="auto"/>
                <w:w w:val="93"/>
              </w:rPr>
              <w:t>S/(000)</w:t>
            </w:r>
          </w:p>
        </w:tc>
        <w:tc>
          <w:tcPr>
            <w:tcW w:w="220" w:type="dxa"/>
            <w:vAlign w:val="bottom"/>
          </w:tcPr>
          <w:p>
            <w:pPr>
              <w:spacing w:after="0"/>
              <w:rPr>
                <w:sz w:val="19"/>
                <w:szCs w:val="19"/>
                <w:color w:val="auto"/>
              </w:rPr>
            </w:pPr>
          </w:p>
        </w:tc>
        <w:tc>
          <w:tcPr>
            <w:tcW w:w="1200" w:type="dxa"/>
            <w:vAlign w:val="bottom"/>
          </w:tcPr>
          <w:p>
            <w:pPr>
              <w:jc w:val="center"/>
              <w:spacing w:after="0"/>
              <w:rPr>
                <w:sz w:val="20"/>
                <w:szCs w:val="20"/>
                <w:color w:val="auto"/>
              </w:rPr>
            </w:pPr>
            <w:r>
              <w:rPr>
                <w:rFonts w:ascii="Arial" w:cs="Arial" w:eastAsia="Arial" w:hAnsi="Arial"/>
                <w:sz w:val="17"/>
                <w:szCs w:val="17"/>
                <w:b w:val="1"/>
                <w:bCs w:val="1"/>
                <w:color w:val="auto"/>
                <w:w w:val="93"/>
              </w:rPr>
              <w:t>S/(000)</w:t>
            </w:r>
          </w:p>
        </w:tc>
        <w:tc>
          <w:tcPr>
            <w:tcW w:w="200" w:type="dxa"/>
            <w:vAlign w:val="bottom"/>
          </w:tcPr>
          <w:p>
            <w:pPr>
              <w:spacing w:after="0"/>
              <w:rPr>
                <w:sz w:val="19"/>
                <w:szCs w:val="19"/>
                <w:color w:val="auto"/>
              </w:rPr>
            </w:pPr>
          </w:p>
        </w:tc>
        <w:tc>
          <w:tcPr>
            <w:tcW w:w="1200" w:type="dxa"/>
            <w:vAlign w:val="bottom"/>
          </w:tcPr>
          <w:p>
            <w:pPr>
              <w:jc w:val="center"/>
              <w:spacing w:after="0"/>
              <w:rPr>
                <w:sz w:val="20"/>
                <w:szCs w:val="20"/>
                <w:color w:val="auto"/>
              </w:rPr>
            </w:pPr>
            <w:r>
              <w:rPr>
                <w:rFonts w:ascii="Arial" w:cs="Arial" w:eastAsia="Arial" w:hAnsi="Arial"/>
                <w:sz w:val="17"/>
                <w:szCs w:val="17"/>
                <w:b w:val="1"/>
                <w:bCs w:val="1"/>
                <w:color w:val="auto"/>
                <w:w w:val="93"/>
              </w:rPr>
              <w:t>S/(000)</w:t>
            </w:r>
          </w:p>
        </w:tc>
        <w:tc>
          <w:tcPr>
            <w:tcW w:w="100" w:type="dxa"/>
            <w:vAlign w:val="bottom"/>
          </w:tcPr>
          <w:p>
            <w:pPr>
              <w:spacing w:after="0"/>
              <w:rPr>
                <w:sz w:val="19"/>
                <w:szCs w:val="19"/>
                <w:color w:val="auto"/>
              </w:rPr>
            </w:pPr>
          </w:p>
        </w:tc>
      </w:tr>
      <w:tr>
        <w:trPr>
          <w:trHeight w:val="189"/>
        </w:trPr>
        <w:tc>
          <w:tcPr>
            <w:tcW w:w="68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08"/>
        </w:trPr>
        <w:tc>
          <w:tcPr>
            <w:tcW w:w="680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Balances at the beginning of the period</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233,892</w:t>
            </w: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241,847</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220,910</w:t>
            </w:r>
          </w:p>
        </w:tc>
        <w:tc>
          <w:tcPr>
            <w:tcW w:w="100" w:type="dxa"/>
            <w:vAlign w:val="bottom"/>
            <w:shd w:val="clear" w:color="auto" w:fill="CCEEFF"/>
          </w:tcPr>
          <w:p>
            <w:pPr>
              <w:spacing w:after="0"/>
              <w:rPr>
                <w:sz w:val="18"/>
                <w:szCs w:val="18"/>
                <w:color w:val="auto"/>
              </w:rPr>
            </w:pPr>
          </w:p>
        </w:tc>
      </w:tr>
      <w:tr>
        <w:trPr>
          <w:trHeight w:val="208"/>
        </w:trPr>
        <w:tc>
          <w:tcPr>
            <w:tcW w:w="6800" w:type="dxa"/>
            <w:vAlign w:val="bottom"/>
          </w:tcPr>
          <w:p>
            <w:pPr>
              <w:spacing w:after="0"/>
              <w:rPr>
                <w:sz w:val="20"/>
                <w:szCs w:val="20"/>
                <w:color w:val="auto"/>
              </w:rPr>
            </w:pPr>
            <w:r>
              <w:rPr>
                <w:rFonts w:ascii="Arial" w:cs="Arial" w:eastAsia="Arial" w:hAnsi="Arial"/>
                <w:sz w:val="17"/>
                <w:szCs w:val="17"/>
                <w:color w:val="auto"/>
              </w:rPr>
              <w:t>Premiums ceded for automatic contracts (mainly excess of loss), Note 23(a)(**)</w:t>
            </w:r>
          </w:p>
        </w:tc>
        <w:tc>
          <w:tcPr>
            <w:tcW w:w="1440" w:type="dxa"/>
            <w:vAlign w:val="bottom"/>
            <w:gridSpan w:val="2"/>
          </w:tcPr>
          <w:p>
            <w:pPr>
              <w:jc w:val="right"/>
              <w:ind w:right="220"/>
              <w:spacing w:after="0"/>
              <w:rPr>
                <w:sz w:val="20"/>
                <w:szCs w:val="20"/>
                <w:color w:val="auto"/>
              </w:rPr>
            </w:pPr>
            <w:r>
              <w:rPr>
                <w:rFonts w:ascii="Arial" w:cs="Arial" w:eastAsia="Arial" w:hAnsi="Arial"/>
                <w:sz w:val="17"/>
                <w:szCs w:val="17"/>
                <w:color w:val="auto"/>
              </w:rPr>
              <w:t>257,617</w:t>
            </w:r>
          </w:p>
        </w:tc>
        <w:tc>
          <w:tcPr>
            <w:tcW w:w="1400" w:type="dxa"/>
            <w:vAlign w:val="bottom"/>
            <w:gridSpan w:val="2"/>
          </w:tcPr>
          <w:p>
            <w:pPr>
              <w:jc w:val="right"/>
              <w:ind w:right="200"/>
              <w:spacing w:after="0"/>
              <w:rPr>
                <w:sz w:val="20"/>
                <w:szCs w:val="20"/>
                <w:color w:val="auto"/>
              </w:rPr>
            </w:pPr>
            <w:r>
              <w:rPr>
                <w:rFonts w:ascii="Arial" w:cs="Arial" w:eastAsia="Arial" w:hAnsi="Arial"/>
                <w:sz w:val="17"/>
                <w:szCs w:val="17"/>
                <w:color w:val="auto"/>
              </w:rPr>
              <w:t>201,892</w:t>
            </w:r>
          </w:p>
        </w:tc>
        <w:tc>
          <w:tcPr>
            <w:tcW w:w="1200" w:type="dxa"/>
            <w:vAlign w:val="bottom"/>
          </w:tcPr>
          <w:p>
            <w:pPr>
              <w:jc w:val="right"/>
              <w:spacing w:after="0"/>
              <w:rPr>
                <w:sz w:val="20"/>
                <w:szCs w:val="20"/>
                <w:color w:val="auto"/>
              </w:rPr>
            </w:pPr>
            <w:r>
              <w:rPr>
                <w:rFonts w:ascii="Arial" w:cs="Arial" w:eastAsia="Arial" w:hAnsi="Arial"/>
                <w:sz w:val="17"/>
                <w:szCs w:val="17"/>
                <w:color w:val="auto"/>
              </w:rPr>
              <w:t>145,618</w:t>
            </w:r>
          </w:p>
        </w:tc>
        <w:tc>
          <w:tcPr>
            <w:tcW w:w="100" w:type="dxa"/>
            <w:vAlign w:val="bottom"/>
          </w:tcPr>
          <w:p>
            <w:pPr>
              <w:spacing w:after="0"/>
              <w:rPr>
                <w:sz w:val="18"/>
                <w:szCs w:val="18"/>
                <w:color w:val="auto"/>
              </w:rPr>
            </w:pPr>
          </w:p>
        </w:tc>
      </w:tr>
      <w:tr>
        <w:trPr>
          <w:trHeight w:val="208"/>
        </w:trPr>
        <w:tc>
          <w:tcPr>
            <w:tcW w:w="6800" w:type="dxa"/>
            <w:vAlign w:val="bottom"/>
            <w:shd w:val="clear" w:color="auto" w:fill="CCEEFF"/>
          </w:tcPr>
          <w:p>
            <w:pPr>
              <w:spacing w:after="0"/>
              <w:rPr>
                <w:sz w:val="20"/>
                <w:szCs w:val="20"/>
                <w:color w:val="auto"/>
              </w:rPr>
            </w:pPr>
            <w:r>
              <w:rPr>
                <w:rFonts w:ascii="Arial" w:cs="Arial" w:eastAsia="Arial" w:hAnsi="Arial"/>
                <w:sz w:val="17"/>
                <w:szCs w:val="17"/>
                <w:color w:val="auto"/>
              </w:rPr>
              <w:t>Premiums ceded to reinsurers in facultative contracts, Note 23(a)(**)</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263,378</w:t>
            </w: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292,555</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331,329</w:t>
            </w:r>
          </w:p>
        </w:tc>
        <w:tc>
          <w:tcPr>
            <w:tcW w:w="100" w:type="dxa"/>
            <w:vAlign w:val="bottom"/>
            <w:shd w:val="clear" w:color="auto" w:fill="CCEEFF"/>
          </w:tcPr>
          <w:p>
            <w:pPr>
              <w:spacing w:after="0"/>
              <w:rPr>
                <w:sz w:val="18"/>
                <w:szCs w:val="18"/>
                <w:color w:val="auto"/>
              </w:rPr>
            </w:pPr>
          </w:p>
        </w:tc>
      </w:tr>
      <w:tr>
        <w:trPr>
          <w:trHeight w:val="208"/>
        </w:trPr>
        <w:tc>
          <w:tcPr>
            <w:tcW w:w="6800" w:type="dxa"/>
            <w:vAlign w:val="bottom"/>
          </w:tcPr>
          <w:p>
            <w:pPr>
              <w:spacing w:after="0"/>
              <w:rPr>
                <w:sz w:val="20"/>
                <w:szCs w:val="20"/>
                <w:color w:val="auto"/>
              </w:rPr>
            </w:pPr>
            <w:r>
              <w:rPr>
                <w:rFonts w:ascii="Arial" w:cs="Arial" w:eastAsia="Arial" w:hAnsi="Arial"/>
                <w:sz w:val="17"/>
                <w:szCs w:val="17"/>
                <w:color w:val="auto"/>
              </w:rPr>
              <w:t>Coinsurance granted</w:t>
            </w:r>
          </w:p>
        </w:tc>
        <w:tc>
          <w:tcPr>
            <w:tcW w:w="1440" w:type="dxa"/>
            <w:vAlign w:val="bottom"/>
            <w:gridSpan w:val="2"/>
          </w:tcPr>
          <w:p>
            <w:pPr>
              <w:jc w:val="right"/>
              <w:ind w:right="220"/>
              <w:spacing w:after="0"/>
              <w:rPr>
                <w:sz w:val="20"/>
                <w:szCs w:val="20"/>
                <w:color w:val="auto"/>
              </w:rPr>
            </w:pPr>
            <w:r>
              <w:rPr>
                <w:rFonts w:ascii="Arial" w:cs="Arial" w:eastAsia="Arial" w:hAnsi="Arial"/>
                <w:sz w:val="17"/>
                <w:szCs w:val="17"/>
                <w:color w:val="auto"/>
              </w:rPr>
              <w:t>5,925</w:t>
            </w:r>
          </w:p>
        </w:tc>
        <w:tc>
          <w:tcPr>
            <w:tcW w:w="1400" w:type="dxa"/>
            <w:vAlign w:val="bottom"/>
            <w:gridSpan w:val="2"/>
          </w:tcPr>
          <w:p>
            <w:pPr>
              <w:jc w:val="right"/>
              <w:ind w:right="200"/>
              <w:spacing w:after="0"/>
              <w:rPr>
                <w:sz w:val="20"/>
                <w:szCs w:val="20"/>
                <w:color w:val="auto"/>
              </w:rPr>
            </w:pPr>
            <w:r>
              <w:rPr>
                <w:rFonts w:ascii="Arial" w:cs="Arial" w:eastAsia="Arial" w:hAnsi="Arial"/>
                <w:sz w:val="17"/>
                <w:szCs w:val="17"/>
                <w:color w:val="auto"/>
              </w:rPr>
              <w:t>5,965</w:t>
            </w:r>
          </w:p>
        </w:tc>
        <w:tc>
          <w:tcPr>
            <w:tcW w:w="1200" w:type="dxa"/>
            <w:vAlign w:val="bottom"/>
          </w:tcPr>
          <w:p>
            <w:pPr>
              <w:jc w:val="right"/>
              <w:spacing w:after="0"/>
              <w:rPr>
                <w:sz w:val="20"/>
                <w:szCs w:val="20"/>
                <w:color w:val="auto"/>
              </w:rPr>
            </w:pPr>
            <w:r>
              <w:rPr>
                <w:rFonts w:ascii="Arial" w:cs="Arial" w:eastAsia="Arial" w:hAnsi="Arial"/>
                <w:sz w:val="17"/>
                <w:szCs w:val="17"/>
                <w:color w:val="auto"/>
              </w:rPr>
              <w:t>5,999</w:t>
            </w:r>
          </w:p>
        </w:tc>
        <w:tc>
          <w:tcPr>
            <w:tcW w:w="100" w:type="dxa"/>
            <w:vAlign w:val="bottom"/>
          </w:tcPr>
          <w:p>
            <w:pPr>
              <w:spacing w:after="0"/>
              <w:rPr>
                <w:sz w:val="18"/>
                <w:szCs w:val="18"/>
                <w:color w:val="auto"/>
              </w:rPr>
            </w:pPr>
          </w:p>
        </w:tc>
      </w:tr>
      <w:tr>
        <w:trPr>
          <w:trHeight w:val="221"/>
        </w:trPr>
        <w:tc>
          <w:tcPr>
            <w:tcW w:w="6800" w:type="dxa"/>
            <w:vAlign w:val="bottom"/>
            <w:shd w:val="clear" w:color="auto" w:fill="CCEEFF"/>
          </w:tcPr>
          <w:p>
            <w:pPr>
              <w:spacing w:after="0"/>
              <w:rPr>
                <w:sz w:val="20"/>
                <w:szCs w:val="20"/>
                <w:color w:val="auto"/>
              </w:rPr>
            </w:pPr>
            <w:r>
              <w:rPr>
                <w:rFonts w:ascii="Arial" w:cs="Arial" w:eastAsia="Arial" w:hAnsi="Arial"/>
                <w:sz w:val="17"/>
                <w:szCs w:val="17"/>
                <w:color w:val="auto"/>
              </w:rPr>
              <w:t>Payments and other, net</w:t>
            </w: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(525,627)</w:t>
            </w:r>
          </w:p>
        </w:tc>
        <w:tc>
          <w:tcPr>
            <w:tcW w:w="14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(508,367)</w:t>
            </w:r>
          </w:p>
        </w:tc>
        <w:tc>
          <w:tcPr>
            <w:tcW w:w="13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(462,009)</w:t>
            </w:r>
          </w:p>
        </w:tc>
      </w:tr>
      <w:tr>
        <w:trPr>
          <w:trHeight w:val="201"/>
        </w:trPr>
        <w:tc>
          <w:tcPr>
            <w:tcW w:w="6800" w:type="dxa"/>
            <w:vAlign w:val="bottom"/>
          </w:tcPr>
          <w:p>
            <w:pPr>
              <w:spacing w:after="0"/>
              <w:rPr>
                <w:sz w:val="20"/>
                <w:szCs w:val="20"/>
                <w:color w:val="auto"/>
              </w:rPr>
            </w:pPr>
            <w:r>
              <w:rPr>
                <w:rFonts w:ascii="Arial" w:cs="Arial" w:eastAsia="Arial" w:hAnsi="Arial"/>
                <w:sz w:val="17"/>
                <w:szCs w:val="17"/>
                <w:b w:val="1"/>
                <w:bCs w:val="1"/>
                <w:color w:val="auto"/>
              </w:rPr>
              <w:t>Balances at the end of the period</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235,185</w:t>
            </w:r>
          </w:p>
        </w:tc>
        <w:tc>
          <w:tcPr>
            <w:tcW w:w="220" w:type="dxa"/>
            <w:vAlign w:val="bottom"/>
          </w:tcPr>
          <w:p>
            <w:pPr>
              <w:spacing w:after="0"/>
              <w:rPr>
                <w:sz w:val="17"/>
                <w:szCs w:val="17"/>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233,892</w:t>
            </w:r>
          </w:p>
        </w:tc>
        <w:tc>
          <w:tcPr>
            <w:tcW w:w="200" w:type="dxa"/>
            <w:vAlign w:val="bottom"/>
          </w:tcPr>
          <w:p>
            <w:pPr>
              <w:spacing w:after="0"/>
              <w:rPr>
                <w:sz w:val="17"/>
                <w:szCs w:val="17"/>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241,847</w:t>
            </w:r>
          </w:p>
        </w:tc>
        <w:tc>
          <w:tcPr>
            <w:tcW w:w="100" w:type="dxa"/>
            <w:vAlign w:val="bottom"/>
          </w:tcPr>
          <w:p>
            <w:pPr>
              <w:spacing w:after="0"/>
              <w:rPr>
                <w:sz w:val="17"/>
                <w:szCs w:val="17"/>
                <w:color w:val="auto"/>
              </w:rPr>
            </w:pPr>
          </w:p>
        </w:tc>
      </w:tr>
      <w:tr>
        <w:trPr>
          <w:trHeight w:val="20"/>
        </w:trPr>
        <w:tc>
          <w:tcPr>
            <w:tcW w:w="68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5" w:lineRule="exact"/>
        <w:rPr>
          <w:sz w:val="20"/>
          <w:szCs w:val="20"/>
          <w:color w:val="auto"/>
        </w:rPr>
      </w:pPr>
    </w:p>
    <w:p>
      <w:pPr>
        <w:ind w:left="316" w:right="80"/>
        <w:spacing w:after="0" w:line="270" w:lineRule="auto"/>
        <w:rPr>
          <w:sz w:val="20"/>
          <w:szCs w:val="20"/>
          <w:color w:val="auto"/>
        </w:rPr>
      </w:pPr>
      <w:r>
        <w:rPr>
          <w:rFonts w:ascii="Arial" w:cs="Arial" w:eastAsia="Arial" w:hAnsi="Arial"/>
          <w:sz w:val="17"/>
          <w:szCs w:val="17"/>
          <w:color w:val="auto"/>
        </w:rPr>
        <w:t>Accounts payable to reinsurers are primarily related to proportional facultative contracts (on an individual basis) for ceded premiums, automatic non-proportional contracts (excess loss) and reinstallation premiums. For facultative contracts the Group transfers to the reinsurers a percentage or an amount of an insurance contract or individual risk, based on the premium and the period of coverage.</w:t>
      </w:r>
    </w:p>
    <w:p>
      <w:pPr>
        <w:spacing w:after="0" w:line="380" w:lineRule="exact"/>
        <w:rPr>
          <w:sz w:val="20"/>
          <w:szCs w:val="20"/>
          <w:color w:val="auto"/>
        </w:rPr>
      </w:pPr>
    </w:p>
    <w:p>
      <w:pPr>
        <w:jc w:val="center"/>
        <w:ind w:right="-35"/>
        <w:spacing w:after="0"/>
        <w:rPr>
          <w:sz w:val="20"/>
          <w:szCs w:val="20"/>
          <w:color w:val="auto"/>
        </w:rPr>
      </w:pPr>
      <w:r>
        <w:rPr>
          <w:rFonts w:ascii="Arial" w:cs="Arial" w:eastAsia="Arial" w:hAnsi="Arial"/>
          <w:sz w:val="17"/>
          <w:szCs w:val="17"/>
          <w:color w:val="auto"/>
        </w:rPr>
        <w:t>- 65 -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15875</wp:posOffset>
            </wp:positionV>
            <wp:extent cx="725170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51700" cy="8255"/>
                    </a:xfrm>
                    <a:prstGeom prst="rect">
                      <a:avLst/>
                    </a:prstGeom>
                    <a:noFill/>
                  </pic:spPr>
                </pic:pic>
              </a:graphicData>
            </a:graphic>
          </wp:anchor>
        </w:drawing>
      </w:r>
    </w:p>
    <w:p>
      <w:pPr>
        <w:sectPr>
          <w:pgSz w:w="11900" w:h="16838" w:orient="portrait"/>
          <w:cols w:equalWidth="0" w:num="1">
            <w:col w:w="11396"/>
          </w:cols>
          <w:pgMar w:left="244" w:top="881" w:right="259" w:bottom="1440" w:gutter="0" w:footer="0" w:header="0"/>
        </w:sectPr>
      </w:pPr>
    </w:p>
    <w:bookmarkStart w:id="71" w:name="page72"/>
    <w:bookmarkEnd w:id="71"/>
    <w:p>
      <w:pPr>
        <w:spacing w:after="0"/>
        <w:tabs>
          <w:tab w:leader="none" w:pos="300" w:val="left"/>
        </w:tabs>
        <w:rPr>
          <w:sz w:val="20"/>
          <w:szCs w:val="20"/>
          <w:color w:val="auto"/>
        </w:rPr>
      </w:pPr>
      <w:r>
        <w:rPr>
          <w:rFonts w:ascii="Arial" w:cs="Arial" w:eastAsia="Arial" w:hAnsi="Arial"/>
          <w:sz w:val="17"/>
          <w:szCs w:val="17"/>
          <w:b w:val="1"/>
          <w:bCs w:val="1"/>
          <w:color w:val="auto"/>
        </w:rPr>
        <w:t>10</w:t>
        <w:tab/>
        <w:t>PROPERTY, FURNITURE AND EQUIPMENT, NET</w:t>
      </w:r>
    </w:p>
    <w:p>
      <w:pPr>
        <w:spacing w:after="0" w:line="226" w:lineRule="exact"/>
        <w:rPr>
          <w:sz w:val="20"/>
          <w:szCs w:val="20"/>
          <w:color w:val="auto"/>
        </w:rPr>
      </w:pPr>
    </w:p>
    <w:p>
      <w:pPr>
        <w:ind w:left="320" w:hanging="316"/>
        <w:spacing w:after="0"/>
        <w:tabs>
          <w:tab w:leader="none" w:pos="320" w:val="left"/>
        </w:tabs>
        <w:numPr>
          <w:ilvl w:val="0"/>
          <w:numId w:val="83"/>
        </w:numPr>
        <w:rPr>
          <w:rFonts w:ascii="Arial" w:cs="Arial" w:eastAsia="Arial" w:hAnsi="Arial"/>
          <w:sz w:val="16"/>
          <w:szCs w:val="16"/>
          <w:color w:val="auto"/>
        </w:rPr>
      </w:pPr>
      <w:r>
        <w:rPr>
          <w:rFonts w:ascii="Arial" w:cs="Arial" w:eastAsia="Arial" w:hAnsi="Arial"/>
          <w:sz w:val="16"/>
          <w:szCs w:val="16"/>
          <w:color w:val="auto"/>
        </w:rPr>
        <w:t>The movement of property, furniture and equipment and accumulated depreciation, for the years ended December 31, 2017, 2016, and 2015 was as follows:</w:t>
      </w:r>
    </w:p>
    <w:p>
      <w:pPr>
        <w:spacing w:after="0" w:line="204" w:lineRule="exact"/>
        <w:rPr>
          <w:sz w:val="20"/>
          <w:szCs w:val="20"/>
          <w:color w:val="auto"/>
        </w:rPr>
      </w:pPr>
    </w:p>
    <w:tbl>
      <w:tblPr>
        <w:tblLayout w:type="fixed"/>
        <w:tblInd w:w="320" w:type="dxa"/>
        <w:tblCellMar>
          <w:top w:w="0" w:type="dxa"/>
          <w:left w:w="0" w:type="dxa"/>
          <w:bottom w:w="0" w:type="dxa"/>
          <w:right w:w="0" w:type="dxa"/>
        </w:tblCellMar>
      </w:tblPr>
      <w:tr>
        <w:trPr>
          <w:trHeight w:val="161"/>
        </w:trPr>
        <w:tc>
          <w:tcPr>
            <w:tcW w:w="1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8"/>
              </w:rPr>
              <w:t>Buildings and</w:t>
            </w: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Furniture</w:t>
            </w:r>
          </w:p>
        </w:tc>
        <w:tc>
          <w:tcPr>
            <w:tcW w:w="96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w w:val="96"/>
              </w:rPr>
              <w:t>Computer</w:t>
            </w:r>
          </w:p>
        </w:tc>
        <w:tc>
          <w:tcPr>
            <w:tcW w:w="96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86"/>
              </w:rPr>
              <w:t>Vehicles and</w:t>
            </w:r>
          </w:p>
        </w:tc>
        <w:tc>
          <w:tcPr>
            <w:tcW w:w="96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3"/>
              </w:rPr>
              <w:t>Work in</w:t>
            </w: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1220" w:type="dxa"/>
            <w:vAlign w:val="bottom"/>
          </w:tcPr>
          <w:p>
            <w:pPr>
              <w:spacing w:after="0"/>
              <w:rPr>
                <w:sz w:val="12"/>
                <w:szCs w:val="12"/>
                <w:color w:val="auto"/>
              </w:rPr>
            </w:pPr>
          </w:p>
        </w:tc>
        <w:tc>
          <w:tcPr>
            <w:tcW w:w="102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Land</w:t>
            </w:r>
          </w:p>
        </w:tc>
        <w:tc>
          <w:tcPr>
            <w:tcW w:w="1100" w:type="dxa"/>
            <w:vAlign w:val="bottom"/>
            <w:gridSpan w:val="2"/>
          </w:tcPr>
          <w:p>
            <w:pPr>
              <w:jc w:val="center"/>
              <w:ind w:right="280"/>
              <w:spacing w:after="0" w:line="143" w:lineRule="exact"/>
              <w:rPr>
                <w:sz w:val="20"/>
                <w:szCs w:val="20"/>
                <w:color w:val="auto"/>
              </w:rPr>
            </w:pPr>
            <w:r>
              <w:rPr>
                <w:rFonts w:ascii="Arial" w:cs="Arial" w:eastAsia="Arial" w:hAnsi="Arial"/>
                <w:sz w:val="14"/>
                <w:szCs w:val="14"/>
                <w:b w:val="1"/>
                <w:bCs w:val="1"/>
                <w:color w:val="auto"/>
                <w:w w:val="85"/>
              </w:rPr>
              <w:t>other</w:t>
            </w:r>
          </w:p>
        </w:tc>
        <w:tc>
          <w:tcPr>
            <w:tcW w:w="96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88"/>
              </w:rPr>
              <w:t>Installations</w:t>
            </w:r>
          </w:p>
        </w:tc>
        <w:tc>
          <w:tcPr>
            <w:tcW w:w="980" w:type="dxa"/>
            <w:vAlign w:val="bottom"/>
            <w:gridSpan w:val="2"/>
          </w:tcPr>
          <w:p>
            <w:pPr>
              <w:jc w:val="center"/>
              <w:ind w:right="240"/>
              <w:spacing w:after="0" w:line="143" w:lineRule="exact"/>
              <w:rPr>
                <w:sz w:val="20"/>
                <w:szCs w:val="20"/>
                <w:color w:val="auto"/>
              </w:rPr>
            </w:pPr>
            <w:r>
              <w:rPr>
                <w:rFonts w:ascii="Arial" w:cs="Arial" w:eastAsia="Arial" w:hAnsi="Arial"/>
                <w:sz w:val="14"/>
                <w:szCs w:val="14"/>
                <w:b w:val="1"/>
                <w:bCs w:val="1"/>
                <w:color w:val="auto"/>
                <w:w w:val="88"/>
              </w:rPr>
              <w:t>and</w:t>
            </w:r>
          </w:p>
        </w:tc>
        <w:tc>
          <w:tcPr>
            <w:tcW w:w="960" w:type="dxa"/>
            <w:vAlign w:val="bottom"/>
            <w:gridSpan w:val="2"/>
            <w:vMerge w:val="continue"/>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760" w:type="dxa"/>
            <w:vAlign w:val="bottom"/>
            <w:vMerge w:val="restart"/>
          </w:tcPr>
          <w:p>
            <w:pPr>
              <w:jc w:val="right"/>
              <w:ind w:right="171"/>
              <w:spacing w:after="0"/>
              <w:rPr>
                <w:sz w:val="20"/>
                <w:szCs w:val="20"/>
                <w:color w:val="auto"/>
              </w:rPr>
            </w:pPr>
            <w:r>
              <w:rPr>
                <w:rFonts w:ascii="Arial" w:cs="Arial" w:eastAsia="Arial" w:hAnsi="Arial"/>
                <w:sz w:val="14"/>
                <w:szCs w:val="14"/>
                <w:b w:val="1"/>
                <w:bCs w:val="1"/>
                <w:color w:val="auto"/>
              </w:rPr>
              <w:t>2017</w:t>
            </w:r>
          </w:p>
        </w:tc>
        <w:tc>
          <w:tcPr>
            <w:tcW w:w="200" w:type="dxa"/>
            <w:vAlign w:val="bottom"/>
          </w:tcPr>
          <w:p>
            <w:pPr>
              <w:spacing w:after="0"/>
              <w:rPr>
                <w:sz w:val="12"/>
                <w:szCs w:val="12"/>
                <w:color w:val="auto"/>
              </w:rPr>
            </w:pPr>
          </w:p>
        </w:tc>
        <w:tc>
          <w:tcPr>
            <w:tcW w:w="760" w:type="dxa"/>
            <w:vAlign w:val="bottom"/>
            <w:vMerge w:val="restart"/>
          </w:tcPr>
          <w:p>
            <w:pPr>
              <w:jc w:val="right"/>
              <w:ind w:right="171"/>
              <w:spacing w:after="0"/>
              <w:rPr>
                <w:sz w:val="20"/>
                <w:szCs w:val="20"/>
                <w:color w:val="auto"/>
              </w:rPr>
            </w:pPr>
            <w:r>
              <w:rPr>
                <w:rFonts w:ascii="Arial" w:cs="Arial" w:eastAsia="Arial" w:hAnsi="Arial"/>
                <w:sz w:val="14"/>
                <w:szCs w:val="14"/>
                <w:b w:val="1"/>
                <w:bCs w:val="1"/>
                <w:color w:val="auto"/>
              </w:rPr>
              <w:t>2016</w:t>
            </w:r>
          </w:p>
        </w:tc>
        <w:tc>
          <w:tcPr>
            <w:tcW w:w="220" w:type="dxa"/>
            <w:vAlign w:val="bottom"/>
          </w:tcPr>
          <w:p>
            <w:pPr>
              <w:spacing w:after="0"/>
              <w:rPr>
                <w:sz w:val="12"/>
                <w:szCs w:val="12"/>
                <w:color w:val="auto"/>
              </w:rPr>
            </w:pPr>
          </w:p>
        </w:tc>
        <w:tc>
          <w:tcPr>
            <w:tcW w:w="740" w:type="dxa"/>
            <w:vAlign w:val="bottom"/>
            <w:vMerge w:val="restart"/>
          </w:tcPr>
          <w:p>
            <w:pPr>
              <w:jc w:val="right"/>
              <w:ind w:right="171"/>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122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6"/>
              </w:rPr>
              <w:t>constructions</w:t>
            </w:r>
          </w:p>
        </w:tc>
        <w:tc>
          <w:tcPr>
            <w:tcW w:w="960" w:type="dxa"/>
            <w:vAlign w:val="bottom"/>
            <w:gridSpan w:val="2"/>
            <w:vMerge w:val="continue"/>
          </w:tcPr>
          <w:p>
            <w:pPr>
              <w:spacing w:after="0"/>
              <w:rPr>
                <w:sz w:val="14"/>
                <w:szCs w:val="14"/>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fixtures</w:t>
            </w:r>
          </w:p>
        </w:tc>
        <w:tc>
          <w:tcPr>
            <w:tcW w:w="96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hardware</w:t>
            </w:r>
          </w:p>
        </w:tc>
        <w:tc>
          <w:tcPr>
            <w:tcW w:w="9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equipment</w:t>
            </w:r>
          </w:p>
        </w:tc>
        <w:tc>
          <w:tcPr>
            <w:tcW w:w="9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3"/>
              </w:rPr>
              <w:t>progress</w:t>
            </w:r>
          </w:p>
        </w:tc>
        <w:tc>
          <w:tcPr>
            <w:tcW w:w="76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1220" w:type="dxa"/>
            <w:vAlign w:val="bottom"/>
          </w:tcPr>
          <w:p>
            <w:pPr>
              <w:spacing w:after="0"/>
              <w:rPr>
                <w:sz w:val="11"/>
                <w:szCs w:val="11"/>
                <w:color w:val="auto"/>
              </w:rPr>
            </w:pPr>
          </w:p>
        </w:tc>
        <w:tc>
          <w:tcPr>
            <w:tcW w:w="780" w:type="dxa"/>
            <w:vAlign w:val="bottom"/>
            <w:tcBorders>
              <w:top w:val="single" w:sz="8" w:color="auto"/>
            </w:tcBorders>
          </w:tcPr>
          <w:p>
            <w:pPr>
              <w:jc w:val="right"/>
              <w:ind w:right="111"/>
              <w:spacing w:after="0" w:line="136" w:lineRule="exact"/>
              <w:rPr>
                <w:sz w:val="20"/>
                <w:szCs w:val="20"/>
                <w:color w:val="auto"/>
              </w:rPr>
            </w:pPr>
            <w:r>
              <w:rPr>
                <w:rFonts w:ascii="Arial" w:cs="Arial" w:eastAsia="Arial" w:hAnsi="Arial"/>
                <w:sz w:val="14"/>
                <w:szCs w:val="14"/>
                <w:b w:val="1"/>
                <w:bCs w:val="1"/>
                <w:color w:val="auto"/>
              </w:rPr>
              <w:t>S/(000)</w:t>
            </w:r>
          </w:p>
        </w:tc>
        <w:tc>
          <w:tcPr>
            <w:tcW w:w="240" w:type="dxa"/>
            <w:vAlign w:val="bottom"/>
          </w:tcPr>
          <w:p>
            <w:pPr>
              <w:spacing w:after="0"/>
              <w:rPr>
                <w:sz w:val="11"/>
                <w:szCs w:val="11"/>
                <w:color w:val="auto"/>
              </w:rPr>
            </w:pPr>
          </w:p>
        </w:tc>
        <w:tc>
          <w:tcPr>
            <w:tcW w:w="860" w:type="dxa"/>
            <w:vAlign w:val="bottom"/>
            <w:tcBorders>
              <w:top w:val="single" w:sz="8" w:color="auto"/>
            </w:tcBorders>
          </w:tcPr>
          <w:p>
            <w:pPr>
              <w:jc w:val="center"/>
              <w:spacing w:after="0" w:line="136" w:lineRule="exact"/>
              <w:rPr>
                <w:sz w:val="20"/>
                <w:szCs w:val="20"/>
                <w:color w:val="auto"/>
              </w:rPr>
            </w:pPr>
            <w:r>
              <w:rPr>
                <w:rFonts w:ascii="Arial" w:cs="Arial" w:eastAsia="Arial" w:hAnsi="Arial"/>
                <w:sz w:val="14"/>
                <w:szCs w:val="14"/>
                <w:b w:val="1"/>
                <w:bCs w:val="1"/>
                <w:color w:val="auto"/>
                <w:w w:val="91"/>
              </w:rPr>
              <w:t>S/(000)</w:t>
            </w:r>
          </w:p>
        </w:tc>
        <w:tc>
          <w:tcPr>
            <w:tcW w:w="240" w:type="dxa"/>
            <w:vAlign w:val="bottom"/>
          </w:tcPr>
          <w:p>
            <w:pPr>
              <w:spacing w:after="0"/>
              <w:rPr>
                <w:sz w:val="11"/>
                <w:szCs w:val="11"/>
                <w:color w:val="auto"/>
              </w:rPr>
            </w:pPr>
          </w:p>
        </w:tc>
        <w:tc>
          <w:tcPr>
            <w:tcW w:w="760" w:type="dxa"/>
            <w:vAlign w:val="bottom"/>
            <w:tcBorders>
              <w:top w:val="single" w:sz="8" w:color="auto"/>
            </w:tcBorders>
          </w:tcPr>
          <w:p>
            <w:pPr>
              <w:jc w:val="center"/>
              <w:spacing w:after="0" w:line="136" w:lineRule="exact"/>
              <w:rPr>
                <w:sz w:val="20"/>
                <w:szCs w:val="20"/>
                <w:color w:val="auto"/>
              </w:rPr>
            </w:pPr>
            <w:r>
              <w:rPr>
                <w:rFonts w:ascii="Arial" w:cs="Arial" w:eastAsia="Arial" w:hAnsi="Arial"/>
                <w:sz w:val="14"/>
                <w:szCs w:val="14"/>
                <w:b w:val="1"/>
                <w:bCs w:val="1"/>
                <w:color w:val="auto"/>
                <w:w w:val="87"/>
              </w:rPr>
              <w:t>S/(000)</w:t>
            </w:r>
          </w:p>
        </w:tc>
        <w:tc>
          <w:tcPr>
            <w:tcW w:w="200" w:type="dxa"/>
            <w:vAlign w:val="bottom"/>
          </w:tcPr>
          <w:p>
            <w:pPr>
              <w:spacing w:after="0"/>
              <w:rPr>
                <w:sz w:val="11"/>
                <w:szCs w:val="11"/>
                <w:color w:val="auto"/>
              </w:rPr>
            </w:pPr>
          </w:p>
        </w:tc>
        <w:tc>
          <w:tcPr>
            <w:tcW w:w="760" w:type="dxa"/>
            <w:vAlign w:val="bottom"/>
            <w:tcBorders>
              <w:top w:val="single" w:sz="8" w:color="auto"/>
            </w:tcBorders>
          </w:tcPr>
          <w:p>
            <w:pPr>
              <w:jc w:val="center"/>
              <w:spacing w:after="0" w:line="136" w:lineRule="exact"/>
              <w:rPr>
                <w:sz w:val="20"/>
                <w:szCs w:val="20"/>
                <w:color w:val="auto"/>
              </w:rPr>
            </w:pPr>
            <w:r>
              <w:rPr>
                <w:rFonts w:ascii="Arial" w:cs="Arial" w:eastAsia="Arial" w:hAnsi="Arial"/>
                <w:sz w:val="14"/>
                <w:szCs w:val="14"/>
                <w:b w:val="1"/>
                <w:bCs w:val="1"/>
                <w:color w:val="auto"/>
                <w:w w:val="91"/>
              </w:rPr>
              <w:t>S/(000)</w:t>
            </w:r>
          </w:p>
        </w:tc>
        <w:tc>
          <w:tcPr>
            <w:tcW w:w="220" w:type="dxa"/>
            <w:vAlign w:val="bottom"/>
          </w:tcPr>
          <w:p>
            <w:pPr>
              <w:spacing w:after="0"/>
              <w:rPr>
                <w:sz w:val="11"/>
                <w:szCs w:val="11"/>
                <w:color w:val="auto"/>
              </w:rPr>
            </w:pPr>
          </w:p>
        </w:tc>
        <w:tc>
          <w:tcPr>
            <w:tcW w:w="740" w:type="dxa"/>
            <w:vAlign w:val="bottom"/>
            <w:tcBorders>
              <w:top w:val="single" w:sz="8" w:color="auto"/>
            </w:tcBorders>
          </w:tcPr>
          <w:p>
            <w:pPr>
              <w:jc w:val="right"/>
              <w:ind w:right="91"/>
              <w:spacing w:after="0" w:line="136" w:lineRule="exact"/>
              <w:rPr>
                <w:sz w:val="20"/>
                <w:szCs w:val="20"/>
                <w:color w:val="auto"/>
              </w:rPr>
            </w:pPr>
            <w:r>
              <w:rPr>
                <w:rFonts w:ascii="Arial" w:cs="Arial" w:eastAsia="Arial" w:hAnsi="Arial"/>
                <w:sz w:val="14"/>
                <w:szCs w:val="14"/>
                <w:b w:val="1"/>
                <w:bCs w:val="1"/>
                <w:color w:val="auto"/>
              </w:rPr>
              <w:t>S/(000)</w:t>
            </w:r>
          </w:p>
        </w:tc>
        <w:tc>
          <w:tcPr>
            <w:tcW w:w="220" w:type="dxa"/>
            <w:vAlign w:val="bottom"/>
          </w:tcPr>
          <w:p>
            <w:pPr>
              <w:spacing w:after="0"/>
              <w:rPr>
                <w:sz w:val="11"/>
                <w:szCs w:val="11"/>
                <w:color w:val="auto"/>
              </w:rPr>
            </w:pPr>
          </w:p>
        </w:tc>
        <w:tc>
          <w:tcPr>
            <w:tcW w:w="760" w:type="dxa"/>
            <w:vAlign w:val="bottom"/>
            <w:tcBorders>
              <w:top w:val="single" w:sz="8" w:color="auto"/>
            </w:tcBorders>
          </w:tcPr>
          <w:p>
            <w:pPr>
              <w:jc w:val="center"/>
              <w:spacing w:after="0" w:line="136" w:lineRule="exact"/>
              <w:rPr>
                <w:sz w:val="20"/>
                <w:szCs w:val="20"/>
                <w:color w:val="auto"/>
              </w:rPr>
            </w:pPr>
            <w:r>
              <w:rPr>
                <w:rFonts w:ascii="Arial" w:cs="Arial" w:eastAsia="Arial" w:hAnsi="Arial"/>
                <w:sz w:val="14"/>
                <w:szCs w:val="14"/>
                <w:b w:val="1"/>
                <w:bCs w:val="1"/>
                <w:color w:val="auto"/>
                <w:w w:val="91"/>
              </w:rPr>
              <w:t>S/(000)</w:t>
            </w:r>
          </w:p>
        </w:tc>
        <w:tc>
          <w:tcPr>
            <w:tcW w:w="200" w:type="dxa"/>
            <w:vAlign w:val="bottom"/>
          </w:tcPr>
          <w:p>
            <w:pPr>
              <w:spacing w:after="0"/>
              <w:rPr>
                <w:sz w:val="11"/>
                <w:szCs w:val="11"/>
                <w:color w:val="auto"/>
              </w:rPr>
            </w:pPr>
          </w:p>
        </w:tc>
        <w:tc>
          <w:tcPr>
            <w:tcW w:w="760" w:type="dxa"/>
            <w:vAlign w:val="bottom"/>
            <w:tcBorders>
              <w:top w:val="single" w:sz="8" w:color="auto"/>
            </w:tcBorders>
          </w:tcPr>
          <w:p>
            <w:pPr>
              <w:jc w:val="center"/>
              <w:spacing w:after="0" w:line="136" w:lineRule="exact"/>
              <w:rPr>
                <w:sz w:val="20"/>
                <w:szCs w:val="20"/>
                <w:color w:val="auto"/>
              </w:rPr>
            </w:pPr>
            <w:r>
              <w:rPr>
                <w:rFonts w:ascii="Arial" w:cs="Arial" w:eastAsia="Arial" w:hAnsi="Arial"/>
                <w:sz w:val="14"/>
                <w:szCs w:val="14"/>
                <w:b w:val="1"/>
                <w:bCs w:val="1"/>
                <w:color w:val="auto"/>
                <w:w w:val="91"/>
              </w:rPr>
              <w:t>S/(000)</w:t>
            </w:r>
          </w:p>
        </w:tc>
        <w:tc>
          <w:tcPr>
            <w:tcW w:w="200" w:type="dxa"/>
            <w:vAlign w:val="bottom"/>
          </w:tcPr>
          <w:p>
            <w:pPr>
              <w:spacing w:after="0"/>
              <w:rPr>
                <w:sz w:val="11"/>
                <w:szCs w:val="11"/>
                <w:color w:val="auto"/>
              </w:rPr>
            </w:pPr>
          </w:p>
        </w:tc>
        <w:tc>
          <w:tcPr>
            <w:tcW w:w="760" w:type="dxa"/>
            <w:vAlign w:val="bottom"/>
            <w:tcBorders>
              <w:top w:val="single" w:sz="8" w:color="auto"/>
            </w:tcBorders>
          </w:tcPr>
          <w:p>
            <w:pPr>
              <w:jc w:val="center"/>
              <w:spacing w:after="0" w:line="136" w:lineRule="exact"/>
              <w:rPr>
                <w:sz w:val="20"/>
                <w:szCs w:val="20"/>
                <w:color w:val="auto"/>
              </w:rPr>
            </w:pPr>
            <w:r>
              <w:rPr>
                <w:rFonts w:ascii="Arial" w:cs="Arial" w:eastAsia="Arial" w:hAnsi="Arial"/>
                <w:sz w:val="14"/>
                <w:szCs w:val="14"/>
                <w:b w:val="1"/>
                <w:bCs w:val="1"/>
                <w:color w:val="auto"/>
                <w:w w:val="91"/>
              </w:rPr>
              <w:t>S/(000)</w:t>
            </w:r>
          </w:p>
        </w:tc>
        <w:tc>
          <w:tcPr>
            <w:tcW w:w="200" w:type="dxa"/>
            <w:vAlign w:val="bottom"/>
          </w:tcPr>
          <w:p>
            <w:pPr>
              <w:spacing w:after="0"/>
              <w:rPr>
                <w:sz w:val="11"/>
                <w:szCs w:val="11"/>
                <w:color w:val="auto"/>
              </w:rPr>
            </w:pPr>
          </w:p>
        </w:tc>
        <w:tc>
          <w:tcPr>
            <w:tcW w:w="760" w:type="dxa"/>
            <w:vAlign w:val="bottom"/>
            <w:tcBorders>
              <w:top w:val="single" w:sz="8" w:color="auto"/>
            </w:tcBorders>
          </w:tcPr>
          <w:p>
            <w:pPr>
              <w:jc w:val="center"/>
              <w:spacing w:after="0" w:line="136" w:lineRule="exact"/>
              <w:rPr>
                <w:sz w:val="20"/>
                <w:szCs w:val="20"/>
                <w:color w:val="auto"/>
              </w:rPr>
            </w:pPr>
            <w:r>
              <w:rPr>
                <w:rFonts w:ascii="Arial" w:cs="Arial" w:eastAsia="Arial" w:hAnsi="Arial"/>
                <w:sz w:val="14"/>
                <w:szCs w:val="14"/>
                <w:b w:val="1"/>
                <w:bCs w:val="1"/>
                <w:color w:val="auto"/>
                <w:w w:val="91"/>
              </w:rPr>
              <w:t>S/(000)</w:t>
            </w:r>
          </w:p>
        </w:tc>
        <w:tc>
          <w:tcPr>
            <w:tcW w:w="220" w:type="dxa"/>
            <w:vAlign w:val="bottom"/>
          </w:tcPr>
          <w:p>
            <w:pPr>
              <w:spacing w:after="0"/>
              <w:rPr>
                <w:sz w:val="11"/>
                <w:szCs w:val="11"/>
                <w:color w:val="auto"/>
              </w:rPr>
            </w:pPr>
          </w:p>
        </w:tc>
        <w:tc>
          <w:tcPr>
            <w:tcW w:w="740" w:type="dxa"/>
            <w:vAlign w:val="bottom"/>
            <w:tcBorders>
              <w:top w:val="single" w:sz="8" w:color="auto"/>
            </w:tcBorders>
          </w:tcPr>
          <w:p>
            <w:pPr>
              <w:jc w:val="center"/>
              <w:spacing w:after="0" w:line="136" w:lineRule="exact"/>
              <w:rPr>
                <w:sz w:val="20"/>
                <w:szCs w:val="20"/>
                <w:color w:val="auto"/>
              </w:rPr>
            </w:pPr>
            <w:r>
              <w:rPr>
                <w:rFonts w:ascii="Arial" w:cs="Arial" w:eastAsia="Arial" w:hAnsi="Arial"/>
                <w:sz w:val="14"/>
                <w:szCs w:val="14"/>
                <w:b w:val="1"/>
                <w:bCs w:val="1"/>
                <w:color w:val="auto"/>
                <w:w w:val="91"/>
              </w:rPr>
              <w:t>S/(000)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1220" w:type="dxa"/>
            <w:vAlign w:val="bottom"/>
            <w:shd w:val="clear" w:color="auto" w:fill="CCEEFF"/>
          </w:tcPr>
          <w:p>
            <w:pPr>
              <w:spacing w:after="0" w:line="143" w:lineRule="exact"/>
              <w:rPr>
                <w:sz w:val="20"/>
                <w:szCs w:val="20"/>
                <w:color w:val="auto"/>
              </w:rPr>
            </w:pPr>
            <w:r>
              <w:rPr>
                <w:rFonts w:ascii="Arial" w:cs="Arial" w:eastAsia="Arial" w:hAnsi="Arial"/>
                <w:sz w:val="14"/>
                <w:szCs w:val="14"/>
                <w:b w:val="1"/>
                <w:bCs w:val="1"/>
                <w:color w:val="auto"/>
              </w:rPr>
              <w:t>Cost -</w:t>
            </w:r>
          </w:p>
        </w:tc>
        <w:tc>
          <w:tcPr>
            <w:tcW w:w="7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0"/>
        </w:trPr>
        <w:tc>
          <w:tcPr>
            <w:tcW w:w="1220" w:type="dxa"/>
            <w:vAlign w:val="bottom"/>
          </w:tcPr>
          <w:p>
            <w:pPr>
              <w:spacing w:after="0" w:line="121" w:lineRule="exact"/>
              <w:rPr>
                <w:sz w:val="20"/>
                <w:szCs w:val="20"/>
                <w:color w:val="auto"/>
              </w:rPr>
            </w:pPr>
            <w:r>
              <w:rPr>
                <w:rFonts w:ascii="Arial" w:cs="Arial" w:eastAsia="Arial" w:hAnsi="Arial"/>
                <w:sz w:val="13"/>
                <w:szCs w:val="13"/>
                <w:b w:val="1"/>
                <w:bCs w:val="1"/>
                <w:color w:val="auto"/>
              </w:rPr>
              <w:t>Balance as of</w:t>
            </w:r>
          </w:p>
        </w:tc>
        <w:tc>
          <w:tcPr>
            <w:tcW w:w="7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220" w:type="dxa"/>
            <w:vAlign w:val="bottom"/>
          </w:tcPr>
          <w:p>
            <w:pPr>
              <w:spacing w:after="0"/>
              <w:rPr>
                <w:sz w:val="20"/>
                <w:szCs w:val="20"/>
                <w:color w:val="auto"/>
              </w:rPr>
            </w:pPr>
            <w:r>
              <w:rPr>
                <w:rFonts w:ascii="Arial" w:cs="Arial" w:eastAsia="Arial" w:hAnsi="Arial"/>
                <w:sz w:val="14"/>
                <w:szCs w:val="14"/>
                <w:b w:val="1"/>
                <w:bCs w:val="1"/>
                <w:color w:val="auto"/>
              </w:rPr>
              <w:t>January 1</w:t>
            </w:r>
          </w:p>
        </w:tc>
        <w:tc>
          <w:tcPr>
            <w:tcW w:w="1020" w:type="dxa"/>
            <w:vAlign w:val="bottom"/>
            <w:gridSpan w:val="2"/>
          </w:tcPr>
          <w:p>
            <w:pPr>
              <w:jc w:val="right"/>
              <w:ind w:right="240"/>
              <w:spacing w:after="0"/>
              <w:rPr>
                <w:sz w:val="20"/>
                <w:szCs w:val="20"/>
                <w:color w:val="auto"/>
              </w:rPr>
            </w:pPr>
            <w:r>
              <w:rPr>
                <w:rFonts w:ascii="Arial" w:cs="Arial" w:eastAsia="Arial" w:hAnsi="Arial"/>
                <w:sz w:val="14"/>
                <w:szCs w:val="14"/>
                <w:color w:val="auto"/>
              </w:rPr>
              <w:t>402,064</w:t>
            </w:r>
          </w:p>
        </w:tc>
        <w:tc>
          <w:tcPr>
            <w:tcW w:w="1100" w:type="dxa"/>
            <w:vAlign w:val="bottom"/>
            <w:gridSpan w:val="2"/>
          </w:tcPr>
          <w:p>
            <w:pPr>
              <w:jc w:val="right"/>
              <w:ind w:right="240"/>
              <w:spacing w:after="0"/>
              <w:rPr>
                <w:sz w:val="20"/>
                <w:szCs w:val="20"/>
                <w:color w:val="auto"/>
              </w:rPr>
            </w:pPr>
            <w:r>
              <w:rPr>
                <w:rFonts w:ascii="Arial" w:cs="Arial" w:eastAsia="Arial" w:hAnsi="Arial"/>
                <w:sz w:val="14"/>
                <w:szCs w:val="14"/>
                <w:color w:val="auto"/>
              </w:rPr>
              <w:t>1,115,536</w:t>
            </w:r>
          </w:p>
        </w:tc>
        <w:tc>
          <w:tcPr>
            <w:tcW w:w="960" w:type="dxa"/>
            <w:vAlign w:val="bottom"/>
            <w:gridSpan w:val="2"/>
          </w:tcPr>
          <w:p>
            <w:pPr>
              <w:jc w:val="right"/>
              <w:ind w:right="200"/>
              <w:spacing w:after="0"/>
              <w:rPr>
                <w:sz w:val="20"/>
                <w:szCs w:val="20"/>
                <w:color w:val="auto"/>
              </w:rPr>
            </w:pPr>
            <w:r>
              <w:rPr>
                <w:rFonts w:ascii="Arial" w:cs="Arial" w:eastAsia="Arial" w:hAnsi="Arial"/>
                <w:sz w:val="14"/>
                <w:szCs w:val="14"/>
                <w:color w:val="auto"/>
              </w:rPr>
              <w:t>580,847</w:t>
            </w: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496,357</w:t>
            </w: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558,902</w:t>
            </w:r>
          </w:p>
        </w:tc>
        <w:tc>
          <w:tcPr>
            <w:tcW w:w="960" w:type="dxa"/>
            <w:vAlign w:val="bottom"/>
            <w:gridSpan w:val="2"/>
          </w:tcPr>
          <w:p>
            <w:pPr>
              <w:jc w:val="right"/>
              <w:ind w:right="200"/>
              <w:spacing w:after="0"/>
              <w:rPr>
                <w:sz w:val="20"/>
                <w:szCs w:val="20"/>
                <w:color w:val="auto"/>
              </w:rPr>
            </w:pPr>
            <w:r>
              <w:rPr>
                <w:rFonts w:ascii="Arial" w:cs="Arial" w:eastAsia="Arial" w:hAnsi="Arial"/>
                <w:sz w:val="14"/>
                <w:szCs w:val="14"/>
                <w:color w:val="auto"/>
              </w:rPr>
              <w:t>167,031</w:t>
            </w:r>
          </w:p>
        </w:tc>
        <w:tc>
          <w:tcPr>
            <w:tcW w:w="960" w:type="dxa"/>
            <w:vAlign w:val="bottom"/>
            <w:gridSpan w:val="2"/>
          </w:tcPr>
          <w:p>
            <w:pPr>
              <w:jc w:val="right"/>
              <w:ind w:right="200"/>
              <w:spacing w:after="0"/>
              <w:rPr>
                <w:sz w:val="20"/>
                <w:szCs w:val="20"/>
                <w:color w:val="auto"/>
              </w:rPr>
            </w:pPr>
            <w:r>
              <w:rPr>
                <w:rFonts w:ascii="Arial" w:cs="Arial" w:eastAsia="Arial" w:hAnsi="Arial"/>
                <w:sz w:val="14"/>
                <w:szCs w:val="14"/>
                <w:color w:val="auto"/>
              </w:rPr>
              <w:t>88,632</w:t>
            </w:r>
          </w:p>
        </w:tc>
        <w:tc>
          <w:tcPr>
            <w:tcW w:w="960" w:type="dxa"/>
            <w:vAlign w:val="bottom"/>
            <w:gridSpan w:val="2"/>
          </w:tcPr>
          <w:p>
            <w:pPr>
              <w:jc w:val="right"/>
              <w:ind w:right="200"/>
              <w:spacing w:after="0"/>
              <w:rPr>
                <w:sz w:val="20"/>
                <w:szCs w:val="20"/>
                <w:color w:val="auto"/>
              </w:rPr>
            </w:pPr>
            <w:r>
              <w:rPr>
                <w:rFonts w:ascii="Arial" w:cs="Arial" w:eastAsia="Arial" w:hAnsi="Arial"/>
                <w:sz w:val="14"/>
                <w:szCs w:val="14"/>
                <w:color w:val="auto"/>
              </w:rPr>
              <w:t>3,409,369</w:t>
            </w: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3,455,442</w:t>
            </w:r>
          </w:p>
        </w:tc>
        <w:tc>
          <w:tcPr>
            <w:tcW w:w="740" w:type="dxa"/>
            <w:vAlign w:val="bottom"/>
          </w:tcPr>
          <w:p>
            <w:pPr>
              <w:jc w:val="right"/>
              <w:spacing w:after="0"/>
              <w:rPr>
                <w:sz w:val="20"/>
                <w:szCs w:val="20"/>
                <w:color w:val="auto"/>
              </w:rPr>
            </w:pPr>
            <w:r>
              <w:rPr>
                <w:rFonts w:ascii="Arial" w:cs="Arial" w:eastAsia="Arial" w:hAnsi="Arial"/>
                <w:sz w:val="14"/>
                <w:szCs w:val="14"/>
                <w:color w:val="auto"/>
              </w:rPr>
              <w:t>3,447,017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122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rPr>
              <w:t>Additions</w:t>
            </w:r>
          </w:p>
        </w:tc>
        <w:tc>
          <w:tcPr>
            <w:tcW w:w="1020" w:type="dxa"/>
            <w:vAlign w:val="bottom"/>
            <w:gridSpan w:val="2"/>
            <w:shd w:val="clear" w:color="auto" w:fill="CCEEFF"/>
          </w:tcPr>
          <w:p>
            <w:pPr>
              <w:jc w:val="right"/>
              <w:ind w:right="240"/>
              <w:spacing w:after="0" w:line="143" w:lineRule="exact"/>
              <w:rPr>
                <w:sz w:val="20"/>
                <w:szCs w:val="20"/>
                <w:color w:val="auto"/>
              </w:rPr>
            </w:pPr>
            <w:r>
              <w:rPr>
                <w:rFonts w:ascii="Arial" w:cs="Arial" w:eastAsia="Arial" w:hAnsi="Arial"/>
                <w:sz w:val="14"/>
                <w:szCs w:val="14"/>
                <w:color w:val="auto"/>
              </w:rPr>
              <w:t>7,374</w:t>
            </w:r>
          </w:p>
        </w:tc>
        <w:tc>
          <w:tcPr>
            <w:tcW w:w="1100" w:type="dxa"/>
            <w:vAlign w:val="bottom"/>
            <w:gridSpan w:val="2"/>
            <w:shd w:val="clear" w:color="auto" w:fill="CCEEFF"/>
          </w:tcPr>
          <w:p>
            <w:pPr>
              <w:jc w:val="right"/>
              <w:ind w:right="240"/>
              <w:spacing w:after="0" w:line="143" w:lineRule="exact"/>
              <w:rPr>
                <w:sz w:val="20"/>
                <w:szCs w:val="20"/>
                <w:color w:val="auto"/>
              </w:rPr>
            </w:pPr>
            <w:r>
              <w:rPr>
                <w:rFonts w:ascii="Arial" w:cs="Arial" w:eastAsia="Arial" w:hAnsi="Arial"/>
                <w:sz w:val="14"/>
                <w:szCs w:val="14"/>
                <w:color w:val="auto"/>
              </w:rPr>
              <w:t>6,952</w:t>
            </w:r>
          </w:p>
        </w:tc>
        <w:tc>
          <w:tcPr>
            <w:tcW w:w="960" w:type="dxa"/>
            <w:vAlign w:val="bottom"/>
            <w:gridSpan w:val="2"/>
            <w:shd w:val="clear" w:color="auto" w:fill="CCEEFF"/>
          </w:tcPr>
          <w:p>
            <w:pPr>
              <w:jc w:val="right"/>
              <w:ind w:right="200"/>
              <w:spacing w:after="0" w:line="143" w:lineRule="exact"/>
              <w:rPr>
                <w:sz w:val="20"/>
                <w:szCs w:val="20"/>
                <w:color w:val="auto"/>
              </w:rPr>
            </w:pPr>
            <w:r>
              <w:rPr>
                <w:rFonts w:ascii="Arial" w:cs="Arial" w:eastAsia="Arial" w:hAnsi="Arial"/>
                <w:sz w:val="14"/>
                <w:szCs w:val="14"/>
                <w:color w:val="auto"/>
              </w:rPr>
              <w:t>9,391</w:t>
            </w:r>
          </w:p>
        </w:tc>
        <w:tc>
          <w:tcPr>
            <w:tcW w:w="980" w:type="dxa"/>
            <w:vAlign w:val="bottom"/>
            <w:gridSpan w:val="2"/>
            <w:shd w:val="clear" w:color="auto" w:fill="CCEEFF"/>
          </w:tcPr>
          <w:p>
            <w:pPr>
              <w:jc w:val="right"/>
              <w:ind w:right="220"/>
              <w:spacing w:after="0" w:line="143" w:lineRule="exact"/>
              <w:rPr>
                <w:sz w:val="20"/>
                <w:szCs w:val="20"/>
                <w:color w:val="auto"/>
              </w:rPr>
            </w:pPr>
            <w:r>
              <w:rPr>
                <w:rFonts w:ascii="Arial" w:cs="Arial" w:eastAsia="Arial" w:hAnsi="Arial"/>
                <w:sz w:val="14"/>
                <w:szCs w:val="14"/>
                <w:color w:val="auto"/>
              </w:rPr>
              <w:t>19,748</w:t>
            </w:r>
          </w:p>
        </w:tc>
        <w:tc>
          <w:tcPr>
            <w:tcW w:w="960" w:type="dxa"/>
            <w:vAlign w:val="bottom"/>
            <w:gridSpan w:val="2"/>
            <w:shd w:val="clear" w:color="auto" w:fill="CCEEFF"/>
          </w:tcPr>
          <w:p>
            <w:pPr>
              <w:jc w:val="right"/>
              <w:ind w:right="220"/>
              <w:spacing w:after="0" w:line="143" w:lineRule="exact"/>
              <w:rPr>
                <w:sz w:val="20"/>
                <w:szCs w:val="20"/>
                <w:color w:val="auto"/>
              </w:rPr>
            </w:pPr>
            <w:r>
              <w:rPr>
                <w:rFonts w:ascii="Arial" w:cs="Arial" w:eastAsia="Arial" w:hAnsi="Arial"/>
                <w:sz w:val="14"/>
                <w:szCs w:val="14"/>
                <w:color w:val="auto"/>
              </w:rPr>
              <w:t>50,457</w:t>
            </w:r>
          </w:p>
        </w:tc>
        <w:tc>
          <w:tcPr>
            <w:tcW w:w="960" w:type="dxa"/>
            <w:vAlign w:val="bottom"/>
            <w:gridSpan w:val="2"/>
            <w:shd w:val="clear" w:color="auto" w:fill="CCEEFF"/>
          </w:tcPr>
          <w:p>
            <w:pPr>
              <w:jc w:val="right"/>
              <w:ind w:right="200"/>
              <w:spacing w:after="0" w:line="143" w:lineRule="exact"/>
              <w:rPr>
                <w:sz w:val="20"/>
                <w:szCs w:val="20"/>
                <w:color w:val="auto"/>
              </w:rPr>
            </w:pPr>
            <w:r>
              <w:rPr>
                <w:rFonts w:ascii="Arial" w:cs="Arial" w:eastAsia="Arial" w:hAnsi="Arial"/>
                <w:sz w:val="14"/>
                <w:szCs w:val="14"/>
                <w:color w:val="auto"/>
              </w:rPr>
              <w:t>8,253</w:t>
            </w:r>
          </w:p>
        </w:tc>
        <w:tc>
          <w:tcPr>
            <w:tcW w:w="960" w:type="dxa"/>
            <w:vAlign w:val="bottom"/>
            <w:gridSpan w:val="2"/>
            <w:shd w:val="clear" w:color="auto" w:fill="CCEEFF"/>
          </w:tcPr>
          <w:p>
            <w:pPr>
              <w:jc w:val="right"/>
              <w:ind w:right="200"/>
              <w:spacing w:after="0" w:line="143" w:lineRule="exact"/>
              <w:rPr>
                <w:sz w:val="20"/>
                <w:szCs w:val="20"/>
                <w:color w:val="auto"/>
              </w:rPr>
            </w:pPr>
            <w:r>
              <w:rPr>
                <w:rFonts w:ascii="Arial" w:cs="Arial" w:eastAsia="Arial" w:hAnsi="Arial"/>
                <w:sz w:val="14"/>
                <w:szCs w:val="14"/>
                <w:color w:val="auto"/>
              </w:rPr>
              <w:t>41,676</w:t>
            </w:r>
          </w:p>
        </w:tc>
        <w:tc>
          <w:tcPr>
            <w:tcW w:w="960" w:type="dxa"/>
            <w:vAlign w:val="bottom"/>
            <w:gridSpan w:val="2"/>
            <w:shd w:val="clear" w:color="auto" w:fill="CCEEFF"/>
          </w:tcPr>
          <w:p>
            <w:pPr>
              <w:jc w:val="right"/>
              <w:ind w:right="200"/>
              <w:spacing w:after="0" w:line="143" w:lineRule="exact"/>
              <w:rPr>
                <w:sz w:val="20"/>
                <w:szCs w:val="20"/>
                <w:color w:val="auto"/>
              </w:rPr>
            </w:pPr>
            <w:r>
              <w:rPr>
                <w:rFonts w:ascii="Arial" w:cs="Arial" w:eastAsia="Arial" w:hAnsi="Arial"/>
                <w:sz w:val="14"/>
                <w:szCs w:val="14"/>
                <w:color w:val="auto"/>
              </w:rPr>
              <w:t>143,851</w:t>
            </w:r>
          </w:p>
        </w:tc>
        <w:tc>
          <w:tcPr>
            <w:tcW w:w="980" w:type="dxa"/>
            <w:vAlign w:val="bottom"/>
            <w:gridSpan w:val="2"/>
            <w:shd w:val="clear" w:color="auto" w:fill="CCEEFF"/>
          </w:tcPr>
          <w:p>
            <w:pPr>
              <w:jc w:val="right"/>
              <w:ind w:right="220"/>
              <w:spacing w:after="0" w:line="143" w:lineRule="exact"/>
              <w:rPr>
                <w:sz w:val="20"/>
                <w:szCs w:val="20"/>
                <w:color w:val="auto"/>
              </w:rPr>
            </w:pPr>
            <w:r>
              <w:rPr>
                <w:rFonts w:ascii="Arial" w:cs="Arial" w:eastAsia="Arial" w:hAnsi="Arial"/>
                <w:sz w:val="14"/>
                <w:szCs w:val="14"/>
                <w:color w:val="auto"/>
              </w:rPr>
              <w:t>110,151</w:t>
            </w:r>
          </w:p>
        </w:tc>
        <w:tc>
          <w:tcPr>
            <w:tcW w:w="840" w:type="dxa"/>
            <w:vAlign w:val="bottom"/>
            <w:gridSpan w:val="2"/>
            <w:shd w:val="clear" w:color="auto" w:fill="CCEEFF"/>
          </w:tcPr>
          <w:p>
            <w:pPr>
              <w:jc w:val="right"/>
              <w:ind w:right="100"/>
              <w:spacing w:after="0" w:line="143" w:lineRule="exact"/>
              <w:rPr>
                <w:sz w:val="20"/>
                <w:szCs w:val="20"/>
                <w:color w:val="auto"/>
              </w:rPr>
            </w:pPr>
            <w:r>
              <w:rPr>
                <w:rFonts w:ascii="Arial" w:cs="Arial" w:eastAsia="Arial" w:hAnsi="Arial"/>
                <w:sz w:val="14"/>
                <w:szCs w:val="14"/>
                <w:color w:val="auto"/>
              </w:rPr>
              <w:t>148,426</w:t>
            </w:r>
          </w:p>
        </w:tc>
        <w:tc>
          <w:tcPr>
            <w:tcW w:w="0" w:type="dxa"/>
            <w:vAlign w:val="bottom"/>
          </w:tcPr>
          <w:p>
            <w:pPr>
              <w:spacing w:after="0"/>
              <w:rPr>
                <w:sz w:val="1"/>
                <w:szCs w:val="1"/>
                <w:color w:val="auto"/>
              </w:rPr>
            </w:pPr>
          </w:p>
        </w:tc>
      </w:tr>
      <w:tr>
        <w:trPr>
          <w:trHeight w:val="143"/>
        </w:trPr>
        <w:tc>
          <w:tcPr>
            <w:tcW w:w="1220" w:type="dxa"/>
            <w:vAlign w:val="bottom"/>
          </w:tcPr>
          <w:p>
            <w:pPr>
              <w:spacing w:after="0" w:line="143" w:lineRule="exact"/>
              <w:rPr>
                <w:sz w:val="20"/>
                <w:szCs w:val="20"/>
                <w:color w:val="auto"/>
              </w:rPr>
            </w:pPr>
            <w:r>
              <w:rPr>
                <w:rFonts w:ascii="Arial" w:cs="Arial" w:eastAsia="Arial" w:hAnsi="Arial"/>
                <w:sz w:val="14"/>
                <w:szCs w:val="14"/>
                <w:color w:val="auto"/>
              </w:rPr>
              <w:t>Transfers</w:t>
            </w:r>
          </w:p>
        </w:tc>
        <w:tc>
          <w:tcPr>
            <w:tcW w:w="1020" w:type="dxa"/>
            <w:vAlign w:val="bottom"/>
            <w:gridSpan w:val="2"/>
          </w:tcPr>
          <w:p>
            <w:pPr>
              <w:jc w:val="right"/>
              <w:ind w:right="240"/>
              <w:spacing w:after="0" w:line="143" w:lineRule="exact"/>
              <w:rPr>
                <w:sz w:val="20"/>
                <w:szCs w:val="20"/>
                <w:color w:val="auto"/>
              </w:rPr>
            </w:pPr>
            <w:r>
              <w:rPr>
                <w:rFonts w:ascii="Arial" w:cs="Arial" w:eastAsia="Arial" w:hAnsi="Arial"/>
                <w:sz w:val="14"/>
                <w:szCs w:val="14"/>
                <w:color w:val="auto"/>
              </w:rPr>
              <w:t>56</w:t>
            </w:r>
          </w:p>
        </w:tc>
        <w:tc>
          <w:tcPr>
            <w:tcW w:w="1100" w:type="dxa"/>
            <w:vAlign w:val="bottom"/>
            <w:gridSpan w:val="2"/>
          </w:tcPr>
          <w:p>
            <w:pPr>
              <w:jc w:val="right"/>
              <w:ind w:right="240"/>
              <w:spacing w:after="0" w:line="143" w:lineRule="exact"/>
              <w:rPr>
                <w:sz w:val="20"/>
                <w:szCs w:val="20"/>
                <w:color w:val="auto"/>
              </w:rPr>
            </w:pPr>
            <w:r>
              <w:rPr>
                <w:rFonts w:ascii="Arial" w:cs="Arial" w:eastAsia="Arial" w:hAnsi="Arial"/>
                <w:sz w:val="14"/>
                <w:szCs w:val="14"/>
                <w:color w:val="auto"/>
              </w:rPr>
              <w:t>4,685</w:t>
            </w:r>
          </w:p>
        </w:tc>
        <w:tc>
          <w:tcPr>
            <w:tcW w:w="960" w:type="dxa"/>
            <w:vAlign w:val="bottom"/>
            <w:gridSpan w:val="2"/>
          </w:tcPr>
          <w:p>
            <w:pPr>
              <w:jc w:val="right"/>
              <w:ind w:right="200"/>
              <w:spacing w:after="0" w:line="143" w:lineRule="exact"/>
              <w:rPr>
                <w:sz w:val="20"/>
                <w:szCs w:val="20"/>
                <w:color w:val="auto"/>
              </w:rPr>
            </w:pPr>
            <w:r>
              <w:rPr>
                <w:rFonts w:ascii="Arial" w:cs="Arial" w:eastAsia="Arial" w:hAnsi="Arial"/>
                <w:sz w:val="14"/>
                <w:szCs w:val="14"/>
                <w:color w:val="auto"/>
              </w:rPr>
              <w:t>37,758</w:t>
            </w:r>
          </w:p>
        </w:tc>
        <w:tc>
          <w:tcPr>
            <w:tcW w:w="980" w:type="dxa"/>
            <w:vAlign w:val="bottom"/>
            <w:gridSpan w:val="2"/>
          </w:tcPr>
          <w:p>
            <w:pPr>
              <w:jc w:val="right"/>
              <w:ind w:right="220"/>
              <w:spacing w:after="0" w:line="143" w:lineRule="exact"/>
              <w:rPr>
                <w:sz w:val="20"/>
                <w:szCs w:val="20"/>
                <w:color w:val="auto"/>
              </w:rPr>
            </w:pPr>
            <w:r>
              <w:rPr>
                <w:rFonts w:ascii="Arial" w:cs="Arial" w:eastAsia="Arial" w:hAnsi="Arial"/>
                <w:sz w:val="14"/>
                <w:szCs w:val="14"/>
                <w:color w:val="auto"/>
              </w:rPr>
              <w:t>3,368</w:t>
            </w:r>
          </w:p>
        </w:tc>
        <w:tc>
          <w:tcPr>
            <w:tcW w:w="960" w:type="dxa"/>
            <w:vAlign w:val="bottom"/>
            <w:gridSpan w:val="2"/>
          </w:tcPr>
          <w:p>
            <w:pPr>
              <w:jc w:val="right"/>
              <w:ind w:right="220"/>
              <w:spacing w:after="0" w:line="143" w:lineRule="exact"/>
              <w:rPr>
                <w:sz w:val="20"/>
                <w:szCs w:val="20"/>
                <w:color w:val="auto"/>
              </w:rPr>
            </w:pPr>
            <w:r>
              <w:rPr>
                <w:rFonts w:ascii="Arial" w:cs="Arial" w:eastAsia="Arial" w:hAnsi="Arial"/>
                <w:sz w:val="14"/>
                <w:szCs w:val="14"/>
                <w:color w:val="auto"/>
              </w:rPr>
              <w:t>13,839</w:t>
            </w:r>
          </w:p>
        </w:tc>
        <w:tc>
          <w:tcPr>
            <w:tcW w:w="960" w:type="dxa"/>
            <w:vAlign w:val="bottom"/>
            <w:gridSpan w:val="2"/>
          </w:tcPr>
          <w:p>
            <w:pPr>
              <w:jc w:val="right"/>
              <w:ind w:right="160"/>
              <w:spacing w:after="0" w:line="143" w:lineRule="exact"/>
              <w:rPr>
                <w:sz w:val="20"/>
                <w:szCs w:val="20"/>
                <w:color w:val="auto"/>
              </w:rPr>
            </w:pPr>
            <w:r>
              <w:rPr>
                <w:rFonts w:ascii="Arial" w:cs="Arial" w:eastAsia="Arial" w:hAnsi="Arial"/>
                <w:sz w:val="14"/>
                <w:szCs w:val="14"/>
                <w:color w:val="auto"/>
              </w:rPr>
              <w:t>(9,379)</w:t>
            </w:r>
          </w:p>
        </w:tc>
        <w:tc>
          <w:tcPr>
            <w:tcW w:w="960" w:type="dxa"/>
            <w:vAlign w:val="bottom"/>
            <w:gridSpan w:val="2"/>
          </w:tcPr>
          <w:p>
            <w:pPr>
              <w:jc w:val="right"/>
              <w:ind w:right="160"/>
              <w:spacing w:after="0" w:line="143" w:lineRule="exact"/>
              <w:rPr>
                <w:sz w:val="20"/>
                <w:szCs w:val="20"/>
                <w:color w:val="auto"/>
              </w:rPr>
            </w:pPr>
            <w:r>
              <w:rPr>
                <w:rFonts w:ascii="Arial" w:cs="Arial" w:eastAsia="Arial" w:hAnsi="Arial"/>
                <w:sz w:val="14"/>
                <w:szCs w:val="14"/>
                <w:color w:val="auto"/>
              </w:rPr>
              <w:t>(50,327)</w:t>
            </w:r>
          </w:p>
        </w:tc>
        <w:tc>
          <w:tcPr>
            <w:tcW w:w="960" w:type="dxa"/>
            <w:vAlign w:val="bottom"/>
            <w:gridSpan w:val="2"/>
          </w:tcPr>
          <w:p>
            <w:pPr>
              <w:jc w:val="right"/>
              <w:ind w:right="200"/>
              <w:spacing w:after="0" w:line="143" w:lineRule="exact"/>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220"/>
              <w:spacing w:after="0" w:line="143" w:lineRule="exact"/>
              <w:rPr>
                <w:sz w:val="20"/>
                <w:szCs w:val="20"/>
                <w:color w:val="auto"/>
              </w:rPr>
            </w:pPr>
            <w:r>
              <w:rPr>
                <w:rFonts w:ascii="Arial" w:cs="Arial" w:eastAsia="Arial" w:hAnsi="Arial"/>
                <w:sz w:val="14"/>
                <w:szCs w:val="14"/>
                <w:color w:val="auto"/>
              </w:rPr>
              <w:t>-</w:t>
            </w:r>
          </w:p>
        </w:tc>
        <w:tc>
          <w:tcPr>
            <w:tcW w:w="740" w:type="dxa"/>
            <w:vAlign w:val="bottom"/>
          </w:tcPr>
          <w:p>
            <w:pPr>
              <w:jc w:val="right"/>
              <w:spacing w:after="0" w:line="143"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4"/>
        </w:trPr>
        <w:tc>
          <w:tcPr>
            <w:tcW w:w="1220" w:type="dxa"/>
            <w:vAlign w:val="bottom"/>
            <w:shd w:val="clear" w:color="auto" w:fill="CCEEFF"/>
          </w:tcPr>
          <w:p>
            <w:pPr>
              <w:spacing w:after="0" w:line="125" w:lineRule="exact"/>
              <w:rPr>
                <w:sz w:val="20"/>
                <w:szCs w:val="20"/>
                <w:color w:val="auto"/>
              </w:rPr>
            </w:pPr>
            <w:r>
              <w:rPr>
                <w:rFonts w:ascii="Arial" w:cs="Arial" w:eastAsia="Arial" w:hAnsi="Arial"/>
                <w:sz w:val="14"/>
                <w:szCs w:val="14"/>
                <w:color w:val="auto"/>
              </w:rPr>
              <w:t>Disposals and</w:t>
            </w:r>
          </w:p>
        </w:tc>
        <w:tc>
          <w:tcPr>
            <w:tcW w:w="7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1"/>
        </w:trPr>
        <w:tc>
          <w:tcPr>
            <w:tcW w:w="1220" w:type="dxa"/>
            <w:vAlign w:val="bottom"/>
            <w:shd w:val="clear" w:color="auto" w:fill="CCEEFF"/>
          </w:tcPr>
          <w:p>
            <w:pPr>
              <w:spacing w:after="0"/>
              <w:rPr>
                <w:sz w:val="20"/>
                <w:szCs w:val="20"/>
                <w:color w:val="auto"/>
              </w:rPr>
            </w:pPr>
            <w:r>
              <w:rPr>
                <w:rFonts w:ascii="Arial" w:cs="Arial" w:eastAsia="Arial" w:hAnsi="Arial"/>
                <w:sz w:val="14"/>
                <w:szCs w:val="14"/>
                <w:color w:val="auto"/>
              </w:rPr>
              <w:t>others</w:t>
            </w: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12,145</w:t>
            </w: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12,743</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(36,547)</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(5,937)</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(8,139)</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(7,297)</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(15,962)</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(48,994)</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(156,224)</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(140,001)</w:t>
            </w:r>
          </w:p>
        </w:tc>
        <w:tc>
          <w:tcPr>
            <w:tcW w:w="0" w:type="dxa"/>
            <w:vAlign w:val="bottom"/>
          </w:tcPr>
          <w:p>
            <w:pPr>
              <w:spacing w:after="0"/>
              <w:rPr>
                <w:sz w:val="1"/>
                <w:szCs w:val="1"/>
                <w:color w:val="auto"/>
              </w:rPr>
            </w:pPr>
          </w:p>
        </w:tc>
      </w:tr>
      <w:tr>
        <w:trPr>
          <w:trHeight w:val="100"/>
        </w:trPr>
        <w:tc>
          <w:tcPr>
            <w:tcW w:w="1220" w:type="dxa"/>
            <w:vAlign w:val="bottom"/>
          </w:tcPr>
          <w:p>
            <w:pPr>
              <w:spacing w:after="0" w:line="101" w:lineRule="exact"/>
              <w:rPr>
                <w:sz w:val="20"/>
                <w:szCs w:val="20"/>
                <w:color w:val="auto"/>
              </w:rPr>
            </w:pPr>
            <w:r>
              <w:rPr>
                <w:rFonts w:ascii="Arial" w:cs="Arial" w:eastAsia="Arial" w:hAnsi="Arial"/>
                <w:sz w:val="10"/>
                <w:szCs w:val="10"/>
                <w:b w:val="1"/>
                <w:bCs w:val="1"/>
                <w:color w:val="auto"/>
              </w:rPr>
              <w:t>Balance as of</w:t>
            </w:r>
          </w:p>
        </w:tc>
        <w:tc>
          <w:tcPr>
            <w:tcW w:w="780" w:type="dxa"/>
            <w:vAlign w:val="bottom"/>
            <w:tcBorders>
              <w:top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860" w:type="dxa"/>
            <w:vAlign w:val="bottom"/>
            <w:tcBorders>
              <w:top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760" w:type="dxa"/>
            <w:vAlign w:val="bottom"/>
            <w:tcBorders>
              <w:top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760" w:type="dxa"/>
            <w:vAlign w:val="bottom"/>
            <w:tcBorders>
              <w:top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740" w:type="dxa"/>
            <w:vAlign w:val="bottom"/>
            <w:tcBorders>
              <w:top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760" w:type="dxa"/>
            <w:vAlign w:val="bottom"/>
            <w:tcBorders>
              <w:top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760" w:type="dxa"/>
            <w:vAlign w:val="bottom"/>
            <w:tcBorders>
              <w:top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760" w:type="dxa"/>
            <w:vAlign w:val="bottom"/>
            <w:tcBorders>
              <w:top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760" w:type="dxa"/>
            <w:vAlign w:val="bottom"/>
            <w:tcBorders>
              <w:top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74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5"/>
        </w:trPr>
        <w:tc>
          <w:tcPr>
            <w:tcW w:w="1220" w:type="dxa"/>
            <w:vAlign w:val="bottom"/>
          </w:tcPr>
          <w:p>
            <w:pPr>
              <w:spacing w:after="0"/>
              <w:rPr>
                <w:sz w:val="20"/>
                <w:szCs w:val="20"/>
                <w:color w:val="auto"/>
              </w:rPr>
            </w:pPr>
            <w:r>
              <w:rPr>
                <w:rFonts w:ascii="Arial" w:cs="Arial" w:eastAsia="Arial" w:hAnsi="Arial"/>
                <w:sz w:val="14"/>
                <w:szCs w:val="14"/>
                <w:b w:val="1"/>
                <w:bCs w:val="1"/>
                <w:color w:val="auto"/>
              </w:rPr>
              <w:t>December 31</w:t>
            </w:r>
          </w:p>
        </w:tc>
        <w:tc>
          <w:tcPr>
            <w:tcW w:w="1020" w:type="dxa"/>
            <w:vAlign w:val="bottom"/>
            <w:gridSpan w:val="2"/>
          </w:tcPr>
          <w:p>
            <w:pPr>
              <w:jc w:val="right"/>
              <w:ind w:right="240"/>
              <w:spacing w:after="0"/>
              <w:rPr>
                <w:sz w:val="20"/>
                <w:szCs w:val="20"/>
                <w:color w:val="auto"/>
              </w:rPr>
            </w:pPr>
            <w:r>
              <w:rPr>
                <w:rFonts w:ascii="Arial" w:cs="Arial" w:eastAsia="Arial" w:hAnsi="Arial"/>
                <w:sz w:val="14"/>
                <w:szCs w:val="14"/>
                <w:color w:val="auto"/>
              </w:rPr>
              <w:t>421,639</w:t>
            </w:r>
          </w:p>
        </w:tc>
        <w:tc>
          <w:tcPr>
            <w:tcW w:w="1100" w:type="dxa"/>
            <w:vAlign w:val="bottom"/>
            <w:gridSpan w:val="2"/>
          </w:tcPr>
          <w:p>
            <w:pPr>
              <w:jc w:val="right"/>
              <w:ind w:right="240"/>
              <w:spacing w:after="0"/>
              <w:rPr>
                <w:sz w:val="20"/>
                <w:szCs w:val="20"/>
                <w:color w:val="auto"/>
              </w:rPr>
            </w:pPr>
            <w:r>
              <w:rPr>
                <w:rFonts w:ascii="Arial" w:cs="Arial" w:eastAsia="Arial" w:hAnsi="Arial"/>
                <w:sz w:val="14"/>
                <w:szCs w:val="14"/>
                <w:color w:val="auto"/>
              </w:rPr>
              <w:t>1,139,916</w:t>
            </w:r>
          </w:p>
        </w:tc>
        <w:tc>
          <w:tcPr>
            <w:tcW w:w="960" w:type="dxa"/>
            <w:vAlign w:val="bottom"/>
            <w:gridSpan w:val="2"/>
          </w:tcPr>
          <w:p>
            <w:pPr>
              <w:jc w:val="right"/>
              <w:ind w:right="200"/>
              <w:spacing w:after="0"/>
              <w:rPr>
                <w:sz w:val="20"/>
                <w:szCs w:val="20"/>
                <w:color w:val="auto"/>
              </w:rPr>
            </w:pPr>
            <w:r>
              <w:rPr>
                <w:rFonts w:ascii="Arial" w:cs="Arial" w:eastAsia="Arial" w:hAnsi="Arial"/>
                <w:sz w:val="14"/>
                <w:szCs w:val="14"/>
                <w:color w:val="auto"/>
              </w:rPr>
              <w:t>591,449</w:t>
            </w: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513,536</w:t>
            </w: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615,059</w:t>
            </w:r>
          </w:p>
        </w:tc>
        <w:tc>
          <w:tcPr>
            <w:tcW w:w="960" w:type="dxa"/>
            <w:vAlign w:val="bottom"/>
            <w:gridSpan w:val="2"/>
          </w:tcPr>
          <w:p>
            <w:pPr>
              <w:jc w:val="right"/>
              <w:ind w:right="200"/>
              <w:spacing w:after="0"/>
              <w:rPr>
                <w:sz w:val="20"/>
                <w:szCs w:val="20"/>
                <w:color w:val="auto"/>
              </w:rPr>
            </w:pPr>
            <w:r>
              <w:rPr>
                <w:rFonts w:ascii="Arial" w:cs="Arial" w:eastAsia="Arial" w:hAnsi="Arial"/>
                <w:sz w:val="14"/>
                <w:szCs w:val="14"/>
                <w:color w:val="auto"/>
              </w:rPr>
              <w:t>158,608</w:t>
            </w:r>
          </w:p>
        </w:tc>
        <w:tc>
          <w:tcPr>
            <w:tcW w:w="960" w:type="dxa"/>
            <w:vAlign w:val="bottom"/>
            <w:gridSpan w:val="2"/>
          </w:tcPr>
          <w:p>
            <w:pPr>
              <w:jc w:val="right"/>
              <w:ind w:right="200"/>
              <w:spacing w:after="0"/>
              <w:rPr>
                <w:sz w:val="20"/>
                <w:szCs w:val="20"/>
                <w:color w:val="auto"/>
              </w:rPr>
            </w:pPr>
            <w:r>
              <w:rPr>
                <w:rFonts w:ascii="Arial" w:cs="Arial" w:eastAsia="Arial" w:hAnsi="Arial"/>
                <w:sz w:val="14"/>
                <w:szCs w:val="14"/>
                <w:color w:val="auto"/>
              </w:rPr>
              <w:t>64,019</w:t>
            </w:r>
          </w:p>
        </w:tc>
        <w:tc>
          <w:tcPr>
            <w:tcW w:w="960" w:type="dxa"/>
            <w:vAlign w:val="bottom"/>
            <w:gridSpan w:val="2"/>
          </w:tcPr>
          <w:p>
            <w:pPr>
              <w:jc w:val="right"/>
              <w:ind w:right="200"/>
              <w:spacing w:after="0"/>
              <w:rPr>
                <w:sz w:val="20"/>
                <w:szCs w:val="20"/>
                <w:color w:val="auto"/>
              </w:rPr>
            </w:pPr>
            <w:r>
              <w:rPr>
                <w:rFonts w:ascii="Arial" w:cs="Arial" w:eastAsia="Arial" w:hAnsi="Arial"/>
                <w:sz w:val="14"/>
                <w:szCs w:val="14"/>
                <w:color w:val="auto"/>
              </w:rPr>
              <w:t>3,504,226</w:t>
            </w: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3,409,369</w:t>
            </w:r>
          </w:p>
        </w:tc>
        <w:tc>
          <w:tcPr>
            <w:tcW w:w="740" w:type="dxa"/>
            <w:vAlign w:val="bottom"/>
          </w:tcPr>
          <w:p>
            <w:pPr>
              <w:jc w:val="right"/>
              <w:spacing w:after="0"/>
              <w:rPr>
                <w:sz w:val="20"/>
                <w:szCs w:val="20"/>
                <w:color w:val="auto"/>
              </w:rPr>
            </w:pPr>
            <w:r>
              <w:rPr>
                <w:rFonts w:ascii="Arial" w:cs="Arial" w:eastAsia="Arial" w:hAnsi="Arial"/>
                <w:sz w:val="14"/>
                <w:szCs w:val="14"/>
                <w:color w:val="auto"/>
              </w:rPr>
              <w:t>3,455,442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1220" w:type="dxa"/>
            <w:vAlign w:val="bottom"/>
            <w:tcBorders>
              <w:top w:val="single" w:sz="8" w:color="CCEEFF"/>
            </w:tcBorders>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spacing w:after="0"/>
              <w:rPr>
                <w:sz w:val="11"/>
                <w:szCs w:val="11"/>
                <w:color w:val="auto"/>
              </w:rPr>
            </w:pPr>
          </w:p>
        </w:tc>
        <w:tc>
          <w:tcPr>
            <w:tcW w:w="240" w:type="dxa"/>
            <w:vAlign w:val="bottom"/>
            <w:tcBorders>
              <w:top w:val="single" w:sz="8" w:color="CCEEFF"/>
            </w:tcBorders>
            <w:shd w:val="clear" w:color="auto" w:fill="CCEEFF"/>
          </w:tcPr>
          <w:p>
            <w:pPr>
              <w:spacing w:after="0"/>
              <w:rPr>
                <w:sz w:val="11"/>
                <w:szCs w:val="11"/>
                <w:color w:val="auto"/>
              </w:rPr>
            </w:pPr>
          </w:p>
        </w:tc>
        <w:tc>
          <w:tcPr>
            <w:tcW w:w="860" w:type="dxa"/>
            <w:vAlign w:val="bottom"/>
            <w:tcBorders>
              <w:top w:val="single" w:sz="8" w:color="auto"/>
            </w:tcBorders>
            <w:shd w:val="clear" w:color="auto" w:fill="CCEEFF"/>
          </w:tcPr>
          <w:p>
            <w:pPr>
              <w:spacing w:after="0"/>
              <w:rPr>
                <w:sz w:val="11"/>
                <w:szCs w:val="11"/>
                <w:color w:val="auto"/>
              </w:rPr>
            </w:pPr>
          </w:p>
        </w:tc>
        <w:tc>
          <w:tcPr>
            <w:tcW w:w="240" w:type="dxa"/>
            <w:vAlign w:val="bottom"/>
            <w:tcBorders>
              <w:top w:val="single" w:sz="8" w:color="CCEEFF"/>
            </w:tcBorders>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1220" w:type="dxa"/>
            <w:vAlign w:val="bottom"/>
          </w:tcPr>
          <w:p>
            <w:pPr>
              <w:spacing w:after="0" w:line="121" w:lineRule="exact"/>
              <w:rPr>
                <w:sz w:val="20"/>
                <w:szCs w:val="20"/>
                <w:color w:val="auto"/>
              </w:rPr>
            </w:pPr>
            <w:r>
              <w:rPr>
                <w:rFonts w:ascii="Arial" w:cs="Arial" w:eastAsia="Arial" w:hAnsi="Arial"/>
                <w:sz w:val="13"/>
                <w:szCs w:val="13"/>
                <w:b w:val="1"/>
                <w:bCs w:val="1"/>
                <w:color w:val="auto"/>
              </w:rPr>
              <w:t>Accumulated</w:t>
            </w:r>
          </w:p>
        </w:tc>
        <w:tc>
          <w:tcPr>
            <w:tcW w:w="7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220" w:type="dxa"/>
            <w:vAlign w:val="bottom"/>
          </w:tcPr>
          <w:p>
            <w:pPr>
              <w:spacing w:after="0"/>
              <w:rPr>
                <w:sz w:val="20"/>
                <w:szCs w:val="20"/>
                <w:color w:val="auto"/>
              </w:rPr>
            </w:pPr>
            <w:r>
              <w:rPr>
                <w:rFonts w:ascii="Arial" w:cs="Arial" w:eastAsia="Arial" w:hAnsi="Arial"/>
                <w:sz w:val="14"/>
                <w:szCs w:val="14"/>
                <w:b w:val="1"/>
                <w:bCs w:val="1"/>
                <w:color w:val="auto"/>
              </w:rPr>
              <w:t>depreciation -</w:t>
            </w:r>
          </w:p>
        </w:tc>
        <w:tc>
          <w:tcPr>
            <w:tcW w:w="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0"/>
        </w:trPr>
        <w:tc>
          <w:tcPr>
            <w:tcW w:w="1220" w:type="dxa"/>
            <w:vAlign w:val="bottom"/>
            <w:shd w:val="clear" w:color="auto" w:fill="CCEEFF"/>
          </w:tcPr>
          <w:p>
            <w:pPr>
              <w:spacing w:after="0" w:line="121" w:lineRule="exact"/>
              <w:rPr>
                <w:sz w:val="20"/>
                <w:szCs w:val="20"/>
                <w:color w:val="auto"/>
              </w:rPr>
            </w:pPr>
            <w:r>
              <w:rPr>
                <w:rFonts w:ascii="Arial" w:cs="Arial" w:eastAsia="Arial" w:hAnsi="Arial"/>
                <w:sz w:val="13"/>
                <w:szCs w:val="13"/>
                <w:b w:val="1"/>
                <w:bCs w:val="1"/>
                <w:color w:val="auto"/>
              </w:rPr>
              <w:t>Balance as of</w:t>
            </w:r>
          </w:p>
        </w:tc>
        <w:tc>
          <w:tcPr>
            <w:tcW w:w="7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22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January 1</w:t>
            </w: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577,458</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397,485</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311,356</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465,600</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105,767</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1,857,666</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1,784,001</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1,671,575</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4"/>
        </w:trPr>
        <w:tc>
          <w:tcPr>
            <w:tcW w:w="1220" w:type="dxa"/>
            <w:vAlign w:val="bottom"/>
          </w:tcPr>
          <w:p>
            <w:pPr>
              <w:spacing w:after="0" w:line="125" w:lineRule="exact"/>
              <w:rPr>
                <w:sz w:val="20"/>
                <w:szCs w:val="20"/>
                <w:color w:val="auto"/>
              </w:rPr>
            </w:pPr>
            <w:r>
              <w:rPr>
                <w:rFonts w:ascii="Arial" w:cs="Arial" w:eastAsia="Arial" w:hAnsi="Arial"/>
                <w:sz w:val="14"/>
                <w:szCs w:val="14"/>
                <w:color w:val="auto"/>
              </w:rPr>
              <w:t>Depreciation for</w:t>
            </w:r>
          </w:p>
        </w:tc>
        <w:tc>
          <w:tcPr>
            <w:tcW w:w="7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1"/>
        </w:trPr>
        <w:tc>
          <w:tcPr>
            <w:tcW w:w="1220" w:type="dxa"/>
            <w:vAlign w:val="bottom"/>
          </w:tcPr>
          <w:p>
            <w:pPr>
              <w:spacing w:after="0"/>
              <w:rPr>
                <w:sz w:val="20"/>
                <w:szCs w:val="20"/>
                <w:color w:val="auto"/>
              </w:rPr>
            </w:pPr>
            <w:r>
              <w:rPr>
                <w:rFonts w:ascii="Arial" w:cs="Arial" w:eastAsia="Arial" w:hAnsi="Arial"/>
                <w:sz w:val="14"/>
                <w:szCs w:val="14"/>
                <w:color w:val="auto"/>
              </w:rPr>
              <w:t>the year</w:t>
            </w:r>
          </w:p>
        </w:tc>
        <w:tc>
          <w:tcPr>
            <w:tcW w:w="10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240"/>
              <w:spacing w:after="0"/>
              <w:rPr>
                <w:sz w:val="20"/>
                <w:szCs w:val="20"/>
                <w:color w:val="auto"/>
              </w:rPr>
            </w:pPr>
            <w:r>
              <w:rPr>
                <w:rFonts w:ascii="Arial" w:cs="Arial" w:eastAsia="Arial" w:hAnsi="Arial"/>
                <w:sz w:val="14"/>
                <w:szCs w:val="14"/>
                <w:color w:val="auto"/>
              </w:rPr>
              <w:t>31,123</w:t>
            </w:r>
          </w:p>
        </w:tc>
        <w:tc>
          <w:tcPr>
            <w:tcW w:w="960" w:type="dxa"/>
            <w:vAlign w:val="bottom"/>
            <w:gridSpan w:val="2"/>
          </w:tcPr>
          <w:p>
            <w:pPr>
              <w:jc w:val="right"/>
              <w:ind w:right="200"/>
              <w:spacing w:after="0"/>
              <w:rPr>
                <w:sz w:val="20"/>
                <w:szCs w:val="20"/>
                <w:color w:val="auto"/>
              </w:rPr>
            </w:pPr>
            <w:r>
              <w:rPr>
                <w:rFonts w:ascii="Arial" w:cs="Arial" w:eastAsia="Arial" w:hAnsi="Arial"/>
                <w:sz w:val="14"/>
                <w:szCs w:val="14"/>
                <w:color w:val="auto"/>
              </w:rPr>
              <w:t>45,624</w:t>
            </w: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33,443</w:t>
            </w: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53,993</w:t>
            </w:r>
          </w:p>
        </w:tc>
        <w:tc>
          <w:tcPr>
            <w:tcW w:w="960" w:type="dxa"/>
            <w:vAlign w:val="bottom"/>
            <w:gridSpan w:val="2"/>
          </w:tcPr>
          <w:p>
            <w:pPr>
              <w:jc w:val="right"/>
              <w:ind w:right="200"/>
              <w:spacing w:after="0"/>
              <w:rPr>
                <w:sz w:val="20"/>
                <w:szCs w:val="20"/>
                <w:color w:val="auto"/>
              </w:rPr>
            </w:pPr>
            <w:r>
              <w:rPr>
                <w:rFonts w:ascii="Arial" w:cs="Arial" w:eastAsia="Arial" w:hAnsi="Arial"/>
                <w:sz w:val="14"/>
                <w:szCs w:val="14"/>
                <w:color w:val="auto"/>
              </w:rPr>
              <w:t>14,712</w:t>
            </w:r>
          </w:p>
        </w:tc>
        <w:tc>
          <w:tcPr>
            <w:tcW w:w="9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200"/>
              <w:spacing w:after="0"/>
              <w:rPr>
                <w:sz w:val="20"/>
                <w:szCs w:val="20"/>
                <w:color w:val="auto"/>
              </w:rPr>
            </w:pPr>
            <w:r>
              <w:rPr>
                <w:rFonts w:ascii="Arial" w:cs="Arial" w:eastAsia="Arial" w:hAnsi="Arial"/>
                <w:sz w:val="14"/>
                <w:szCs w:val="14"/>
                <w:color w:val="auto"/>
              </w:rPr>
              <w:t>178,895</w:t>
            </w: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182,845</w:t>
            </w:r>
          </w:p>
        </w:tc>
        <w:tc>
          <w:tcPr>
            <w:tcW w:w="840" w:type="dxa"/>
            <w:vAlign w:val="bottom"/>
            <w:gridSpan w:val="2"/>
          </w:tcPr>
          <w:p>
            <w:pPr>
              <w:jc w:val="right"/>
              <w:ind w:right="100"/>
              <w:spacing w:after="0"/>
              <w:rPr>
                <w:sz w:val="20"/>
                <w:szCs w:val="20"/>
                <w:color w:val="auto"/>
              </w:rPr>
            </w:pPr>
            <w:r>
              <w:rPr>
                <w:rFonts w:ascii="Arial" w:cs="Arial" w:eastAsia="Arial" w:hAnsi="Arial"/>
                <w:sz w:val="14"/>
                <w:szCs w:val="14"/>
                <w:color w:val="auto"/>
              </w:rPr>
              <w:t>177,623</w:t>
            </w:r>
          </w:p>
        </w:tc>
        <w:tc>
          <w:tcPr>
            <w:tcW w:w="0" w:type="dxa"/>
            <w:vAlign w:val="bottom"/>
          </w:tcPr>
          <w:p>
            <w:pPr>
              <w:spacing w:after="0"/>
              <w:rPr>
                <w:sz w:val="1"/>
                <w:szCs w:val="1"/>
                <w:color w:val="auto"/>
              </w:rPr>
            </w:pPr>
          </w:p>
        </w:tc>
      </w:tr>
      <w:tr>
        <w:trPr>
          <w:trHeight w:val="124"/>
        </w:trPr>
        <w:tc>
          <w:tcPr>
            <w:tcW w:w="1220" w:type="dxa"/>
            <w:vAlign w:val="bottom"/>
            <w:shd w:val="clear" w:color="auto" w:fill="CCEEFF"/>
          </w:tcPr>
          <w:p>
            <w:pPr>
              <w:spacing w:after="0" w:line="125" w:lineRule="exact"/>
              <w:rPr>
                <w:sz w:val="20"/>
                <w:szCs w:val="20"/>
                <w:color w:val="auto"/>
              </w:rPr>
            </w:pPr>
            <w:r>
              <w:rPr>
                <w:rFonts w:ascii="Arial" w:cs="Arial" w:eastAsia="Arial" w:hAnsi="Arial"/>
                <w:sz w:val="14"/>
                <w:szCs w:val="14"/>
                <w:color w:val="auto"/>
              </w:rPr>
              <w:t>Disposals and</w:t>
            </w:r>
          </w:p>
        </w:tc>
        <w:tc>
          <w:tcPr>
            <w:tcW w:w="7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1"/>
        </w:trPr>
        <w:tc>
          <w:tcPr>
            <w:tcW w:w="1220" w:type="dxa"/>
            <w:vAlign w:val="bottom"/>
            <w:shd w:val="clear" w:color="auto" w:fill="CCEEFF"/>
          </w:tcPr>
          <w:p>
            <w:pPr>
              <w:spacing w:after="0"/>
              <w:rPr>
                <w:sz w:val="20"/>
                <w:szCs w:val="20"/>
                <w:color w:val="auto"/>
              </w:rPr>
            </w:pPr>
            <w:r>
              <w:rPr>
                <w:rFonts w:ascii="Arial" w:cs="Arial" w:eastAsia="Arial" w:hAnsi="Arial"/>
                <w:sz w:val="14"/>
                <w:szCs w:val="14"/>
                <w:color w:val="auto"/>
              </w:rPr>
              <w:t>others</w:t>
            </w: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7,144</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(18,110)</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(8,704)</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(9,886)</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(12,271)</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(41,827)</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(109,180)</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(65,197)</w:t>
            </w:r>
          </w:p>
        </w:tc>
        <w:tc>
          <w:tcPr>
            <w:tcW w:w="0" w:type="dxa"/>
            <w:vAlign w:val="bottom"/>
          </w:tcPr>
          <w:p>
            <w:pPr>
              <w:spacing w:after="0"/>
              <w:rPr>
                <w:sz w:val="1"/>
                <w:szCs w:val="1"/>
                <w:color w:val="auto"/>
              </w:rPr>
            </w:pPr>
          </w:p>
        </w:tc>
      </w:tr>
      <w:tr>
        <w:trPr>
          <w:trHeight w:val="100"/>
        </w:trPr>
        <w:tc>
          <w:tcPr>
            <w:tcW w:w="1220" w:type="dxa"/>
            <w:vAlign w:val="bottom"/>
          </w:tcPr>
          <w:p>
            <w:pPr>
              <w:spacing w:after="0" w:line="101" w:lineRule="exact"/>
              <w:rPr>
                <w:sz w:val="20"/>
                <w:szCs w:val="20"/>
                <w:color w:val="auto"/>
              </w:rPr>
            </w:pPr>
            <w:r>
              <w:rPr>
                <w:rFonts w:ascii="Arial" w:cs="Arial" w:eastAsia="Arial" w:hAnsi="Arial"/>
                <w:sz w:val="10"/>
                <w:szCs w:val="10"/>
                <w:b w:val="1"/>
                <w:bCs w:val="1"/>
                <w:color w:val="auto"/>
              </w:rPr>
              <w:t>Balance as of</w:t>
            </w:r>
          </w:p>
        </w:tc>
        <w:tc>
          <w:tcPr>
            <w:tcW w:w="780" w:type="dxa"/>
            <w:vAlign w:val="bottom"/>
            <w:tcBorders>
              <w:top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860" w:type="dxa"/>
            <w:vAlign w:val="bottom"/>
            <w:tcBorders>
              <w:top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760" w:type="dxa"/>
            <w:vAlign w:val="bottom"/>
            <w:tcBorders>
              <w:top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760" w:type="dxa"/>
            <w:vAlign w:val="bottom"/>
            <w:tcBorders>
              <w:top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740" w:type="dxa"/>
            <w:vAlign w:val="bottom"/>
            <w:tcBorders>
              <w:top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760" w:type="dxa"/>
            <w:vAlign w:val="bottom"/>
            <w:tcBorders>
              <w:top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760" w:type="dxa"/>
            <w:vAlign w:val="bottom"/>
            <w:tcBorders>
              <w:top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760" w:type="dxa"/>
            <w:vAlign w:val="bottom"/>
            <w:tcBorders>
              <w:top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760" w:type="dxa"/>
            <w:vAlign w:val="bottom"/>
            <w:tcBorders>
              <w:top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74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5"/>
        </w:trPr>
        <w:tc>
          <w:tcPr>
            <w:tcW w:w="1220" w:type="dxa"/>
            <w:vAlign w:val="bottom"/>
          </w:tcPr>
          <w:p>
            <w:pPr>
              <w:spacing w:after="0"/>
              <w:rPr>
                <w:sz w:val="20"/>
                <w:szCs w:val="20"/>
                <w:color w:val="auto"/>
              </w:rPr>
            </w:pPr>
            <w:r>
              <w:rPr>
                <w:rFonts w:ascii="Arial" w:cs="Arial" w:eastAsia="Arial" w:hAnsi="Arial"/>
                <w:sz w:val="14"/>
                <w:szCs w:val="14"/>
                <w:b w:val="1"/>
                <w:bCs w:val="1"/>
                <w:color w:val="auto"/>
              </w:rPr>
              <w:t>December 31</w:t>
            </w:r>
          </w:p>
        </w:tc>
        <w:tc>
          <w:tcPr>
            <w:tcW w:w="10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240"/>
              <w:spacing w:after="0"/>
              <w:rPr>
                <w:sz w:val="20"/>
                <w:szCs w:val="20"/>
                <w:color w:val="auto"/>
              </w:rPr>
            </w:pPr>
            <w:r>
              <w:rPr>
                <w:rFonts w:ascii="Arial" w:cs="Arial" w:eastAsia="Arial" w:hAnsi="Arial"/>
                <w:sz w:val="14"/>
                <w:szCs w:val="14"/>
                <w:color w:val="auto"/>
              </w:rPr>
              <w:t>615,725</w:t>
            </w:r>
          </w:p>
        </w:tc>
        <w:tc>
          <w:tcPr>
            <w:tcW w:w="960" w:type="dxa"/>
            <w:vAlign w:val="bottom"/>
            <w:gridSpan w:val="2"/>
          </w:tcPr>
          <w:p>
            <w:pPr>
              <w:jc w:val="right"/>
              <w:ind w:right="200"/>
              <w:spacing w:after="0"/>
              <w:rPr>
                <w:sz w:val="20"/>
                <w:szCs w:val="20"/>
                <w:color w:val="auto"/>
              </w:rPr>
            </w:pPr>
            <w:r>
              <w:rPr>
                <w:rFonts w:ascii="Arial" w:cs="Arial" w:eastAsia="Arial" w:hAnsi="Arial"/>
                <w:sz w:val="14"/>
                <w:szCs w:val="14"/>
                <w:color w:val="auto"/>
              </w:rPr>
              <w:t>424,999</w:t>
            </w: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336,095</w:t>
            </w: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509,707</w:t>
            </w:r>
          </w:p>
        </w:tc>
        <w:tc>
          <w:tcPr>
            <w:tcW w:w="960" w:type="dxa"/>
            <w:vAlign w:val="bottom"/>
            <w:gridSpan w:val="2"/>
          </w:tcPr>
          <w:p>
            <w:pPr>
              <w:jc w:val="right"/>
              <w:ind w:right="200"/>
              <w:spacing w:after="0"/>
              <w:rPr>
                <w:sz w:val="20"/>
                <w:szCs w:val="20"/>
                <w:color w:val="auto"/>
              </w:rPr>
            </w:pPr>
            <w:r>
              <w:rPr>
                <w:rFonts w:ascii="Arial" w:cs="Arial" w:eastAsia="Arial" w:hAnsi="Arial"/>
                <w:sz w:val="14"/>
                <w:szCs w:val="14"/>
                <w:color w:val="auto"/>
              </w:rPr>
              <w:t>108,208</w:t>
            </w:r>
          </w:p>
        </w:tc>
        <w:tc>
          <w:tcPr>
            <w:tcW w:w="9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200"/>
              <w:spacing w:after="0"/>
              <w:rPr>
                <w:sz w:val="20"/>
                <w:szCs w:val="20"/>
                <w:color w:val="auto"/>
              </w:rPr>
            </w:pPr>
            <w:r>
              <w:rPr>
                <w:rFonts w:ascii="Arial" w:cs="Arial" w:eastAsia="Arial" w:hAnsi="Arial"/>
                <w:sz w:val="14"/>
                <w:szCs w:val="14"/>
                <w:color w:val="auto"/>
              </w:rPr>
              <w:t>1,994,734</w:t>
            </w: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1,857,666</w:t>
            </w:r>
          </w:p>
        </w:tc>
        <w:tc>
          <w:tcPr>
            <w:tcW w:w="740" w:type="dxa"/>
            <w:vAlign w:val="bottom"/>
          </w:tcPr>
          <w:p>
            <w:pPr>
              <w:jc w:val="right"/>
              <w:spacing w:after="0"/>
              <w:rPr>
                <w:sz w:val="20"/>
                <w:szCs w:val="20"/>
                <w:color w:val="auto"/>
              </w:rPr>
            </w:pPr>
            <w:r>
              <w:rPr>
                <w:rFonts w:ascii="Arial" w:cs="Arial" w:eastAsia="Arial" w:hAnsi="Arial"/>
                <w:sz w:val="14"/>
                <w:szCs w:val="14"/>
                <w:color w:val="auto"/>
              </w:rPr>
              <w:t>1,784,001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1220" w:type="dxa"/>
            <w:vAlign w:val="bottom"/>
            <w:tcBorders>
              <w:top w:val="single" w:sz="8" w:color="CCEEFF"/>
            </w:tcBorders>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spacing w:after="0"/>
              <w:rPr>
                <w:sz w:val="11"/>
                <w:szCs w:val="11"/>
                <w:color w:val="auto"/>
              </w:rPr>
            </w:pPr>
          </w:p>
        </w:tc>
        <w:tc>
          <w:tcPr>
            <w:tcW w:w="240" w:type="dxa"/>
            <w:vAlign w:val="bottom"/>
            <w:tcBorders>
              <w:top w:val="single" w:sz="8" w:color="CCEEFF"/>
            </w:tcBorders>
            <w:shd w:val="clear" w:color="auto" w:fill="CCEEFF"/>
          </w:tcPr>
          <w:p>
            <w:pPr>
              <w:spacing w:after="0"/>
              <w:rPr>
                <w:sz w:val="11"/>
                <w:szCs w:val="11"/>
                <w:color w:val="auto"/>
              </w:rPr>
            </w:pPr>
          </w:p>
        </w:tc>
        <w:tc>
          <w:tcPr>
            <w:tcW w:w="860" w:type="dxa"/>
            <w:vAlign w:val="bottom"/>
            <w:tcBorders>
              <w:top w:val="single" w:sz="8" w:color="auto"/>
            </w:tcBorders>
            <w:shd w:val="clear" w:color="auto" w:fill="CCEEFF"/>
          </w:tcPr>
          <w:p>
            <w:pPr>
              <w:spacing w:after="0"/>
              <w:rPr>
                <w:sz w:val="11"/>
                <w:szCs w:val="11"/>
                <w:color w:val="auto"/>
              </w:rPr>
            </w:pPr>
          </w:p>
        </w:tc>
        <w:tc>
          <w:tcPr>
            <w:tcW w:w="240" w:type="dxa"/>
            <w:vAlign w:val="bottom"/>
            <w:tcBorders>
              <w:top w:val="single" w:sz="8" w:color="CCEEFF"/>
            </w:tcBorders>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1220" w:type="dxa"/>
            <w:vAlign w:val="bottom"/>
          </w:tcPr>
          <w:p>
            <w:pPr>
              <w:spacing w:after="0" w:line="121" w:lineRule="exact"/>
              <w:rPr>
                <w:sz w:val="20"/>
                <w:szCs w:val="20"/>
                <w:color w:val="auto"/>
              </w:rPr>
            </w:pPr>
            <w:r>
              <w:rPr>
                <w:rFonts w:ascii="Arial" w:cs="Arial" w:eastAsia="Arial" w:hAnsi="Arial"/>
                <w:sz w:val="13"/>
                <w:szCs w:val="13"/>
                <w:b w:val="1"/>
                <w:bCs w:val="1"/>
                <w:color w:val="auto"/>
              </w:rPr>
              <w:t>Net carrying</w:t>
            </w:r>
          </w:p>
        </w:tc>
        <w:tc>
          <w:tcPr>
            <w:tcW w:w="7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1"/>
        </w:trPr>
        <w:tc>
          <w:tcPr>
            <w:tcW w:w="1220" w:type="dxa"/>
            <w:vAlign w:val="bottom"/>
          </w:tcPr>
          <w:p>
            <w:pPr>
              <w:spacing w:after="0"/>
              <w:rPr>
                <w:sz w:val="20"/>
                <w:szCs w:val="20"/>
                <w:color w:val="auto"/>
              </w:rPr>
            </w:pPr>
            <w:r>
              <w:rPr>
                <w:rFonts w:ascii="Arial" w:cs="Arial" w:eastAsia="Arial" w:hAnsi="Arial"/>
                <w:sz w:val="14"/>
                <w:szCs w:val="14"/>
                <w:b w:val="1"/>
                <w:bCs w:val="1"/>
                <w:color w:val="auto"/>
              </w:rPr>
              <w:t>amount</w:t>
            </w:r>
          </w:p>
        </w:tc>
        <w:tc>
          <w:tcPr>
            <w:tcW w:w="1020" w:type="dxa"/>
            <w:vAlign w:val="bottom"/>
            <w:gridSpan w:val="2"/>
          </w:tcPr>
          <w:p>
            <w:pPr>
              <w:jc w:val="right"/>
              <w:ind w:right="240"/>
              <w:spacing w:after="0"/>
              <w:rPr>
                <w:sz w:val="20"/>
                <w:szCs w:val="20"/>
                <w:color w:val="auto"/>
              </w:rPr>
            </w:pPr>
            <w:r>
              <w:rPr>
                <w:rFonts w:ascii="Arial" w:cs="Arial" w:eastAsia="Arial" w:hAnsi="Arial"/>
                <w:sz w:val="14"/>
                <w:szCs w:val="14"/>
                <w:color w:val="auto"/>
              </w:rPr>
              <w:t>421,639</w:t>
            </w:r>
          </w:p>
        </w:tc>
        <w:tc>
          <w:tcPr>
            <w:tcW w:w="1100" w:type="dxa"/>
            <w:vAlign w:val="bottom"/>
            <w:gridSpan w:val="2"/>
          </w:tcPr>
          <w:p>
            <w:pPr>
              <w:jc w:val="right"/>
              <w:ind w:right="240"/>
              <w:spacing w:after="0"/>
              <w:rPr>
                <w:sz w:val="20"/>
                <w:szCs w:val="20"/>
                <w:color w:val="auto"/>
              </w:rPr>
            </w:pPr>
            <w:r>
              <w:rPr>
                <w:rFonts w:ascii="Arial" w:cs="Arial" w:eastAsia="Arial" w:hAnsi="Arial"/>
                <w:sz w:val="14"/>
                <w:szCs w:val="14"/>
                <w:color w:val="auto"/>
              </w:rPr>
              <w:t>524,191</w:t>
            </w:r>
          </w:p>
        </w:tc>
        <w:tc>
          <w:tcPr>
            <w:tcW w:w="960" w:type="dxa"/>
            <w:vAlign w:val="bottom"/>
            <w:gridSpan w:val="2"/>
          </w:tcPr>
          <w:p>
            <w:pPr>
              <w:jc w:val="right"/>
              <w:ind w:right="200"/>
              <w:spacing w:after="0"/>
              <w:rPr>
                <w:sz w:val="20"/>
                <w:szCs w:val="20"/>
                <w:color w:val="auto"/>
              </w:rPr>
            </w:pPr>
            <w:r>
              <w:rPr>
                <w:rFonts w:ascii="Arial" w:cs="Arial" w:eastAsia="Arial" w:hAnsi="Arial"/>
                <w:sz w:val="14"/>
                <w:szCs w:val="14"/>
                <w:color w:val="auto"/>
              </w:rPr>
              <w:t>166,450</w:t>
            </w: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177,441</w:t>
            </w: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105,352</w:t>
            </w:r>
          </w:p>
        </w:tc>
        <w:tc>
          <w:tcPr>
            <w:tcW w:w="960" w:type="dxa"/>
            <w:vAlign w:val="bottom"/>
            <w:gridSpan w:val="2"/>
          </w:tcPr>
          <w:p>
            <w:pPr>
              <w:jc w:val="right"/>
              <w:ind w:right="200"/>
              <w:spacing w:after="0"/>
              <w:rPr>
                <w:sz w:val="20"/>
                <w:szCs w:val="20"/>
                <w:color w:val="auto"/>
              </w:rPr>
            </w:pPr>
            <w:r>
              <w:rPr>
                <w:rFonts w:ascii="Arial" w:cs="Arial" w:eastAsia="Arial" w:hAnsi="Arial"/>
                <w:sz w:val="14"/>
                <w:szCs w:val="14"/>
                <w:color w:val="auto"/>
              </w:rPr>
              <w:t>50,400</w:t>
            </w:r>
          </w:p>
        </w:tc>
        <w:tc>
          <w:tcPr>
            <w:tcW w:w="960" w:type="dxa"/>
            <w:vAlign w:val="bottom"/>
            <w:gridSpan w:val="2"/>
          </w:tcPr>
          <w:p>
            <w:pPr>
              <w:jc w:val="right"/>
              <w:ind w:right="200"/>
              <w:spacing w:after="0"/>
              <w:rPr>
                <w:sz w:val="20"/>
                <w:szCs w:val="20"/>
                <w:color w:val="auto"/>
              </w:rPr>
            </w:pPr>
            <w:r>
              <w:rPr>
                <w:rFonts w:ascii="Arial" w:cs="Arial" w:eastAsia="Arial" w:hAnsi="Arial"/>
                <w:sz w:val="14"/>
                <w:szCs w:val="14"/>
                <w:color w:val="auto"/>
              </w:rPr>
              <w:t>64,019</w:t>
            </w:r>
          </w:p>
        </w:tc>
        <w:tc>
          <w:tcPr>
            <w:tcW w:w="960" w:type="dxa"/>
            <w:vAlign w:val="bottom"/>
            <w:gridSpan w:val="2"/>
          </w:tcPr>
          <w:p>
            <w:pPr>
              <w:jc w:val="right"/>
              <w:ind w:right="200"/>
              <w:spacing w:after="0"/>
              <w:rPr>
                <w:sz w:val="20"/>
                <w:szCs w:val="20"/>
                <w:color w:val="auto"/>
              </w:rPr>
            </w:pPr>
            <w:r>
              <w:rPr>
                <w:rFonts w:ascii="Arial" w:cs="Arial" w:eastAsia="Arial" w:hAnsi="Arial"/>
                <w:sz w:val="14"/>
                <w:szCs w:val="14"/>
                <w:color w:val="auto"/>
              </w:rPr>
              <w:t>1,509,492</w:t>
            </w: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1,551,703</w:t>
            </w:r>
          </w:p>
        </w:tc>
        <w:tc>
          <w:tcPr>
            <w:tcW w:w="740" w:type="dxa"/>
            <w:vAlign w:val="bottom"/>
          </w:tcPr>
          <w:p>
            <w:pPr>
              <w:jc w:val="right"/>
              <w:spacing w:after="0"/>
              <w:rPr>
                <w:sz w:val="20"/>
                <w:szCs w:val="20"/>
                <w:color w:val="auto"/>
              </w:rPr>
            </w:pPr>
            <w:r>
              <w:rPr>
                <w:rFonts w:ascii="Arial" w:cs="Arial" w:eastAsia="Arial" w:hAnsi="Arial"/>
                <w:sz w:val="14"/>
                <w:szCs w:val="14"/>
                <w:color w:val="auto"/>
              </w:rPr>
              <w:t>1,671,441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5" w:lineRule="exact"/>
        <w:rPr>
          <w:sz w:val="20"/>
          <w:szCs w:val="20"/>
          <w:color w:val="auto"/>
        </w:rPr>
      </w:pPr>
    </w:p>
    <w:p>
      <w:pPr>
        <w:ind w:left="320"/>
        <w:spacing w:after="0"/>
        <w:rPr>
          <w:sz w:val="20"/>
          <w:szCs w:val="20"/>
          <w:color w:val="auto"/>
        </w:rPr>
      </w:pPr>
      <w:r>
        <w:rPr>
          <w:rFonts w:ascii="Arial" w:cs="Arial" w:eastAsia="Arial" w:hAnsi="Arial"/>
          <w:sz w:val="17"/>
          <w:szCs w:val="17"/>
          <w:color w:val="auto"/>
        </w:rPr>
        <w:t>Banks, financial institutions and insurance entities operating in Peru are not allowed to pledge their fixed assets.</w:t>
      </w:r>
    </w:p>
    <w:p>
      <w:pPr>
        <w:spacing w:after="0" w:line="220" w:lineRule="exact"/>
        <w:rPr>
          <w:sz w:val="20"/>
          <w:szCs w:val="20"/>
          <w:color w:val="auto"/>
        </w:rPr>
      </w:pPr>
    </w:p>
    <w:p>
      <w:pPr>
        <w:ind w:left="320" w:right="500"/>
        <w:spacing w:after="0" w:line="322" w:lineRule="auto"/>
        <w:rPr>
          <w:sz w:val="20"/>
          <w:szCs w:val="20"/>
          <w:color w:val="auto"/>
        </w:rPr>
      </w:pPr>
      <w:r>
        <w:rPr>
          <w:rFonts w:ascii="Arial" w:cs="Arial" w:eastAsia="Arial" w:hAnsi="Arial"/>
          <w:sz w:val="15"/>
          <w:szCs w:val="15"/>
          <w:color w:val="auto"/>
        </w:rPr>
        <w:t>During 2017 and 2016 Credicorp and its Subsidiaries, as part of its annual infrastructure investing, has made cash disbursements related mainly to the acquisition, construction and implementation of new agencies for its banking segment, and the refurbishment and conditioning of several agencies and administrative offices. Credicorp’s subsidiaries hold insurance contracts over its main assets in accordance with the policies established by Management.</w:t>
      </w:r>
    </w:p>
    <w:p>
      <w:pPr>
        <w:spacing w:after="0" w:line="137" w:lineRule="exact"/>
        <w:rPr>
          <w:sz w:val="20"/>
          <w:szCs w:val="20"/>
          <w:color w:val="auto"/>
        </w:rPr>
      </w:pPr>
    </w:p>
    <w:p>
      <w:pPr>
        <w:ind w:left="320"/>
        <w:spacing w:after="0" w:line="270" w:lineRule="auto"/>
        <w:rPr>
          <w:sz w:val="20"/>
          <w:szCs w:val="20"/>
          <w:color w:val="auto"/>
        </w:rPr>
      </w:pPr>
      <w:r>
        <w:rPr>
          <w:rFonts w:ascii="Arial" w:cs="Arial" w:eastAsia="Arial" w:hAnsi="Arial"/>
          <w:sz w:val="17"/>
          <w:szCs w:val="17"/>
          <w:color w:val="auto"/>
        </w:rPr>
        <w:t>Management periodically reviews the residual value, useful life and method of depreciation of the Group’s property, furniture and equipment to ensure that they are consistent with their actual economic benefits and life expectations. In Management’s opinion, as of December 31, 2017 and 2016 there is no evidence of impairment of the Group’s property, furniture and equipment.</w:t>
      </w:r>
    </w:p>
    <w:p>
      <w:pPr>
        <w:spacing w:after="0" w:line="38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- 66 -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15875</wp:posOffset>
            </wp:positionV>
            <wp:extent cx="725170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51700" cy="8255"/>
                    </a:xfrm>
                    <a:prstGeom prst="rect">
                      <a:avLst/>
                    </a:prstGeom>
                    <a:noFill/>
                  </pic:spPr>
                </pic:pic>
              </a:graphicData>
            </a:graphic>
          </wp:anchor>
        </w:drawing>
      </w:r>
    </w:p>
    <w:p>
      <w:pPr>
        <w:sectPr>
          <w:pgSz w:w="11900" w:h="16838" w:orient="portrait"/>
          <w:cols w:equalWidth="0" w:num="1">
            <w:col w:w="11400"/>
          </w:cols>
          <w:pgMar w:left="240" w:top="875" w:right="259" w:bottom="1440" w:gutter="0" w:footer="0" w:header="0"/>
        </w:sectPr>
      </w:pPr>
    </w:p>
    <w:bookmarkStart w:id="72" w:name="page73"/>
    <w:bookmarkEnd w:id="72"/>
    <w:p>
      <w:pPr>
        <w:spacing w:after="0"/>
        <w:tabs>
          <w:tab w:leader="none" w:pos="300" w:val="left"/>
        </w:tabs>
        <w:rPr>
          <w:sz w:val="20"/>
          <w:szCs w:val="20"/>
          <w:color w:val="auto"/>
        </w:rPr>
      </w:pPr>
      <w:r>
        <w:rPr>
          <w:rFonts w:ascii="Arial" w:cs="Arial" w:eastAsia="Arial" w:hAnsi="Arial"/>
          <w:sz w:val="17"/>
          <w:szCs w:val="17"/>
          <w:b w:val="1"/>
          <w:bCs w:val="1"/>
          <w:color w:val="auto"/>
        </w:rPr>
        <w:t>11</w:t>
        <w:tab/>
        <w:t>INTANGIBLE ASSETS AND GOODWILL, NET</w:t>
      </w:r>
    </w:p>
    <w:p>
      <w:pPr>
        <w:spacing w:after="0" w:line="226" w:lineRule="exact"/>
        <w:rPr>
          <w:sz w:val="20"/>
          <w:szCs w:val="20"/>
          <w:color w:val="auto"/>
        </w:rPr>
      </w:pPr>
    </w:p>
    <w:p>
      <w:pPr>
        <w:ind w:left="320" w:hanging="316"/>
        <w:spacing w:after="0"/>
        <w:tabs>
          <w:tab w:leader="none" w:pos="320" w:val="left"/>
        </w:tabs>
        <w:numPr>
          <w:ilvl w:val="0"/>
          <w:numId w:val="84"/>
        </w:numPr>
        <w:rPr>
          <w:rFonts w:ascii="Arial" w:cs="Arial" w:eastAsia="Arial" w:hAnsi="Arial"/>
          <w:sz w:val="17"/>
          <w:szCs w:val="17"/>
          <w:color w:val="auto"/>
        </w:rPr>
      </w:pPr>
      <w:r>
        <w:rPr>
          <w:rFonts w:ascii="Arial" w:cs="Arial" w:eastAsia="Arial" w:hAnsi="Arial"/>
          <w:sz w:val="17"/>
          <w:szCs w:val="17"/>
          <w:color w:val="auto"/>
        </w:rPr>
        <w:t>Intangible assets -</w:t>
      </w:r>
    </w:p>
    <w:p>
      <w:pPr>
        <w:spacing w:after="0" w:line="220" w:lineRule="exact"/>
        <w:rPr>
          <w:rFonts w:ascii="Arial" w:cs="Arial" w:eastAsia="Arial" w:hAnsi="Arial"/>
          <w:sz w:val="17"/>
          <w:szCs w:val="17"/>
          <w:color w:val="auto"/>
        </w:rPr>
      </w:pPr>
    </w:p>
    <w:p>
      <w:pPr>
        <w:ind w:left="320"/>
        <w:spacing w:after="0"/>
        <w:rPr>
          <w:rFonts w:ascii="Arial" w:cs="Arial" w:eastAsia="Arial" w:hAnsi="Arial"/>
          <w:sz w:val="17"/>
          <w:szCs w:val="17"/>
          <w:color w:val="auto"/>
        </w:rPr>
      </w:pPr>
      <w:r>
        <w:rPr>
          <w:rFonts w:ascii="Arial" w:cs="Arial" w:eastAsia="Arial" w:hAnsi="Arial"/>
          <w:sz w:val="17"/>
          <w:szCs w:val="17"/>
          <w:color w:val="auto"/>
        </w:rPr>
        <w:t>The movement of intangible assets with limited useful life for the years ended December 31, 2017, 2016 and 2015 is as follows:</w:t>
      </w:r>
    </w:p>
    <w:p>
      <w:pPr>
        <w:spacing w:after="0" w:line="192" w:lineRule="exact"/>
        <w:rPr>
          <w:sz w:val="20"/>
          <w:szCs w:val="20"/>
          <w:color w:val="auto"/>
        </w:rPr>
      </w:pPr>
    </w:p>
    <w:tbl>
      <w:tblPr>
        <w:tblLayout w:type="fixed"/>
        <w:tblInd w:w="320" w:type="dxa"/>
        <w:tblCellMar>
          <w:top w:w="0" w:type="dxa"/>
          <w:left w:w="0" w:type="dxa"/>
          <w:bottom w:w="0" w:type="dxa"/>
          <w:right w:w="0" w:type="dxa"/>
        </w:tblCellMar>
      </w:tblPr>
      <w:tr>
        <w:trPr>
          <w:trHeight w:val="161"/>
        </w:trPr>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rPr>
              <w:t>Client</w:t>
            </w: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Fund</w:t>
            </w:r>
          </w:p>
        </w:tc>
        <w:tc>
          <w:tcPr>
            <w:tcW w:w="86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rPr>
              <w:t>Core</w:t>
            </w: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3"/>
              </w:rPr>
              <w:t>Intangible</w:t>
            </w: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84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88"/>
              </w:rPr>
              <w:t>Rights of</w:t>
            </w:r>
          </w:p>
        </w:tc>
        <w:tc>
          <w:tcPr>
            <w:tcW w:w="86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Brand</w:t>
            </w:r>
          </w:p>
        </w:tc>
        <w:tc>
          <w:tcPr>
            <w:tcW w:w="860" w:type="dxa"/>
            <w:vAlign w:val="bottom"/>
            <w:gridSpan w:val="2"/>
          </w:tcPr>
          <w:p>
            <w:pPr>
              <w:jc w:val="right"/>
              <w:ind w:right="300"/>
              <w:spacing w:after="0" w:line="143" w:lineRule="exact"/>
              <w:rPr>
                <w:sz w:val="20"/>
                <w:szCs w:val="20"/>
                <w:color w:val="auto"/>
              </w:rPr>
            </w:pPr>
            <w:r>
              <w:rPr>
                <w:rFonts w:ascii="Arial" w:cs="Arial" w:eastAsia="Arial" w:hAnsi="Arial"/>
                <w:sz w:val="14"/>
                <w:szCs w:val="14"/>
                <w:b w:val="1"/>
                <w:bCs w:val="1"/>
                <w:color w:val="auto"/>
                <w:w w:val="92"/>
              </w:rPr>
              <w:t>manager</w:t>
            </w:r>
          </w:p>
        </w:tc>
        <w:tc>
          <w:tcPr>
            <w:tcW w:w="860" w:type="dxa"/>
            <w:vAlign w:val="bottom"/>
            <w:gridSpan w:val="2"/>
            <w:vMerge w:val="continue"/>
          </w:tcPr>
          <w:p>
            <w:pPr>
              <w:spacing w:after="0"/>
              <w:rPr>
                <w:sz w:val="12"/>
                <w:szCs w:val="12"/>
                <w:color w:val="auto"/>
              </w:rPr>
            </w:pPr>
          </w:p>
        </w:tc>
        <w:tc>
          <w:tcPr>
            <w:tcW w:w="100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88"/>
              </w:rPr>
              <w:t>Software and</w:t>
            </w:r>
          </w:p>
        </w:tc>
        <w:tc>
          <w:tcPr>
            <w:tcW w:w="860" w:type="dxa"/>
            <w:vAlign w:val="bottom"/>
            <w:gridSpan w:val="2"/>
            <w:vMerge w:val="continue"/>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13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Description</w:t>
            </w:r>
          </w:p>
        </w:tc>
        <w:tc>
          <w:tcPr>
            <w:tcW w:w="960" w:type="dxa"/>
            <w:vAlign w:val="bottom"/>
            <w:gridSpan w:val="2"/>
          </w:tcPr>
          <w:p>
            <w:pPr>
              <w:jc w:val="center"/>
              <w:ind w:right="200"/>
              <w:spacing w:after="0" w:line="143" w:lineRule="exact"/>
              <w:rPr>
                <w:sz w:val="20"/>
                <w:szCs w:val="20"/>
                <w:color w:val="auto"/>
              </w:rPr>
            </w:pPr>
            <w:r>
              <w:rPr>
                <w:rFonts w:ascii="Arial" w:cs="Arial" w:eastAsia="Arial" w:hAnsi="Arial"/>
                <w:sz w:val="14"/>
                <w:szCs w:val="14"/>
                <w:b w:val="1"/>
                <w:bCs w:val="1"/>
                <w:color w:val="auto"/>
                <w:w w:val="87"/>
              </w:rPr>
              <w:t>relationships</w:t>
            </w:r>
          </w:p>
        </w:tc>
        <w:tc>
          <w:tcPr>
            <w:tcW w:w="840" w:type="dxa"/>
            <w:vAlign w:val="bottom"/>
            <w:gridSpan w:val="2"/>
            <w:vMerge w:val="continue"/>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860" w:type="dxa"/>
            <w:vAlign w:val="bottom"/>
            <w:gridSpan w:val="2"/>
          </w:tcPr>
          <w:p>
            <w:pPr>
              <w:jc w:val="center"/>
              <w:ind w:right="220"/>
              <w:spacing w:after="0" w:line="143" w:lineRule="exact"/>
              <w:rPr>
                <w:sz w:val="20"/>
                <w:szCs w:val="20"/>
                <w:color w:val="auto"/>
              </w:rPr>
            </w:pPr>
            <w:r>
              <w:rPr>
                <w:rFonts w:ascii="Arial" w:cs="Arial" w:eastAsia="Arial" w:hAnsi="Arial"/>
                <w:sz w:val="14"/>
                <w:szCs w:val="14"/>
                <w:b w:val="1"/>
                <w:bCs w:val="1"/>
                <w:color w:val="auto"/>
                <w:w w:val="86"/>
              </w:rPr>
              <w:t>contract</w:t>
            </w:r>
          </w:p>
        </w:tc>
        <w:tc>
          <w:tcPr>
            <w:tcW w:w="860" w:type="dxa"/>
            <w:vAlign w:val="bottom"/>
            <w:gridSpan w:val="2"/>
          </w:tcPr>
          <w:p>
            <w:pPr>
              <w:jc w:val="right"/>
              <w:ind w:right="320"/>
              <w:spacing w:after="0" w:line="143" w:lineRule="exact"/>
              <w:rPr>
                <w:sz w:val="20"/>
                <w:szCs w:val="20"/>
                <w:color w:val="auto"/>
              </w:rPr>
            </w:pPr>
            <w:r>
              <w:rPr>
                <w:rFonts w:ascii="Arial" w:cs="Arial" w:eastAsia="Arial" w:hAnsi="Arial"/>
                <w:sz w:val="14"/>
                <w:szCs w:val="14"/>
                <w:b w:val="1"/>
                <w:bCs w:val="1"/>
                <w:color w:val="auto"/>
                <w:w w:val="90"/>
              </w:rPr>
              <w:t>deposits</w:t>
            </w:r>
          </w:p>
        </w:tc>
        <w:tc>
          <w:tcPr>
            <w:tcW w:w="1000" w:type="dxa"/>
            <w:vAlign w:val="bottom"/>
            <w:gridSpan w:val="2"/>
            <w:vMerge w:val="continue"/>
          </w:tcPr>
          <w:p>
            <w:pPr>
              <w:spacing w:after="0"/>
              <w:rPr>
                <w:sz w:val="12"/>
                <w:szCs w:val="12"/>
                <w:color w:val="auto"/>
              </w:rPr>
            </w:pPr>
          </w:p>
        </w:tc>
        <w:tc>
          <w:tcPr>
            <w:tcW w:w="860" w:type="dxa"/>
            <w:vAlign w:val="bottom"/>
            <w:gridSpan w:val="2"/>
          </w:tcPr>
          <w:p>
            <w:pPr>
              <w:jc w:val="right"/>
              <w:ind w:right="480"/>
              <w:spacing w:after="0" w:line="143" w:lineRule="exact"/>
              <w:rPr>
                <w:sz w:val="20"/>
                <w:szCs w:val="20"/>
                <w:color w:val="auto"/>
              </w:rPr>
            </w:pPr>
            <w:r>
              <w:rPr>
                <w:rFonts w:ascii="Arial" w:cs="Arial" w:eastAsia="Arial" w:hAnsi="Arial"/>
                <w:sz w:val="14"/>
                <w:szCs w:val="14"/>
                <w:b w:val="1"/>
                <w:bCs w:val="1"/>
                <w:color w:val="auto"/>
              </w:rPr>
              <w:t>in</w:t>
            </w:r>
          </w:p>
        </w:tc>
        <w:tc>
          <w:tcPr>
            <w:tcW w:w="86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Other</w:t>
            </w:r>
          </w:p>
        </w:tc>
        <w:tc>
          <w:tcPr>
            <w:tcW w:w="660" w:type="dxa"/>
            <w:vAlign w:val="bottom"/>
            <w:vMerge w:val="restart"/>
          </w:tcPr>
          <w:p>
            <w:pPr>
              <w:jc w:val="right"/>
              <w:ind w:right="111"/>
              <w:spacing w:after="0"/>
              <w:rPr>
                <w:sz w:val="20"/>
                <w:szCs w:val="20"/>
                <w:color w:val="auto"/>
              </w:rPr>
            </w:pPr>
            <w:r>
              <w:rPr>
                <w:rFonts w:ascii="Arial" w:cs="Arial" w:eastAsia="Arial" w:hAnsi="Arial"/>
                <w:sz w:val="14"/>
                <w:szCs w:val="14"/>
                <w:b w:val="1"/>
                <w:bCs w:val="1"/>
                <w:color w:val="auto"/>
              </w:rPr>
              <w:t>2017</w:t>
            </w:r>
          </w:p>
        </w:tc>
        <w:tc>
          <w:tcPr>
            <w:tcW w:w="220" w:type="dxa"/>
            <w:vAlign w:val="bottom"/>
          </w:tcPr>
          <w:p>
            <w:pPr>
              <w:spacing w:after="0"/>
              <w:rPr>
                <w:sz w:val="12"/>
                <w:szCs w:val="12"/>
                <w:color w:val="auto"/>
              </w:rPr>
            </w:pPr>
          </w:p>
        </w:tc>
        <w:tc>
          <w:tcPr>
            <w:tcW w:w="660" w:type="dxa"/>
            <w:vAlign w:val="bottom"/>
            <w:vMerge w:val="restart"/>
          </w:tcPr>
          <w:p>
            <w:pPr>
              <w:jc w:val="right"/>
              <w:ind w:right="131"/>
              <w:spacing w:after="0"/>
              <w:rPr>
                <w:sz w:val="20"/>
                <w:szCs w:val="20"/>
                <w:color w:val="auto"/>
              </w:rPr>
            </w:pPr>
            <w:r>
              <w:rPr>
                <w:rFonts w:ascii="Arial" w:cs="Arial" w:eastAsia="Arial" w:hAnsi="Arial"/>
                <w:sz w:val="14"/>
                <w:szCs w:val="14"/>
                <w:b w:val="1"/>
                <w:bCs w:val="1"/>
                <w:color w:val="auto"/>
              </w:rPr>
              <w:t>2016</w:t>
            </w:r>
          </w:p>
        </w:tc>
        <w:tc>
          <w:tcPr>
            <w:tcW w:w="200" w:type="dxa"/>
            <w:vAlign w:val="bottom"/>
          </w:tcPr>
          <w:p>
            <w:pPr>
              <w:spacing w:after="0"/>
              <w:rPr>
                <w:sz w:val="12"/>
                <w:szCs w:val="12"/>
                <w:color w:val="auto"/>
              </w:rPr>
            </w:pPr>
          </w:p>
        </w:tc>
        <w:tc>
          <w:tcPr>
            <w:tcW w:w="660" w:type="dxa"/>
            <w:vAlign w:val="bottom"/>
            <w:vMerge w:val="restart"/>
          </w:tcPr>
          <w:p>
            <w:pPr>
              <w:jc w:val="right"/>
              <w:ind w:right="111"/>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1340" w:type="dxa"/>
            <w:vAlign w:val="bottom"/>
            <w:gridSpan w:val="2"/>
            <w:vMerge w:val="continue"/>
          </w:tcPr>
          <w:p>
            <w:pPr>
              <w:spacing w:after="0"/>
              <w:rPr>
                <w:sz w:val="14"/>
                <w:szCs w:val="14"/>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(i)</w:t>
            </w:r>
          </w:p>
        </w:tc>
        <w:tc>
          <w:tcPr>
            <w:tcW w:w="8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74"/>
              </w:rPr>
              <w:t>use</w:t>
            </w:r>
          </w:p>
        </w:tc>
        <w:tc>
          <w:tcPr>
            <w:tcW w:w="86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7"/>
              </w:rPr>
              <w:t>name (ii)</w:t>
            </w:r>
          </w:p>
        </w:tc>
        <w:tc>
          <w:tcPr>
            <w:tcW w:w="8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5"/>
              </w:rPr>
              <w:t>(iii)</w:t>
            </w:r>
          </w:p>
        </w:tc>
        <w:tc>
          <w:tcPr>
            <w:tcW w:w="8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0"/>
              </w:rPr>
              <w:t>intangible</w:t>
            </w:r>
          </w:p>
        </w:tc>
        <w:tc>
          <w:tcPr>
            <w:tcW w:w="10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4"/>
              </w:rPr>
              <w:t>developments</w:t>
            </w:r>
          </w:p>
        </w:tc>
        <w:tc>
          <w:tcPr>
            <w:tcW w:w="8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3"/>
              </w:rPr>
              <w:t>progress</w:t>
            </w:r>
          </w:p>
        </w:tc>
        <w:tc>
          <w:tcPr>
            <w:tcW w:w="860" w:type="dxa"/>
            <w:vAlign w:val="bottom"/>
            <w:gridSpan w:val="2"/>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12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S/(000)</w:t>
            </w:r>
          </w:p>
        </w:tc>
        <w:tc>
          <w:tcPr>
            <w:tcW w:w="220" w:type="dxa"/>
            <w:vAlign w:val="bottom"/>
          </w:tcPr>
          <w:p>
            <w:pPr>
              <w:spacing w:after="0"/>
              <w:rPr>
                <w:sz w:val="14"/>
                <w:szCs w:val="14"/>
                <w:color w:val="auto"/>
              </w:rPr>
            </w:pPr>
          </w:p>
        </w:tc>
        <w:tc>
          <w:tcPr>
            <w:tcW w:w="640" w:type="dxa"/>
            <w:vAlign w:val="bottom"/>
            <w:tcBorders>
              <w:top w:val="single" w:sz="8" w:color="auto"/>
            </w:tcBorders>
          </w:tcPr>
          <w:p>
            <w:pPr>
              <w:jc w:val="right"/>
              <w:ind w:right="51"/>
              <w:spacing w:after="0"/>
              <w:rPr>
                <w:sz w:val="20"/>
                <w:szCs w:val="20"/>
                <w:color w:val="auto"/>
              </w:rPr>
            </w:pPr>
            <w:r>
              <w:rPr>
                <w:rFonts w:ascii="Arial" w:cs="Arial" w:eastAsia="Arial" w:hAnsi="Arial"/>
                <w:sz w:val="14"/>
                <w:szCs w:val="14"/>
                <w:b w:val="1"/>
                <w:bCs w:val="1"/>
                <w:color w:val="auto"/>
              </w:rPr>
              <w:t>S/(000)</w:t>
            </w:r>
          </w:p>
        </w:tc>
        <w:tc>
          <w:tcPr>
            <w:tcW w:w="200" w:type="dxa"/>
            <w:vAlign w:val="bottom"/>
          </w:tcPr>
          <w:p>
            <w:pPr>
              <w:spacing w:after="0"/>
              <w:rPr>
                <w:sz w:val="14"/>
                <w:szCs w:val="14"/>
                <w:color w:val="auto"/>
              </w:rPr>
            </w:pPr>
          </w:p>
        </w:tc>
        <w:tc>
          <w:tcPr>
            <w:tcW w:w="640" w:type="dxa"/>
            <w:vAlign w:val="bottom"/>
            <w:tcBorders>
              <w:top w:val="single" w:sz="8" w:color="auto"/>
            </w:tcBorders>
          </w:tcPr>
          <w:p>
            <w:pPr>
              <w:ind w:left="120"/>
              <w:spacing w:after="0"/>
              <w:rPr>
                <w:sz w:val="20"/>
                <w:szCs w:val="20"/>
                <w:color w:val="auto"/>
              </w:rPr>
            </w:pPr>
            <w:r>
              <w:rPr>
                <w:rFonts w:ascii="Arial" w:cs="Arial" w:eastAsia="Arial" w:hAnsi="Arial"/>
                <w:sz w:val="14"/>
                <w:szCs w:val="14"/>
                <w:b w:val="1"/>
                <w:bCs w:val="1"/>
                <w:color w:val="auto"/>
              </w:rPr>
              <w:t>S/(000)</w:t>
            </w:r>
          </w:p>
        </w:tc>
        <w:tc>
          <w:tcPr>
            <w:tcW w:w="220" w:type="dxa"/>
            <w:vAlign w:val="bottom"/>
          </w:tcPr>
          <w:p>
            <w:pPr>
              <w:spacing w:after="0"/>
              <w:rPr>
                <w:sz w:val="14"/>
                <w:szCs w:val="14"/>
                <w:color w:val="auto"/>
              </w:rPr>
            </w:pPr>
          </w:p>
        </w:tc>
        <w:tc>
          <w:tcPr>
            <w:tcW w:w="64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S/(000)</w:t>
            </w:r>
          </w:p>
        </w:tc>
        <w:tc>
          <w:tcPr>
            <w:tcW w:w="220" w:type="dxa"/>
            <w:vAlign w:val="bottom"/>
          </w:tcPr>
          <w:p>
            <w:pPr>
              <w:spacing w:after="0"/>
              <w:rPr>
                <w:sz w:val="14"/>
                <w:szCs w:val="14"/>
                <w:color w:val="auto"/>
              </w:rPr>
            </w:pPr>
          </w:p>
        </w:tc>
        <w:tc>
          <w:tcPr>
            <w:tcW w:w="640" w:type="dxa"/>
            <w:vAlign w:val="bottom"/>
            <w:tcBorders>
              <w:top w:val="single" w:sz="8" w:color="auto"/>
            </w:tcBorders>
          </w:tcPr>
          <w:p>
            <w:pPr>
              <w:jc w:val="right"/>
              <w:ind w:right="51"/>
              <w:spacing w:after="0"/>
              <w:rPr>
                <w:sz w:val="20"/>
                <w:szCs w:val="20"/>
                <w:color w:val="auto"/>
              </w:rPr>
            </w:pPr>
            <w:r>
              <w:rPr>
                <w:rFonts w:ascii="Arial" w:cs="Arial" w:eastAsia="Arial" w:hAnsi="Arial"/>
                <w:sz w:val="14"/>
                <w:szCs w:val="14"/>
                <w:b w:val="1"/>
                <w:bCs w:val="1"/>
                <w:color w:val="auto"/>
              </w:rPr>
              <w:t>S/(000)</w:t>
            </w:r>
          </w:p>
        </w:tc>
        <w:tc>
          <w:tcPr>
            <w:tcW w:w="220" w:type="dxa"/>
            <w:vAlign w:val="bottom"/>
          </w:tcPr>
          <w:p>
            <w:pPr>
              <w:spacing w:after="0"/>
              <w:rPr>
                <w:sz w:val="14"/>
                <w:szCs w:val="14"/>
                <w:color w:val="auto"/>
              </w:rPr>
            </w:pPr>
          </w:p>
        </w:tc>
        <w:tc>
          <w:tcPr>
            <w:tcW w:w="80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S/(000)</w:t>
            </w:r>
          </w:p>
        </w:tc>
        <w:tc>
          <w:tcPr>
            <w:tcW w:w="200" w:type="dxa"/>
            <w:vAlign w:val="bottom"/>
          </w:tcPr>
          <w:p>
            <w:pPr>
              <w:spacing w:after="0"/>
              <w:rPr>
                <w:sz w:val="14"/>
                <w:szCs w:val="14"/>
                <w:color w:val="auto"/>
              </w:rPr>
            </w:pPr>
          </w:p>
        </w:tc>
        <w:tc>
          <w:tcPr>
            <w:tcW w:w="66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S/(000)</w:t>
            </w:r>
          </w:p>
        </w:tc>
        <w:tc>
          <w:tcPr>
            <w:tcW w:w="200" w:type="dxa"/>
            <w:vAlign w:val="bottom"/>
          </w:tcPr>
          <w:p>
            <w:pPr>
              <w:spacing w:after="0"/>
              <w:rPr>
                <w:sz w:val="14"/>
                <w:szCs w:val="14"/>
                <w:color w:val="auto"/>
              </w:rPr>
            </w:pPr>
          </w:p>
        </w:tc>
        <w:tc>
          <w:tcPr>
            <w:tcW w:w="660" w:type="dxa"/>
            <w:vAlign w:val="bottom"/>
            <w:tcBorders>
              <w:top w:val="single" w:sz="8" w:color="auto"/>
            </w:tcBorders>
          </w:tcPr>
          <w:p>
            <w:pPr>
              <w:jc w:val="right"/>
              <w:ind w:right="51"/>
              <w:spacing w:after="0"/>
              <w:rPr>
                <w:sz w:val="20"/>
                <w:szCs w:val="20"/>
                <w:color w:val="auto"/>
              </w:rPr>
            </w:pPr>
            <w:r>
              <w:rPr>
                <w:rFonts w:ascii="Arial" w:cs="Arial" w:eastAsia="Arial" w:hAnsi="Arial"/>
                <w:sz w:val="14"/>
                <w:szCs w:val="14"/>
                <w:b w:val="1"/>
                <w:bCs w:val="1"/>
                <w:color w:val="auto"/>
              </w:rPr>
              <w:t>S/(000)</w:t>
            </w:r>
          </w:p>
        </w:tc>
        <w:tc>
          <w:tcPr>
            <w:tcW w:w="200" w:type="dxa"/>
            <w:vAlign w:val="bottom"/>
          </w:tcPr>
          <w:p>
            <w:pPr>
              <w:spacing w:after="0"/>
              <w:rPr>
                <w:sz w:val="14"/>
                <w:szCs w:val="14"/>
                <w:color w:val="auto"/>
              </w:rPr>
            </w:pPr>
          </w:p>
        </w:tc>
        <w:tc>
          <w:tcPr>
            <w:tcW w:w="66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S/(000)</w:t>
            </w:r>
          </w:p>
        </w:tc>
        <w:tc>
          <w:tcPr>
            <w:tcW w:w="220" w:type="dxa"/>
            <w:vAlign w:val="bottom"/>
          </w:tcPr>
          <w:p>
            <w:pPr>
              <w:spacing w:after="0"/>
              <w:rPr>
                <w:sz w:val="14"/>
                <w:szCs w:val="14"/>
                <w:color w:val="auto"/>
              </w:rPr>
            </w:pPr>
          </w:p>
        </w:tc>
        <w:tc>
          <w:tcPr>
            <w:tcW w:w="66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S/(000)</w:t>
            </w:r>
          </w:p>
        </w:tc>
        <w:tc>
          <w:tcPr>
            <w:tcW w:w="200" w:type="dxa"/>
            <w:vAlign w:val="bottom"/>
          </w:tcPr>
          <w:p>
            <w:pPr>
              <w:spacing w:after="0"/>
              <w:rPr>
                <w:sz w:val="14"/>
                <w:szCs w:val="14"/>
                <w:color w:val="auto"/>
              </w:rPr>
            </w:pPr>
          </w:p>
        </w:tc>
        <w:tc>
          <w:tcPr>
            <w:tcW w:w="66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S/(000)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6"/>
        </w:trPr>
        <w:tc>
          <w:tcPr>
            <w:tcW w:w="1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2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3"/>
        </w:trPr>
        <w:tc>
          <w:tcPr>
            <w:tcW w:w="1340" w:type="dxa"/>
            <w:vAlign w:val="bottom"/>
            <w:gridSpan w:val="2"/>
            <w:shd w:val="clear" w:color="auto" w:fill="CCEEFF"/>
          </w:tcPr>
          <w:p>
            <w:pPr>
              <w:spacing w:after="0" w:line="143" w:lineRule="exact"/>
              <w:rPr>
                <w:sz w:val="20"/>
                <w:szCs w:val="20"/>
                <w:color w:val="auto"/>
              </w:rPr>
            </w:pPr>
            <w:r>
              <w:rPr>
                <w:rFonts w:ascii="Arial" w:cs="Arial" w:eastAsia="Arial" w:hAnsi="Arial"/>
                <w:sz w:val="14"/>
                <w:szCs w:val="14"/>
                <w:b w:val="1"/>
                <w:bCs w:val="1"/>
                <w:color w:val="auto"/>
              </w:rPr>
              <w:t>Cost -</w:t>
            </w: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0"/>
        </w:trPr>
        <w:tc>
          <w:tcPr>
            <w:tcW w:w="1340" w:type="dxa"/>
            <w:vAlign w:val="bottom"/>
            <w:gridSpan w:val="2"/>
          </w:tcPr>
          <w:p>
            <w:pPr>
              <w:spacing w:after="0" w:line="121" w:lineRule="exact"/>
              <w:rPr>
                <w:sz w:val="20"/>
                <w:szCs w:val="20"/>
                <w:color w:val="auto"/>
              </w:rPr>
            </w:pPr>
            <w:r>
              <w:rPr>
                <w:rFonts w:ascii="Arial" w:cs="Arial" w:eastAsia="Arial" w:hAnsi="Arial"/>
                <w:sz w:val="13"/>
                <w:szCs w:val="13"/>
                <w:b w:val="1"/>
                <w:bCs w:val="1"/>
                <w:color w:val="auto"/>
              </w:rPr>
              <w:t>Balances at January</w:t>
            </w:r>
          </w:p>
        </w:tc>
        <w:tc>
          <w:tcPr>
            <w:tcW w:w="7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240" w:type="dxa"/>
            <w:vAlign w:val="bottom"/>
          </w:tcPr>
          <w:p>
            <w:pPr>
              <w:spacing w:after="0"/>
              <w:rPr>
                <w:sz w:val="20"/>
                <w:szCs w:val="20"/>
                <w:color w:val="auto"/>
              </w:rPr>
            </w:pPr>
            <w:r>
              <w:rPr>
                <w:rFonts w:ascii="Arial" w:cs="Arial" w:eastAsia="Arial" w:hAnsi="Arial"/>
                <w:sz w:val="14"/>
                <w:szCs w:val="14"/>
                <w:b w:val="1"/>
                <w:bCs w:val="1"/>
                <w:color w:val="auto"/>
              </w:rPr>
              <w:t>1</w:t>
            </w:r>
          </w:p>
        </w:tc>
        <w:tc>
          <w:tcPr>
            <w:tcW w:w="100" w:type="dxa"/>
            <w:vAlign w:val="bottom"/>
          </w:tcPr>
          <w:p>
            <w:pPr>
              <w:spacing w:after="0"/>
              <w:rPr>
                <w:sz w:val="14"/>
                <w:szCs w:val="14"/>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406,186</w:t>
            </w:r>
          </w:p>
        </w:tc>
        <w:tc>
          <w:tcPr>
            <w:tcW w:w="840" w:type="dxa"/>
            <w:vAlign w:val="bottom"/>
            <w:gridSpan w:val="2"/>
          </w:tcPr>
          <w:p>
            <w:pPr>
              <w:jc w:val="right"/>
              <w:ind w:right="200"/>
              <w:spacing w:after="0"/>
              <w:rPr>
                <w:sz w:val="20"/>
                <w:szCs w:val="20"/>
                <w:color w:val="auto"/>
              </w:rPr>
            </w:pPr>
            <w:r>
              <w:rPr>
                <w:rFonts w:ascii="Arial" w:cs="Arial" w:eastAsia="Arial" w:hAnsi="Arial"/>
                <w:sz w:val="14"/>
                <w:szCs w:val="14"/>
                <w:color w:val="auto"/>
              </w:rPr>
              <w:t>55,900</w:t>
            </w: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261,715</w:t>
            </w: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100,608</w:t>
            </w: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21,100</w:t>
            </w:r>
          </w:p>
        </w:tc>
        <w:tc>
          <w:tcPr>
            <w:tcW w:w="800" w:type="dxa"/>
            <w:vAlign w:val="bottom"/>
          </w:tcPr>
          <w:p>
            <w:pPr>
              <w:jc w:val="right"/>
              <w:spacing w:after="0"/>
              <w:rPr>
                <w:sz w:val="20"/>
                <w:szCs w:val="20"/>
                <w:color w:val="auto"/>
              </w:rPr>
            </w:pPr>
            <w:r>
              <w:rPr>
                <w:rFonts w:ascii="Arial" w:cs="Arial" w:eastAsia="Arial" w:hAnsi="Arial"/>
                <w:sz w:val="14"/>
                <w:szCs w:val="14"/>
                <w:color w:val="auto"/>
              </w:rPr>
              <w:t>1,614,338</w:t>
            </w:r>
          </w:p>
        </w:tc>
        <w:tc>
          <w:tcPr>
            <w:tcW w:w="200" w:type="dxa"/>
            <w:vAlign w:val="bottom"/>
          </w:tcPr>
          <w:p>
            <w:pPr>
              <w:spacing w:after="0"/>
              <w:rPr>
                <w:sz w:val="14"/>
                <w:szCs w:val="14"/>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302,747</w:t>
            </w: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26,841</w:t>
            </w:r>
          </w:p>
        </w:tc>
        <w:tc>
          <w:tcPr>
            <w:tcW w:w="660" w:type="dxa"/>
            <w:vAlign w:val="bottom"/>
          </w:tcPr>
          <w:p>
            <w:pPr>
              <w:jc w:val="right"/>
              <w:spacing w:after="0"/>
              <w:rPr>
                <w:sz w:val="20"/>
                <w:szCs w:val="20"/>
                <w:color w:val="auto"/>
              </w:rPr>
            </w:pPr>
            <w:r>
              <w:rPr>
                <w:rFonts w:ascii="Arial" w:cs="Arial" w:eastAsia="Arial" w:hAnsi="Arial"/>
                <w:sz w:val="14"/>
                <w:szCs w:val="14"/>
                <w:color w:val="auto"/>
              </w:rPr>
              <w:t>2,789,435</w:t>
            </w:r>
          </w:p>
        </w:tc>
        <w:tc>
          <w:tcPr>
            <w:tcW w:w="220" w:type="dxa"/>
            <w:vAlign w:val="bottom"/>
          </w:tcPr>
          <w:p>
            <w:pPr>
              <w:spacing w:after="0"/>
              <w:rPr>
                <w:sz w:val="14"/>
                <w:szCs w:val="14"/>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2,512,114</w:t>
            </w:r>
          </w:p>
        </w:tc>
        <w:tc>
          <w:tcPr>
            <w:tcW w:w="660" w:type="dxa"/>
            <w:vAlign w:val="bottom"/>
          </w:tcPr>
          <w:p>
            <w:pPr>
              <w:jc w:val="right"/>
              <w:spacing w:after="0"/>
              <w:rPr>
                <w:sz w:val="20"/>
                <w:szCs w:val="20"/>
                <w:color w:val="auto"/>
              </w:rPr>
            </w:pPr>
            <w:r>
              <w:rPr>
                <w:rFonts w:ascii="Arial" w:cs="Arial" w:eastAsia="Arial" w:hAnsi="Arial"/>
                <w:sz w:val="14"/>
                <w:szCs w:val="14"/>
                <w:color w:val="auto"/>
              </w:rPr>
              <w:t>2,329,549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1340" w:type="dxa"/>
            <w:vAlign w:val="bottom"/>
            <w:gridSpan w:val="2"/>
            <w:shd w:val="clear" w:color="auto" w:fill="CCEEFF"/>
          </w:tcPr>
          <w:p>
            <w:pPr>
              <w:spacing w:after="0" w:line="143" w:lineRule="exact"/>
              <w:rPr>
                <w:sz w:val="20"/>
                <w:szCs w:val="20"/>
                <w:color w:val="auto"/>
              </w:rPr>
            </w:pPr>
            <w:r>
              <w:rPr>
                <w:rFonts w:ascii="Arial" w:cs="Arial" w:eastAsia="Arial" w:hAnsi="Arial"/>
                <w:sz w:val="14"/>
                <w:szCs w:val="14"/>
                <w:color w:val="auto"/>
              </w:rPr>
              <w:t>Additions</w:t>
            </w:r>
          </w:p>
        </w:tc>
        <w:tc>
          <w:tcPr>
            <w:tcW w:w="960" w:type="dxa"/>
            <w:vAlign w:val="bottom"/>
            <w:gridSpan w:val="2"/>
            <w:shd w:val="clear" w:color="auto" w:fill="CCEEFF"/>
          </w:tcPr>
          <w:p>
            <w:pPr>
              <w:jc w:val="right"/>
              <w:ind w:right="220"/>
              <w:spacing w:after="0" w:line="143"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200"/>
              <w:spacing w:after="0" w:line="143"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220"/>
              <w:spacing w:after="0" w:line="143"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220"/>
              <w:spacing w:after="0" w:line="143"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00"/>
              <w:spacing w:after="0" w:line="143" w:lineRule="exact"/>
              <w:rPr>
                <w:sz w:val="20"/>
                <w:szCs w:val="20"/>
                <w:color w:val="auto"/>
              </w:rPr>
            </w:pPr>
            <w:r>
              <w:rPr>
                <w:rFonts w:ascii="Arial" w:cs="Arial" w:eastAsia="Arial" w:hAnsi="Arial"/>
                <w:sz w:val="14"/>
                <w:szCs w:val="14"/>
                <w:color w:val="auto"/>
              </w:rPr>
              <w:t>88,466</w:t>
            </w:r>
          </w:p>
        </w:tc>
        <w:tc>
          <w:tcPr>
            <w:tcW w:w="860" w:type="dxa"/>
            <w:vAlign w:val="bottom"/>
            <w:gridSpan w:val="2"/>
            <w:shd w:val="clear" w:color="auto" w:fill="CCEEFF"/>
          </w:tcPr>
          <w:p>
            <w:pPr>
              <w:jc w:val="right"/>
              <w:ind w:right="200"/>
              <w:spacing w:after="0" w:line="143" w:lineRule="exact"/>
              <w:rPr>
                <w:sz w:val="20"/>
                <w:szCs w:val="20"/>
                <w:color w:val="auto"/>
              </w:rPr>
            </w:pPr>
            <w:r>
              <w:rPr>
                <w:rFonts w:ascii="Arial" w:cs="Arial" w:eastAsia="Arial" w:hAnsi="Arial"/>
                <w:sz w:val="14"/>
                <w:szCs w:val="14"/>
                <w:color w:val="auto"/>
              </w:rPr>
              <w:t>182,984</w:t>
            </w:r>
          </w:p>
        </w:tc>
        <w:tc>
          <w:tcPr>
            <w:tcW w:w="860" w:type="dxa"/>
            <w:vAlign w:val="bottom"/>
            <w:gridSpan w:val="2"/>
            <w:shd w:val="clear" w:color="auto" w:fill="CCEEFF"/>
          </w:tcPr>
          <w:p>
            <w:pPr>
              <w:jc w:val="right"/>
              <w:ind w:right="200"/>
              <w:spacing w:after="0" w:line="143" w:lineRule="exact"/>
              <w:rPr>
                <w:sz w:val="20"/>
                <w:szCs w:val="20"/>
                <w:color w:val="auto"/>
              </w:rPr>
            </w:pPr>
            <w:r>
              <w:rPr>
                <w:rFonts w:ascii="Arial" w:cs="Arial" w:eastAsia="Arial" w:hAnsi="Arial"/>
                <w:sz w:val="14"/>
                <w:szCs w:val="14"/>
                <w:color w:val="auto"/>
              </w:rPr>
              <w:t>272</w:t>
            </w:r>
          </w:p>
        </w:tc>
        <w:tc>
          <w:tcPr>
            <w:tcW w:w="880" w:type="dxa"/>
            <w:vAlign w:val="bottom"/>
            <w:gridSpan w:val="2"/>
            <w:shd w:val="clear" w:color="auto" w:fill="CCEEFF"/>
          </w:tcPr>
          <w:p>
            <w:pPr>
              <w:jc w:val="right"/>
              <w:ind w:right="220"/>
              <w:spacing w:after="0" w:line="143" w:lineRule="exact"/>
              <w:rPr>
                <w:sz w:val="20"/>
                <w:szCs w:val="20"/>
                <w:color w:val="auto"/>
              </w:rPr>
            </w:pPr>
            <w:r>
              <w:rPr>
                <w:rFonts w:ascii="Arial" w:cs="Arial" w:eastAsia="Arial" w:hAnsi="Arial"/>
                <w:sz w:val="14"/>
                <w:szCs w:val="14"/>
                <w:color w:val="auto"/>
              </w:rPr>
              <w:t>271,722</w:t>
            </w:r>
          </w:p>
        </w:tc>
        <w:tc>
          <w:tcPr>
            <w:tcW w:w="860" w:type="dxa"/>
            <w:vAlign w:val="bottom"/>
            <w:gridSpan w:val="2"/>
            <w:shd w:val="clear" w:color="auto" w:fill="CCEEFF"/>
          </w:tcPr>
          <w:p>
            <w:pPr>
              <w:jc w:val="right"/>
              <w:ind w:right="200"/>
              <w:spacing w:after="0" w:line="143" w:lineRule="exact"/>
              <w:rPr>
                <w:sz w:val="20"/>
                <w:szCs w:val="20"/>
                <w:color w:val="auto"/>
              </w:rPr>
            </w:pPr>
            <w:r>
              <w:rPr>
                <w:rFonts w:ascii="Arial" w:cs="Arial" w:eastAsia="Arial" w:hAnsi="Arial"/>
                <w:sz w:val="14"/>
                <w:szCs w:val="14"/>
                <w:color w:val="auto"/>
              </w:rPr>
              <w:t>277,346</w:t>
            </w:r>
          </w:p>
        </w:tc>
        <w:tc>
          <w:tcPr>
            <w:tcW w:w="760" w:type="dxa"/>
            <w:vAlign w:val="bottom"/>
            <w:gridSpan w:val="2"/>
            <w:shd w:val="clear" w:color="auto" w:fill="CCEEFF"/>
          </w:tcPr>
          <w:p>
            <w:pPr>
              <w:jc w:val="right"/>
              <w:ind w:right="100"/>
              <w:spacing w:after="0" w:line="143" w:lineRule="exact"/>
              <w:rPr>
                <w:sz w:val="20"/>
                <w:szCs w:val="20"/>
                <w:color w:val="auto"/>
              </w:rPr>
            </w:pPr>
            <w:r>
              <w:rPr>
                <w:rFonts w:ascii="Arial" w:cs="Arial" w:eastAsia="Arial" w:hAnsi="Arial"/>
                <w:sz w:val="14"/>
                <w:szCs w:val="14"/>
                <w:color w:val="auto"/>
              </w:rPr>
              <w:t>276,564</w:t>
            </w:r>
          </w:p>
        </w:tc>
        <w:tc>
          <w:tcPr>
            <w:tcW w:w="0" w:type="dxa"/>
            <w:vAlign w:val="bottom"/>
          </w:tcPr>
          <w:p>
            <w:pPr>
              <w:spacing w:after="0"/>
              <w:rPr>
                <w:sz w:val="1"/>
                <w:szCs w:val="1"/>
                <w:color w:val="auto"/>
              </w:rPr>
            </w:pPr>
          </w:p>
        </w:tc>
      </w:tr>
      <w:tr>
        <w:trPr>
          <w:trHeight w:val="143"/>
        </w:trPr>
        <w:tc>
          <w:tcPr>
            <w:tcW w:w="1340" w:type="dxa"/>
            <w:vAlign w:val="bottom"/>
            <w:gridSpan w:val="2"/>
          </w:tcPr>
          <w:p>
            <w:pPr>
              <w:spacing w:after="0" w:line="143" w:lineRule="exact"/>
              <w:rPr>
                <w:sz w:val="20"/>
                <w:szCs w:val="20"/>
                <w:color w:val="auto"/>
              </w:rPr>
            </w:pPr>
            <w:r>
              <w:rPr>
                <w:rFonts w:ascii="Arial" w:cs="Arial" w:eastAsia="Arial" w:hAnsi="Arial"/>
                <w:sz w:val="14"/>
                <w:szCs w:val="14"/>
                <w:color w:val="auto"/>
              </w:rPr>
              <w:t>Transfers</w:t>
            </w:r>
          </w:p>
        </w:tc>
        <w:tc>
          <w:tcPr>
            <w:tcW w:w="960" w:type="dxa"/>
            <w:vAlign w:val="bottom"/>
            <w:gridSpan w:val="2"/>
          </w:tcPr>
          <w:p>
            <w:pPr>
              <w:jc w:val="right"/>
              <w:ind w:right="220"/>
              <w:spacing w:after="0" w:line="143" w:lineRule="exact"/>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200"/>
              <w:spacing w:after="0" w:line="143" w:lineRule="exact"/>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220"/>
              <w:spacing w:after="0" w:line="143" w:lineRule="exact"/>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220"/>
              <w:spacing w:after="0" w:line="143" w:lineRule="exact"/>
              <w:rPr>
                <w:sz w:val="20"/>
                <w:szCs w:val="20"/>
                <w:color w:val="auto"/>
              </w:rPr>
            </w:pPr>
            <w:r>
              <w:rPr>
                <w:rFonts w:ascii="Arial" w:cs="Arial" w:eastAsia="Arial" w:hAnsi="Arial"/>
                <w:sz w:val="14"/>
                <w:szCs w:val="14"/>
                <w:color w:val="auto"/>
              </w:rPr>
              <w:t>-</w:t>
            </w:r>
          </w:p>
        </w:tc>
        <w:tc>
          <w:tcPr>
            <w:tcW w:w="640" w:type="dxa"/>
            <w:vAlign w:val="bottom"/>
          </w:tcPr>
          <w:p>
            <w:pPr>
              <w:jc w:val="right"/>
              <w:spacing w:after="0" w:line="143"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1000" w:type="dxa"/>
            <w:vAlign w:val="bottom"/>
            <w:gridSpan w:val="2"/>
          </w:tcPr>
          <w:p>
            <w:pPr>
              <w:jc w:val="right"/>
              <w:ind w:right="200"/>
              <w:spacing w:after="0" w:line="143" w:lineRule="exact"/>
              <w:rPr>
                <w:sz w:val="20"/>
                <w:szCs w:val="20"/>
                <w:color w:val="auto"/>
              </w:rPr>
            </w:pPr>
            <w:r>
              <w:rPr>
                <w:rFonts w:ascii="Arial" w:cs="Arial" w:eastAsia="Arial" w:hAnsi="Arial"/>
                <w:sz w:val="14"/>
                <w:szCs w:val="14"/>
                <w:color w:val="auto"/>
              </w:rPr>
              <w:t>180,129</w:t>
            </w:r>
          </w:p>
        </w:tc>
        <w:tc>
          <w:tcPr>
            <w:tcW w:w="860" w:type="dxa"/>
            <w:vAlign w:val="bottom"/>
            <w:gridSpan w:val="2"/>
          </w:tcPr>
          <w:p>
            <w:pPr>
              <w:jc w:val="right"/>
              <w:ind w:right="160"/>
              <w:spacing w:after="0" w:line="143" w:lineRule="exact"/>
              <w:rPr>
                <w:sz w:val="20"/>
                <w:szCs w:val="20"/>
                <w:color w:val="auto"/>
              </w:rPr>
            </w:pPr>
            <w:r>
              <w:rPr>
                <w:rFonts w:ascii="Arial" w:cs="Arial" w:eastAsia="Arial" w:hAnsi="Arial"/>
                <w:sz w:val="14"/>
                <w:szCs w:val="14"/>
                <w:color w:val="auto"/>
              </w:rPr>
              <w:t>(180,129)</w:t>
            </w:r>
          </w:p>
        </w:tc>
        <w:tc>
          <w:tcPr>
            <w:tcW w:w="860" w:type="dxa"/>
            <w:vAlign w:val="bottom"/>
            <w:gridSpan w:val="2"/>
          </w:tcPr>
          <w:p>
            <w:pPr>
              <w:jc w:val="right"/>
              <w:ind w:right="200"/>
              <w:spacing w:after="0" w:line="143"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220"/>
              <w:spacing w:after="0" w:line="143" w:lineRule="exact"/>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200"/>
              <w:spacing w:after="0" w:line="143"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40"/>
              <w:spacing w:after="0" w:line="143" w:lineRule="exact"/>
              <w:rPr>
                <w:sz w:val="20"/>
                <w:szCs w:val="20"/>
                <w:color w:val="auto"/>
              </w:rPr>
            </w:pPr>
            <w:r>
              <w:rPr>
                <w:rFonts w:ascii="Arial" w:cs="Arial" w:eastAsia="Arial" w:hAnsi="Arial"/>
                <w:sz w:val="14"/>
                <w:szCs w:val="14"/>
                <w:color w:val="auto"/>
              </w:rPr>
              <w:t>(3,299)</w:t>
            </w:r>
          </w:p>
        </w:tc>
        <w:tc>
          <w:tcPr>
            <w:tcW w:w="0" w:type="dxa"/>
            <w:vAlign w:val="bottom"/>
          </w:tcPr>
          <w:p>
            <w:pPr>
              <w:spacing w:after="0"/>
              <w:rPr>
                <w:sz w:val="1"/>
                <w:szCs w:val="1"/>
                <w:color w:val="auto"/>
              </w:rPr>
            </w:pPr>
          </w:p>
        </w:tc>
      </w:tr>
      <w:tr>
        <w:trPr>
          <w:trHeight w:val="156"/>
        </w:trPr>
        <w:tc>
          <w:tcPr>
            <w:tcW w:w="1340" w:type="dxa"/>
            <w:vAlign w:val="bottom"/>
            <w:gridSpan w:val="2"/>
            <w:shd w:val="clear" w:color="auto" w:fill="CCEEFF"/>
          </w:tcPr>
          <w:p>
            <w:pPr>
              <w:spacing w:after="0" w:line="156" w:lineRule="exact"/>
              <w:rPr>
                <w:sz w:val="20"/>
                <w:szCs w:val="20"/>
                <w:color w:val="auto"/>
              </w:rPr>
            </w:pPr>
            <w:r>
              <w:rPr>
                <w:rFonts w:ascii="Arial" w:cs="Arial" w:eastAsia="Arial" w:hAnsi="Arial"/>
                <w:sz w:val="14"/>
                <w:szCs w:val="14"/>
                <w:color w:val="auto"/>
              </w:rPr>
              <w:t>Disposals and others</w:t>
            </w:r>
          </w:p>
        </w:tc>
        <w:tc>
          <w:tcPr>
            <w:tcW w:w="960" w:type="dxa"/>
            <w:vAlign w:val="bottom"/>
            <w:gridSpan w:val="2"/>
            <w:shd w:val="clear" w:color="auto" w:fill="CCEEFF"/>
          </w:tcPr>
          <w:p>
            <w:pPr>
              <w:jc w:val="right"/>
              <w:ind w:right="220"/>
              <w:spacing w:after="0" w:line="156" w:lineRule="exact"/>
              <w:rPr>
                <w:sz w:val="20"/>
                <w:szCs w:val="20"/>
                <w:color w:val="auto"/>
              </w:rPr>
            </w:pPr>
            <w:r>
              <w:rPr>
                <w:rFonts w:ascii="Arial" w:cs="Arial" w:eastAsia="Arial" w:hAnsi="Arial"/>
                <w:sz w:val="14"/>
                <w:szCs w:val="14"/>
                <w:color w:val="auto"/>
              </w:rPr>
              <w:t>1,019</w:t>
            </w:r>
          </w:p>
        </w:tc>
        <w:tc>
          <w:tcPr>
            <w:tcW w:w="840" w:type="dxa"/>
            <w:vAlign w:val="bottom"/>
            <w:gridSpan w:val="2"/>
            <w:shd w:val="clear" w:color="auto" w:fill="CCEEFF"/>
          </w:tcPr>
          <w:p>
            <w:pPr>
              <w:jc w:val="right"/>
              <w:ind w:right="200"/>
              <w:spacing w:after="0" w:line="156"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line="156" w:lineRule="exact"/>
              <w:rPr>
                <w:sz w:val="20"/>
                <w:szCs w:val="20"/>
                <w:color w:val="auto"/>
              </w:rPr>
            </w:pPr>
            <w:r>
              <w:rPr>
                <w:rFonts w:ascii="Arial" w:cs="Arial" w:eastAsia="Arial" w:hAnsi="Arial"/>
                <w:sz w:val="14"/>
                <w:szCs w:val="14"/>
                <w:color w:val="auto"/>
              </w:rPr>
              <w:t>384</w:t>
            </w:r>
          </w:p>
        </w:tc>
        <w:tc>
          <w:tcPr>
            <w:tcW w:w="22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220"/>
              <w:spacing w:after="0" w:line="156" w:lineRule="exact"/>
              <w:rPr>
                <w:sz w:val="20"/>
                <w:szCs w:val="20"/>
                <w:color w:val="auto"/>
              </w:rPr>
            </w:pPr>
            <w:r>
              <w:rPr>
                <w:rFonts w:ascii="Arial" w:cs="Arial" w:eastAsia="Arial" w:hAnsi="Arial"/>
                <w:sz w:val="14"/>
                <w:szCs w:val="14"/>
                <w:color w:val="auto"/>
              </w:rPr>
              <w:t>877</w:t>
            </w:r>
          </w:p>
        </w:tc>
        <w:tc>
          <w:tcPr>
            <w:tcW w:w="640" w:type="dxa"/>
            <w:vAlign w:val="bottom"/>
            <w:shd w:val="clear" w:color="auto" w:fill="CCEEFF"/>
          </w:tcPr>
          <w:p>
            <w:pPr>
              <w:jc w:val="right"/>
              <w:spacing w:after="0" w:line="156"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200"/>
              <w:spacing w:after="0" w:line="156" w:lineRule="exact"/>
              <w:rPr>
                <w:sz w:val="20"/>
                <w:szCs w:val="20"/>
                <w:color w:val="auto"/>
              </w:rPr>
            </w:pPr>
            <w:r>
              <w:rPr>
                <w:rFonts w:ascii="Arial" w:cs="Arial" w:eastAsia="Arial" w:hAnsi="Arial"/>
                <w:sz w:val="14"/>
                <w:szCs w:val="14"/>
                <w:color w:val="auto"/>
              </w:rPr>
              <w:t>26,319</w:t>
            </w:r>
          </w:p>
        </w:tc>
        <w:tc>
          <w:tcPr>
            <w:tcW w:w="860" w:type="dxa"/>
            <w:vAlign w:val="bottom"/>
            <w:gridSpan w:val="2"/>
            <w:shd w:val="clear" w:color="auto" w:fill="CCEEFF"/>
          </w:tcPr>
          <w:p>
            <w:pPr>
              <w:jc w:val="right"/>
              <w:ind w:right="200"/>
              <w:spacing w:after="0" w:line="156" w:lineRule="exact"/>
              <w:rPr>
                <w:sz w:val="20"/>
                <w:szCs w:val="20"/>
                <w:color w:val="auto"/>
              </w:rPr>
            </w:pPr>
            <w:r>
              <w:rPr>
                <w:rFonts w:ascii="Arial" w:cs="Arial" w:eastAsia="Arial" w:hAnsi="Arial"/>
                <w:sz w:val="14"/>
                <w:szCs w:val="14"/>
                <w:color w:val="auto"/>
              </w:rPr>
              <w:t>609</w:t>
            </w:r>
          </w:p>
        </w:tc>
        <w:tc>
          <w:tcPr>
            <w:tcW w:w="860" w:type="dxa"/>
            <w:vAlign w:val="bottom"/>
            <w:gridSpan w:val="2"/>
            <w:shd w:val="clear" w:color="auto" w:fill="CCEEFF"/>
          </w:tcPr>
          <w:p>
            <w:pPr>
              <w:jc w:val="right"/>
              <w:ind w:right="200"/>
              <w:spacing w:after="0" w:line="156"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220"/>
              <w:spacing w:after="0" w:line="156" w:lineRule="exact"/>
              <w:rPr>
                <w:sz w:val="20"/>
                <w:szCs w:val="20"/>
                <w:color w:val="auto"/>
              </w:rPr>
            </w:pPr>
            <w:r>
              <w:rPr>
                <w:rFonts w:ascii="Arial" w:cs="Arial" w:eastAsia="Arial" w:hAnsi="Arial"/>
                <w:sz w:val="14"/>
                <w:szCs w:val="14"/>
                <w:color w:val="auto"/>
              </w:rPr>
              <w:t>29,208</w:t>
            </w:r>
          </w:p>
        </w:tc>
        <w:tc>
          <w:tcPr>
            <w:tcW w:w="860" w:type="dxa"/>
            <w:vAlign w:val="bottom"/>
            <w:gridSpan w:val="2"/>
            <w:shd w:val="clear" w:color="auto" w:fill="CCEEFF"/>
          </w:tcPr>
          <w:p>
            <w:pPr>
              <w:jc w:val="right"/>
              <w:ind w:right="160"/>
              <w:spacing w:after="0" w:line="156" w:lineRule="exact"/>
              <w:rPr>
                <w:sz w:val="20"/>
                <w:szCs w:val="20"/>
                <w:color w:val="auto"/>
              </w:rPr>
            </w:pPr>
            <w:r>
              <w:rPr>
                <w:rFonts w:ascii="Arial" w:cs="Arial" w:eastAsia="Arial" w:hAnsi="Arial"/>
                <w:sz w:val="14"/>
                <w:szCs w:val="14"/>
                <w:color w:val="auto"/>
              </w:rPr>
              <w:t>(25)</w:t>
            </w:r>
          </w:p>
        </w:tc>
        <w:tc>
          <w:tcPr>
            <w:tcW w:w="760" w:type="dxa"/>
            <w:vAlign w:val="bottom"/>
            <w:gridSpan w:val="2"/>
            <w:shd w:val="clear" w:color="auto" w:fill="CCEEFF"/>
          </w:tcPr>
          <w:p>
            <w:pPr>
              <w:jc w:val="right"/>
              <w:ind w:right="40"/>
              <w:spacing w:after="0" w:line="156" w:lineRule="exact"/>
              <w:rPr>
                <w:sz w:val="20"/>
                <w:szCs w:val="20"/>
                <w:color w:val="auto"/>
              </w:rPr>
            </w:pPr>
            <w:r>
              <w:rPr>
                <w:rFonts w:ascii="Arial" w:cs="Arial" w:eastAsia="Arial" w:hAnsi="Arial"/>
                <w:sz w:val="14"/>
                <w:szCs w:val="14"/>
                <w:color w:val="auto"/>
              </w:rPr>
              <w:t>(90,700)</w:t>
            </w:r>
          </w:p>
        </w:tc>
        <w:tc>
          <w:tcPr>
            <w:tcW w:w="0" w:type="dxa"/>
            <w:vAlign w:val="bottom"/>
          </w:tcPr>
          <w:p>
            <w:pPr>
              <w:spacing w:after="0"/>
              <w:rPr>
                <w:sz w:val="1"/>
                <w:szCs w:val="1"/>
                <w:color w:val="auto"/>
              </w:rPr>
            </w:pPr>
          </w:p>
        </w:tc>
      </w:tr>
      <w:tr>
        <w:trPr>
          <w:trHeight w:val="100"/>
        </w:trPr>
        <w:tc>
          <w:tcPr>
            <w:tcW w:w="1340" w:type="dxa"/>
            <w:vAlign w:val="bottom"/>
            <w:gridSpan w:val="2"/>
          </w:tcPr>
          <w:p>
            <w:pPr>
              <w:spacing w:after="0" w:line="101" w:lineRule="exact"/>
              <w:rPr>
                <w:sz w:val="20"/>
                <w:szCs w:val="20"/>
                <w:color w:val="auto"/>
              </w:rPr>
            </w:pPr>
            <w:r>
              <w:rPr>
                <w:rFonts w:ascii="Arial" w:cs="Arial" w:eastAsia="Arial" w:hAnsi="Arial"/>
                <w:sz w:val="10"/>
                <w:szCs w:val="10"/>
                <w:b w:val="1"/>
                <w:bCs w:val="1"/>
                <w:color w:val="auto"/>
              </w:rPr>
              <w:t>Balances at</w:t>
            </w:r>
          </w:p>
        </w:tc>
        <w:tc>
          <w:tcPr>
            <w:tcW w:w="740" w:type="dxa"/>
            <w:vAlign w:val="bottom"/>
            <w:tcBorders>
              <w:top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640" w:type="dxa"/>
            <w:vAlign w:val="bottom"/>
            <w:tcBorders>
              <w:top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640" w:type="dxa"/>
            <w:vAlign w:val="bottom"/>
            <w:tcBorders>
              <w:top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640" w:type="dxa"/>
            <w:vAlign w:val="bottom"/>
            <w:tcBorders>
              <w:top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640" w:type="dxa"/>
            <w:vAlign w:val="bottom"/>
            <w:tcBorders>
              <w:top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800" w:type="dxa"/>
            <w:vAlign w:val="bottom"/>
            <w:tcBorders>
              <w:top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660" w:type="dxa"/>
            <w:vAlign w:val="bottom"/>
            <w:tcBorders>
              <w:top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660" w:type="dxa"/>
            <w:vAlign w:val="bottom"/>
            <w:tcBorders>
              <w:top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660" w:type="dxa"/>
            <w:vAlign w:val="bottom"/>
            <w:tcBorders>
              <w:top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660" w:type="dxa"/>
            <w:vAlign w:val="bottom"/>
            <w:tcBorders>
              <w:top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66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8"/>
        </w:trPr>
        <w:tc>
          <w:tcPr>
            <w:tcW w:w="1340" w:type="dxa"/>
            <w:vAlign w:val="bottom"/>
            <w:gridSpan w:val="2"/>
          </w:tcPr>
          <w:p>
            <w:pPr>
              <w:spacing w:after="0"/>
              <w:rPr>
                <w:sz w:val="20"/>
                <w:szCs w:val="20"/>
                <w:color w:val="auto"/>
              </w:rPr>
            </w:pPr>
            <w:r>
              <w:rPr>
                <w:rFonts w:ascii="Arial" w:cs="Arial" w:eastAsia="Arial" w:hAnsi="Arial"/>
                <w:sz w:val="14"/>
                <w:szCs w:val="14"/>
                <w:b w:val="1"/>
                <w:bCs w:val="1"/>
                <w:color w:val="auto"/>
              </w:rPr>
              <w:t>December 31</w:t>
            </w: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407,205</w:t>
            </w:r>
          </w:p>
        </w:tc>
        <w:tc>
          <w:tcPr>
            <w:tcW w:w="840" w:type="dxa"/>
            <w:vAlign w:val="bottom"/>
            <w:gridSpan w:val="2"/>
          </w:tcPr>
          <w:p>
            <w:pPr>
              <w:jc w:val="right"/>
              <w:ind w:right="200"/>
              <w:spacing w:after="0"/>
              <w:rPr>
                <w:sz w:val="20"/>
                <w:szCs w:val="20"/>
                <w:color w:val="auto"/>
              </w:rPr>
            </w:pPr>
            <w:r>
              <w:rPr>
                <w:rFonts w:ascii="Arial" w:cs="Arial" w:eastAsia="Arial" w:hAnsi="Arial"/>
                <w:sz w:val="14"/>
                <w:szCs w:val="14"/>
                <w:color w:val="auto"/>
              </w:rPr>
              <w:t>55,900</w:t>
            </w: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262,099</w:t>
            </w: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101,485</w:t>
            </w: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21,100</w:t>
            </w:r>
          </w:p>
        </w:tc>
        <w:tc>
          <w:tcPr>
            <w:tcW w:w="800" w:type="dxa"/>
            <w:vAlign w:val="bottom"/>
          </w:tcPr>
          <w:p>
            <w:pPr>
              <w:jc w:val="right"/>
              <w:spacing w:after="0"/>
              <w:rPr>
                <w:sz w:val="20"/>
                <w:szCs w:val="20"/>
                <w:color w:val="auto"/>
              </w:rPr>
            </w:pPr>
            <w:r>
              <w:rPr>
                <w:rFonts w:ascii="Arial" w:cs="Arial" w:eastAsia="Arial" w:hAnsi="Arial"/>
                <w:sz w:val="14"/>
                <w:szCs w:val="14"/>
                <w:color w:val="auto"/>
              </w:rPr>
              <w:t>1,909,252</w:t>
            </w:r>
          </w:p>
        </w:tc>
        <w:tc>
          <w:tcPr>
            <w:tcW w:w="200" w:type="dxa"/>
            <w:vAlign w:val="bottom"/>
          </w:tcPr>
          <w:p>
            <w:pPr>
              <w:spacing w:after="0"/>
              <w:rPr>
                <w:sz w:val="15"/>
                <w:szCs w:val="15"/>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306,211</w:t>
            </w: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27,113</w:t>
            </w:r>
          </w:p>
        </w:tc>
        <w:tc>
          <w:tcPr>
            <w:tcW w:w="660" w:type="dxa"/>
            <w:vAlign w:val="bottom"/>
          </w:tcPr>
          <w:p>
            <w:pPr>
              <w:jc w:val="right"/>
              <w:spacing w:after="0"/>
              <w:rPr>
                <w:sz w:val="20"/>
                <w:szCs w:val="20"/>
                <w:color w:val="auto"/>
              </w:rPr>
            </w:pPr>
            <w:r>
              <w:rPr>
                <w:rFonts w:ascii="Arial" w:cs="Arial" w:eastAsia="Arial" w:hAnsi="Arial"/>
                <w:sz w:val="14"/>
                <w:szCs w:val="14"/>
                <w:color w:val="auto"/>
              </w:rPr>
              <w:t>3,090,365</w:t>
            </w:r>
          </w:p>
        </w:tc>
        <w:tc>
          <w:tcPr>
            <w:tcW w:w="220" w:type="dxa"/>
            <w:vAlign w:val="bottom"/>
          </w:tcPr>
          <w:p>
            <w:pPr>
              <w:spacing w:after="0"/>
              <w:rPr>
                <w:sz w:val="15"/>
                <w:szCs w:val="15"/>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2,789,435</w:t>
            </w:r>
          </w:p>
        </w:tc>
        <w:tc>
          <w:tcPr>
            <w:tcW w:w="760" w:type="dxa"/>
            <w:vAlign w:val="bottom"/>
            <w:gridSpan w:val="2"/>
          </w:tcPr>
          <w:p>
            <w:pPr>
              <w:jc w:val="right"/>
              <w:ind w:right="100"/>
              <w:spacing w:after="0"/>
              <w:rPr>
                <w:sz w:val="20"/>
                <w:szCs w:val="20"/>
                <w:color w:val="auto"/>
              </w:rPr>
            </w:pPr>
            <w:r>
              <w:rPr>
                <w:rFonts w:ascii="Arial" w:cs="Arial" w:eastAsia="Arial" w:hAnsi="Arial"/>
                <w:sz w:val="14"/>
                <w:szCs w:val="14"/>
                <w:color w:val="auto"/>
              </w:rPr>
              <w:t>2,512,114</w:t>
            </w:r>
          </w:p>
        </w:tc>
        <w:tc>
          <w:tcPr>
            <w:tcW w:w="0" w:type="dxa"/>
            <w:vAlign w:val="bottom"/>
          </w:tcPr>
          <w:p>
            <w:pPr>
              <w:spacing w:after="0"/>
              <w:rPr>
                <w:sz w:val="1"/>
                <w:szCs w:val="1"/>
                <w:color w:val="auto"/>
              </w:rPr>
            </w:pPr>
          </w:p>
        </w:tc>
      </w:tr>
      <w:tr>
        <w:trPr>
          <w:trHeight w:val="136"/>
        </w:trPr>
        <w:tc>
          <w:tcPr>
            <w:tcW w:w="12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800" w:type="dxa"/>
            <w:vAlign w:val="bottom"/>
            <w:tcBorders>
              <w:top w:val="single" w:sz="8" w:color="auto"/>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1340" w:type="dxa"/>
            <w:vAlign w:val="bottom"/>
            <w:gridSpan w:val="2"/>
          </w:tcPr>
          <w:p>
            <w:pPr>
              <w:spacing w:after="0" w:line="121" w:lineRule="exact"/>
              <w:rPr>
                <w:sz w:val="20"/>
                <w:szCs w:val="20"/>
                <w:color w:val="auto"/>
              </w:rPr>
            </w:pPr>
            <w:r>
              <w:rPr>
                <w:rFonts w:ascii="Arial" w:cs="Arial" w:eastAsia="Arial" w:hAnsi="Arial"/>
                <w:sz w:val="13"/>
                <w:szCs w:val="13"/>
                <w:b w:val="1"/>
                <w:bCs w:val="1"/>
                <w:color w:val="auto"/>
              </w:rPr>
              <w:t>Accumulated</w:t>
            </w:r>
          </w:p>
        </w:tc>
        <w:tc>
          <w:tcPr>
            <w:tcW w:w="7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340" w:type="dxa"/>
            <w:vAlign w:val="bottom"/>
            <w:gridSpan w:val="2"/>
          </w:tcPr>
          <w:p>
            <w:pPr>
              <w:spacing w:after="0"/>
              <w:rPr>
                <w:sz w:val="20"/>
                <w:szCs w:val="20"/>
                <w:color w:val="auto"/>
              </w:rPr>
            </w:pPr>
            <w:r>
              <w:rPr>
                <w:rFonts w:ascii="Arial" w:cs="Arial" w:eastAsia="Arial" w:hAnsi="Arial"/>
                <w:sz w:val="14"/>
                <w:szCs w:val="14"/>
                <w:b w:val="1"/>
                <w:bCs w:val="1"/>
                <w:color w:val="auto"/>
              </w:rPr>
              <w:t>depreciation -</w:t>
            </w: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0"/>
        </w:trPr>
        <w:tc>
          <w:tcPr>
            <w:tcW w:w="1340" w:type="dxa"/>
            <w:vAlign w:val="bottom"/>
            <w:gridSpan w:val="2"/>
            <w:shd w:val="clear" w:color="auto" w:fill="CCEEFF"/>
          </w:tcPr>
          <w:p>
            <w:pPr>
              <w:spacing w:after="0" w:line="121" w:lineRule="exact"/>
              <w:rPr>
                <w:sz w:val="20"/>
                <w:szCs w:val="20"/>
                <w:color w:val="auto"/>
              </w:rPr>
            </w:pPr>
            <w:r>
              <w:rPr>
                <w:rFonts w:ascii="Arial" w:cs="Arial" w:eastAsia="Arial" w:hAnsi="Arial"/>
                <w:sz w:val="13"/>
                <w:szCs w:val="13"/>
                <w:b w:val="1"/>
                <w:bCs w:val="1"/>
                <w:color w:val="auto"/>
              </w:rPr>
              <w:t>Balance at January</w:t>
            </w:r>
          </w:p>
        </w:tc>
        <w:tc>
          <w:tcPr>
            <w:tcW w:w="7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24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1</w:t>
            </w:r>
          </w:p>
        </w:tc>
        <w:tc>
          <w:tcPr>
            <w:tcW w:w="10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190,354</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55,900</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86,391</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5,843</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9,681</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1,089,884</w:t>
            </w:r>
          </w:p>
        </w:tc>
        <w:tc>
          <w:tcPr>
            <w:tcW w:w="20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26,841</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1,464,894</w:t>
            </w:r>
          </w:p>
        </w:tc>
        <w:tc>
          <w:tcPr>
            <w:tcW w:w="22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1,242,843</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1,043,886</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4"/>
        </w:trPr>
        <w:tc>
          <w:tcPr>
            <w:tcW w:w="1340" w:type="dxa"/>
            <w:vAlign w:val="bottom"/>
            <w:gridSpan w:val="2"/>
          </w:tcPr>
          <w:p>
            <w:pPr>
              <w:spacing w:after="0" w:line="125" w:lineRule="exact"/>
              <w:rPr>
                <w:sz w:val="20"/>
                <w:szCs w:val="20"/>
                <w:color w:val="auto"/>
              </w:rPr>
            </w:pPr>
            <w:r>
              <w:rPr>
                <w:rFonts w:ascii="Arial" w:cs="Arial" w:eastAsia="Arial" w:hAnsi="Arial"/>
                <w:sz w:val="14"/>
                <w:szCs w:val="14"/>
                <w:color w:val="auto"/>
              </w:rPr>
              <w:t>Depreciation of the</w:t>
            </w:r>
          </w:p>
        </w:tc>
        <w:tc>
          <w:tcPr>
            <w:tcW w:w="7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1"/>
        </w:trPr>
        <w:tc>
          <w:tcPr>
            <w:tcW w:w="1340" w:type="dxa"/>
            <w:vAlign w:val="bottom"/>
            <w:gridSpan w:val="2"/>
          </w:tcPr>
          <w:p>
            <w:pPr>
              <w:spacing w:after="0"/>
              <w:rPr>
                <w:sz w:val="20"/>
                <w:szCs w:val="20"/>
                <w:color w:val="auto"/>
              </w:rPr>
            </w:pPr>
            <w:r>
              <w:rPr>
                <w:rFonts w:ascii="Arial" w:cs="Arial" w:eastAsia="Arial" w:hAnsi="Arial"/>
                <w:sz w:val="14"/>
                <w:szCs w:val="14"/>
                <w:color w:val="auto"/>
              </w:rPr>
              <w:t>year</w:t>
            </w: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30,310</w:t>
            </w:r>
          </w:p>
        </w:tc>
        <w:tc>
          <w:tcPr>
            <w:tcW w:w="8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14,792</w:t>
            </w: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2,049</w:t>
            </w: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3,516</w:t>
            </w: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190,413</w:t>
            </w: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241,080</w:t>
            </w: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224,216</w:t>
            </w:r>
          </w:p>
        </w:tc>
        <w:tc>
          <w:tcPr>
            <w:tcW w:w="760" w:type="dxa"/>
            <w:vAlign w:val="bottom"/>
            <w:gridSpan w:val="2"/>
          </w:tcPr>
          <w:p>
            <w:pPr>
              <w:jc w:val="right"/>
              <w:ind w:right="100"/>
              <w:spacing w:after="0"/>
              <w:rPr>
                <w:sz w:val="20"/>
                <w:szCs w:val="20"/>
                <w:color w:val="auto"/>
              </w:rPr>
            </w:pPr>
            <w:r>
              <w:rPr>
                <w:rFonts w:ascii="Arial" w:cs="Arial" w:eastAsia="Arial" w:hAnsi="Arial"/>
                <w:sz w:val="14"/>
                <w:szCs w:val="14"/>
                <w:color w:val="auto"/>
              </w:rPr>
              <w:t>218,874</w:t>
            </w:r>
          </w:p>
        </w:tc>
        <w:tc>
          <w:tcPr>
            <w:tcW w:w="0" w:type="dxa"/>
            <w:vAlign w:val="bottom"/>
          </w:tcPr>
          <w:p>
            <w:pPr>
              <w:spacing w:after="0"/>
              <w:rPr>
                <w:sz w:val="1"/>
                <w:szCs w:val="1"/>
                <w:color w:val="auto"/>
              </w:rPr>
            </w:pPr>
          </w:p>
        </w:tc>
      </w:tr>
      <w:tr>
        <w:trPr>
          <w:trHeight w:val="156"/>
        </w:trPr>
        <w:tc>
          <w:tcPr>
            <w:tcW w:w="1340" w:type="dxa"/>
            <w:vAlign w:val="bottom"/>
            <w:gridSpan w:val="2"/>
            <w:shd w:val="clear" w:color="auto" w:fill="CCEEFF"/>
          </w:tcPr>
          <w:p>
            <w:pPr>
              <w:spacing w:after="0" w:line="156" w:lineRule="exact"/>
              <w:rPr>
                <w:sz w:val="20"/>
                <w:szCs w:val="20"/>
                <w:color w:val="auto"/>
              </w:rPr>
            </w:pPr>
            <w:r>
              <w:rPr>
                <w:rFonts w:ascii="Arial" w:cs="Arial" w:eastAsia="Arial" w:hAnsi="Arial"/>
                <w:sz w:val="14"/>
                <w:szCs w:val="14"/>
                <w:color w:val="auto"/>
              </w:rPr>
              <w:t>Disposals and others</w:t>
            </w:r>
          </w:p>
        </w:tc>
        <w:tc>
          <w:tcPr>
            <w:tcW w:w="960" w:type="dxa"/>
            <w:vAlign w:val="bottom"/>
            <w:gridSpan w:val="2"/>
            <w:shd w:val="clear" w:color="auto" w:fill="CCEEFF"/>
          </w:tcPr>
          <w:p>
            <w:pPr>
              <w:jc w:val="right"/>
              <w:ind w:right="220"/>
              <w:spacing w:after="0" w:line="156" w:lineRule="exact"/>
              <w:rPr>
                <w:sz w:val="20"/>
                <w:szCs w:val="20"/>
                <w:color w:val="auto"/>
              </w:rPr>
            </w:pPr>
            <w:r>
              <w:rPr>
                <w:rFonts w:ascii="Arial" w:cs="Arial" w:eastAsia="Arial" w:hAnsi="Arial"/>
                <w:sz w:val="14"/>
                <w:szCs w:val="14"/>
                <w:color w:val="auto"/>
              </w:rPr>
              <w:t>10,888</w:t>
            </w:r>
          </w:p>
        </w:tc>
        <w:tc>
          <w:tcPr>
            <w:tcW w:w="840" w:type="dxa"/>
            <w:vAlign w:val="bottom"/>
            <w:gridSpan w:val="2"/>
            <w:shd w:val="clear" w:color="auto" w:fill="CCEEFF"/>
          </w:tcPr>
          <w:p>
            <w:pPr>
              <w:jc w:val="right"/>
              <w:ind w:right="200"/>
              <w:spacing w:after="0" w:line="156"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220"/>
              <w:spacing w:after="0" w:line="156" w:lineRule="exact"/>
              <w:rPr>
                <w:sz w:val="20"/>
                <w:szCs w:val="20"/>
                <w:color w:val="auto"/>
              </w:rPr>
            </w:pPr>
            <w:r>
              <w:rPr>
                <w:rFonts w:ascii="Arial" w:cs="Arial" w:eastAsia="Arial" w:hAnsi="Arial"/>
                <w:sz w:val="14"/>
                <w:szCs w:val="14"/>
                <w:color w:val="auto"/>
              </w:rPr>
              <w:t>10,470</w:t>
            </w:r>
          </w:p>
        </w:tc>
        <w:tc>
          <w:tcPr>
            <w:tcW w:w="860" w:type="dxa"/>
            <w:vAlign w:val="bottom"/>
            <w:gridSpan w:val="2"/>
            <w:shd w:val="clear" w:color="auto" w:fill="CCEEFF"/>
          </w:tcPr>
          <w:p>
            <w:pPr>
              <w:jc w:val="right"/>
              <w:ind w:right="160"/>
              <w:spacing w:after="0" w:line="156" w:lineRule="exact"/>
              <w:rPr>
                <w:sz w:val="20"/>
                <w:szCs w:val="20"/>
                <w:color w:val="auto"/>
              </w:rPr>
            </w:pPr>
            <w:r>
              <w:rPr>
                <w:rFonts w:ascii="Arial" w:cs="Arial" w:eastAsia="Arial" w:hAnsi="Arial"/>
                <w:sz w:val="14"/>
                <w:szCs w:val="14"/>
                <w:color w:val="auto"/>
              </w:rPr>
              <w:t>(5,153)</w:t>
            </w:r>
          </w:p>
        </w:tc>
        <w:tc>
          <w:tcPr>
            <w:tcW w:w="860" w:type="dxa"/>
            <w:vAlign w:val="bottom"/>
            <w:gridSpan w:val="2"/>
            <w:shd w:val="clear" w:color="auto" w:fill="CCEEFF"/>
          </w:tcPr>
          <w:p>
            <w:pPr>
              <w:jc w:val="right"/>
              <w:ind w:right="160"/>
              <w:spacing w:after="0" w:line="156" w:lineRule="exact"/>
              <w:rPr>
                <w:sz w:val="20"/>
                <w:szCs w:val="20"/>
                <w:color w:val="auto"/>
              </w:rPr>
            </w:pPr>
            <w:r>
              <w:rPr>
                <w:rFonts w:ascii="Arial" w:cs="Arial" w:eastAsia="Arial" w:hAnsi="Arial"/>
                <w:sz w:val="14"/>
                <w:szCs w:val="14"/>
                <w:color w:val="auto"/>
              </w:rPr>
              <w:t>(10)</w:t>
            </w:r>
          </w:p>
        </w:tc>
        <w:tc>
          <w:tcPr>
            <w:tcW w:w="1000" w:type="dxa"/>
            <w:vAlign w:val="bottom"/>
            <w:gridSpan w:val="2"/>
            <w:shd w:val="clear" w:color="auto" w:fill="CCEEFF"/>
          </w:tcPr>
          <w:p>
            <w:pPr>
              <w:jc w:val="right"/>
              <w:ind w:right="200"/>
              <w:spacing w:after="0" w:line="156" w:lineRule="exact"/>
              <w:rPr>
                <w:sz w:val="20"/>
                <w:szCs w:val="20"/>
                <w:color w:val="auto"/>
              </w:rPr>
            </w:pPr>
            <w:r>
              <w:rPr>
                <w:rFonts w:ascii="Arial" w:cs="Arial" w:eastAsia="Arial" w:hAnsi="Arial"/>
                <w:sz w:val="14"/>
                <w:szCs w:val="14"/>
                <w:color w:val="auto"/>
              </w:rPr>
              <w:t>25,306</w:t>
            </w:r>
          </w:p>
        </w:tc>
        <w:tc>
          <w:tcPr>
            <w:tcW w:w="860" w:type="dxa"/>
            <w:vAlign w:val="bottom"/>
            <w:gridSpan w:val="2"/>
            <w:shd w:val="clear" w:color="auto" w:fill="CCEEFF"/>
          </w:tcPr>
          <w:p>
            <w:pPr>
              <w:jc w:val="right"/>
              <w:ind w:right="200"/>
              <w:spacing w:after="0" w:line="156"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200"/>
              <w:spacing w:after="0" w:line="156"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220"/>
              <w:spacing w:after="0" w:line="156" w:lineRule="exact"/>
              <w:rPr>
                <w:sz w:val="20"/>
                <w:szCs w:val="20"/>
                <w:color w:val="auto"/>
              </w:rPr>
            </w:pPr>
            <w:r>
              <w:rPr>
                <w:rFonts w:ascii="Arial" w:cs="Arial" w:eastAsia="Arial" w:hAnsi="Arial"/>
                <w:sz w:val="14"/>
                <w:szCs w:val="14"/>
                <w:color w:val="auto"/>
              </w:rPr>
              <w:t>41,501</w:t>
            </w:r>
          </w:p>
        </w:tc>
        <w:tc>
          <w:tcPr>
            <w:tcW w:w="860" w:type="dxa"/>
            <w:vAlign w:val="bottom"/>
            <w:gridSpan w:val="2"/>
            <w:shd w:val="clear" w:color="auto" w:fill="CCEEFF"/>
          </w:tcPr>
          <w:p>
            <w:pPr>
              <w:jc w:val="right"/>
              <w:ind w:right="160"/>
              <w:spacing w:after="0" w:line="156" w:lineRule="exact"/>
              <w:rPr>
                <w:sz w:val="20"/>
                <w:szCs w:val="20"/>
                <w:color w:val="auto"/>
              </w:rPr>
            </w:pPr>
            <w:r>
              <w:rPr>
                <w:rFonts w:ascii="Arial" w:cs="Arial" w:eastAsia="Arial" w:hAnsi="Arial"/>
                <w:sz w:val="14"/>
                <w:szCs w:val="14"/>
                <w:color w:val="auto"/>
              </w:rPr>
              <w:t>(2,165)</w:t>
            </w:r>
          </w:p>
        </w:tc>
        <w:tc>
          <w:tcPr>
            <w:tcW w:w="760" w:type="dxa"/>
            <w:vAlign w:val="bottom"/>
            <w:gridSpan w:val="2"/>
            <w:shd w:val="clear" w:color="auto" w:fill="CCEEFF"/>
          </w:tcPr>
          <w:p>
            <w:pPr>
              <w:jc w:val="right"/>
              <w:ind w:right="40"/>
              <w:spacing w:after="0" w:line="156" w:lineRule="exact"/>
              <w:rPr>
                <w:sz w:val="20"/>
                <w:szCs w:val="20"/>
                <w:color w:val="auto"/>
              </w:rPr>
            </w:pPr>
            <w:r>
              <w:rPr>
                <w:rFonts w:ascii="Arial" w:cs="Arial" w:eastAsia="Arial" w:hAnsi="Arial"/>
                <w:sz w:val="14"/>
                <w:szCs w:val="14"/>
                <w:color w:val="auto"/>
              </w:rPr>
              <w:t>(19,917)</w:t>
            </w:r>
          </w:p>
        </w:tc>
        <w:tc>
          <w:tcPr>
            <w:tcW w:w="0" w:type="dxa"/>
            <w:vAlign w:val="bottom"/>
          </w:tcPr>
          <w:p>
            <w:pPr>
              <w:spacing w:after="0"/>
              <w:rPr>
                <w:sz w:val="1"/>
                <w:szCs w:val="1"/>
                <w:color w:val="auto"/>
              </w:rPr>
            </w:pPr>
          </w:p>
        </w:tc>
      </w:tr>
      <w:tr>
        <w:trPr>
          <w:trHeight w:val="100"/>
        </w:trPr>
        <w:tc>
          <w:tcPr>
            <w:tcW w:w="1340" w:type="dxa"/>
            <w:vAlign w:val="bottom"/>
            <w:gridSpan w:val="2"/>
          </w:tcPr>
          <w:p>
            <w:pPr>
              <w:spacing w:after="0" w:line="101" w:lineRule="exact"/>
              <w:rPr>
                <w:sz w:val="20"/>
                <w:szCs w:val="20"/>
                <w:color w:val="auto"/>
              </w:rPr>
            </w:pPr>
            <w:r>
              <w:rPr>
                <w:rFonts w:ascii="Arial" w:cs="Arial" w:eastAsia="Arial" w:hAnsi="Arial"/>
                <w:sz w:val="10"/>
                <w:szCs w:val="10"/>
                <w:b w:val="1"/>
                <w:bCs w:val="1"/>
                <w:color w:val="auto"/>
              </w:rPr>
              <w:t>Balance at</w:t>
            </w:r>
          </w:p>
        </w:tc>
        <w:tc>
          <w:tcPr>
            <w:tcW w:w="740" w:type="dxa"/>
            <w:vAlign w:val="bottom"/>
            <w:tcBorders>
              <w:top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640" w:type="dxa"/>
            <w:vAlign w:val="bottom"/>
            <w:tcBorders>
              <w:top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640" w:type="dxa"/>
            <w:vAlign w:val="bottom"/>
            <w:tcBorders>
              <w:top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640" w:type="dxa"/>
            <w:vAlign w:val="bottom"/>
            <w:tcBorders>
              <w:top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640" w:type="dxa"/>
            <w:vAlign w:val="bottom"/>
            <w:tcBorders>
              <w:top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800" w:type="dxa"/>
            <w:vAlign w:val="bottom"/>
            <w:tcBorders>
              <w:top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660" w:type="dxa"/>
            <w:vAlign w:val="bottom"/>
            <w:tcBorders>
              <w:top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660" w:type="dxa"/>
            <w:vAlign w:val="bottom"/>
            <w:tcBorders>
              <w:top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660" w:type="dxa"/>
            <w:vAlign w:val="bottom"/>
            <w:tcBorders>
              <w:top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660" w:type="dxa"/>
            <w:vAlign w:val="bottom"/>
            <w:tcBorders>
              <w:top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66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8"/>
        </w:trPr>
        <w:tc>
          <w:tcPr>
            <w:tcW w:w="1340" w:type="dxa"/>
            <w:vAlign w:val="bottom"/>
            <w:gridSpan w:val="2"/>
          </w:tcPr>
          <w:p>
            <w:pPr>
              <w:spacing w:after="0"/>
              <w:rPr>
                <w:sz w:val="20"/>
                <w:szCs w:val="20"/>
                <w:color w:val="auto"/>
              </w:rPr>
            </w:pPr>
            <w:r>
              <w:rPr>
                <w:rFonts w:ascii="Arial" w:cs="Arial" w:eastAsia="Arial" w:hAnsi="Arial"/>
                <w:sz w:val="14"/>
                <w:szCs w:val="14"/>
                <w:b w:val="1"/>
                <w:bCs w:val="1"/>
                <w:color w:val="auto"/>
              </w:rPr>
              <w:t>December 31</w:t>
            </w: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231,552</w:t>
            </w:r>
          </w:p>
        </w:tc>
        <w:tc>
          <w:tcPr>
            <w:tcW w:w="840" w:type="dxa"/>
            <w:vAlign w:val="bottom"/>
            <w:gridSpan w:val="2"/>
          </w:tcPr>
          <w:p>
            <w:pPr>
              <w:jc w:val="right"/>
              <w:ind w:right="200"/>
              <w:spacing w:after="0"/>
              <w:rPr>
                <w:sz w:val="20"/>
                <w:szCs w:val="20"/>
                <w:color w:val="auto"/>
              </w:rPr>
            </w:pPr>
            <w:r>
              <w:rPr>
                <w:rFonts w:ascii="Arial" w:cs="Arial" w:eastAsia="Arial" w:hAnsi="Arial"/>
                <w:sz w:val="14"/>
                <w:szCs w:val="14"/>
                <w:color w:val="auto"/>
              </w:rPr>
              <w:t>55,900</w:t>
            </w: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111,653</w:t>
            </w: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2,739</w:t>
            </w: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13,187</w:t>
            </w:r>
          </w:p>
        </w:tc>
        <w:tc>
          <w:tcPr>
            <w:tcW w:w="800" w:type="dxa"/>
            <w:vAlign w:val="bottom"/>
          </w:tcPr>
          <w:p>
            <w:pPr>
              <w:jc w:val="right"/>
              <w:spacing w:after="0"/>
              <w:rPr>
                <w:sz w:val="20"/>
                <w:szCs w:val="20"/>
                <w:color w:val="auto"/>
              </w:rPr>
            </w:pPr>
            <w:r>
              <w:rPr>
                <w:rFonts w:ascii="Arial" w:cs="Arial" w:eastAsia="Arial" w:hAnsi="Arial"/>
                <w:sz w:val="14"/>
                <w:szCs w:val="14"/>
                <w:color w:val="auto"/>
              </w:rPr>
              <w:t>1,305,603</w:t>
            </w:r>
          </w:p>
        </w:tc>
        <w:tc>
          <w:tcPr>
            <w:tcW w:w="200" w:type="dxa"/>
            <w:vAlign w:val="bottom"/>
          </w:tcPr>
          <w:p>
            <w:pPr>
              <w:spacing w:after="0"/>
              <w:rPr>
                <w:sz w:val="15"/>
                <w:szCs w:val="15"/>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26,841</w:t>
            </w:r>
          </w:p>
        </w:tc>
        <w:tc>
          <w:tcPr>
            <w:tcW w:w="660" w:type="dxa"/>
            <w:vAlign w:val="bottom"/>
          </w:tcPr>
          <w:p>
            <w:pPr>
              <w:jc w:val="right"/>
              <w:spacing w:after="0"/>
              <w:rPr>
                <w:sz w:val="20"/>
                <w:szCs w:val="20"/>
                <w:color w:val="auto"/>
              </w:rPr>
            </w:pPr>
            <w:r>
              <w:rPr>
                <w:rFonts w:ascii="Arial" w:cs="Arial" w:eastAsia="Arial" w:hAnsi="Arial"/>
                <w:sz w:val="14"/>
                <w:szCs w:val="14"/>
                <w:color w:val="auto"/>
              </w:rPr>
              <w:t>1,747,475</w:t>
            </w:r>
          </w:p>
        </w:tc>
        <w:tc>
          <w:tcPr>
            <w:tcW w:w="220" w:type="dxa"/>
            <w:vAlign w:val="bottom"/>
          </w:tcPr>
          <w:p>
            <w:pPr>
              <w:spacing w:after="0"/>
              <w:rPr>
                <w:sz w:val="15"/>
                <w:szCs w:val="15"/>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1,464,894</w:t>
            </w:r>
          </w:p>
        </w:tc>
        <w:tc>
          <w:tcPr>
            <w:tcW w:w="660" w:type="dxa"/>
            <w:vAlign w:val="bottom"/>
          </w:tcPr>
          <w:p>
            <w:pPr>
              <w:jc w:val="right"/>
              <w:spacing w:after="0"/>
              <w:rPr>
                <w:sz w:val="20"/>
                <w:szCs w:val="20"/>
                <w:color w:val="auto"/>
              </w:rPr>
            </w:pPr>
            <w:r>
              <w:rPr>
                <w:rFonts w:ascii="Arial" w:cs="Arial" w:eastAsia="Arial" w:hAnsi="Arial"/>
                <w:sz w:val="14"/>
                <w:szCs w:val="14"/>
                <w:color w:val="auto"/>
              </w:rPr>
              <w:t>1,242,843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6"/>
        </w:trPr>
        <w:tc>
          <w:tcPr>
            <w:tcW w:w="12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800" w:type="dxa"/>
            <w:vAlign w:val="bottom"/>
            <w:tcBorders>
              <w:top w:val="single" w:sz="8" w:color="auto"/>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1340" w:type="dxa"/>
            <w:vAlign w:val="bottom"/>
            <w:gridSpan w:val="2"/>
          </w:tcPr>
          <w:p>
            <w:pPr>
              <w:spacing w:after="0" w:line="121" w:lineRule="exact"/>
              <w:rPr>
                <w:sz w:val="20"/>
                <w:szCs w:val="20"/>
                <w:color w:val="auto"/>
              </w:rPr>
            </w:pPr>
            <w:r>
              <w:rPr>
                <w:rFonts w:ascii="Arial" w:cs="Arial" w:eastAsia="Arial" w:hAnsi="Arial"/>
                <w:sz w:val="13"/>
                <w:szCs w:val="13"/>
                <w:b w:val="1"/>
                <w:bCs w:val="1"/>
                <w:color w:val="auto"/>
              </w:rPr>
              <w:t>Net carrying</w:t>
            </w:r>
          </w:p>
        </w:tc>
        <w:tc>
          <w:tcPr>
            <w:tcW w:w="7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1"/>
        </w:trPr>
        <w:tc>
          <w:tcPr>
            <w:tcW w:w="1340" w:type="dxa"/>
            <w:vAlign w:val="bottom"/>
            <w:gridSpan w:val="2"/>
          </w:tcPr>
          <w:p>
            <w:pPr>
              <w:spacing w:after="0"/>
              <w:rPr>
                <w:sz w:val="20"/>
                <w:szCs w:val="20"/>
                <w:color w:val="auto"/>
              </w:rPr>
            </w:pPr>
            <w:r>
              <w:rPr>
                <w:rFonts w:ascii="Arial" w:cs="Arial" w:eastAsia="Arial" w:hAnsi="Arial"/>
                <w:sz w:val="14"/>
                <w:szCs w:val="14"/>
                <w:b w:val="1"/>
                <w:bCs w:val="1"/>
                <w:color w:val="auto"/>
              </w:rPr>
              <w:t>amount</w:t>
            </w: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175,653</w:t>
            </w:r>
          </w:p>
        </w:tc>
        <w:tc>
          <w:tcPr>
            <w:tcW w:w="8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150,446</w:t>
            </w: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98,746</w:t>
            </w: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7,913</w:t>
            </w: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603,649</w:t>
            </w: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306,211</w:t>
            </w: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272</w:t>
            </w:r>
          </w:p>
        </w:tc>
        <w:tc>
          <w:tcPr>
            <w:tcW w:w="660" w:type="dxa"/>
            <w:vAlign w:val="bottom"/>
          </w:tcPr>
          <w:p>
            <w:pPr>
              <w:jc w:val="right"/>
              <w:spacing w:after="0"/>
              <w:rPr>
                <w:sz w:val="20"/>
                <w:szCs w:val="20"/>
                <w:color w:val="auto"/>
              </w:rPr>
            </w:pPr>
            <w:r>
              <w:rPr>
                <w:rFonts w:ascii="Arial" w:cs="Arial" w:eastAsia="Arial" w:hAnsi="Arial"/>
                <w:sz w:val="14"/>
                <w:szCs w:val="14"/>
                <w:color w:val="auto"/>
              </w:rPr>
              <w:t>1,342,890</w:t>
            </w:r>
          </w:p>
        </w:tc>
        <w:tc>
          <w:tcPr>
            <w:tcW w:w="220" w:type="dxa"/>
            <w:vAlign w:val="bottom"/>
          </w:tcPr>
          <w:p>
            <w:pPr>
              <w:spacing w:after="0"/>
              <w:rPr>
                <w:sz w:val="16"/>
                <w:szCs w:val="16"/>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1,324,541</w:t>
            </w:r>
          </w:p>
        </w:tc>
        <w:tc>
          <w:tcPr>
            <w:tcW w:w="660" w:type="dxa"/>
            <w:vAlign w:val="bottom"/>
          </w:tcPr>
          <w:p>
            <w:pPr>
              <w:jc w:val="right"/>
              <w:spacing w:after="0"/>
              <w:rPr>
                <w:sz w:val="20"/>
                <w:szCs w:val="20"/>
                <w:color w:val="auto"/>
              </w:rPr>
            </w:pPr>
            <w:r>
              <w:rPr>
                <w:rFonts w:ascii="Arial" w:cs="Arial" w:eastAsia="Arial" w:hAnsi="Arial"/>
                <w:sz w:val="14"/>
                <w:szCs w:val="14"/>
                <w:color w:val="auto"/>
              </w:rPr>
              <w:t>1,269,271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5" w:lineRule="exact"/>
        <w:rPr>
          <w:sz w:val="20"/>
          <w:szCs w:val="20"/>
          <w:color w:val="auto"/>
        </w:rPr>
      </w:pPr>
    </w:p>
    <w:p>
      <w:pPr>
        <w:ind w:left="320"/>
        <w:spacing w:after="0" w:line="265" w:lineRule="auto"/>
        <w:rPr>
          <w:sz w:val="20"/>
          <w:szCs w:val="20"/>
          <w:color w:val="auto"/>
        </w:rPr>
      </w:pPr>
      <w:r>
        <w:rPr>
          <w:rFonts w:ascii="Arial" w:cs="Arial" w:eastAsia="Arial" w:hAnsi="Arial"/>
          <w:sz w:val="17"/>
          <w:szCs w:val="17"/>
          <w:color w:val="auto"/>
        </w:rPr>
        <w:t>During the year 2017 additions are mainly related to the implementation and development of various IT projects such as Nuevo HomeBanking Alta, opening of savings accounts in Kiosco, Yape, User IT, Retail Credits, Effectiveness in approval and Portal Via BCP (implementation of a technological platform, which is used for the administration of the insurance segment of the group, and to develop applications related to customer service channels, and implementation of treasury solutions during the year 2016).</w:t>
      </w:r>
    </w:p>
    <w:p>
      <w:pPr>
        <w:spacing w:after="0" w:line="384"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- 67 -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15875</wp:posOffset>
            </wp:positionV>
            <wp:extent cx="725170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51700" cy="8255"/>
                    </a:xfrm>
                    <a:prstGeom prst="rect">
                      <a:avLst/>
                    </a:prstGeom>
                    <a:noFill/>
                  </pic:spPr>
                </pic:pic>
              </a:graphicData>
            </a:graphic>
          </wp:anchor>
        </w:drawing>
      </w:r>
    </w:p>
    <w:p>
      <w:pPr>
        <w:sectPr>
          <w:pgSz w:w="11900" w:h="16838" w:orient="portrait"/>
          <w:cols w:equalWidth="0" w:num="1">
            <w:col w:w="11380"/>
          </w:cols>
          <w:pgMar w:left="240" w:top="875" w:right="279" w:bottom="1440" w:gutter="0" w:footer="0" w:header="0"/>
        </w:sectPr>
      </w:pPr>
    </w:p>
    <w:bookmarkStart w:id="73" w:name="page74"/>
    <w:bookmarkEnd w:id="73"/>
    <w:tbl>
      <w:tblPr>
        <w:tblLayout w:type="fixed"/>
        <w:tblInd w:w="0" w:type="dxa"/>
        <w:tblCellMar>
          <w:top w:w="0" w:type="dxa"/>
          <w:left w:w="0" w:type="dxa"/>
          <w:bottom w:w="0" w:type="dxa"/>
          <w:right w:w="0" w:type="dxa"/>
        </w:tblCellMar>
      </w:tblPr>
      <w:tr>
        <w:trPr>
          <w:trHeight w:val="220"/>
        </w:trPr>
        <w:tc>
          <w:tcPr>
            <w:tcW w:w="300" w:type="dxa"/>
            <w:vAlign w:val="bottom"/>
          </w:tcPr>
          <w:p>
            <w:pPr>
              <w:spacing w:after="0"/>
              <w:rPr>
                <w:sz w:val="20"/>
                <w:szCs w:val="20"/>
                <w:color w:val="auto"/>
              </w:rPr>
            </w:pPr>
            <w:r>
              <w:rPr>
                <w:rFonts w:ascii="Arial" w:cs="Arial" w:eastAsia="Arial" w:hAnsi="Arial"/>
                <w:sz w:val="17"/>
                <w:szCs w:val="17"/>
                <w:color w:val="auto"/>
              </w:rPr>
              <w:t>(i)</w:t>
            </w:r>
          </w:p>
        </w:tc>
        <w:tc>
          <w:tcPr>
            <w:tcW w:w="7900" w:type="dxa"/>
            <w:vAlign w:val="bottom"/>
          </w:tcPr>
          <w:p>
            <w:pPr>
              <w:spacing w:after="0"/>
              <w:rPr>
                <w:sz w:val="20"/>
                <w:szCs w:val="20"/>
                <w:color w:val="auto"/>
              </w:rPr>
            </w:pPr>
            <w:r>
              <w:rPr>
                <w:rFonts w:ascii="Arial" w:cs="Arial" w:eastAsia="Arial" w:hAnsi="Arial"/>
                <w:sz w:val="17"/>
                <w:szCs w:val="17"/>
                <w:color w:val="auto"/>
              </w:rPr>
              <w:t>Client relationships -</w:t>
            </w:r>
          </w:p>
        </w:tc>
        <w:tc>
          <w:tcPr>
            <w:tcW w:w="1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6"/>
        </w:trPr>
        <w:tc>
          <w:tcPr>
            <w:tcW w:w="300" w:type="dxa"/>
            <w:vAlign w:val="bottom"/>
          </w:tcPr>
          <w:p>
            <w:pPr>
              <w:spacing w:after="0"/>
              <w:rPr>
                <w:sz w:val="24"/>
                <w:szCs w:val="24"/>
                <w:color w:val="auto"/>
              </w:rPr>
            </w:pPr>
          </w:p>
        </w:tc>
        <w:tc>
          <w:tcPr>
            <w:tcW w:w="7900" w:type="dxa"/>
            <w:vAlign w:val="bottom"/>
          </w:tcPr>
          <w:p>
            <w:pPr>
              <w:spacing w:after="0"/>
              <w:rPr>
                <w:sz w:val="20"/>
                <w:szCs w:val="20"/>
                <w:color w:val="auto"/>
              </w:rPr>
            </w:pPr>
            <w:r>
              <w:rPr>
                <w:rFonts w:ascii="Arial" w:cs="Arial" w:eastAsia="Arial" w:hAnsi="Arial"/>
                <w:sz w:val="17"/>
                <w:szCs w:val="17"/>
                <w:color w:val="auto"/>
              </w:rPr>
              <w:t>This item consists of the following:</w:t>
            </w:r>
          </w:p>
        </w:tc>
        <w:tc>
          <w:tcPr>
            <w:tcW w:w="1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9"/>
        </w:trPr>
        <w:tc>
          <w:tcPr>
            <w:tcW w:w="300" w:type="dxa"/>
            <w:vAlign w:val="bottom"/>
          </w:tcPr>
          <w:p>
            <w:pPr>
              <w:spacing w:after="0"/>
              <w:rPr>
                <w:sz w:val="24"/>
                <w:szCs w:val="24"/>
                <w:color w:val="auto"/>
              </w:rPr>
            </w:pPr>
          </w:p>
        </w:tc>
        <w:tc>
          <w:tcPr>
            <w:tcW w:w="7900" w:type="dxa"/>
            <w:vAlign w:val="bottom"/>
          </w:tcPr>
          <w:p>
            <w:pPr>
              <w:spacing w:after="0"/>
              <w:rPr>
                <w:sz w:val="24"/>
                <w:szCs w:val="24"/>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89"/>
              </w:rPr>
              <w:t>2017</w:t>
            </w:r>
          </w:p>
        </w:tc>
        <w:tc>
          <w:tcPr>
            <w:tcW w:w="200" w:type="dxa"/>
            <w:vAlign w:val="bottom"/>
          </w:tcPr>
          <w:p>
            <w:pPr>
              <w:spacing w:after="0"/>
              <w:rPr>
                <w:sz w:val="24"/>
                <w:szCs w:val="24"/>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89"/>
              </w:rPr>
              <w:t>2016</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300" w:type="dxa"/>
            <w:vAlign w:val="bottom"/>
          </w:tcPr>
          <w:p>
            <w:pPr>
              <w:spacing w:after="0"/>
              <w:rPr>
                <w:sz w:val="19"/>
                <w:szCs w:val="19"/>
                <w:color w:val="auto"/>
              </w:rPr>
            </w:pPr>
          </w:p>
        </w:tc>
        <w:tc>
          <w:tcPr>
            <w:tcW w:w="7900" w:type="dxa"/>
            <w:vAlign w:val="bottom"/>
          </w:tcPr>
          <w:p>
            <w:pPr>
              <w:spacing w:after="0"/>
              <w:rPr>
                <w:sz w:val="19"/>
                <w:szCs w:val="19"/>
                <w:color w:val="auto"/>
              </w:rPr>
            </w:pPr>
          </w:p>
        </w:tc>
        <w:tc>
          <w:tcPr>
            <w:tcW w:w="1160" w:type="dxa"/>
            <w:vAlign w:val="bottom"/>
          </w:tcPr>
          <w:p>
            <w:pPr>
              <w:jc w:val="center"/>
              <w:spacing w:after="0"/>
              <w:rPr>
                <w:sz w:val="20"/>
                <w:szCs w:val="20"/>
                <w:color w:val="auto"/>
              </w:rPr>
            </w:pPr>
            <w:r>
              <w:rPr>
                <w:rFonts w:ascii="Arial" w:cs="Arial" w:eastAsia="Arial" w:hAnsi="Arial"/>
                <w:sz w:val="17"/>
                <w:szCs w:val="17"/>
                <w:b w:val="1"/>
                <w:bCs w:val="1"/>
                <w:color w:val="auto"/>
                <w:w w:val="93"/>
              </w:rPr>
              <w:t>S/(000)</w:t>
            </w:r>
          </w:p>
        </w:tc>
        <w:tc>
          <w:tcPr>
            <w:tcW w:w="200" w:type="dxa"/>
            <w:vAlign w:val="bottom"/>
          </w:tcPr>
          <w:p>
            <w:pPr>
              <w:spacing w:after="0"/>
              <w:rPr>
                <w:sz w:val="19"/>
                <w:szCs w:val="19"/>
                <w:color w:val="auto"/>
              </w:rPr>
            </w:pPr>
          </w:p>
        </w:tc>
        <w:tc>
          <w:tcPr>
            <w:tcW w:w="1140" w:type="dxa"/>
            <w:vAlign w:val="bottom"/>
          </w:tcPr>
          <w:p>
            <w:pPr>
              <w:jc w:val="center"/>
              <w:spacing w:after="0"/>
              <w:rPr>
                <w:sz w:val="20"/>
                <w:szCs w:val="20"/>
                <w:color w:val="auto"/>
              </w:rPr>
            </w:pPr>
            <w:r>
              <w:rPr>
                <w:rFonts w:ascii="Arial" w:cs="Arial" w:eastAsia="Arial" w:hAnsi="Arial"/>
                <w:sz w:val="17"/>
                <w:szCs w:val="17"/>
                <w:b w:val="1"/>
                <w:bCs w:val="1"/>
                <w:color w:val="auto"/>
                <w:w w:val="93"/>
              </w:rPr>
              <w:t>S/(000)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300" w:type="dxa"/>
            <w:vAlign w:val="bottom"/>
          </w:tcPr>
          <w:p>
            <w:pPr>
              <w:spacing w:after="0"/>
              <w:rPr>
                <w:sz w:val="16"/>
                <w:szCs w:val="16"/>
                <w:color w:val="auto"/>
              </w:rPr>
            </w:pPr>
          </w:p>
        </w:tc>
        <w:tc>
          <w:tcPr>
            <w:tcW w:w="79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300" w:type="dxa"/>
            <w:vAlign w:val="bottom"/>
          </w:tcPr>
          <w:p>
            <w:pPr>
              <w:spacing w:after="0"/>
              <w:rPr>
                <w:sz w:val="18"/>
                <w:szCs w:val="18"/>
                <w:color w:val="auto"/>
              </w:rPr>
            </w:pPr>
          </w:p>
        </w:tc>
        <w:tc>
          <w:tcPr>
            <w:tcW w:w="7900" w:type="dxa"/>
            <w:vAlign w:val="bottom"/>
            <w:shd w:val="clear" w:color="auto" w:fill="CCEEFF"/>
          </w:tcPr>
          <w:p>
            <w:pPr>
              <w:spacing w:after="0"/>
              <w:rPr>
                <w:sz w:val="20"/>
                <w:szCs w:val="20"/>
                <w:color w:val="auto"/>
              </w:rPr>
            </w:pPr>
            <w:r>
              <w:rPr>
                <w:rFonts w:ascii="Arial" w:cs="Arial" w:eastAsia="Arial" w:hAnsi="Arial"/>
                <w:sz w:val="17"/>
                <w:szCs w:val="17"/>
                <w:color w:val="auto"/>
              </w:rPr>
              <w:t>Prima AFP - AFP Unión Vida</w:t>
            </w: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107,018</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119,367</w:t>
            </w:r>
          </w:p>
        </w:tc>
        <w:tc>
          <w:tcPr>
            <w:tcW w:w="0" w:type="dxa"/>
            <w:vAlign w:val="bottom"/>
          </w:tcPr>
          <w:p>
            <w:pPr>
              <w:spacing w:after="0"/>
              <w:rPr>
                <w:sz w:val="1"/>
                <w:szCs w:val="1"/>
                <w:color w:val="auto"/>
              </w:rPr>
            </w:pPr>
          </w:p>
        </w:tc>
      </w:tr>
      <w:tr>
        <w:trPr>
          <w:trHeight w:val="208"/>
        </w:trPr>
        <w:tc>
          <w:tcPr>
            <w:tcW w:w="300" w:type="dxa"/>
            <w:vAlign w:val="bottom"/>
          </w:tcPr>
          <w:p>
            <w:pPr>
              <w:spacing w:after="0"/>
              <w:rPr>
                <w:sz w:val="18"/>
                <w:szCs w:val="18"/>
                <w:color w:val="auto"/>
              </w:rPr>
            </w:pPr>
          </w:p>
        </w:tc>
        <w:tc>
          <w:tcPr>
            <w:tcW w:w="7900" w:type="dxa"/>
            <w:vAlign w:val="bottom"/>
          </w:tcPr>
          <w:p>
            <w:pPr>
              <w:spacing w:after="0"/>
              <w:rPr>
                <w:sz w:val="20"/>
                <w:szCs w:val="20"/>
                <w:color w:val="auto"/>
              </w:rPr>
            </w:pPr>
            <w:r>
              <w:rPr>
                <w:rFonts w:ascii="Arial" w:cs="Arial" w:eastAsia="Arial" w:hAnsi="Arial"/>
                <w:sz w:val="17"/>
                <w:szCs w:val="17"/>
                <w:color w:val="auto"/>
              </w:rPr>
              <w:t>Mibanco</w:t>
            </w:r>
          </w:p>
        </w:tc>
        <w:tc>
          <w:tcPr>
            <w:tcW w:w="1360" w:type="dxa"/>
            <w:vAlign w:val="bottom"/>
            <w:gridSpan w:val="2"/>
          </w:tcPr>
          <w:p>
            <w:pPr>
              <w:jc w:val="right"/>
              <w:ind w:right="200"/>
              <w:spacing w:after="0"/>
              <w:rPr>
                <w:sz w:val="20"/>
                <w:szCs w:val="20"/>
                <w:color w:val="auto"/>
              </w:rPr>
            </w:pPr>
            <w:r>
              <w:rPr>
                <w:rFonts w:ascii="Arial" w:cs="Arial" w:eastAsia="Arial" w:hAnsi="Arial"/>
                <w:sz w:val="17"/>
                <w:szCs w:val="17"/>
                <w:color w:val="auto"/>
              </w:rPr>
              <w:t>39,093</w:t>
            </w:r>
          </w:p>
        </w:tc>
        <w:tc>
          <w:tcPr>
            <w:tcW w:w="1240" w:type="dxa"/>
            <w:vAlign w:val="bottom"/>
            <w:gridSpan w:val="2"/>
          </w:tcPr>
          <w:p>
            <w:pPr>
              <w:jc w:val="right"/>
              <w:ind w:right="100"/>
              <w:spacing w:after="0"/>
              <w:rPr>
                <w:sz w:val="20"/>
                <w:szCs w:val="20"/>
                <w:color w:val="auto"/>
              </w:rPr>
            </w:pPr>
            <w:r>
              <w:rPr>
                <w:rFonts w:ascii="Arial" w:cs="Arial" w:eastAsia="Arial" w:hAnsi="Arial"/>
                <w:sz w:val="17"/>
                <w:szCs w:val="17"/>
                <w:color w:val="auto"/>
              </w:rPr>
              <w:t>51,121</w:t>
            </w:r>
          </w:p>
        </w:tc>
        <w:tc>
          <w:tcPr>
            <w:tcW w:w="0" w:type="dxa"/>
            <w:vAlign w:val="bottom"/>
          </w:tcPr>
          <w:p>
            <w:pPr>
              <w:spacing w:after="0"/>
              <w:rPr>
                <w:sz w:val="1"/>
                <w:szCs w:val="1"/>
                <w:color w:val="auto"/>
              </w:rPr>
            </w:pPr>
          </w:p>
        </w:tc>
      </w:tr>
      <w:tr>
        <w:trPr>
          <w:trHeight w:val="208"/>
        </w:trPr>
        <w:tc>
          <w:tcPr>
            <w:tcW w:w="300" w:type="dxa"/>
            <w:vAlign w:val="bottom"/>
          </w:tcPr>
          <w:p>
            <w:pPr>
              <w:spacing w:after="0"/>
              <w:rPr>
                <w:sz w:val="18"/>
                <w:szCs w:val="18"/>
                <w:color w:val="auto"/>
              </w:rPr>
            </w:pPr>
          </w:p>
        </w:tc>
        <w:tc>
          <w:tcPr>
            <w:tcW w:w="7900" w:type="dxa"/>
            <w:vAlign w:val="bottom"/>
            <w:shd w:val="clear" w:color="auto" w:fill="CCEEFF"/>
          </w:tcPr>
          <w:p>
            <w:pPr>
              <w:spacing w:after="0"/>
              <w:rPr>
                <w:sz w:val="20"/>
                <w:szCs w:val="20"/>
                <w:color w:val="auto"/>
              </w:rPr>
            </w:pPr>
            <w:r>
              <w:rPr>
                <w:rFonts w:ascii="Arial" w:cs="Arial" w:eastAsia="Arial" w:hAnsi="Arial"/>
                <w:sz w:val="17"/>
                <w:szCs w:val="17"/>
                <w:color w:val="auto"/>
              </w:rPr>
              <w:t>Inversiones IMT</w:t>
            </w: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26,206</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26,438</w:t>
            </w:r>
          </w:p>
        </w:tc>
        <w:tc>
          <w:tcPr>
            <w:tcW w:w="0" w:type="dxa"/>
            <w:vAlign w:val="bottom"/>
          </w:tcPr>
          <w:p>
            <w:pPr>
              <w:spacing w:after="0"/>
              <w:rPr>
                <w:sz w:val="1"/>
                <w:szCs w:val="1"/>
                <w:color w:val="auto"/>
              </w:rPr>
            </w:pPr>
          </w:p>
        </w:tc>
      </w:tr>
      <w:tr>
        <w:trPr>
          <w:trHeight w:val="208"/>
        </w:trPr>
        <w:tc>
          <w:tcPr>
            <w:tcW w:w="300" w:type="dxa"/>
            <w:vAlign w:val="bottom"/>
          </w:tcPr>
          <w:p>
            <w:pPr>
              <w:spacing w:after="0"/>
              <w:rPr>
                <w:sz w:val="18"/>
                <w:szCs w:val="18"/>
                <w:color w:val="auto"/>
              </w:rPr>
            </w:pPr>
          </w:p>
        </w:tc>
        <w:tc>
          <w:tcPr>
            <w:tcW w:w="7900" w:type="dxa"/>
            <w:vAlign w:val="bottom"/>
          </w:tcPr>
          <w:p>
            <w:pPr>
              <w:spacing w:after="0"/>
              <w:rPr>
                <w:sz w:val="20"/>
                <w:szCs w:val="20"/>
                <w:color w:val="auto"/>
              </w:rPr>
            </w:pPr>
            <w:r>
              <w:rPr>
                <w:rFonts w:ascii="Arial" w:cs="Arial" w:eastAsia="Arial" w:hAnsi="Arial"/>
                <w:sz w:val="17"/>
                <w:szCs w:val="17"/>
                <w:color w:val="auto"/>
              </w:rPr>
              <w:t>Mibanco - Edyficar Perú</w:t>
            </w:r>
          </w:p>
        </w:tc>
        <w:tc>
          <w:tcPr>
            <w:tcW w:w="1360" w:type="dxa"/>
            <w:vAlign w:val="bottom"/>
            <w:gridSpan w:val="2"/>
          </w:tcPr>
          <w:p>
            <w:pPr>
              <w:jc w:val="right"/>
              <w:ind w:right="200"/>
              <w:spacing w:after="0"/>
              <w:rPr>
                <w:sz w:val="20"/>
                <w:szCs w:val="20"/>
                <w:color w:val="auto"/>
              </w:rPr>
            </w:pPr>
            <w:r>
              <w:rPr>
                <w:rFonts w:ascii="Arial" w:cs="Arial" w:eastAsia="Arial" w:hAnsi="Arial"/>
                <w:sz w:val="17"/>
                <w:szCs w:val="17"/>
                <w:color w:val="auto"/>
              </w:rPr>
              <w:t>3,336</w:t>
            </w:r>
          </w:p>
        </w:tc>
        <w:tc>
          <w:tcPr>
            <w:tcW w:w="1240" w:type="dxa"/>
            <w:vAlign w:val="bottom"/>
            <w:gridSpan w:val="2"/>
          </w:tcPr>
          <w:p>
            <w:pPr>
              <w:jc w:val="right"/>
              <w:ind w:right="100"/>
              <w:spacing w:after="0"/>
              <w:rPr>
                <w:sz w:val="20"/>
                <w:szCs w:val="20"/>
                <w:color w:val="auto"/>
              </w:rPr>
            </w:pPr>
            <w:r>
              <w:rPr>
                <w:rFonts w:ascii="Arial" w:cs="Arial" w:eastAsia="Arial" w:hAnsi="Arial"/>
                <w:sz w:val="17"/>
                <w:szCs w:val="17"/>
                <w:color w:val="auto"/>
              </w:rPr>
              <w:t>5,155</w:t>
            </w:r>
          </w:p>
        </w:tc>
        <w:tc>
          <w:tcPr>
            <w:tcW w:w="0" w:type="dxa"/>
            <w:vAlign w:val="bottom"/>
          </w:tcPr>
          <w:p>
            <w:pPr>
              <w:spacing w:after="0"/>
              <w:rPr>
                <w:sz w:val="1"/>
                <w:szCs w:val="1"/>
                <w:color w:val="auto"/>
              </w:rPr>
            </w:pPr>
          </w:p>
        </w:tc>
      </w:tr>
      <w:tr>
        <w:trPr>
          <w:trHeight w:val="221"/>
        </w:trPr>
        <w:tc>
          <w:tcPr>
            <w:tcW w:w="300" w:type="dxa"/>
            <w:vAlign w:val="bottom"/>
          </w:tcPr>
          <w:p>
            <w:pPr>
              <w:spacing w:after="0"/>
              <w:rPr>
                <w:sz w:val="19"/>
                <w:szCs w:val="19"/>
                <w:color w:val="auto"/>
              </w:rPr>
            </w:pPr>
          </w:p>
        </w:tc>
        <w:tc>
          <w:tcPr>
            <w:tcW w:w="7900" w:type="dxa"/>
            <w:vAlign w:val="bottom"/>
            <w:shd w:val="clear" w:color="auto" w:fill="CCEEFF"/>
          </w:tcPr>
          <w:p>
            <w:pPr>
              <w:spacing w:after="0"/>
              <w:rPr>
                <w:sz w:val="20"/>
                <w:szCs w:val="20"/>
                <w:color w:val="auto"/>
              </w:rPr>
            </w:pPr>
            <w:r>
              <w:rPr>
                <w:rFonts w:ascii="Arial" w:cs="Arial" w:eastAsia="Arial" w:hAnsi="Arial"/>
                <w:sz w:val="17"/>
                <w:szCs w:val="17"/>
                <w:color w:val="auto"/>
              </w:rPr>
              <w:t>Credicorp Capital Colombia - Correval</w:t>
            </w: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13,751</w:t>
            </w:r>
          </w:p>
        </w:tc>
        <w:tc>
          <w:tcPr>
            <w:tcW w:w="0" w:type="dxa"/>
            <w:vAlign w:val="bottom"/>
          </w:tcPr>
          <w:p>
            <w:pPr>
              <w:spacing w:after="0"/>
              <w:rPr>
                <w:sz w:val="1"/>
                <w:szCs w:val="1"/>
                <w:color w:val="auto"/>
              </w:rPr>
            </w:pPr>
          </w:p>
        </w:tc>
      </w:tr>
      <w:tr>
        <w:trPr>
          <w:trHeight w:val="201"/>
        </w:trPr>
        <w:tc>
          <w:tcPr>
            <w:tcW w:w="300" w:type="dxa"/>
            <w:vAlign w:val="bottom"/>
          </w:tcPr>
          <w:p>
            <w:pPr>
              <w:spacing w:after="0"/>
              <w:rPr>
                <w:sz w:val="17"/>
                <w:szCs w:val="17"/>
                <w:color w:val="auto"/>
              </w:rPr>
            </w:pPr>
          </w:p>
        </w:tc>
        <w:tc>
          <w:tcPr>
            <w:tcW w:w="7900" w:type="dxa"/>
            <w:vAlign w:val="bottom"/>
          </w:tcPr>
          <w:p>
            <w:pPr>
              <w:spacing w:after="0"/>
              <w:rPr>
                <w:sz w:val="20"/>
                <w:szCs w:val="20"/>
                <w:color w:val="auto"/>
              </w:rPr>
            </w:pPr>
            <w:r>
              <w:rPr>
                <w:rFonts w:ascii="Arial" w:cs="Arial" w:eastAsia="Arial" w:hAnsi="Arial"/>
                <w:sz w:val="17"/>
                <w:szCs w:val="17"/>
                <w:b w:val="1"/>
                <w:bCs w:val="1"/>
                <w:color w:val="auto"/>
              </w:rPr>
              <w:t>Net carrying amount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175,653</w:t>
            </w:r>
          </w:p>
        </w:tc>
        <w:tc>
          <w:tcPr>
            <w:tcW w:w="200" w:type="dxa"/>
            <w:vAlign w:val="bottom"/>
          </w:tcPr>
          <w:p>
            <w:pPr>
              <w:spacing w:after="0"/>
              <w:rPr>
                <w:sz w:val="17"/>
                <w:szCs w:val="17"/>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215,832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00" w:type="dxa"/>
            <w:vAlign w:val="bottom"/>
            <w:vMerge w:val="restart"/>
          </w:tcPr>
          <w:p>
            <w:pPr>
              <w:spacing w:after="0"/>
              <w:rPr>
                <w:sz w:val="20"/>
                <w:szCs w:val="20"/>
                <w:color w:val="auto"/>
              </w:rPr>
            </w:pPr>
            <w:r>
              <w:rPr>
                <w:rFonts w:ascii="Arial" w:cs="Arial" w:eastAsia="Arial" w:hAnsi="Arial"/>
                <w:sz w:val="17"/>
                <w:szCs w:val="17"/>
                <w:color w:val="auto"/>
              </w:rPr>
              <w:t>(ii)</w:t>
            </w:r>
          </w:p>
        </w:tc>
        <w:tc>
          <w:tcPr>
            <w:tcW w:w="7900" w:type="dxa"/>
            <w:vAlign w:val="bottom"/>
            <w:vMerge w:val="restart"/>
          </w:tcPr>
          <w:p>
            <w:pPr>
              <w:spacing w:after="0"/>
              <w:rPr>
                <w:sz w:val="20"/>
                <w:szCs w:val="20"/>
                <w:color w:val="auto"/>
              </w:rPr>
            </w:pPr>
            <w:r>
              <w:rPr>
                <w:rFonts w:ascii="Arial" w:cs="Arial" w:eastAsia="Arial" w:hAnsi="Arial"/>
                <w:sz w:val="17"/>
                <w:szCs w:val="17"/>
                <w:color w:val="auto"/>
              </w:rPr>
              <w:t>Brand name -</w:t>
            </w: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5"/>
        </w:trPr>
        <w:tc>
          <w:tcPr>
            <w:tcW w:w="300" w:type="dxa"/>
            <w:vAlign w:val="bottom"/>
            <w:vMerge w:val="continue"/>
          </w:tcPr>
          <w:p>
            <w:pPr>
              <w:spacing w:after="0"/>
              <w:rPr>
                <w:sz w:val="24"/>
                <w:szCs w:val="24"/>
                <w:color w:val="auto"/>
              </w:rPr>
            </w:pPr>
          </w:p>
        </w:tc>
        <w:tc>
          <w:tcPr>
            <w:tcW w:w="7900" w:type="dxa"/>
            <w:vAlign w:val="bottom"/>
            <w:vMerge w:val="continue"/>
          </w:tcPr>
          <w:p>
            <w:pPr>
              <w:spacing w:after="0"/>
              <w:rPr>
                <w:sz w:val="24"/>
                <w:szCs w:val="24"/>
                <w:color w:val="auto"/>
              </w:rPr>
            </w:pPr>
          </w:p>
        </w:tc>
        <w:tc>
          <w:tcPr>
            <w:tcW w:w="1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6"/>
        </w:trPr>
        <w:tc>
          <w:tcPr>
            <w:tcW w:w="300" w:type="dxa"/>
            <w:vAlign w:val="bottom"/>
          </w:tcPr>
          <w:p>
            <w:pPr>
              <w:spacing w:after="0"/>
              <w:rPr>
                <w:sz w:val="24"/>
                <w:szCs w:val="24"/>
                <w:color w:val="auto"/>
              </w:rPr>
            </w:pPr>
          </w:p>
        </w:tc>
        <w:tc>
          <w:tcPr>
            <w:tcW w:w="7900" w:type="dxa"/>
            <w:vAlign w:val="bottom"/>
          </w:tcPr>
          <w:p>
            <w:pPr>
              <w:spacing w:after="0"/>
              <w:rPr>
                <w:sz w:val="20"/>
                <w:szCs w:val="20"/>
                <w:color w:val="auto"/>
              </w:rPr>
            </w:pPr>
            <w:r>
              <w:rPr>
                <w:rFonts w:ascii="Arial" w:cs="Arial" w:eastAsia="Arial" w:hAnsi="Arial"/>
                <w:sz w:val="17"/>
                <w:szCs w:val="17"/>
                <w:color w:val="auto"/>
              </w:rPr>
              <w:t>This item consists of the following:</w:t>
            </w:r>
          </w:p>
        </w:tc>
        <w:tc>
          <w:tcPr>
            <w:tcW w:w="1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9"/>
        </w:trPr>
        <w:tc>
          <w:tcPr>
            <w:tcW w:w="300" w:type="dxa"/>
            <w:vAlign w:val="bottom"/>
          </w:tcPr>
          <w:p>
            <w:pPr>
              <w:spacing w:after="0"/>
              <w:rPr>
                <w:sz w:val="24"/>
                <w:szCs w:val="24"/>
                <w:color w:val="auto"/>
              </w:rPr>
            </w:pPr>
          </w:p>
        </w:tc>
        <w:tc>
          <w:tcPr>
            <w:tcW w:w="7900" w:type="dxa"/>
            <w:vAlign w:val="bottom"/>
          </w:tcPr>
          <w:p>
            <w:pPr>
              <w:spacing w:after="0"/>
              <w:rPr>
                <w:sz w:val="24"/>
                <w:szCs w:val="24"/>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89"/>
              </w:rPr>
              <w:t>2017</w:t>
            </w:r>
          </w:p>
        </w:tc>
        <w:tc>
          <w:tcPr>
            <w:tcW w:w="200" w:type="dxa"/>
            <w:vAlign w:val="bottom"/>
          </w:tcPr>
          <w:p>
            <w:pPr>
              <w:spacing w:after="0"/>
              <w:rPr>
                <w:sz w:val="24"/>
                <w:szCs w:val="24"/>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89"/>
              </w:rPr>
              <w:t>2016</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300" w:type="dxa"/>
            <w:vAlign w:val="bottom"/>
          </w:tcPr>
          <w:p>
            <w:pPr>
              <w:spacing w:after="0"/>
              <w:rPr>
                <w:sz w:val="19"/>
                <w:szCs w:val="19"/>
                <w:color w:val="auto"/>
              </w:rPr>
            </w:pPr>
          </w:p>
        </w:tc>
        <w:tc>
          <w:tcPr>
            <w:tcW w:w="7900" w:type="dxa"/>
            <w:vAlign w:val="bottom"/>
          </w:tcPr>
          <w:p>
            <w:pPr>
              <w:spacing w:after="0"/>
              <w:rPr>
                <w:sz w:val="19"/>
                <w:szCs w:val="19"/>
                <w:color w:val="auto"/>
              </w:rPr>
            </w:pPr>
          </w:p>
        </w:tc>
        <w:tc>
          <w:tcPr>
            <w:tcW w:w="1160" w:type="dxa"/>
            <w:vAlign w:val="bottom"/>
          </w:tcPr>
          <w:p>
            <w:pPr>
              <w:jc w:val="center"/>
              <w:spacing w:after="0"/>
              <w:rPr>
                <w:sz w:val="20"/>
                <w:szCs w:val="20"/>
                <w:color w:val="auto"/>
              </w:rPr>
            </w:pPr>
            <w:r>
              <w:rPr>
                <w:rFonts w:ascii="Arial" w:cs="Arial" w:eastAsia="Arial" w:hAnsi="Arial"/>
                <w:sz w:val="17"/>
                <w:szCs w:val="17"/>
                <w:b w:val="1"/>
                <w:bCs w:val="1"/>
                <w:color w:val="auto"/>
                <w:w w:val="93"/>
              </w:rPr>
              <w:t>S/(000)</w:t>
            </w:r>
          </w:p>
        </w:tc>
        <w:tc>
          <w:tcPr>
            <w:tcW w:w="200" w:type="dxa"/>
            <w:vAlign w:val="bottom"/>
          </w:tcPr>
          <w:p>
            <w:pPr>
              <w:spacing w:after="0"/>
              <w:rPr>
                <w:sz w:val="19"/>
                <w:szCs w:val="19"/>
                <w:color w:val="auto"/>
              </w:rPr>
            </w:pPr>
          </w:p>
        </w:tc>
        <w:tc>
          <w:tcPr>
            <w:tcW w:w="1140" w:type="dxa"/>
            <w:vAlign w:val="bottom"/>
          </w:tcPr>
          <w:p>
            <w:pPr>
              <w:jc w:val="center"/>
              <w:spacing w:after="0"/>
              <w:rPr>
                <w:sz w:val="20"/>
                <w:szCs w:val="20"/>
                <w:color w:val="auto"/>
              </w:rPr>
            </w:pPr>
            <w:r>
              <w:rPr>
                <w:rFonts w:ascii="Arial" w:cs="Arial" w:eastAsia="Arial" w:hAnsi="Arial"/>
                <w:sz w:val="17"/>
                <w:szCs w:val="17"/>
                <w:b w:val="1"/>
                <w:bCs w:val="1"/>
                <w:color w:val="auto"/>
                <w:w w:val="93"/>
              </w:rPr>
              <w:t>S/(000)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300" w:type="dxa"/>
            <w:vAlign w:val="bottom"/>
          </w:tcPr>
          <w:p>
            <w:pPr>
              <w:spacing w:after="0"/>
              <w:rPr>
                <w:sz w:val="16"/>
                <w:szCs w:val="16"/>
                <w:color w:val="auto"/>
              </w:rPr>
            </w:pPr>
          </w:p>
        </w:tc>
        <w:tc>
          <w:tcPr>
            <w:tcW w:w="7900" w:type="dxa"/>
            <w:vAlign w:val="bottom"/>
          </w:tcPr>
          <w:p>
            <w:pPr>
              <w:spacing w:after="0"/>
              <w:rPr>
                <w:sz w:val="16"/>
                <w:szCs w:val="16"/>
                <w:color w:val="auto"/>
              </w:rPr>
            </w:pPr>
          </w:p>
        </w:tc>
        <w:tc>
          <w:tcPr>
            <w:tcW w:w="1360" w:type="dxa"/>
            <w:vAlign w:val="bottom"/>
            <w:gridSpan w:val="2"/>
          </w:tcPr>
          <w:p>
            <w:pPr>
              <w:spacing w:after="0"/>
              <w:rPr>
                <w:sz w:val="16"/>
                <w:szCs w:val="16"/>
                <w:color w:val="auto"/>
              </w:rPr>
            </w:pPr>
          </w:p>
        </w:tc>
        <w:tc>
          <w:tcPr>
            <w:tcW w:w="124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300" w:type="dxa"/>
            <w:vAlign w:val="bottom"/>
          </w:tcPr>
          <w:p>
            <w:pPr>
              <w:spacing w:after="0"/>
              <w:rPr>
                <w:sz w:val="18"/>
                <w:szCs w:val="18"/>
                <w:color w:val="auto"/>
              </w:rPr>
            </w:pPr>
          </w:p>
        </w:tc>
        <w:tc>
          <w:tcPr>
            <w:tcW w:w="7900" w:type="dxa"/>
            <w:vAlign w:val="bottom"/>
            <w:shd w:val="clear" w:color="auto" w:fill="CCEEFF"/>
          </w:tcPr>
          <w:p>
            <w:pPr>
              <w:spacing w:after="0"/>
              <w:rPr>
                <w:sz w:val="20"/>
                <w:szCs w:val="20"/>
                <w:color w:val="auto"/>
              </w:rPr>
            </w:pPr>
            <w:r>
              <w:rPr>
                <w:rFonts w:ascii="Arial" w:cs="Arial" w:eastAsia="Arial" w:hAnsi="Arial"/>
                <w:sz w:val="17"/>
                <w:szCs w:val="17"/>
                <w:color w:val="auto"/>
              </w:rPr>
              <w:t>Mibanco</w:t>
            </w: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145,095</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151,923</w:t>
            </w:r>
          </w:p>
        </w:tc>
        <w:tc>
          <w:tcPr>
            <w:tcW w:w="0" w:type="dxa"/>
            <w:vAlign w:val="bottom"/>
          </w:tcPr>
          <w:p>
            <w:pPr>
              <w:spacing w:after="0"/>
              <w:rPr>
                <w:sz w:val="1"/>
                <w:szCs w:val="1"/>
                <w:color w:val="auto"/>
              </w:rPr>
            </w:pPr>
          </w:p>
        </w:tc>
      </w:tr>
      <w:tr>
        <w:trPr>
          <w:trHeight w:val="208"/>
        </w:trPr>
        <w:tc>
          <w:tcPr>
            <w:tcW w:w="300" w:type="dxa"/>
            <w:vAlign w:val="bottom"/>
          </w:tcPr>
          <w:p>
            <w:pPr>
              <w:spacing w:after="0"/>
              <w:rPr>
                <w:sz w:val="18"/>
                <w:szCs w:val="18"/>
                <w:color w:val="auto"/>
              </w:rPr>
            </w:pPr>
          </w:p>
        </w:tc>
        <w:tc>
          <w:tcPr>
            <w:tcW w:w="7900" w:type="dxa"/>
            <w:vAlign w:val="bottom"/>
          </w:tcPr>
          <w:p>
            <w:pPr>
              <w:spacing w:after="0"/>
              <w:rPr>
                <w:sz w:val="20"/>
                <w:szCs w:val="20"/>
                <w:color w:val="auto"/>
              </w:rPr>
            </w:pPr>
            <w:r>
              <w:rPr>
                <w:rFonts w:ascii="Arial" w:cs="Arial" w:eastAsia="Arial" w:hAnsi="Arial"/>
                <w:sz w:val="17"/>
                <w:szCs w:val="17"/>
                <w:color w:val="auto"/>
              </w:rPr>
              <w:t>Inversiones IMT</w:t>
            </w:r>
          </w:p>
        </w:tc>
        <w:tc>
          <w:tcPr>
            <w:tcW w:w="1360" w:type="dxa"/>
            <w:vAlign w:val="bottom"/>
            <w:gridSpan w:val="2"/>
          </w:tcPr>
          <w:p>
            <w:pPr>
              <w:jc w:val="right"/>
              <w:ind w:right="200"/>
              <w:spacing w:after="0"/>
              <w:rPr>
                <w:sz w:val="20"/>
                <w:szCs w:val="20"/>
                <w:color w:val="auto"/>
              </w:rPr>
            </w:pPr>
            <w:r>
              <w:rPr>
                <w:rFonts w:ascii="Arial" w:cs="Arial" w:eastAsia="Arial" w:hAnsi="Arial"/>
                <w:sz w:val="17"/>
                <w:szCs w:val="17"/>
                <w:color w:val="auto"/>
              </w:rPr>
              <w:t>5,351</w:t>
            </w:r>
          </w:p>
        </w:tc>
        <w:tc>
          <w:tcPr>
            <w:tcW w:w="1240" w:type="dxa"/>
            <w:vAlign w:val="bottom"/>
            <w:gridSpan w:val="2"/>
          </w:tcPr>
          <w:p>
            <w:pPr>
              <w:jc w:val="right"/>
              <w:ind w:right="100"/>
              <w:spacing w:after="0"/>
              <w:rPr>
                <w:sz w:val="20"/>
                <w:szCs w:val="20"/>
                <w:color w:val="auto"/>
              </w:rPr>
            </w:pPr>
            <w:r>
              <w:rPr>
                <w:rFonts w:ascii="Arial" w:cs="Arial" w:eastAsia="Arial" w:hAnsi="Arial"/>
                <w:sz w:val="17"/>
                <w:szCs w:val="17"/>
                <w:color w:val="auto"/>
              </w:rPr>
              <w:t>9,941</w:t>
            </w:r>
          </w:p>
        </w:tc>
        <w:tc>
          <w:tcPr>
            <w:tcW w:w="0" w:type="dxa"/>
            <w:vAlign w:val="bottom"/>
          </w:tcPr>
          <w:p>
            <w:pPr>
              <w:spacing w:after="0"/>
              <w:rPr>
                <w:sz w:val="1"/>
                <w:szCs w:val="1"/>
                <w:color w:val="auto"/>
              </w:rPr>
            </w:pPr>
          </w:p>
        </w:tc>
      </w:tr>
      <w:tr>
        <w:trPr>
          <w:trHeight w:val="221"/>
        </w:trPr>
        <w:tc>
          <w:tcPr>
            <w:tcW w:w="300" w:type="dxa"/>
            <w:vAlign w:val="bottom"/>
          </w:tcPr>
          <w:p>
            <w:pPr>
              <w:spacing w:after="0"/>
              <w:rPr>
                <w:sz w:val="19"/>
                <w:szCs w:val="19"/>
                <w:color w:val="auto"/>
              </w:rPr>
            </w:pPr>
          </w:p>
        </w:tc>
        <w:tc>
          <w:tcPr>
            <w:tcW w:w="7900" w:type="dxa"/>
            <w:vAlign w:val="bottom"/>
            <w:shd w:val="clear" w:color="auto" w:fill="CCEEFF"/>
          </w:tcPr>
          <w:p>
            <w:pPr>
              <w:spacing w:after="0"/>
              <w:rPr>
                <w:sz w:val="20"/>
                <w:szCs w:val="20"/>
                <w:color w:val="auto"/>
              </w:rPr>
            </w:pPr>
            <w:r>
              <w:rPr>
                <w:rFonts w:ascii="Arial" w:cs="Arial" w:eastAsia="Arial" w:hAnsi="Arial"/>
                <w:sz w:val="17"/>
                <w:szCs w:val="17"/>
                <w:color w:val="auto"/>
              </w:rPr>
              <w:t>Credicorp Capital Colombia - Correval</w:t>
            </w: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13,460</w:t>
            </w:r>
          </w:p>
        </w:tc>
        <w:tc>
          <w:tcPr>
            <w:tcW w:w="0" w:type="dxa"/>
            <w:vAlign w:val="bottom"/>
          </w:tcPr>
          <w:p>
            <w:pPr>
              <w:spacing w:after="0"/>
              <w:rPr>
                <w:sz w:val="1"/>
                <w:szCs w:val="1"/>
                <w:color w:val="auto"/>
              </w:rPr>
            </w:pPr>
          </w:p>
        </w:tc>
      </w:tr>
      <w:tr>
        <w:trPr>
          <w:trHeight w:val="201"/>
        </w:trPr>
        <w:tc>
          <w:tcPr>
            <w:tcW w:w="300" w:type="dxa"/>
            <w:vAlign w:val="bottom"/>
          </w:tcPr>
          <w:p>
            <w:pPr>
              <w:spacing w:after="0"/>
              <w:rPr>
                <w:sz w:val="17"/>
                <w:szCs w:val="17"/>
                <w:color w:val="auto"/>
              </w:rPr>
            </w:pPr>
          </w:p>
        </w:tc>
        <w:tc>
          <w:tcPr>
            <w:tcW w:w="7900" w:type="dxa"/>
            <w:vAlign w:val="bottom"/>
          </w:tcPr>
          <w:p>
            <w:pPr>
              <w:spacing w:after="0"/>
              <w:rPr>
                <w:sz w:val="20"/>
                <w:szCs w:val="20"/>
                <w:color w:val="auto"/>
              </w:rPr>
            </w:pPr>
            <w:r>
              <w:rPr>
                <w:rFonts w:ascii="Arial" w:cs="Arial" w:eastAsia="Arial" w:hAnsi="Arial"/>
                <w:sz w:val="17"/>
                <w:szCs w:val="17"/>
                <w:b w:val="1"/>
                <w:bCs w:val="1"/>
                <w:color w:val="auto"/>
              </w:rPr>
              <w:t>Net carrying amount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150,446</w:t>
            </w:r>
          </w:p>
        </w:tc>
        <w:tc>
          <w:tcPr>
            <w:tcW w:w="200" w:type="dxa"/>
            <w:vAlign w:val="bottom"/>
          </w:tcPr>
          <w:p>
            <w:pPr>
              <w:spacing w:after="0"/>
              <w:rPr>
                <w:sz w:val="17"/>
                <w:szCs w:val="17"/>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175,324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200" w:type="dxa"/>
            <w:vAlign w:val="bottom"/>
            <w:gridSpan w:val="2"/>
            <w:vMerge w:val="restart"/>
          </w:tcPr>
          <w:p>
            <w:pPr>
              <w:spacing w:after="0"/>
              <w:rPr>
                <w:sz w:val="20"/>
                <w:szCs w:val="20"/>
                <w:color w:val="auto"/>
              </w:rPr>
            </w:pPr>
            <w:r>
              <w:rPr>
                <w:rFonts w:ascii="Arial" w:cs="Arial" w:eastAsia="Arial" w:hAnsi="Arial"/>
                <w:sz w:val="17"/>
                <w:szCs w:val="17"/>
                <w:color w:val="auto"/>
              </w:rPr>
              <w:t>(iii) Fund manager contract -</w:t>
            </w: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5"/>
        </w:trPr>
        <w:tc>
          <w:tcPr>
            <w:tcW w:w="8200" w:type="dxa"/>
            <w:vAlign w:val="bottom"/>
            <w:gridSpan w:val="2"/>
            <w:vMerge w:val="continue"/>
          </w:tcPr>
          <w:p>
            <w:pPr>
              <w:spacing w:after="0"/>
              <w:rPr>
                <w:sz w:val="24"/>
                <w:szCs w:val="24"/>
                <w:color w:val="auto"/>
              </w:rPr>
            </w:pPr>
          </w:p>
        </w:tc>
        <w:tc>
          <w:tcPr>
            <w:tcW w:w="1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6"/>
        </w:trPr>
        <w:tc>
          <w:tcPr>
            <w:tcW w:w="300" w:type="dxa"/>
            <w:vAlign w:val="bottom"/>
          </w:tcPr>
          <w:p>
            <w:pPr>
              <w:spacing w:after="0"/>
              <w:rPr>
                <w:sz w:val="24"/>
                <w:szCs w:val="24"/>
                <w:color w:val="auto"/>
              </w:rPr>
            </w:pPr>
          </w:p>
        </w:tc>
        <w:tc>
          <w:tcPr>
            <w:tcW w:w="7900" w:type="dxa"/>
            <w:vAlign w:val="bottom"/>
          </w:tcPr>
          <w:p>
            <w:pPr>
              <w:spacing w:after="0"/>
              <w:rPr>
                <w:sz w:val="20"/>
                <w:szCs w:val="20"/>
                <w:color w:val="auto"/>
              </w:rPr>
            </w:pPr>
            <w:r>
              <w:rPr>
                <w:rFonts w:ascii="Arial" w:cs="Arial" w:eastAsia="Arial" w:hAnsi="Arial"/>
                <w:sz w:val="17"/>
                <w:szCs w:val="17"/>
                <w:color w:val="auto"/>
              </w:rPr>
              <w:t>This item consists of the following:</w:t>
            </w:r>
          </w:p>
        </w:tc>
        <w:tc>
          <w:tcPr>
            <w:tcW w:w="1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9"/>
        </w:trPr>
        <w:tc>
          <w:tcPr>
            <w:tcW w:w="300" w:type="dxa"/>
            <w:vAlign w:val="bottom"/>
          </w:tcPr>
          <w:p>
            <w:pPr>
              <w:spacing w:after="0"/>
              <w:rPr>
                <w:sz w:val="24"/>
                <w:szCs w:val="24"/>
                <w:color w:val="auto"/>
              </w:rPr>
            </w:pPr>
          </w:p>
        </w:tc>
        <w:tc>
          <w:tcPr>
            <w:tcW w:w="7900" w:type="dxa"/>
            <w:vAlign w:val="bottom"/>
          </w:tcPr>
          <w:p>
            <w:pPr>
              <w:spacing w:after="0"/>
              <w:rPr>
                <w:sz w:val="24"/>
                <w:szCs w:val="24"/>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89"/>
              </w:rPr>
              <w:t>2017</w:t>
            </w:r>
          </w:p>
        </w:tc>
        <w:tc>
          <w:tcPr>
            <w:tcW w:w="200" w:type="dxa"/>
            <w:vAlign w:val="bottom"/>
          </w:tcPr>
          <w:p>
            <w:pPr>
              <w:spacing w:after="0"/>
              <w:rPr>
                <w:sz w:val="24"/>
                <w:szCs w:val="24"/>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89"/>
              </w:rPr>
              <w:t>2016</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300" w:type="dxa"/>
            <w:vAlign w:val="bottom"/>
          </w:tcPr>
          <w:p>
            <w:pPr>
              <w:spacing w:after="0"/>
              <w:rPr>
                <w:sz w:val="19"/>
                <w:szCs w:val="19"/>
                <w:color w:val="auto"/>
              </w:rPr>
            </w:pPr>
          </w:p>
        </w:tc>
        <w:tc>
          <w:tcPr>
            <w:tcW w:w="7900" w:type="dxa"/>
            <w:vAlign w:val="bottom"/>
          </w:tcPr>
          <w:p>
            <w:pPr>
              <w:spacing w:after="0"/>
              <w:rPr>
                <w:sz w:val="19"/>
                <w:szCs w:val="19"/>
                <w:color w:val="auto"/>
              </w:rPr>
            </w:pPr>
          </w:p>
        </w:tc>
        <w:tc>
          <w:tcPr>
            <w:tcW w:w="1160" w:type="dxa"/>
            <w:vAlign w:val="bottom"/>
          </w:tcPr>
          <w:p>
            <w:pPr>
              <w:jc w:val="center"/>
              <w:spacing w:after="0"/>
              <w:rPr>
                <w:sz w:val="20"/>
                <w:szCs w:val="20"/>
                <w:color w:val="auto"/>
              </w:rPr>
            </w:pPr>
            <w:r>
              <w:rPr>
                <w:rFonts w:ascii="Arial" w:cs="Arial" w:eastAsia="Arial" w:hAnsi="Arial"/>
                <w:sz w:val="17"/>
                <w:szCs w:val="17"/>
                <w:b w:val="1"/>
                <w:bCs w:val="1"/>
                <w:color w:val="auto"/>
                <w:w w:val="93"/>
              </w:rPr>
              <w:t>S/(000)</w:t>
            </w:r>
          </w:p>
        </w:tc>
        <w:tc>
          <w:tcPr>
            <w:tcW w:w="200" w:type="dxa"/>
            <w:vAlign w:val="bottom"/>
          </w:tcPr>
          <w:p>
            <w:pPr>
              <w:spacing w:after="0"/>
              <w:rPr>
                <w:sz w:val="19"/>
                <w:szCs w:val="19"/>
                <w:color w:val="auto"/>
              </w:rPr>
            </w:pPr>
          </w:p>
        </w:tc>
        <w:tc>
          <w:tcPr>
            <w:tcW w:w="1140" w:type="dxa"/>
            <w:vAlign w:val="bottom"/>
          </w:tcPr>
          <w:p>
            <w:pPr>
              <w:jc w:val="center"/>
              <w:spacing w:after="0"/>
              <w:rPr>
                <w:sz w:val="20"/>
                <w:szCs w:val="20"/>
                <w:color w:val="auto"/>
              </w:rPr>
            </w:pPr>
            <w:r>
              <w:rPr>
                <w:rFonts w:ascii="Arial" w:cs="Arial" w:eastAsia="Arial" w:hAnsi="Arial"/>
                <w:sz w:val="17"/>
                <w:szCs w:val="17"/>
                <w:b w:val="1"/>
                <w:bCs w:val="1"/>
                <w:color w:val="auto"/>
                <w:w w:val="93"/>
              </w:rPr>
              <w:t>S/(000)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300" w:type="dxa"/>
            <w:vAlign w:val="bottom"/>
          </w:tcPr>
          <w:p>
            <w:pPr>
              <w:spacing w:after="0"/>
              <w:rPr>
                <w:sz w:val="16"/>
                <w:szCs w:val="16"/>
                <w:color w:val="auto"/>
              </w:rPr>
            </w:pPr>
          </w:p>
        </w:tc>
        <w:tc>
          <w:tcPr>
            <w:tcW w:w="7900" w:type="dxa"/>
            <w:vAlign w:val="bottom"/>
          </w:tcPr>
          <w:p>
            <w:pPr>
              <w:spacing w:after="0"/>
              <w:rPr>
                <w:sz w:val="16"/>
                <w:szCs w:val="16"/>
                <w:color w:val="auto"/>
              </w:rPr>
            </w:pPr>
          </w:p>
        </w:tc>
        <w:tc>
          <w:tcPr>
            <w:tcW w:w="1360" w:type="dxa"/>
            <w:vAlign w:val="bottom"/>
            <w:gridSpan w:val="2"/>
          </w:tcPr>
          <w:p>
            <w:pPr>
              <w:spacing w:after="0"/>
              <w:rPr>
                <w:sz w:val="16"/>
                <w:szCs w:val="16"/>
                <w:color w:val="auto"/>
              </w:rPr>
            </w:pPr>
          </w:p>
        </w:tc>
        <w:tc>
          <w:tcPr>
            <w:tcW w:w="124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300" w:type="dxa"/>
            <w:vAlign w:val="bottom"/>
          </w:tcPr>
          <w:p>
            <w:pPr>
              <w:spacing w:after="0"/>
              <w:rPr>
                <w:sz w:val="18"/>
                <w:szCs w:val="18"/>
                <w:color w:val="auto"/>
              </w:rPr>
            </w:pPr>
          </w:p>
        </w:tc>
        <w:tc>
          <w:tcPr>
            <w:tcW w:w="7900" w:type="dxa"/>
            <w:vAlign w:val="bottom"/>
            <w:shd w:val="clear" w:color="auto" w:fill="CCEEFF"/>
          </w:tcPr>
          <w:p>
            <w:pPr>
              <w:spacing w:after="0"/>
              <w:rPr>
                <w:sz w:val="20"/>
                <w:szCs w:val="20"/>
                <w:color w:val="auto"/>
              </w:rPr>
            </w:pPr>
            <w:r>
              <w:rPr>
                <w:rFonts w:ascii="Arial" w:cs="Arial" w:eastAsia="Arial" w:hAnsi="Arial"/>
                <w:sz w:val="17"/>
                <w:szCs w:val="17"/>
                <w:color w:val="auto"/>
              </w:rPr>
              <w:t>Credicorp Capital Colombia - Correval</w:t>
            </w: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52,635</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49,287</w:t>
            </w:r>
          </w:p>
        </w:tc>
        <w:tc>
          <w:tcPr>
            <w:tcW w:w="0" w:type="dxa"/>
            <w:vAlign w:val="bottom"/>
          </w:tcPr>
          <w:p>
            <w:pPr>
              <w:spacing w:after="0"/>
              <w:rPr>
                <w:sz w:val="1"/>
                <w:szCs w:val="1"/>
                <w:color w:val="auto"/>
              </w:rPr>
            </w:pPr>
          </w:p>
        </w:tc>
      </w:tr>
      <w:tr>
        <w:trPr>
          <w:trHeight w:val="221"/>
        </w:trPr>
        <w:tc>
          <w:tcPr>
            <w:tcW w:w="300" w:type="dxa"/>
            <w:vAlign w:val="bottom"/>
          </w:tcPr>
          <w:p>
            <w:pPr>
              <w:spacing w:after="0"/>
              <w:rPr>
                <w:sz w:val="19"/>
                <w:szCs w:val="19"/>
                <w:color w:val="auto"/>
              </w:rPr>
            </w:pPr>
          </w:p>
        </w:tc>
        <w:tc>
          <w:tcPr>
            <w:tcW w:w="7900" w:type="dxa"/>
            <w:vAlign w:val="bottom"/>
          </w:tcPr>
          <w:p>
            <w:pPr>
              <w:spacing w:after="0"/>
              <w:rPr>
                <w:sz w:val="20"/>
                <w:szCs w:val="20"/>
                <w:color w:val="auto"/>
              </w:rPr>
            </w:pPr>
            <w:r>
              <w:rPr>
                <w:rFonts w:ascii="Arial" w:cs="Arial" w:eastAsia="Arial" w:hAnsi="Arial"/>
                <w:sz w:val="17"/>
                <w:szCs w:val="17"/>
                <w:color w:val="auto"/>
              </w:rPr>
              <w:t>Inversiones IMT</w:t>
            </w:r>
          </w:p>
        </w:tc>
        <w:tc>
          <w:tcPr>
            <w:tcW w:w="1360" w:type="dxa"/>
            <w:vAlign w:val="bottom"/>
            <w:gridSpan w:val="2"/>
          </w:tcPr>
          <w:p>
            <w:pPr>
              <w:jc w:val="right"/>
              <w:ind w:right="200"/>
              <w:spacing w:after="0"/>
              <w:rPr>
                <w:sz w:val="20"/>
                <w:szCs w:val="20"/>
                <w:color w:val="auto"/>
              </w:rPr>
            </w:pPr>
            <w:r>
              <w:rPr>
                <w:rFonts w:ascii="Arial" w:cs="Arial" w:eastAsia="Arial" w:hAnsi="Arial"/>
                <w:sz w:val="17"/>
                <w:szCs w:val="17"/>
                <w:color w:val="auto"/>
              </w:rPr>
              <w:t>46,111</w:t>
            </w:r>
          </w:p>
        </w:tc>
        <w:tc>
          <w:tcPr>
            <w:tcW w:w="1240" w:type="dxa"/>
            <w:vAlign w:val="bottom"/>
            <w:gridSpan w:val="2"/>
          </w:tcPr>
          <w:p>
            <w:pPr>
              <w:jc w:val="right"/>
              <w:ind w:right="100"/>
              <w:spacing w:after="0"/>
              <w:rPr>
                <w:sz w:val="20"/>
                <w:szCs w:val="20"/>
                <w:color w:val="auto"/>
              </w:rPr>
            </w:pPr>
            <w:r>
              <w:rPr>
                <w:rFonts w:ascii="Arial" w:cs="Arial" w:eastAsia="Arial" w:hAnsi="Arial"/>
                <w:sz w:val="17"/>
                <w:szCs w:val="17"/>
                <w:color w:val="auto"/>
              </w:rPr>
              <w:t>45,478</w:t>
            </w:r>
          </w:p>
        </w:tc>
        <w:tc>
          <w:tcPr>
            <w:tcW w:w="0" w:type="dxa"/>
            <w:vAlign w:val="bottom"/>
          </w:tcPr>
          <w:p>
            <w:pPr>
              <w:spacing w:after="0"/>
              <w:rPr>
                <w:sz w:val="1"/>
                <w:szCs w:val="1"/>
                <w:color w:val="auto"/>
              </w:rPr>
            </w:pPr>
          </w:p>
        </w:tc>
      </w:tr>
      <w:tr>
        <w:trPr>
          <w:trHeight w:val="201"/>
        </w:trPr>
        <w:tc>
          <w:tcPr>
            <w:tcW w:w="300" w:type="dxa"/>
            <w:vAlign w:val="bottom"/>
          </w:tcPr>
          <w:p>
            <w:pPr>
              <w:spacing w:after="0"/>
              <w:rPr>
                <w:sz w:val="17"/>
                <w:szCs w:val="17"/>
                <w:color w:val="auto"/>
              </w:rPr>
            </w:pPr>
          </w:p>
        </w:tc>
        <w:tc>
          <w:tcPr>
            <w:tcW w:w="79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7"/>
                <w:szCs w:val="17"/>
                <w:b w:val="1"/>
                <w:bCs w:val="1"/>
                <w:color w:val="auto"/>
              </w:rPr>
              <w:t>Net carrying amount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98,746</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94,765</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79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5" w:lineRule="exact"/>
        <w:rPr>
          <w:sz w:val="20"/>
          <w:szCs w:val="20"/>
          <w:color w:val="auto"/>
        </w:rPr>
      </w:pPr>
    </w:p>
    <w:p>
      <w:pPr>
        <w:ind w:left="300"/>
        <w:spacing w:after="0" w:line="285" w:lineRule="auto"/>
        <w:rPr>
          <w:sz w:val="20"/>
          <w:szCs w:val="20"/>
          <w:color w:val="auto"/>
        </w:rPr>
      </w:pPr>
      <w:r>
        <w:rPr>
          <w:rFonts w:ascii="Arial" w:cs="Arial" w:eastAsia="Arial" w:hAnsi="Arial"/>
          <w:sz w:val="17"/>
          <w:szCs w:val="17"/>
          <w:color w:val="auto"/>
        </w:rPr>
        <w:t>Management has assessed at each reporting date that there was no indication that client relationships, rights of use, brand name, fund management contract and software and developments may be impaired.</w:t>
      </w:r>
    </w:p>
    <w:p>
      <w:pPr>
        <w:spacing w:after="0" w:line="367" w:lineRule="exact"/>
        <w:rPr>
          <w:sz w:val="20"/>
          <w:szCs w:val="20"/>
          <w:color w:val="auto"/>
        </w:rPr>
      </w:pPr>
    </w:p>
    <w:p>
      <w:pPr>
        <w:jc w:val="center"/>
        <w:ind w:right="240"/>
        <w:spacing w:after="0"/>
        <w:rPr>
          <w:sz w:val="20"/>
          <w:szCs w:val="20"/>
          <w:color w:val="auto"/>
        </w:rPr>
      </w:pPr>
      <w:r>
        <w:rPr>
          <w:rFonts w:ascii="Arial" w:cs="Arial" w:eastAsia="Arial" w:hAnsi="Arial"/>
          <w:sz w:val="17"/>
          <w:szCs w:val="17"/>
          <w:color w:val="auto"/>
        </w:rPr>
        <w:t>- 68 -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-200025</wp:posOffset>
            </wp:positionH>
            <wp:positionV relativeFrom="paragraph">
              <wp:posOffset>15875</wp:posOffset>
            </wp:positionV>
            <wp:extent cx="725170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51700" cy="8255"/>
                    </a:xfrm>
                    <a:prstGeom prst="rect">
                      <a:avLst/>
                    </a:prstGeom>
                    <a:noFill/>
                  </pic:spPr>
                </pic:pic>
              </a:graphicData>
            </a:graphic>
          </wp:anchor>
        </w:drawing>
      </w:r>
    </w:p>
    <w:p>
      <w:pPr>
        <w:sectPr>
          <w:pgSz w:w="11900" w:h="16838" w:orient="portrait"/>
          <w:cols w:equalWidth="0" w:num="1">
            <w:col w:w="11040"/>
          </w:cols>
          <w:pgMar w:left="560" w:top="881" w:right="299" w:bottom="1440" w:gutter="0" w:footer="0" w:header="0"/>
        </w:sectPr>
      </w:pPr>
    </w:p>
    <w:bookmarkStart w:id="74" w:name="page75"/>
    <w:bookmarkEnd w:id="74"/>
    <w:p>
      <w:pPr>
        <w:ind w:left="316" w:hanging="316"/>
        <w:spacing w:after="0"/>
        <w:tabs>
          <w:tab w:leader="none" w:pos="316" w:val="left"/>
        </w:tabs>
        <w:numPr>
          <w:ilvl w:val="0"/>
          <w:numId w:val="85"/>
        </w:numPr>
        <w:rPr>
          <w:rFonts w:ascii="Arial" w:cs="Arial" w:eastAsia="Arial" w:hAnsi="Arial"/>
          <w:sz w:val="17"/>
          <w:szCs w:val="17"/>
          <w:color w:val="auto"/>
        </w:rPr>
      </w:pPr>
      <w:r>
        <w:rPr>
          <w:rFonts w:ascii="Arial" w:cs="Arial" w:eastAsia="Arial" w:hAnsi="Arial"/>
          <w:sz w:val="17"/>
          <w:szCs w:val="17"/>
          <w:color w:val="auto"/>
        </w:rPr>
        <w:t>Goodwill -</w:t>
      </w:r>
    </w:p>
    <w:p>
      <w:pPr>
        <w:spacing w:after="0" w:line="220" w:lineRule="exact"/>
        <w:rPr>
          <w:rFonts w:ascii="Arial" w:cs="Arial" w:eastAsia="Arial" w:hAnsi="Arial"/>
          <w:sz w:val="17"/>
          <w:szCs w:val="17"/>
          <w:color w:val="auto"/>
        </w:rPr>
      </w:pPr>
    </w:p>
    <w:p>
      <w:pPr>
        <w:ind w:left="316"/>
        <w:spacing w:after="0" w:line="285" w:lineRule="auto"/>
        <w:rPr>
          <w:rFonts w:ascii="Arial" w:cs="Arial" w:eastAsia="Arial" w:hAnsi="Arial"/>
          <w:sz w:val="17"/>
          <w:szCs w:val="17"/>
          <w:color w:val="auto"/>
        </w:rPr>
      </w:pPr>
      <w:r>
        <w:rPr>
          <w:rFonts w:ascii="Arial" w:cs="Arial" w:eastAsia="Arial" w:hAnsi="Arial"/>
          <w:sz w:val="17"/>
          <w:szCs w:val="17"/>
          <w:color w:val="auto"/>
        </w:rPr>
        <w:t>Goodwill acquired through business combinations has been allocated to each subsidiary or groups of them, which are also identified as a CGU for the purposes of impairment testing, as follows:</w:t>
      </w:r>
    </w:p>
    <w:p>
      <w:pPr>
        <w:spacing w:after="0" w:line="166" w:lineRule="exact"/>
        <w:rPr>
          <w:sz w:val="20"/>
          <w:szCs w:val="20"/>
          <w:color w:val="auto"/>
        </w:rPr>
      </w:pPr>
    </w:p>
    <w:tbl>
      <w:tblPr>
        <w:tblLayout w:type="fixed"/>
        <w:tblInd w:w="316" w:type="dxa"/>
        <w:tblCellMar>
          <w:top w:w="0" w:type="dxa"/>
          <w:left w:w="0" w:type="dxa"/>
          <w:bottom w:w="0" w:type="dxa"/>
          <w:right w:w="0" w:type="dxa"/>
        </w:tblCellMar>
      </w:tblPr>
      <w:tr>
        <w:trPr>
          <w:trHeight w:val="226"/>
        </w:trPr>
        <w:tc>
          <w:tcPr>
            <w:tcW w:w="8220" w:type="dxa"/>
            <w:vAlign w:val="bottom"/>
          </w:tcPr>
          <w:p>
            <w:pPr>
              <w:spacing w:after="0"/>
              <w:rPr>
                <w:sz w:val="19"/>
                <w:szCs w:val="19"/>
                <w:color w:val="auto"/>
              </w:rPr>
            </w:pPr>
          </w:p>
        </w:tc>
        <w:tc>
          <w:tcPr>
            <w:tcW w:w="1220" w:type="dxa"/>
            <w:vAlign w:val="bottom"/>
            <w:tcBorders>
              <w:bottom w:val="single" w:sz="8" w:color="auto"/>
            </w:tcBorders>
          </w:tcPr>
          <w:p>
            <w:pPr>
              <w:jc w:val="right"/>
              <w:ind w:right="353"/>
              <w:spacing w:after="0"/>
              <w:rPr>
                <w:sz w:val="20"/>
                <w:szCs w:val="20"/>
                <w:color w:val="auto"/>
              </w:rPr>
            </w:pPr>
            <w:r>
              <w:rPr>
                <w:rFonts w:ascii="Arial" w:cs="Arial" w:eastAsia="Arial" w:hAnsi="Arial"/>
                <w:sz w:val="17"/>
                <w:szCs w:val="17"/>
                <w:b w:val="1"/>
                <w:bCs w:val="1"/>
                <w:color w:val="auto"/>
              </w:rPr>
              <w:t>2017</w:t>
            </w:r>
          </w:p>
        </w:tc>
        <w:tc>
          <w:tcPr>
            <w:tcW w:w="200" w:type="dxa"/>
            <w:vAlign w:val="bottom"/>
          </w:tcPr>
          <w:p>
            <w:pPr>
              <w:spacing w:after="0"/>
              <w:rPr>
                <w:sz w:val="19"/>
                <w:szCs w:val="19"/>
                <w:color w:val="auto"/>
              </w:rPr>
            </w:pPr>
          </w:p>
        </w:tc>
        <w:tc>
          <w:tcPr>
            <w:tcW w:w="1200" w:type="dxa"/>
            <w:vAlign w:val="bottom"/>
            <w:tcBorders>
              <w:bottom w:val="single" w:sz="8" w:color="auto"/>
            </w:tcBorders>
          </w:tcPr>
          <w:p>
            <w:pPr>
              <w:jc w:val="right"/>
              <w:ind w:right="333"/>
              <w:spacing w:after="0"/>
              <w:rPr>
                <w:sz w:val="20"/>
                <w:szCs w:val="20"/>
                <w:color w:val="auto"/>
              </w:rPr>
            </w:pPr>
            <w:r>
              <w:rPr>
                <w:rFonts w:ascii="Arial" w:cs="Arial" w:eastAsia="Arial" w:hAnsi="Arial"/>
                <w:sz w:val="17"/>
                <w:szCs w:val="17"/>
                <w:b w:val="1"/>
                <w:bCs w:val="1"/>
                <w:color w:val="auto"/>
              </w:rPr>
              <w:t>2016</w:t>
            </w:r>
          </w:p>
        </w:tc>
        <w:tc>
          <w:tcPr>
            <w:tcW w:w="100" w:type="dxa"/>
            <w:vAlign w:val="bottom"/>
          </w:tcPr>
          <w:p>
            <w:pPr>
              <w:spacing w:after="0"/>
              <w:rPr>
                <w:sz w:val="19"/>
                <w:szCs w:val="19"/>
                <w:color w:val="auto"/>
              </w:rPr>
            </w:pPr>
          </w:p>
        </w:tc>
      </w:tr>
      <w:tr>
        <w:trPr>
          <w:trHeight w:val="219"/>
        </w:trPr>
        <w:tc>
          <w:tcPr>
            <w:tcW w:w="8220" w:type="dxa"/>
            <w:vAlign w:val="bottom"/>
          </w:tcPr>
          <w:p>
            <w:pPr>
              <w:spacing w:after="0"/>
              <w:rPr>
                <w:sz w:val="19"/>
                <w:szCs w:val="19"/>
                <w:color w:val="auto"/>
              </w:rPr>
            </w:pPr>
          </w:p>
        </w:tc>
        <w:tc>
          <w:tcPr>
            <w:tcW w:w="1220" w:type="dxa"/>
            <w:vAlign w:val="bottom"/>
          </w:tcPr>
          <w:p>
            <w:pPr>
              <w:jc w:val="center"/>
              <w:spacing w:after="0"/>
              <w:rPr>
                <w:sz w:val="20"/>
                <w:szCs w:val="20"/>
                <w:color w:val="auto"/>
              </w:rPr>
            </w:pPr>
            <w:r>
              <w:rPr>
                <w:rFonts w:ascii="Arial" w:cs="Arial" w:eastAsia="Arial" w:hAnsi="Arial"/>
                <w:sz w:val="17"/>
                <w:szCs w:val="17"/>
                <w:b w:val="1"/>
                <w:bCs w:val="1"/>
                <w:color w:val="auto"/>
                <w:w w:val="93"/>
              </w:rPr>
              <w:t>S/(000)</w:t>
            </w:r>
          </w:p>
        </w:tc>
        <w:tc>
          <w:tcPr>
            <w:tcW w:w="200" w:type="dxa"/>
            <w:vAlign w:val="bottom"/>
          </w:tcPr>
          <w:p>
            <w:pPr>
              <w:spacing w:after="0"/>
              <w:rPr>
                <w:sz w:val="19"/>
                <w:szCs w:val="19"/>
                <w:color w:val="auto"/>
              </w:rPr>
            </w:pPr>
          </w:p>
        </w:tc>
        <w:tc>
          <w:tcPr>
            <w:tcW w:w="1200" w:type="dxa"/>
            <w:vAlign w:val="bottom"/>
          </w:tcPr>
          <w:p>
            <w:pPr>
              <w:jc w:val="center"/>
              <w:spacing w:after="0"/>
              <w:rPr>
                <w:sz w:val="20"/>
                <w:szCs w:val="20"/>
                <w:color w:val="auto"/>
              </w:rPr>
            </w:pPr>
            <w:r>
              <w:rPr>
                <w:rFonts w:ascii="Arial" w:cs="Arial" w:eastAsia="Arial" w:hAnsi="Arial"/>
                <w:sz w:val="17"/>
                <w:szCs w:val="17"/>
                <w:b w:val="1"/>
                <w:bCs w:val="1"/>
                <w:color w:val="auto"/>
                <w:w w:val="93"/>
              </w:rPr>
              <w:t>S/(000)</w:t>
            </w:r>
          </w:p>
        </w:tc>
        <w:tc>
          <w:tcPr>
            <w:tcW w:w="100" w:type="dxa"/>
            <w:vAlign w:val="bottom"/>
          </w:tcPr>
          <w:p>
            <w:pPr>
              <w:spacing w:after="0"/>
              <w:rPr>
                <w:sz w:val="19"/>
                <w:szCs w:val="19"/>
                <w:color w:val="auto"/>
              </w:rPr>
            </w:pPr>
          </w:p>
        </w:tc>
      </w:tr>
      <w:tr>
        <w:trPr>
          <w:trHeight w:val="189"/>
        </w:trPr>
        <w:tc>
          <w:tcPr>
            <w:tcW w:w="82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08"/>
        </w:trPr>
        <w:tc>
          <w:tcPr>
            <w:tcW w:w="8220" w:type="dxa"/>
            <w:vAlign w:val="bottom"/>
            <w:shd w:val="clear" w:color="auto" w:fill="CCEEFF"/>
          </w:tcPr>
          <w:p>
            <w:pPr>
              <w:spacing w:after="0"/>
              <w:rPr>
                <w:sz w:val="20"/>
                <w:szCs w:val="20"/>
                <w:color w:val="auto"/>
              </w:rPr>
            </w:pPr>
            <w:r>
              <w:rPr>
                <w:rFonts w:ascii="Arial" w:cs="Arial" w:eastAsia="Arial" w:hAnsi="Arial"/>
                <w:sz w:val="17"/>
                <w:szCs w:val="17"/>
                <w:color w:val="auto"/>
              </w:rPr>
              <w:t>Mibanco - Edyficar Perú</w:t>
            </w: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273,694</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273,694</w:t>
            </w:r>
          </w:p>
        </w:tc>
        <w:tc>
          <w:tcPr>
            <w:tcW w:w="100" w:type="dxa"/>
            <w:vAlign w:val="bottom"/>
            <w:shd w:val="clear" w:color="auto" w:fill="CCEEFF"/>
          </w:tcPr>
          <w:p>
            <w:pPr>
              <w:spacing w:after="0"/>
              <w:rPr>
                <w:sz w:val="18"/>
                <w:szCs w:val="18"/>
                <w:color w:val="auto"/>
              </w:rPr>
            </w:pPr>
          </w:p>
        </w:tc>
      </w:tr>
      <w:tr>
        <w:trPr>
          <w:trHeight w:val="208"/>
        </w:trPr>
        <w:tc>
          <w:tcPr>
            <w:tcW w:w="8220" w:type="dxa"/>
            <w:vAlign w:val="bottom"/>
          </w:tcPr>
          <w:p>
            <w:pPr>
              <w:spacing w:after="0"/>
              <w:rPr>
                <w:sz w:val="20"/>
                <w:szCs w:val="20"/>
                <w:color w:val="auto"/>
              </w:rPr>
            </w:pPr>
            <w:r>
              <w:rPr>
                <w:rFonts w:ascii="Arial" w:cs="Arial" w:eastAsia="Arial" w:hAnsi="Arial"/>
                <w:sz w:val="17"/>
                <w:szCs w:val="17"/>
                <w:color w:val="auto"/>
              </w:rPr>
              <w:t>Prima AFP – AFP Unión Vida</w:t>
            </w:r>
          </w:p>
        </w:tc>
        <w:tc>
          <w:tcPr>
            <w:tcW w:w="1420" w:type="dxa"/>
            <w:vAlign w:val="bottom"/>
            <w:gridSpan w:val="2"/>
          </w:tcPr>
          <w:p>
            <w:pPr>
              <w:jc w:val="right"/>
              <w:ind w:right="200"/>
              <w:spacing w:after="0"/>
              <w:rPr>
                <w:sz w:val="20"/>
                <w:szCs w:val="20"/>
                <w:color w:val="auto"/>
              </w:rPr>
            </w:pPr>
            <w:r>
              <w:rPr>
                <w:rFonts w:ascii="Arial" w:cs="Arial" w:eastAsia="Arial" w:hAnsi="Arial"/>
                <w:sz w:val="17"/>
                <w:szCs w:val="17"/>
                <w:color w:val="auto"/>
              </w:rPr>
              <w:t>124,641</w:t>
            </w:r>
          </w:p>
        </w:tc>
        <w:tc>
          <w:tcPr>
            <w:tcW w:w="1200" w:type="dxa"/>
            <w:vAlign w:val="bottom"/>
          </w:tcPr>
          <w:p>
            <w:pPr>
              <w:jc w:val="right"/>
              <w:spacing w:after="0"/>
              <w:rPr>
                <w:sz w:val="20"/>
                <w:szCs w:val="20"/>
                <w:color w:val="auto"/>
              </w:rPr>
            </w:pPr>
            <w:r>
              <w:rPr>
                <w:rFonts w:ascii="Arial" w:cs="Arial" w:eastAsia="Arial" w:hAnsi="Arial"/>
                <w:sz w:val="17"/>
                <w:szCs w:val="17"/>
                <w:color w:val="auto"/>
              </w:rPr>
              <w:t>124,641</w:t>
            </w:r>
          </w:p>
        </w:tc>
        <w:tc>
          <w:tcPr>
            <w:tcW w:w="100" w:type="dxa"/>
            <w:vAlign w:val="bottom"/>
          </w:tcPr>
          <w:p>
            <w:pPr>
              <w:spacing w:after="0"/>
              <w:rPr>
                <w:sz w:val="18"/>
                <w:szCs w:val="18"/>
                <w:color w:val="auto"/>
              </w:rPr>
            </w:pPr>
          </w:p>
        </w:tc>
      </w:tr>
      <w:tr>
        <w:trPr>
          <w:trHeight w:val="208"/>
        </w:trPr>
        <w:tc>
          <w:tcPr>
            <w:tcW w:w="8220" w:type="dxa"/>
            <w:vAlign w:val="bottom"/>
            <w:shd w:val="clear" w:color="auto" w:fill="CCEEFF"/>
          </w:tcPr>
          <w:p>
            <w:pPr>
              <w:spacing w:after="0"/>
              <w:rPr>
                <w:sz w:val="20"/>
                <w:szCs w:val="20"/>
                <w:color w:val="auto"/>
              </w:rPr>
            </w:pPr>
            <w:r>
              <w:rPr>
                <w:rFonts w:ascii="Arial" w:cs="Arial" w:eastAsia="Arial" w:hAnsi="Arial"/>
                <w:sz w:val="17"/>
                <w:szCs w:val="17"/>
                <w:color w:val="auto"/>
              </w:rPr>
              <w:t>Credicorp Capital Colombia</w:t>
            </w: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77,746</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80,022</w:t>
            </w:r>
          </w:p>
        </w:tc>
      </w:tr>
      <w:tr>
        <w:trPr>
          <w:trHeight w:val="208"/>
        </w:trPr>
        <w:tc>
          <w:tcPr>
            <w:tcW w:w="8220" w:type="dxa"/>
            <w:vAlign w:val="bottom"/>
          </w:tcPr>
          <w:p>
            <w:pPr>
              <w:spacing w:after="0"/>
              <w:rPr>
                <w:sz w:val="20"/>
                <w:szCs w:val="20"/>
                <w:color w:val="auto"/>
              </w:rPr>
            </w:pPr>
            <w:r>
              <w:rPr>
                <w:rFonts w:ascii="Arial" w:cs="Arial" w:eastAsia="Arial" w:hAnsi="Arial"/>
                <w:sz w:val="17"/>
                <w:szCs w:val="17"/>
                <w:color w:val="auto"/>
              </w:rPr>
              <w:t>Banco de Crédito del Perú</w:t>
            </w:r>
          </w:p>
        </w:tc>
        <w:tc>
          <w:tcPr>
            <w:tcW w:w="1420" w:type="dxa"/>
            <w:vAlign w:val="bottom"/>
            <w:gridSpan w:val="2"/>
          </w:tcPr>
          <w:p>
            <w:pPr>
              <w:jc w:val="right"/>
              <w:ind w:right="200"/>
              <w:spacing w:after="0"/>
              <w:rPr>
                <w:sz w:val="20"/>
                <w:szCs w:val="20"/>
                <w:color w:val="auto"/>
              </w:rPr>
            </w:pPr>
            <w:r>
              <w:rPr>
                <w:rFonts w:ascii="Arial" w:cs="Arial" w:eastAsia="Arial" w:hAnsi="Arial"/>
                <w:sz w:val="17"/>
                <w:szCs w:val="17"/>
                <w:color w:val="auto"/>
              </w:rPr>
              <w:t>52,359</w:t>
            </w:r>
          </w:p>
        </w:tc>
        <w:tc>
          <w:tcPr>
            <w:tcW w:w="1300" w:type="dxa"/>
            <w:vAlign w:val="bottom"/>
            <w:gridSpan w:val="2"/>
          </w:tcPr>
          <w:p>
            <w:pPr>
              <w:jc w:val="right"/>
              <w:ind w:right="100"/>
              <w:spacing w:after="0"/>
              <w:rPr>
                <w:sz w:val="20"/>
                <w:szCs w:val="20"/>
                <w:color w:val="auto"/>
              </w:rPr>
            </w:pPr>
            <w:r>
              <w:rPr>
                <w:rFonts w:ascii="Arial" w:cs="Arial" w:eastAsia="Arial" w:hAnsi="Arial"/>
                <w:sz w:val="17"/>
                <w:szCs w:val="17"/>
                <w:color w:val="auto"/>
              </w:rPr>
              <w:t>52,359</w:t>
            </w:r>
          </w:p>
        </w:tc>
      </w:tr>
      <w:tr>
        <w:trPr>
          <w:trHeight w:val="208"/>
        </w:trPr>
        <w:tc>
          <w:tcPr>
            <w:tcW w:w="8220" w:type="dxa"/>
            <w:vAlign w:val="bottom"/>
            <w:shd w:val="clear" w:color="auto" w:fill="CCEEFF"/>
          </w:tcPr>
          <w:p>
            <w:pPr>
              <w:spacing w:after="0"/>
              <w:rPr>
                <w:sz w:val="20"/>
                <w:szCs w:val="20"/>
                <w:color w:val="auto"/>
              </w:rPr>
            </w:pPr>
            <w:r>
              <w:rPr>
                <w:rFonts w:ascii="Arial" w:cs="Arial" w:eastAsia="Arial" w:hAnsi="Arial"/>
                <w:sz w:val="17"/>
                <w:szCs w:val="17"/>
                <w:color w:val="auto"/>
              </w:rPr>
              <w:t>Inversiones IMT</w:t>
            </w: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41,290</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39,284</w:t>
            </w:r>
          </w:p>
        </w:tc>
      </w:tr>
      <w:tr>
        <w:trPr>
          <w:trHeight w:val="208"/>
        </w:trPr>
        <w:tc>
          <w:tcPr>
            <w:tcW w:w="8220" w:type="dxa"/>
            <w:vAlign w:val="bottom"/>
          </w:tcPr>
          <w:p>
            <w:pPr>
              <w:spacing w:after="0"/>
              <w:rPr>
                <w:sz w:val="20"/>
                <w:szCs w:val="20"/>
                <w:color w:val="auto"/>
              </w:rPr>
            </w:pPr>
            <w:r>
              <w:rPr>
                <w:rFonts w:ascii="Arial" w:cs="Arial" w:eastAsia="Arial" w:hAnsi="Arial"/>
                <w:sz w:val="17"/>
                <w:szCs w:val="17"/>
                <w:color w:val="auto"/>
              </w:rPr>
              <w:t>Pacífico Seguros</w:t>
            </w:r>
          </w:p>
        </w:tc>
        <w:tc>
          <w:tcPr>
            <w:tcW w:w="1420" w:type="dxa"/>
            <w:vAlign w:val="bottom"/>
            <w:gridSpan w:val="2"/>
          </w:tcPr>
          <w:p>
            <w:pPr>
              <w:jc w:val="right"/>
              <w:ind w:right="200"/>
              <w:spacing w:after="0"/>
              <w:rPr>
                <w:sz w:val="20"/>
                <w:szCs w:val="20"/>
                <w:color w:val="auto"/>
              </w:rPr>
            </w:pPr>
            <w:r>
              <w:rPr>
                <w:rFonts w:ascii="Arial" w:cs="Arial" w:eastAsia="Arial" w:hAnsi="Arial"/>
                <w:sz w:val="17"/>
                <w:szCs w:val="17"/>
                <w:color w:val="auto"/>
              </w:rPr>
              <w:t>36,354</w:t>
            </w:r>
          </w:p>
        </w:tc>
        <w:tc>
          <w:tcPr>
            <w:tcW w:w="1300" w:type="dxa"/>
            <w:vAlign w:val="bottom"/>
            <w:gridSpan w:val="2"/>
          </w:tcPr>
          <w:p>
            <w:pPr>
              <w:jc w:val="right"/>
              <w:ind w:right="100"/>
              <w:spacing w:after="0"/>
              <w:rPr>
                <w:sz w:val="20"/>
                <w:szCs w:val="20"/>
                <w:color w:val="auto"/>
              </w:rPr>
            </w:pPr>
            <w:r>
              <w:rPr>
                <w:rFonts w:ascii="Arial" w:cs="Arial" w:eastAsia="Arial" w:hAnsi="Arial"/>
                <w:sz w:val="17"/>
                <w:szCs w:val="17"/>
                <w:color w:val="auto"/>
              </w:rPr>
              <w:t>36,354</w:t>
            </w:r>
          </w:p>
        </w:tc>
      </w:tr>
      <w:tr>
        <w:trPr>
          <w:trHeight w:val="208"/>
        </w:trPr>
        <w:tc>
          <w:tcPr>
            <w:tcW w:w="8220" w:type="dxa"/>
            <w:vAlign w:val="bottom"/>
            <w:shd w:val="clear" w:color="auto" w:fill="CCEEFF"/>
          </w:tcPr>
          <w:p>
            <w:pPr>
              <w:spacing w:after="0"/>
              <w:rPr>
                <w:sz w:val="20"/>
                <w:szCs w:val="20"/>
                <w:color w:val="auto"/>
              </w:rPr>
            </w:pPr>
            <w:r>
              <w:rPr>
                <w:rFonts w:ascii="Arial" w:cs="Arial" w:eastAsia="Arial" w:hAnsi="Arial"/>
                <w:sz w:val="17"/>
                <w:szCs w:val="17"/>
                <w:color w:val="auto"/>
              </w:rPr>
              <w:t>Atlantic Security Holding Corporation</w:t>
            </w: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29,795</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29,795</w:t>
            </w:r>
          </w:p>
        </w:tc>
      </w:tr>
      <w:tr>
        <w:trPr>
          <w:trHeight w:val="221"/>
        </w:trPr>
        <w:tc>
          <w:tcPr>
            <w:tcW w:w="8220" w:type="dxa"/>
            <w:vAlign w:val="bottom"/>
            <w:tcBorders>
              <w:bottom w:val="single" w:sz="8" w:color="CCEEFF"/>
            </w:tcBorders>
          </w:tcPr>
          <w:p>
            <w:pPr>
              <w:spacing w:after="0"/>
              <w:rPr>
                <w:sz w:val="20"/>
                <w:szCs w:val="20"/>
                <w:color w:val="auto"/>
              </w:rPr>
            </w:pPr>
            <w:r>
              <w:rPr>
                <w:rFonts w:ascii="Arial" w:cs="Arial" w:eastAsia="Arial" w:hAnsi="Arial"/>
                <w:sz w:val="17"/>
                <w:szCs w:val="17"/>
                <w:color w:val="auto"/>
              </w:rPr>
              <w:t>Crediseguro Seguros Personales</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96</w:t>
            </w:r>
          </w:p>
        </w:tc>
        <w:tc>
          <w:tcPr>
            <w:tcW w:w="200" w:type="dxa"/>
            <w:vAlign w:val="bottom"/>
            <w:tcBorders>
              <w:bottom w:val="single" w:sz="8" w:color="CCEEFF"/>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19"/>
                <w:szCs w:val="19"/>
                <w:color w:val="auto"/>
              </w:rPr>
            </w:pPr>
          </w:p>
        </w:tc>
      </w:tr>
      <w:tr>
        <w:trPr>
          <w:trHeight w:val="201"/>
        </w:trPr>
        <w:tc>
          <w:tcPr>
            <w:tcW w:w="82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b w:val="1"/>
                <w:bCs w:val="1"/>
                <w:color w:val="auto"/>
              </w:rPr>
              <w:t>Net carrying amount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635,975</w:t>
            </w:r>
          </w:p>
        </w:tc>
        <w:tc>
          <w:tcPr>
            <w:tcW w:w="20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636,149</w:t>
            </w:r>
          </w:p>
        </w:tc>
        <w:tc>
          <w:tcPr>
            <w:tcW w:w="100" w:type="dxa"/>
            <w:vAlign w:val="bottom"/>
            <w:tcBorders>
              <w:bottom w:val="single" w:sz="8" w:color="CCEEFF"/>
            </w:tcBorders>
            <w:shd w:val="clear" w:color="auto" w:fill="CCEEFF"/>
          </w:tcPr>
          <w:p>
            <w:pPr>
              <w:spacing w:after="0"/>
              <w:rPr>
                <w:sz w:val="17"/>
                <w:szCs w:val="17"/>
                <w:color w:val="auto"/>
              </w:rPr>
            </w:pPr>
          </w:p>
        </w:tc>
      </w:tr>
      <w:tr>
        <w:trPr>
          <w:trHeight w:val="20"/>
        </w:trPr>
        <w:tc>
          <w:tcPr>
            <w:tcW w:w="82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5" w:lineRule="exact"/>
        <w:rPr>
          <w:sz w:val="20"/>
          <w:szCs w:val="20"/>
          <w:color w:val="auto"/>
        </w:rPr>
      </w:pPr>
    </w:p>
    <w:p>
      <w:pPr>
        <w:ind w:left="316" w:right="120"/>
        <w:spacing w:after="0" w:line="318" w:lineRule="auto"/>
        <w:rPr>
          <w:sz w:val="20"/>
          <w:szCs w:val="20"/>
          <w:color w:val="auto"/>
        </w:rPr>
      </w:pPr>
      <w:r>
        <w:rPr>
          <w:rFonts w:ascii="Arial" w:cs="Arial" w:eastAsia="Arial" w:hAnsi="Arial"/>
          <w:sz w:val="16"/>
          <w:szCs w:val="16"/>
          <w:color w:val="auto"/>
        </w:rPr>
        <w:t>The recoverable amount of all of the CGUs has been determined based on the calculations of the fair value less selling costs, which is the present value of the discounted cash flows determined principally with assumptions of projection of revenue and expenses (based on efficiency ratios).</w:t>
      </w:r>
    </w:p>
    <w:p>
      <w:pPr>
        <w:spacing w:after="0" w:line="136" w:lineRule="exact"/>
        <w:rPr>
          <w:sz w:val="20"/>
          <w:szCs w:val="20"/>
          <w:color w:val="auto"/>
        </w:rPr>
      </w:pPr>
    </w:p>
    <w:p>
      <w:pPr>
        <w:ind w:left="316" w:right="260"/>
        <w:spacing w:after="0" w:line="285" w:lineRule="auto"/>
        <w:rPr>
          <w:sz w:val="20"/>
          <w:szCs w:val="20"/>
          <w:color w:val="auto"/>
        </w:rPr>
      </w:pPr>
      <w:r>
        <w:rPr>
          <w:rFonts w:ascii="Arial" w:cs="Arial" w:eastAsia="Arial" w:hAnsi="Arial"/>
          <w:sz w:val="17"/>
          <w:szCs w:val="17"/>
          <w:color w:val="auto"/>
        </w:rPr>
        <w:t>Balances of goodwill from Inversiones IMT and Credicorp Capital Colombia are impacted by the volatility of the exchange rate of the local currency of the countries in which they operate against the exchange rate of Grupo Credicorp’s functional currency.</w:t>
      </w:r>
    </w:p>
    <w:p>
      <w:pPr>
        <w:spacing w:after="0" w:line="159" w:lineRule="exact"/>
        <w:rPr>
          <w:sz w:val="20"/>
          <w:szCs w:val="20"/>
          <w:color w:val="auto"/>
        </w:rPr>
      </w:pPr>
    </w:p>
    <w:p>
      <w:pPr>
        <w:ind w:left="316"/>
        <w:spacing w:after="0"/>
        <w:rPr>
          <w:sz w:val="20"/>
          <w:szCs w:val="20"/>
          <w:color w:val="auto"/>
        </w:rPr>
      </w:pPr>
      <w:r>
        <w:rPr>
          <w:rFonts w:ascii="Arial" w:cs="Arial" w:eastAsia="Arial" w:hAnsi="Arial"/>
          <w:sz w:val="17"/>
          <w:szCs w:val="17"/>
          <w:color w:val="auto"/>
        </w:rPr>
        <w:t>The following table summarizes the key assumptions used for the calculation of fair value less selling costs in 2017 and 2016:</w:t>
      </w:r>
    </w:p>
    <w:p>
      <w:pPr>
        <w:spacing w:after="0" w:line="227" w:lineRule="exact"/>
        <w:rPr>
          <w:sz w:val="20"/>
          <w:szCs w:val="20"/>
          <w:color w:val="auto"/>
        </w:rPr>
      </w:pPr>
    </w:p>
    <w:tbl>
      <w:tblPr>
        <w:tblLayout w:type="fixed"/>
        <w:tblInd w:w="316" w:type="dxa"/>
        <w:tblCellMar>
          <w:top w:w="0" w:type="dxa"/>
          <w:left w:w="0" w:type="dxa"/>
          <w:bottom w:w="0" w:type="dxa"/>
          <w:right w:w="0" w:type="dxa"/>
        </w:tblCellMar>
      </w:tblPr>
      <w:tr>
        <w:trPr>
          <w:trHeight w:val="226"/>
        </w:trPr>
        <w:tc>
          <w:tcPr>
            <w:tcW w:w="7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940" w:type="dxa"/>
            <w:vAlign w:val="bottom"/>
            <w:tcBorders>
              <w:bottom w:val="single" w:sz="8" w:color="auto"/>
            </w:tcBorders>
            <w:gridSpan w:val="3"/>
          </w:tcPr>
          <w:p>
            <w:pPr>
              <w:ind w:left="660"/>
              <w:spacing w:after="0"/>
              <w:rPr>
                <w:sz w:val="20"/>
                <w:szCs w:val="20"/>
                <w:color w:val="auto"/>
              </w:rPr>
            </w:pPr>
            <w:r>
              <w:rPr>
                <w:rFonts w:ascii="Arial" w:cs="Arial" w:eastAsia="Arial" w:hAnsi="Arial"/>
                <w:sz w:val="17"/>
                <w:szCs w:val="17"/>
                <w:b w:val="1"/>
                <w:bCs w:val="1"/>
                <w:color w:val="auto"/>
              </w:rPr>
              <w:t>At December 31, 2017</w:t>
            </w:r>
          </w:p>
        </w:tc>
      </w:tr>
      <w:tr>
        <w:trPr>
          <w:trHeight w:val="182"/>
        </w:trPr>
        <w:tc>
          <w:tcPr>
            <w:tcW w:w="7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20" w:type="dxa"/>
            <w:vAlign w:val="bottom"/>
            <w:gridSpan w:val="2"/>
          </w:tcPr>
          <w:p>
            <w:pPr>
              <w:jc w:val="center"/>
              <w:ind w:right="260"/>
              <w:spacing w:after="0" w:line="183" w:lineRule="exact"/>
              <w:rPr>
                <w:sz w:val="20"/>
                <w:szCs w:val="20"/>
                <w:color w:val="auto"/>
              </w:rPr>
            </w:pPr>
            <w:r>
              <w:rPr>
                <w:rFonts w:ascii="Arial" w:cs="Arial" w:eastAsia="Arial" w:hAnsi="Arial"/>
                <w:sz w:val="17"/>
                <w:szCs w:val="17"/>
                <w:b w:val="1"/>
                <w:bCs w:val="1"/>
                <w:color w:val="auto"/>
                <w:w w:val="95"/>
              </w:rPr>
              <w:t>Terminal</w:t>
            </w:r>
          </w:p>
        </w:tc>
        <w:tc>
          <w:tcPr>
            <w:tcW w:w="1520" w:type="dxa"/>
            <w:vAlign w:val="bottom"/>
          </w:tcPr>
          <w:p>
            <w:pPr>
              <w:spacing w:after="0"/>
              <w:rPr>
                <w:sz w:val="15"/>
                <w:szCs w:val="15"/>
                <w:color w:val="auto"/>
              </w:rPr>
            </w:pPr>
          </w:p>
        </w:tc>
      </w:tr>
      <w:tr>
        <w:trPr>
          <w:trHeight w:val="208"/>
        </w:trPr>
        <w:tc>
          <w:tcPr>
            <w:tcW w:w="7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7"/>
                <w:szCs w:val="17"/>
                <w:b w:val="1"/>
                <w:bCs w:val="1"/>
                <w:color w:val="auto"/>
                <w:w w:val="91"/>
              </w:rPr>
              <w:t>value</w:t>
            </w:r>
          </w:p>
        </w:tc>
        <w:tc>
          <w:tcPr>
            <w:tcW w:w="1520" w:type="dxa"/>
            <w:vAlign w:val="bottom"/>
          </w:tcPr>
          <w:p>
            <w:pPr>
              <w:spacing w:after="0"/>
              <w:rPr>
                <w:sz w:val="18"/>
                <w:szCs w:val="18"/>
                <w:color w:val="auto"/>
              </w:rPr>
            </w:pPr>
          </w:p>
        </w:tc>
      </w:tr>
      <w:tr>
        <w:trPr>
          <w:trHeight w:val="226"/>
        </w:trPr>
        <w:tc>
          <w:tcPr>
            <w:tcW w:w="8000" w:type="dxa"/>
            <w:vAlign w:val="bottom"/>
            <w:gridSpan w:val="2"/>
          </w:tcPr>
          <w:p>
            <w:pPr>
              <w:spacing w:after="0"/>
              <w:rPr>
                <w:sz w:val="20"/>
                <w:szCs w:val="20"/>
                <w:color w:val="auto"/>
              </w:rPr>
            </w:pPr>
            <w:r>
              <w:rPr>
                <w:rFonts w:ascii="Arial" w:cs="Arial" w:eastAsia="Arial" w:hAnsi="Arial"/>
                <w:sz w:val="17"/>
                <w:szCs w:val="17"/>
                <w:b w:val="1"/>
                <w:bCs w:val="1"/>
                <w:color w:val="auto"/>
              </w:rPr>
              <w:t>Description</w:t>
            </w:r>
          </w:p>
        </w:tc>
        <w:tc>
          <w:tcPr>
            <w:tcW w:w="1420" w:type="dxa"/>
            <w:vAlign w:val="bottom"/>
            <w:gridSpan w:val="2"/>
          </w:tcPr>
          <w:p>
            <w:pPr>
              <w:jc w:val="center"/>
              <w:ind w:right="220"/>
              <w:spacing w:after="0"/>
              <w:rPr>
                <w:sz w:val="20"/>
                <w:szCs w:val="20"/>
                <w:color w:val="auto"/>
              </w:rPr>
            </w:pPr>
            <w:r>
              <w:rPr>
                <w:rFonts w:ascii="Arial" w:cs="Arial" w:eastAsia="Arial" w:hAnsi="Arial"/>
                <w:sz w:val="17"/>
                <w:szCs w:val="17"/>
                <w:b w:val="1"/>
                <w:bCs w:val="1"/>
                <w:color w:val="auto"/>
                <w:w w:val="95"/>
              </w:rPr>
              <w:t>growth rate</w:t>
            </w:r>
          </w:p>
        </w:tc>
        <w:tc>
          <w:tcPr>
            <w:tcW w:w="1520" w:type="dxa"/>
            <w:vAlign w:val="bottom"/>
          </w:tcPr>
          <w:p>
            <w:pPr>
              <w:jc w:val="center"/>
              <w:spacing w:after="0"/>
              <w:rPr>
                <w:sz w:val="20"/>
                <w:szCs w:val="20"/>
                <w:color w:val="auto"/>
              </w:rPr>
            </w:pPr>
            <w:r>
              <w:rPr>
                <w:rFonts w:ascii="Arial" w:cs="Arial" w:eastAsia="Arial" w:hAnsi="Arial"/>
                <w:sz w:val="17"/>
                <w:szCs w:val="17"/>
                <w:b w:val="1"/>
                <w:bCs w:val="1"/>
                <w:color w:val="auto"/>
                <w:w w:val="92"/>
              </w:rPr>
              <w:t>Discount rate</w:t>
            </w:r>
          </w:p>
        </w:tc>
      </w:tr>
      <w:tr>
        <w:trPr>
          <w:trHeight w:val="219"/>
        </w:trPr>
        <w:tc>
          <w:tcPr>
            <w:tcW w:w="78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Borders>
              <w:top w:val="single" w:sz="8" w:color="auto"/>
            </w:tcBorders>
          </w:tcPr>
          <w:p>
            <w:pPr>
              <w:jc w:val="center"/>
              <w:spacing w:after="0"/>
              <w:rPr>
                <w:sz w:val="20"/>
                <w:szCs w:val="20"/>
                <w:color w:val="auto"/>
              </w:rPr>
            </w:pPr>
            <w:r>
              <w:rPr>
                <w:rFonts w:ascii="Arial" w:cs="Arial" w:eastAsia="Arial" w:hAnsi="Arial"/>
                <w:sz w:val="17"/>
                <w:szCs w:val="17"/>
                <w:b w:val="1"/>
                <w:bCs w:val="1"/>
                <w:color w:val="auto"/>
              </w:rPr>
              <w:t>%</w:t>
            </w:r>
          </w:p>
        </w:tc>
        <w:tc>
          <w:tcPr>
            <w:tcW w:w="220" w:type="dxa"/>
            <w:vAlign w:val="bottom"/>
          </w:tcPr>
          <w:p>
            <w:pPr>
              <w:spacing w:after="0"/>
              <w:rPr>
                <w:sz w:val="19"/>
                <w:szCs w:val="19"/>
                <w:color w:val="auto"/>
              </w:rPr>
            </w:pPr>
          </w:p>
        </w:tc>
        <w:tc>
          <w:tcPr>
            <w:tcW w:w="1520" w:type="dxa"/>
            <w:vAlign w:val="bottom"/>
            <w:tcBorders>
              <w:top w:val="single" w:sz="8" w:color="auto"/>
            </w:tcBorders>
          </w:tcPr>
          <w:p>
            <w:pPr>
              <w:jc w:val="center"/>
              <w:spacing w:after="0"/>
              <w:rPr>
                <w:sz w:val="20"/>
                <w:szCs w:val="20"/>
                <w:color w:val="auto"/>
              </w:rPr>
            </w:pPr>
            <w:r>
              <w:rPr>
                <w:rFonts w:ascii="Arial" w:cs="Arial" w:eastAsia="Arial" w:hAnsi="Arial"/>
                <w:sz w:val="17"/>
                <w:szCs w:val="17"/>
                <w:b w:val="1"/>
                <w:bCs w:val="1"/>
                <w:color w:val="auto"/>
              </w:rPr>
              <w:t>%</w:t>
            </w:r>
          </w:p>
        </w:tc>
      </w:tr>
      <w:tr>
        <w:trPr>
          <w:trHeight w:val="189"/>
        </w:trPr>
        <w:tc>
          <w:tcPr>
            <w:tcW w:w="7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20" w:type="dxa"/>
            <w:vAlign w:val="bottom"/>
          </w:tcPr>
          <w:p>
            <w:pPr>
              <w:spacing w:after="0"/>
              <w:rPr>
                <w:sz w:val="16"/>
                <w:szCs w:val="16"/>
                <w:color w:val="auto"/>
              </w:rPr>
            </w:pPr>
          </w:p>
        </w:tc>
      </w:tr>
      <w:tr>
        <w:trPr>
          <w:trHeight w:val="208"/>
        </w:trPr>
        <w:tc>
          <w:tcPr>
            <w:tcW w:w="80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Mibanco - Edyficar Perú</w:t>
            </w: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3.00</w:t>
            </w:r>
          </w:p>
        </w:tc>
        <w:tc>
          <w:tcPr>
            <w:tcW w:w="15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3"/>
              </w:rPr>
              <w:t>12.43</w:t>
            </w:r>
          </w:p>
        </w:tc>
      </w:tr>
      <w:tr>
        <w:trPr>
          <w:trHeight w:val="208"/>
        </w:trPr>
        <w:tc>
          <w:tcPr>
            <w:tcW w:w="8000" w:type="dxa"/>
            <w:vAlign w:val="bottom"/>
            <w:gridSpan w:val="2"/>
          </w:tcPr>
          <w:p>
            <w:pPr>
              <w:spacing w:after="0"/>
              <w:rPr>
                <w:sz w:val="20"/>
                <w:szCs w:val="20"/>
                <w:color w:val="auto"/>
              </w:rPr>
            </w:pPr>
            <w:r>
              <w:rPr>
                <w:rFonts w:ascii="Arial" w:cs="Arial" w:eastAsia="Arial" w:hAnsi="Arial"/>
                <w:sz w:val="17"/>
                <w:szCs w:val="17"/>
                <w:color w:val="auto"/>
              </w:rPr>
              <w:t>Prima AFP – AFP Unión Vida</w:t>
            </w:r>
          </w:p>
        </w:tc>
        <w:tc>
          <w:tcPr>
            <w:tcW w:w="1420" w:type="dxa"/>
            <w:vAlign w:val="bottom"/>
            <w:gridSpan w:val="2"/>
          </w:tcPr>
          <w:p>
            <w:pPr>
              <w:jc w:val="right"/>
              <w:ind w:right="220"/>
              <w:spacing w:after="0"/>
              <w:rPr>
                <w:sz w:val="20"/>
                <w:szCs w:val="20"/>
                <w:color w:val="auto"/>
              </w:rPr>
            </w:pPr>
            <w:r>
              <w:rPr>
                <w:rFonts w:ascii="Arial" w:cs="Arial" w:eastAsia="Arial" w:hAnsi="Arial"/>
                <w:sz w:val="17"/>
                <w:szCs w:val="17"/>
                <w:color w:val="auto"/>
              </w:rPr>
              <w:t>1.00</w:t>
            </w:r>
          </w:p>
        </w:tc>
        <w:tc>
          <w:tcPr>
            <w:tcW w:w="1520" w:type="dxa"/>
            <w:vAlign w:val="bottom"/>
          </w:tcPr>
          <w:p>
            <w:pPr>
              <w:jc w:val="center"/>
              <w:spacing w:after="0"/>
              <w:rPr>
                <w:sz w:val="20"/>
                <w:szCs w:val="20"/>
                <w:color w:val="auto"/>
              </w:rPr>
            </w:pPr>
            <w:r>
              <w:rPr>
                <w:rFonts w:ascii="Arial" w:cs="Arial" w:eastAsia="Arial" w:hAnsi="Arial"/>
                <w:sz w:val="17"/>
                <w:szCs w:val="17"/>
                <w:color w:val="auto"/>
                <w:w w:val="90"/>
              </w:rPr>
              <w:t>9.41</w:t>
            </w:r>
          </w:p>
        </w:tc>
      </w:tr>
      <w:tr>
        <w:trPr>
          <w:trHeight w:val="208"/>
        </w:trPr>
        <w:tc>
          <w:tcPr>
            <w:tcW w:w="80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Credicorp Capital Colombia</w:t>
            </w: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3.80</w:t>
            </w:r>
          </w:p>
        </w:tc>
        <w:tc>
          <w:tcPr>
            <w:tcW w:w="15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3"/>
              </w:rPr>
              <w:t>12.63</w:t>
            </w:r>
          </w:p>
        </w:tc>
      </w:tr>
      <w:tr>
        <w:trPr>
          <w:trHeight w:val="208"/>
        </w:trPr>
        <w:tc>
          <w:tcPr>
            <w:tcW w:w="8000" w:type="dxa"/>
            <w:vAlign w:val="bottom"/>
            <w:gridSpan w:val="2"/>
          </w:tcPr>
          <w:p>
            <w:pPr>
              <w:spacing w:after="0"/>
              <w:rPr>
                <w:sz w:val="20"/>
                <w:szCs w:val="20"/>
                <w:color w:val="auto"/>
              </w:rPr>
            </w:pPr>
            <w:r>
              <w:rPr>
                <w:rFonts w:ascii="Arial" w:cs="Arial" w:eastAsia="Arial" w:hAnsi="Arial"/>
                <w:sz w:val="17"/>
                <w:szCs w:val="17"/>
                <w:color w:val="auto"/>
              </w:rPr>
              <w:t>Banco de Crédito del Perú</w:t>
            </w:r>
          </w:p>
        </w:tc>
        <w:tc>
          <w:tcPr>
            <w:tcW w:w="1420" w:type="dxa"/>
            <w:vAlign w:val="bottom"/>
            <w:gridSpan w:val="2"/>
          </w:tcPr>
          <w:p>
            <w:pPr>
              <w:jc w:val="right"/>
              <w:ind w:right="220"/>
              <w:spacing w:after="0"/>
              <w:rPr>
                <w:sz w:val="20"/>
                <w:szCs w:val="20"/>
                <w:color w:val="auto"/>
              </w:rPr>
            </w:pPr>
            <w:r>
              <w:rPr>
                <w:rFonts w:ascii="Arial" w:cs="Arial" w:eastAsia="Arial" w:hAnsi="Arial"/>
                <w:sz w:val="17"/>
                <w:szCs w:val="17"/>
                <w:color w:val="auto"/>
              </w:rPr>
              <w:t>5.00</w:t>
            </w:r>
          </w:p>
        </w:tc>
        <w:tc>
          <w:tcPr>
            <w:tcW w:w="1520" w:type="dxa"/>
            <w:vAlign w:val="bottom"/>
          </w:tcPr>
          <w:p>
            <w:pPr>
              <w:jc w:val="center"/>
              <w:spacing w:after="0"/>
              <w:rPr>
                <w:sz w:val="20"/>
                <w:szCs w:val="20"/>
                <w:color w:val="auto"/>
              </w:rPr>
            </w:pPr>
            <w:r>
              <w:rPr>
                <w:rFonts w:ascii="Arial" w:cs="Arial" w:eastAsia="Arial" w:hAnsi="Arial"/>
                <w:sz w:val="17"/>
                <w:szCs w:val="17"/>
                <w:color w:val="auto"/>
                <w:w w:val="89"/>
              </w:rPr>
              <w:t>11.46</w:t>
            </w:r>
          </w:p>
        </w:tc>
      </w:tr>
      <w:tr>
        <w:trPr>
          <w:trHeight w:val="208"/>
        </w:trPr>
        <w:tc>
          <w:tcPr>
            <w:tcW w:w="80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Inversiones IMT</w:t>
            </w: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5.25</w:t>
            </w:r>
          </w:p>
        </w:tc>
        <w:tc>
          <w:tcPr>
            <w:tcW w:w="15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9"/>
              </w:rPr>
              <w:t>11.72</w:t>
            </w:r>
          </w:p>
        </w:tc>
      </w:tr>
      <w:tr>
        <w:trPr>
          <w:trHeight w:val="208"/>
        </w:trPr>
        <w:tc>
          <w:tcPr>
            <w:tcW w:w="8000" w:type="dxa"/>
            <w:vAlign w:val="bottom"/>
            <w:gridSpan w:val="2"/>
          </w:tcPr>
          <w:p>
            <w:pPr>
              <w:spacing w:after="0"/>
              <w:rPr>
                <w:sz w:val="20"/>
                <w:szCs w:val="20"/>
                <w:color w:val="auto"/>
              </w:rPr>
            </w:pPr>
            <w:r>
              <w:rPr>
                <w:rFonts w:ascii="Arial" w:cs="Arial" w:eastAsia="Arial" w:hAnsi="Arial"/>
                <w:sz w:val="17"/>
                <w:szCs w:val="17"/>
                <w:color w:val="auto"/>
              </w:rPr>
              <w:t>Pacífico Seguros (*)</w:t>
            </w:r>
          </w:p>
        </w:tc>
        <w:tc>
          <w:tcPr>
            <w:tcW w:w="1420" w:type="dxa"/>
            <w:vAlign w:val="bottom"/>
            <w:gridSpan w:val="2"/>
          </w:tcPr>
          <w:p>
            <w:pPr>
              <w:jc w:val="right"/>
              <w:ind w:right="220"/>
              <w:spacing w:after="0"/>
              <w:rPr>
                <w:sz w:val="20"/>
                <w:szCs w:val="20"/>
                <w:color w:val="auto"/>
              </w:rPr>
            </w:pPr>
            <w:r>
              <w:rPr>
                <w:rFonts w:ascii="Arial" w:cs="Arial" w:eastAsia="Arial" w:hAnsi="Arial"/>
                <w:sz w:val="17"/>
                <w:szCs w:val="17"/>
                <w:color w:val="auto"/>
              </w:rPr>
              <w:t>5.00</w:t>
            </w:r>
          </w:p>
        </w:tc>
        <w:tc>
          <w:tcPr>
            <w:tcW w:w="1520" w:type="dxa"/>
            <w:vAlign w:val="bottom"/>
          </w:tcPr>
          <w:p>
            <w:pPr>
              <w:jc w:val="center"/>
              <w:spacing w:after="0"/>
              <w:rPr>
                <w:sz w:val="20"/>
                <w:szCs w:val="20"/>
                <w:color w:val="auto"/>
              </w:rPr>
            </w:pPr>
            <w:r>
              <w:rPr>
                <w:rFonts w:ascii="Arial" w:cs="Arial" w:eastAsia="Arial" w:hAnsi="Arial"/>
                <w:sz w:val="17"/>
                <w:szCs w:val="17"/>
                <w:color w:val="auto"/>
                <w:w w:val="91"/>
              </w:rPr>
              <w:t>11.24 and 12.38</w:t>
            </w:r>
          </w:p>
        </w:tc>
      </w:tr>
      <w:tr>
        <w:trPr>
          <w:trHeight w:val="208"/>
        </w:trPr>
        <w:tc>
          <w:tcPr>
            <w:tcW w:w="80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Atlantic Security Holding Corporation</w:t>
            </w: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2.00</w:t>
            </w:r>
          </w:p>
        </w:tc>
        <w:tc>
          <w:tcPr>
            <w:tcW w:w="15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3"/>
              </w:rPr>
              <w:t>10.31</w:t>
            </w:r>
          </w:p>
        </w:tc>
      </w:tr>
    </w:tbl>
    <w:p>
      <w:pPr>
        <w:spacing w:after="0" w:line="195" w:lineRule="exact"/>
        <w:rPr>
          <w:sz w:val="20"/>
          <w:szCs w:val="20"/>
          <w:color w:val="auto"/>
        </w:rPr>
      </w:pPr>
    </w:p>
    <w:p>
      <w:pPr>
        <w:ind w:left="616" w:right="480" w:hanging="304"/>
        <w:spacing w:after="0" w:line="285" w:lineRule="auto"/>
        <w:tabs>
          <w:tab w:leader="none" w:pos="616" w:val="left"/>
        </w:tabs>
        <w:numPr>
          <w:ilvl w:val="0"/>
          <w:numId w:val="86"/>
        </w:numPr>
        <w:rPr>
          <w:rFonts w:ascii="Arial" w:cs="Arial" w:eastAsia="Arial" w:hAnsi="Arial"/>
          <w:sz w:val="17"/>
          <w:szCs w:val="17"/>
          <w:color w:val="auto"/>
        </w:rPr>
      </w:pPr>
      <w:r>
        <w:rPr>
          <w:rFonts w:ascii="Arial" w:cs="Arial" w:eastAsia="Arial" w:hAnsi="Arial"/>
          <w:sz w:val="17"/>
          <w:szCs w:val="17"/>
          <w:color w:val="auto"/>
        </w:rPr>
        <w:t>As of December 31, 2017, corresponds to the discount rates used by the Group to determine the recoverable value for the non-life and life insurance business lines cash flows that comprised this CGU as a result of the merger, See Note 2(a).</w:t>
      </w:r>
    </w:p>
    <w:p>
      <w:pPr>
        <w:spacing w:after="0" w:line="367" w:lineRule="exact"/>
        <w:rPr>
          <w:rFonts w:ascii="Arial" w:cs="Arial" w:eastAsia="Arial" w:hAnsi="Arial"/>
          <w:sz w:val="17"/>
          <w:szCs w:val="17"/>
          <w:color w:val="auto"/>
        </w:rPr>
      </w:pPr>
    </w:p>
    <w:p>
      <w:pPr>
        <w:ind w:left="5636" w:hanging="107"/>
        <w:spacing w:after="0"/>
        <w:tabs>
          <w:tab w:leader="none" w:pos="5636" w:val="left"/>
        </w:tabs>
        <w:numPr>
          <w:ilvl w:val="1"/>
          <w:numId w:val="86"/>
        </w:numPr>
        <w:rPr>
          <w:rFonts w:ascii="Arial" w:cs="Arial" w:eastAsia="Arial" w:hAnsi="Arial"/>
          <w:sz w:val="17"/>
          <w:szCs w:val="17"/>
          <w:color w:val="auto"/>
        </w:rPr>
      </w:pPr>
      <w:r>
        <w:rPr>
          <w:rFonts w:ascii="Arial" w:cs="Arial" w:eastAsia="Arial" w:hAnsi="Arial"/>
          <w:sz w:val="17"/>
          <w:szCs w:val="17"/>
          <w:color w:val="auto"/>
        </w:rPr>
        <w:t>69 -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15875</wp:posOffset>
            </wp:positionV>
            <wp:extent cx="725170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51700" cy="8255"/>
                    </a:xfrm>
                    <a:prstGeom prst="rect">
                      <a:avLst/>
                    </a:prstGeom>
                    <a:noFill/>
                  </pic:spPr>
                </pic:pic>
              </a:graphicData>
            </a:graphic>
          </wp:anchor>
        </w:drawing>
      </w:r>
    </w:p>
    <w:p>
      <w:pPr>
        <w:sectPr>
          <w:pgSz w:w="11900" w:h="16838" w:orient="portrait"/>
          <w:cols w:equalWidth="0" w:num="1">
            <w:col w:w="11356"/>
          </w:cols>
          <w:pgMar w:left="244" w:top="881" w:right="299" w:bottom="1440" w:gutter="0" w:footer="0" w:header="0"/>
        </w:sectPr>
      </w:pPr>
    </w:p>
    <w:bookmarkStart w:id="75" w:name="page76"/>
    <w:bookmarkEnd w:id="75"/>
    <w:tbl>
      <w:tblPr>
        <w:tblLayout w:type="fixed"/>
        <w:tblInd w:w="0" w:type="dxa"/>
        <w:tblCellMar>
          <w:top w:w="0" w:type="dxa"/>
          <w:left w:w="0" w:type="dxa"/>
          <w:bottom w:w="0" w:type="dxa"/>
          <w:right w:w="0" w:type="dxa"/>
        </w:tblCellMar>
      </w:tblPr>
      <w:tr>
        <w:trPr>
          <w:trHeight w:val="226"/>
        </w:trPr>
        <w:tc>
          <w:tcPr>
            <w:tcW w:w="7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960" w:type="dxa"/>
            <w:vAlign w:val="bottom"/>
            <w:gridSpan w:val="4"/>
          </w:tcPr>
          <w:p>
            <w:pPr>
              <w:ind w:left="660"/>
              <w:spacing w:after="0"/>
              <w:rPr>
                <w:sz w:val="20"/>
                <w:szCs w:val="20"/>
                <w:color w:val="auto"/>
              </w:rPr>
            </w:pPr>
            <w:r>
              <w:rPr>
                <w:rFonts w:ascii="Arial" w:cs="Arial" w:eastAsia="Arial" w:hAnsi="Arial"/>
                <w:sz w:val="17"/>
                <w:szCs w:val="17"/>
                <w:b w:val="1"/>
                <w:bCs w:val="1"/>
                <w:color w:val="auto"/>
              </w:rPr>
              <w:t>At December 31, 2016</w:t>
            </w:r>
          </w:p>
        </w:tc>
        <w:tc>
          <w:tcPr>
            <w:tcW w:w="0" w:type="dxa"/>
            <w:vAlign w:val="bottom"/>
          </w:tcPr>
          <w:p>
            <w:pPr>
              <w:spacing w:after="0"/>
              <w:rPr>
                <w:sz w:val="1"/>
                <w:szCs w:val="1"/>
                <w:color w:val="auto"/>
              </w:rPr>
            </w:pPr>
          </w:p>
        </w:tc>
      </w:tr>
      <w:tr>
        <w:trPr>
          <w:trHeight w:val="182"/>
        </w:trPr>
        <w:tc>
          <w:tcPr>
            <w:tcW w:w="7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20" w:type="dxa"/>
            <w:vAlign w:val="bottom"/>
            <w:tcBorders>
              <w:top w:val="single" w:sz="8" w:color="auto"/>
            </w:tcBorders>
            <w:gridSpan w:val="2"/>
          </w:tcPr>
          <w:p>
            <w:pPr>
              <w:jc w:val="center"/>
              <w:ind w:right="260"/>
              <w:spacing w:after="0" w:line="183" w:lineRule="exact"/>
              <w:rPr>
                <w:sz w:val="20"/>
                <w:szCs w:val="20"/>
                <w:color w:val="auto"/>
              </w:rPr>
            </w:pPr>
            <w:r>
              <w:rPr>
                <w:rFonts w:ascii="Arial" w:cs="Arial" w:eastAsia="Arial" w:hAnsi="Arial"/>
                <w:sz w:val="17"/>
                <w:szCs w:val="17"/>
                <w:b w:val="1"/>
                <w:bCs w:val="1"/>
                <w:color w:val="auto"/>
                <w:w w:val="95"/>
              </w:rPr>
              <w:t>Terminal</w:t>
            </w:r>
          </w:p>
        </w:tc>
        <w:tc>
          <w:tcPr>
            <w:tcW w:w="152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7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7"/>
                <w:szCs w:val="17"/>
                <w:b w:val="1"/>
                <w:bCs w:val="1"/>
                <w:color w:val="auto"/>
                <w:w w:val="91"/>
              </w:rPr>
              <w:t>value</w:t>
            </w:r>
          </w:p>
        </w:tc>
        <w:tc>
          <w:tcPr>
            <w:tcW w:w="1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8000" w:type="dxa"/>
            <w:vAlign w:val="bottom"/>
            <w:gridSpan w:val="2"/>
          </w:tcPr>
          <w:p>
            <w:pPr>
              <w:spacing w:after="0"/>
              <w:rPr>
                <w:sz w:val="20"/>
                <w:szCs w:val="20"/>
                <w:color w:val="auto"/>
              </w:rPr>
            </w:pPr>
            <w:r>
              <w:rPr>
                <w:rFonts w:ascii="Arial" w:cs="Arial" w:eastAsia="Arial" w:hAnsi="Arial"/>
                <w:sz w:val="17"/>
                <w:szCs w:val="17"/>
                <w:b w:val="1"/>
                <w:bCs w:val="1"/>
                <w:color w:val="auto"/>
              </w:rPr>
              <w:t>Description</w:t>
            </w:r>
          </w:p>
        </w:tc>
        <w:tc>
          <w:tcPr>
            <w:tcW w:w="1420" w:type="dxa"/>
            <w:vAlign w:val="bottom"/>
            <w:gridSpan w:val="2"/>
          </w:tcPr>
          <w:p>
            <w:pPr>
              <w:jc w:val="center"/>
              <w:ind w:right="220"/>
              <w:spacing w:after="0"/>
              <w:rPr>
                <w:sz w:val="20"/>
                <w:szCs w:val="20"/>
                <w:color w:val="auto"/>
              </w:rPr>
            </w:pPr>
            <w:r>
              <w:rPr>
                <w:rFonts w:ascii="Arial" w:cs="Arial" w:eastAsia="Arial" w:hAnsi="Arial"/>
                <w:sz w:val="17"/>
                <w:szCs w:val="17"/>
                <w:b w:val="1"/>
                <w:bCs w:val="1"/>
                <w:color w:val="auto"/>
                <w:w w:val="95"/>
              </w:rPr>
              <w:t>growth rate</w:t>
            </w:r>
          </w:p>
        </w:tc>
        <w:tc>
          <w:tcPr>
            <w:tcW w:w="1540" w:type="dxa"/>
            <w:vAlign w:val="bottom"/>
            <w:gridSpan w:val="2"/>
          </w:tcPr>
          <w:p>
            <w:pPr>
              <w:ind w:left="260"/>
              <w:spacing w:after="0"/>
              <w:rPr>
                <w:sz w:val="20"/>
                <w:szCs w:val="20"/>
                <w:color w:val="auto"/>
              </w:rPr>
            </w:pPr>
            <w:r>
              <w:rPr>
                <w:rFonts w:ascii="Arial" w:cs="Arial" w:eastAsia="Arial" w:hAnsi="Arial"/>
                <w:sz w:val="17"/>
                <w:szCs w:val="17"/>
                <w:b w:val="1"/>
                <w:bCs w:val="1"/>
                <w:color w:val="auto"/>
              </w:rPr>
              <w:t>Discount rate</w:t>
            </w:r>
          </w:p>
        </w:tc>
        <w:tc>
          <w:tcPr>
            <w:tcW w:w="0" w:type="dxa"/>
            <w:vAlign w:val="bottom"/>
          </w:tcPr>
          <w:p>
            <w:pPr>
              <w:spacing w:after="0"/>
              <w:rPr>
                <w:sz w:val="1"/>
                <w:szCs w:val="1"/>
                <w:color w:val="auto"/>
              </w:rPr>
            </w:pPr>
          </w:p>
        </w:tc>
      </w:tr>
      <w:tr>
        <w:trPr>
          <w:trHeight w:val="219"/>
        </w:trPr>
        <w:tc>
          <w:tcPr>
            <w:tcW w:w="78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Borders>
              <w:top w:val="single" w:sz="8" w:color="auto"/>
            </w:tcBorders>
          </w:tcPr>
          <w:p>
            <w:pPr>
              <w:jc w:val="center"/>
              <w:spacing w:after="0"/>
              <w:rPr>
                <w:sz w:val="20"/>
                <w:szCs w:val="20"/>
                <w:color w:val="auto"/>
              </w:rPr>
            </w:pPr>
            <w:r>
              <w:rPr>
                <w:rFonts w:ascii="Arial" w:cs="Arial" w:eastAsia="Arial" w:hAnsi="Arial"/>
                <w:sz w:val="17"/>
                <w:szCs w:val="17"/>
                <w:b w:val="1"/>
                <w:bCs w:val="1"/>
                <w:color w:val="auto"/>
              </w:rPr>
              <w:t>%</w:t>
            </w:r>
          </w:p>
        </w:tc>
        <w:tc>
          <w:tcPr>
            <w:tcW w:w="220" w:type="dxa"/>
            <w:vAlign w:val="bottom"/>
          </w:tcPr>
          <w:p>
            <w:pPr>
              <w:spacing w:after="0"/>
              <w:rPr>
                <w:sz w:val="19"/>
                <w:szCs w:val="19"/>
                <w:color w:val="auto"/>
              </w:rPr>
            </w:pPr>
          </w:p>
        </w:tc>
        <w:tc>
          <w:tcPr>
            <w:tcW w:w="1520" w:type="dxa"/>
            <w:vAlign w:val="bottom"/>
            <w:tcBorders>
              <w:top w:val="single" w:sz="8" w:color="auto"/>
            </w:tcBorders>
          </w:tcPr>
          <w:p>
            <w:pPr>
              <w:jc w:val="right"/>
              <w:ind w:right="593"/>
              <w:spacing w:after="0"/>
              <w:rPr>
                <w:sz w:val="20"/>
                <w:szCs w:val="20"/>
                <w:color w:val="auto"/>
              </w:rPr>
            </w:pPr>
            <w:r>
              <w:rPr>
                <w:rFonts w:ascii="Arial" w:cs="Arial" w:eastAsia="Arial" w:hAnsi="Arial"/>
                <w:sz w:val="17"/>
                <w:szCs w:val="17"/>
                <w:b w:val="1"/>
                <w:bCs w:val="1"/>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7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2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80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Mibanco - Edyficar Perú</w:t>
            </w: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3.00</w:t>
            </w:r>
          </w:p>
        </w:tc>
        <w:tc>
          <w:tcPr>
            <w:tcW w:w="1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12.48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8000" w:type="dxa"/>
            <w:vAlign w:val="bottom"/>
            <w:gridSpan w:val="2"/>
          </w:tcPr>
          <w:p>
            <w:pPr>
              <w:spacing w:after="0"/>
              <w:rPr>
                <w:sz w:val="20"/>
                <w:szCs w:val="20"/>
                <w:color w:val="auto"/>
              </w:rPr>
            </w:pPr>
            <w:r>
              <w:rPr>
                <w:rFonts w:ascii="Arial" w:cs="Arial" w:eastAsia="Arial" w:hAnsi="Arial"/>
                <w:sz w:val="17"/>
                <w:szCs w:val="17"/>
                <w:color w:val="auto"/>
              </w:rPr>
              <w:t>Prima AFP - AFP Unión Vida</w:t>
            </w:r>
          </w:p>
        </w:tc>
        <w:tc>
          <w:tcPr>
            <w:tcW w:w="1420" w:type="dxa"/>
            <w:vAlign w:val="bottom"/>
            <w:gridSpan w:val="2"/>
          </w:tcPr>
          <w:p>
            <w:pPr>
              <w:jc w:val="right"/>
              <w:ind w:right="220"/>
              <w:spacing w:after="0"/>
              <w:rPr>
                <w:sz w:val="20"/>
                <w:szCs w:val="20"/>
                <w:color w:val="auto"/>
              </w:rPr>
            </w:pPr>
            <w:r>
              <w:rPr>
                <w:rFonts w:ascii="Arial" w:cs="Arial" w:eastAsia="Arial" w:hAnsi="Arial"/>
                <w:sz w:val="17"/>
                <w:szCs w:val="17"/>
                <w:color w:val="auto"/>
              </w:rPr>
              <w:t>1.20</w:t>
            </w:r>
          </w:p>
        </w:tc>
        <w:tc>
          <w:tcPr>
            <w:tcW w:w="1520" w:type="dxa"/>
            <w:vAlign w:val="bottom"/>
          </w:tcPr>
          <w:p>
            <w:pPr>
              <w:jc w:val="right"/>
              <w:spacing w:after="0"/>
              <w:rPr>
                <w:sz w:val="20"/>
                <w:szCs w:val="20"/>
                <w:color w:val="auto"/>
              </w:rPr>
            </w:pPr>
            <w:r>
              <w:rPr>
                <w:rFonts w:ascii="Arial" w:cs="Arial" w:eastAsia="Arial" w:hAnsi="Arial"/>
                <w:sz w:val="17"/>
                <w:szCs w:val="17"/>
                <w:color w:val="auto"/>
              </w:rPr>
              <w:t>8.73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80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Credicorp Capital Colombia</w:t>
            </w: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3.80</w:t>
            </w:r>
          </w:p>
        </w:tc>
        <w:tc>
          <w:tcPr>
            <w:tcW w:w="1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8000" w:type="dxa"/>
            <w:vAlign w:val="bottom"/>
            <w:gridSpan w:val="2"/>
          </w:tcPr>
          <w:p>
            <w:pPr>
              <w:spacing w:after="0"/>
              <w:rPr>
                <w:sz w:val="20"/>
                <w:szCs w:val="20"/>
                <w:color w:val="auto"/>
              </w:rPr>
            </w:pPr>
            <w:r>
              <w:rPr>
                <w:rFonts w:ascii="Arial" w:cs="Arial" w:eastAsia="Arial" w:hAnsi="Arial"/>
                <w:sz w:val="17"/>
                <w:szCs w:val="17"/>
                <w:color w:val="auto"/>
              </w:rPr>
              <w:t>Banco de Crédito del Perú</w:t>
            </w:r>
          </w:p>
        </w:tc>
        <w:tc>
          <w:tcPr>
            <w:tcW w:w="1420" w:type="dxa"/>
            <w:vAlign w:val="bottom"/>
            <w:gridSpan w:val="2"/>
          </w:tcPr>
          <w:p>
            <w:pPr>
              <w:jc w:val="right"/>
              <w:ind w:right="220"/>
              <w:spacing w:after="0"/>
              <w:rPr>
                <w:sz w:val="20"/>
                <w:szCs w:val="20"/>
                <w:color w:val="auto"/>
              </w:rPr>
            </w:pPr>
            <w:r>
              <w:rPr>
                <w:rFonts w:ascii="Arial" w:cs="Arial" w:eastAsia="Arial" w:hAnsi="Arial"/>
                <w:sz w:val="17"/>
                <w:szCs w:val="17"/>
                <w:color w:val="auto"/>
              </w:rPr>
              <w:t>5.00</w:t>
            </w:r>
          </w:p>
        </w:tc>
        <w:tc>
          <w:tcPr>
            <w:tcW w:w="1520" w:type="dxa"/>
            <w:vAlign w:val="bottom"/>
          </w:tcPr>
          <w:p>
            <w:pPr>
              <w:jc w:val="right"/>
              <w:spacing w:after="0"/>
              <w:rPr>
                <w:sz w:val="20"/>
                <w:szCs w:val="20"/>
                <w:color w:val="auto"/>
              </w:rPr>
            </w:pPr>
            <w:r>
              <w:rPr>
                <w:rFonts w:ascii="Arial" w:cs="Arial" w:eastAsia="Arial" w:hAnsi="Arial"/>
                <w:sz w:val="17"/>
                <w:szCs w:val="17"/>
                <w:color w:val="auto"/>
              </w:rPr>
              <w:t>12.48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80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Inversiones IMT</w:t>
            </w: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5.25</w:t>
            </w:r>
          </w:p>
        </w:tc>
        <w:tc>
          <w:tcPr>
            <w:tcW w:w="1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12.41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8000" w:type="dxa"/>
            <w:vAlign w:val="bottom"/>
            <w:gridSpan w:val="2"/>
          </w:tcPr>
          <w:p>
            <w:pPr>
              <w:spacing w:after="0"/>
              <w:rPr>
                <w:sz w:val="20"/>
                <w:szCs w:val="20"/>
                <w:color w:val="auto"/>
              </w:rPr>
            </w:pPr>
            <w:r>
              <w:rPr>
                <w:rFonts w:ascii="Arial" w:cs="Arial" w:eastAsia="Arial" w:hAnsi="Arial"/>
                <w:sz w:val="17"/>
                <w:szCs w:val="17"/>
                <w:color w:val="auto"/>
              </w:rPr>
              <w:t>Pacífico Seguros</w:t>
            </w:r>
          </w:p>
        </w:tc>
        <w:tc>
          <w:tcPr>
            <w:tcW w:w="1420" w:type="dxa"/>
            <w:vAlign w:val="bottom"/>
            <w:gridSpan w:val="2"/>
          </w:tcPr>
          <w:p>
            <w:pPr>
              <w:jc w:val="right"/>
              <w:ind w:right="220"/>
              <w:spacing w:after="0"/>
              <w:rPr>
                <w:sz w:val="20"/>
                <w:szCs w:val="20"/>
                <w:color w:val="auto"/>
              </w:rPr>
            </w:pPr>
            <w:r>
              <w:rPr>
                <w:rFonts w:ascii="Arial" w:cs="Arial" w:eastAsia="Arial" w:hAnsi="Arial"/>
                <w:sz w:val="17"/>
                <w:szCs w:val="17"/>
                <w:color w:val="auto"/>
              </w:rPr>
              <w:t>5.00</w:t>
            </w:r>
          </w:p>
        </w:tc>
        <w:tc>
          <w:tcPr>
            <w:tcW w:w="1520" w:type="dxa"/>
            <w:vAlign w:val="bottom"/>
          </w:tcPr>
          <w:p>
            <w:pPr>
              <w:jc w:val="right"/>
              <w:spacing w:after="0"/>
              <w:rPr>
                <w:sz w:val="20"/>
                <w:szCs w:val="20"/>
                <w:color w:val="auto"/>
              </w:rPr>
            </w:pPr>
            <w:r>
              <w:rPr>
                <w:rFonts w:ascii="Arial" w:cs="Arial" w:eastAsia="Arial" w:hAnsi="Arial"/>
                <w:sz w:val="17"/>
                <w:szCs w:val="17"/>
                <w:color w:val="auto"/>
              </w:rPr>
              <w:t>11.66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80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Atlantic Security Holding Corporation</w:t>
            </w: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2.00</w:t>
            </w:r>
          </w:p>
        </w:tc>
        <w:tc>
          <w:tcPr>
            <w:tcW w:w="1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95" w:lineRule="exact"/>
        <w:rPr>
          <w:sz w:val="20"/>
          <w:szCs w:val="20"/>
          <w:color w:val="auto"/>
        </w:rPr>
      </w:pPr>
    </w:p>
    <w:p>
      <w:pPr>
        <w:ind w:right="180"/>
        <w:spacing w:after="0" w:line="270" w:lineRule="auto"/>
        <w:rPr>
          <w:sz w:val="20"/>
          <w:szCs w:val="20"/>
          <w:color w:val="auto"/>
        </w:rPr>
      </w:pPr>
      <w:r>
        <w:rPr>
          <w:rFonts w:ascii="Arial" w:cs="Arial" w:eastAsia="Arial" w:hAnsi="Arial"/>
          <w:sz w:val="17"/>
          <w:szCs w:val="17"/>
          <w:color w:val="auto"/>
        </w:rPr>
        <w:t>Five or ten years of cash flows, depending on the business maturity, were included in the discounted cash flow model. The growth rate estimates are based on past performance and management’s expectations of market development. A long-term growth rate to perpetuity has been determined taking into account forecasts included in industry reports.</w:t>
      </w:r>
    </w:p>
    <w:p>
      <w:pPr>
        <w:spacing w:after="0" w:line="172" w:lineRule="exact"/>
        <w:rPr>
          <w:sz w:val="20"/>
          <w:szCs w:val="20"/>
          <w:color w:val="auto"/>
        </w:rPr>
      </w:pPr>
    </w:p>
    <w:p>
      <w:pPr>
        <w:spacing w:after="0" w:line="265" w:lineRule="auto"/>
        <w:rPr>
          <w:sz w:val="20"/>
          <w:szCs w:val="20"/>
          <w:color w:val="auto"/>
        </w:rPr>
      </w:pPr>
      <w:r>
        <w:rPr>
          <w:rFonts w:ascii="Arial" w:cs="Arial" w:eastAsia="Arial" w:hAnsi="Arial"/>
          <w:sz w:val="17"/>
          <w:szCs w:val="17"/>
          <w:color w:val="auto"/>
        </w:rPr>
        <w:t>Discount rates represent the current market assessment of the risks specific to each CGU. The discount rate is derived from the capital asset pricing model (CAPM). The cost of equity is derived from the expected return on investment by the Group’s investors, specific risk incorporated by applying individual comparable beta factors adjusted by the debt structure of each CGU and country and market risk specific premiums to each CGU. The beta factors are evaluated annually based on publicly available market data.</w:t>
      </w:r>
    </w:p>
    <w:p>
      <w:pPr>
        <w:spacing w:after="0" w:line="176" w:lineRule="exact"/>
        <w:rPr>
          <w:sz w:val="20"/>
          <w:szCs w:val="20"/>
          <w:color w:val="auto"/>
        </w:rPr>
      </w:pPr>
    </w:p>
    <w:p>
      <w:pPr>
        <w:ind w:right="440"/>
        <w:spacing w:after="0" w:line="265" w:lineRule="auto"/>
        <w:rPr>
          <w:sz w:val="20"/>
          <w:szCs w:val="20"/>
          <w:color w:val="auto"/>
        </w:rPr>
      </w:pPr>
      <w:r>
        <w:rPr>
          <w:rFonts w:ascii="Arial" w:cs="Arial" w:eastAsia="Arial" w:hAnsi="Arial"/>
          <w:sz w:val="17"/>
          <w:szCs w:val="17"/>
          <w:color w:val="auto"/>
        </w:rPr>
        <w:t>During the year 2015, the Group recorded a gross impairment loss amounting to S/82.4 million (S/0.1 million during the year 2016), as a result of the assessment of the recoverable amount of the CGU “Inversiones IMT”, amounting to S/234.3 million, decreasing in relation to prior years due to the lower revenues generated compared to those originally budgeted by Management and for the changes expected in the payment of taxes attributable to the parent company resulting from the tax law reform presented in Chile.</w:t>
      </w:r>
    </w:p>
    <w:p>
      <w:pPr>
        <w:spacing w:after="0" w:line="176" w:lineRule="exact"/>
        <w:rPr>
          <w:sz w:val="20"/>
          <w:szCs w:val="20"/>
          <w:color w:val="auto"/>
        </w:rPr>
      </w:pPr>
    </w:p>
    <w:p>
      <w:pPr>
        <w:ind w:right="520"/>
        <w:spacing w:after="0" w:line="318" w:lineRule="auto"/>
        <w:rPr>
          <w:sz w:val="20"/>
          <w:szCs w:val="20"/>
          <w:color w:val="auto"/>
        </w:rPr>
      </w:pPr>
      <w:r>
        <w:rPr>
          <w:rFonts w:ascii="Arial" w:cs="Arial" w:eastAsia="Arial" w:hAnsi="Arial"/>
          <w:sz w:val="16"/>
          <w:szCs w:val="16"/>
          <w:color w:val="auto"/>
        </w:rPr>
        <w:t>The key assumptions described above may change if the conditions of the economy and market change. At December 31, 2017, the Group estimates that reasonably possible changes in these assumptions would not cause the recoverable amount of all CGUs to decline below their carrying amount.</w:t>
      </w:r>
    </w:p>
    <w:p>
      <w:pPr>
        <w:spacing w:after="0" w:line="344" w:lineRule="exact"/>
        <w:rPr>
          <w:sz w:val="20"/>
          <w:szCs w:val="20"/>
          <w:color w:val="auto"/>
        </w:rPr>
      </w:pPr>
    </w:p>
    <w:p>
      <w:pPr>
        <w:jc w:val="center"/>
        <w:ind w:right="300"/>
        <w:spacing w:after="0"/>
        <w:rPr>
          <w:sz w:val="20"/>
          <w:szCs w:val="20"/>
          <w:color w:val="auto"/>
        </w:rPr>
      </w:pPr>
      <w:r>
        <w:rPr>
          <w:rFonts w:ascii="Arial" w:cs="Arial" w:eastAsia="Arial" w:hAnsi="Arial"/>
          <w:sz w:val="17"/>
          <w:szCs w:val="17"/>
          <w:color w:val="auto"/>
        </w:rPr>
        <w:t>- 70 -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-200025</wp:posOffset>
            </wp:positionH>
            <wp:positionV relativeFrom="paragraph">
              <wp:posOffset>15875</wp:posOffset>
            </wp:positionV>
            <wp:extent cx="725170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51700" cy="8255"/>
                    </a:xfrm>
                    <a:prstGeom prst="rect">
                      <a:avLst/>
                    </a:prstGeom>
                    <a:noFill/>
                  </pic:spPr>
                </pic:pic>
              </a:graphicData>
            </a:graphic>
          </wp:anchor>
        </w:drawing>
      </w:r>
    </w:p>
    <w:p>
      <w:pPr>
        <w:sectPr>
          <w:pgSz w:w="11900" w:h="16838" w:orient="portrait"/>
          <w:cols w:equalWidth="0" w:num="1">
            <w:col w:w="11100"/>
          </w:cols>
          <w:pgMar w:left="560" w:top="888" w:right="239" w:bottom="1440" w:gutter="0" w:footer="0" w:header="0"/>
        </w:sectPr>
      </w:pPr>
    </w:p>
    <w:bookmarkStart w:id="76" w:name="page77"/>
    <w:bookmarkEnd w:id="76"/>
    <w:tbl>
      <w:tblPr>
        <w:tblLayout w:type="fixed"/>
        <w:tblInd w:w="0" w:type="dxa"/>
        <w:tblCellMar>
          <w:top w:w="0" w:type="dxa"/>
          <w:left w:w="0" w:type="dxa"/>
          <w:bottom w:w="0" w:type="dxa"/>
          <w:right w:w="0" w:type="dxa"/>
        </w:tblCellMar>
      </w:tblPr>
      <w:tr>
        <w:trPr>
          <w:trHeight w:val="226"/>
        </w:trPr>
        <w:tc>
          <w:tcPr>
            <w:tcW w:w="320" w:type="dxa"/>
            <w:vAlign w:val="bottom"/>
          </w:tcPr>
          <w:p>
            <w:pPr>
              <w:spacing w:after="0"/>
              <w:rPr>
                <w:sz w:val="20"/>
                <w:szCs w:val="20"/>
                <w:color w:val="auto"/>
              </w:rPr>
            </w:pPr>
            <w:r>
              <w:rPr>
                <w:rFonts w:ascii="Arial" w:cs="Arial" w:eastAsia="Arial" w:hAnsi="Arial"/>
                <w:sz w:val="17"/>
                <w:szCs w:val="17"/>
                <w:b w:val="1"/>
                <w:bCs w:val="1"/>
                <w:color w:val="auto"/>
              </w:rPr>
              <w:t>12</w:t>
            </w:r>
          </w:p>
        </w:tc>
        <w:tc>
          <w:tcPr>
            <w:tcW w:w="4360" w:type="dxa"/>
            <w:vAlign w:val="bottom"/>
          </w:tcPr>
          <w:p>
            <w:pPr>
              <w:spacing w:after="0"/>
              <w:rPr>
                <w:sz w:val="20"/>
                <w:szCs w:val="20"/>
                <w:color w:val="auto"/>
              </w:rPr>
            </w:pPr>
            <w:r>
              <w:rPr>
                <w:rFonts w:ascii="Arial" w:cs="Arial" w:eastAsia="Arial" w:hAnsi="Arial"/>
                <w:sz w:val="17"/>
                <w:szCs w:val="17"/>
                <w:b w:val="1"/>
                <w:bCs w:val="1"/>
                <w:color w:val="auto"/>
              </w:rPr>
              <w:t>OTHER ASSETS AND OTHER LIABILITIES</w:t>
            </w:r>
          </w:p>
        </w:tc>
        <w:tc>
          <w:tcPr>
            <w:tcW w:w="38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6"/>
        </w:trPr>
        <w:tc>
          <w:tcPr>
            <w:tcW w:w="320" w:type="dxa"/>
            <w:vAlign w:val="bottom"/>
          </w:tcPr>
          <w:p>
            <w:pPr>
              <w:spacing w:after="0"/>
              <w:rPr>
                <w:sz w:val="20"/>
                <w:szCs w:val="20"/>
                <w:color w:val="auto"/>
              </w:rPr>
            </w:pPr>
            <w:r>
              <w:rPr>
                <w:rFonts w:ascii="Arial" w:cs="Arial" w:eastAsia="Arial" w:hAnsi="Arial"/>
                <w:sz w:val="17"/>
                <w:szCs w:val="17"/>
                <w:color w:val="auto"/>
              </w:rPr>
              <w:t>a)</w:t>
            </w:r>
          </w:p>
        </w:tc>
        <w:tc>
          <w:tcPr>
            <w:tcW w:w="4360" w:type="dxa"/>
            <w:vAlign w:val="bottom"/>
          </w:tcPr>
          <w:p>
            <w:pPr>
              <w:spacing w:after="0"/>
              <w:rPr>
                <w:sz w:val="20"/>
                <w:szCs w:val="20"/>
                <w:color w:val="auto"/>
              </w:rPr>
            </w:pPr>
            <w:r>
              <w:rPr>
                <w:rFonts w:ascii="Arial" w:cs="Arial" w:eastAsia="Arial" w:hAnsi="Arial"/>
                <w:sz w:val="17"/>
                <w:szCs w:val="17"/>
                <w:color w:val="auto"/>
              </w:rPr>
              <w:t>This item consists of the following:</w:t>
            </w:r>
          </w:p>
        </w:tc>
        <w:tc>
          <w:tcPr>
            <w:tcW w:w="38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9"/>
        </w:trPr>
        <w:tc>
          <w:tcPr>
            <w:tcW w:w="32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5080" w:type="dxa"/>
            <w:vAlign w:val="bottom"/>
            <w:gridSpan w:val="2"/>
          </w:tcPr>
          <w:p>
            <w:pPr>
              <w:jc w:val="right"/>
              <w:ind w:right="353"/>
              <w:spacing w:after="0"/>
              <w:rPr>
                <w:sz w:val="20"/>
                <w:szCs w:val="20"/>
                <w:color w:val="auto"/>
              </w:rPr>
            </w:pPr>
            <w:r>
              <w:rPr>
                <w:rFonts w:ascii="Arial" w:cs="Arial" w:eastAsia="Arial" w:hAnsi="Arial"/>
                <w:sz w:val="17"/>
                <w:szCs w:val="17"/>
                <w:b w:val="1"/>
                <w:bCs w:val="1"/>
                <w:color w:val="auto"/>
              </w:rPr>
              <w:t>2017</w:t>
            </w:r>
          </w:p>
        </w:tc>
        <w:tc>
          <w:tcPr>
            <w:tcW w:w="200" w:type="dxa"/>
            <w:vAlign w:val="bottom"/>
          </w:tcPr>
          <w:p>
            <w:pPr>
              <w:spacing w:after="0"/>
              <w:rPr>
                <w:sz w:val="24"/>
                <w:szCs w:val="24"/>
                <w:color w:val="auto"/>
              </w:rPr>
            </w:pPr>
          </w:p>
        </w:tc>
        <w:tc>
          <w:tcPr>
            <w:tcW w:w="1200" w:type="dxa"/>
            <w:vAlign w:val="bottom"/>
          </w:tcPr>
          <w:p>
            <w:pPr>
              <w:jc w:val="right"/>
              <w:ind w:right="333"/>
              <w:spacing w:after="0"/>
              <w:rPr>
                <w:sz w:val="20"/>
                <w:szCs w:val="20"/>
                <w:color w:val="auto"/>
              </w:rPr>
            </w:pPr>
            <w:r>
              <w:rPr>
                <w:rFonts w:ascii="Arial" w:cs="Arial" w:eastAsia="Arial" w:hAnsi="Arial"/>
                <w:sz w:val="17"/>
                <w:szCs w:val="17"/>
                <w:b w:val="1"/>
                <w:bCs w:val="1"/>
                <w:color w:val="auto"/>
              </w:rPr>
              <w:t>2016</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1"/>
        </w:trPr>
        <w:tc>
          <w:tcPr>
            <w:tcW w:w="320" w:type="dxa"/>
            <w:vAlign w:val="bottom"/>
          </w:tcPr>
          <w:p>
            <w:pPr>
              <w:spacing w:after="0"/>
              <w:rPr>
                <w:sz w:val="17"/>
                <w:szCs w:val="17"/>
                <w:color w:val="auto"/>
              </w:rPr>
            </w:pPr>
          </w:p>
        </w:tc>
        <w:tc>
          <w:tcPr>
            <w:tcW w:w="4360" w:type="dxa"/>
            <w:vAlign w:val="bottom"/>
          </w:tcPr>
          <w:p>
            <w:pPr>
              <w:spacing w:after="0"/>
              <w:rPr>
                <w:sz w:val="17"/>
                <w:szCs w:val="17"/>
                <w:color w:val="auto"/>
              </w:rPr>
            </w:pPr>
          </w:p>
        </w:tc>
        <w:tc>
          <w:tcPr>
            <w:tcW w:w="3860" w:type="dxa"/>
            <w:vAlign w:val="bottom"/>
          </w:tcPr>
          <w:p>
            <w:pPr>
              <w:spacing w:after="0"/>
              <w:rPr>
                <w:sz w:val="17"/>
                <w:szCs w:val="17"/>
                <w:color w:val="auto"/>
              </w:rPr>
            </w:pPr>
          </w:p>
        </w:tc>
        <w:tc>
          <w:tcPr>
            <w:tcW w:w="1220" w:type="dxa"/>
            <w:vAlign w:val="bottom"/>
            <w:tcBorders>
              <w:top w:val="single" w:sz="8" w:color="auto"/>
            </w:tcBorders>
          </w:tcPr>
          <w:p>
            <w:pPr>
              <w:jc w:val="center"/>
              <w:spacing w:after="0"/>
              <w:rPr>
                <w:sz w:val="20"/>
                <w:szCs w:val="20"/>
                <w:color w:val="auto"/>
              </w:rPr>
            </w:pPr>
            <w:r>
              <w:rPr>
                <w:rFonts w:ascii="Arial" w:cs="Arial" w:eastAsia="Arial" w:hAnsi="Arial"/>
                <w:sz w:val="17"/>
                <w:szCs w:val="17"/>
                <w:b w:val="1"/>
                <w:bCs w:val="1"/>
                <w:color w:val="auto"/>
                <w:w w:val="93"/>
              </w:rPr>
              <w:t>S/(000)</w:t>
            </w:r>
          </w:p>
        </w:tc>
        <w:tc>
          <w:tcPr>
            <w:tcW w:w="200" w:type="dxa"/>
            <w:vAlign w:val="bottom"/>
          </w:tcPr>
          <w:p>
            <w:pPr>
              <w:spacing w:after="0"/>
              <w:rPr>
                <w:sz w:val="17"/>
                <w:szCs w:val="17"/>
                <w:color w:val="auto"/>
              </w:rPr>
            </w:pPr>
          </w:p>
        </w:tc>
        <w:tc>
          <w:tcPr>
            <w:tcW w:w="1200" w:type="dxa"/>
            <w:vAlign w:val="bottom"/>
            <w:tcBorders>
              <w:top w:val="single" w:sz="8" w:color="auto"/>
            </w:tcBorders>
          </w:tcPr>
          <w:p>
            <w:pPr>
              <w:jc w:val="center"/>
              <w:spacing w:after="0"/>
              <w:rPr>
                <w:sz w:val="20"/>
                <w:szCs w:val="20"/>
                <w:color w:val="auto"/>
              </w:rPr>
            </w:pPr>
            <w:r>
              <w:rPr>
                <w:rFonts w:ascii="Arial" w:cs="Arial" w:eastAsia="Arial" w:hAnsi="Arial"/>
                <w:sz w:val="17"/>
                <w:szCs w:val="17"/>
                <w:b w:val="1"/>
                <w:bCs w:val="1"/>
                <w:color w:val="auto"/>
                <w:w w:val="93"/>
              </w:rPr>
              <w:t>S/(000)</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32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Other assets -</w:t>
            </w:r>
          </w:p>
        </w:tc>
        <w:tc>
          <w:tcPr>
            <w:tcW w:w="38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2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Arial" w:cs="Arial" w:eastAsia="Arial" w:hAnsi="Arial"/>
                <w:sz w:val="17"/>
                <w:szCs w:val="17"/>
                <w:b w:val="1"/>
                <w:bCs w:val="1"/>
                <w:color w:val="auto"/>
              </w:rPr>
              <w:t>Financial instruments:</w:t>
            </w:r>
          </w:p>
        </w:tc>
        <w:tc>
          <w:tcPr>
            <w:tcW w:w="38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2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7"/>
                <w:szCs w:val="17"/>
                <w:color w:val="auto"/>
              </w:rPr>
              <w:t>Receivables</w:t>
            </w:r>
          </w:p>
        </w:tc>
        <w:tc>
          <w:tcPr>
            <w:tcW w:w="50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1,676,583</w:t>
            </w: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1,240,632</w:t>
            </w:r>
          </w:p>
        </w:tc>
        <w:tc>
          <w:tcPr>
            <w:tcW w:w="100" w:type="dxa"/>
            <w:vAlign w:val="bottom"/>
            <w:shd w:val="clear" w:color="auto" w:fill="CCEEFF"/>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2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Arial" w:cs="Arial" w:eastAsia="Arial" w:hAnsi="Arial"/>
                <w:sz w:val="17"/>
                <w:szCs w:val="17"/>
                <w:color w:val="auto"/>
              </w:rPr>
              <w:t>Derivatives receivable (b)</w:t>
            </w:r>
          </w:p>
        </w:tc>
        <w:tc>
          <w:tcPr>
            <w:tcW w:w="5280" w:type="dxa"/>
            <w:vAlign w:val="bottom"/>
            <w:gridSpan w:val="3"/>
          </w:tcPr>
          <w:p>
            <w:pPr>
              <w:jc w:val="right"/>
              <w:ind w:right="200"/>
              <w:spacing w:after="0"/>
              <w:rPr>
                <w:sz w:val="20"/>
                <w:szCs w:val="20"/>
                <w:color w:val="auto"/>
              </w:rPr>
            </w:pPr>
            <w:r>
              <w:rPr>
                <w:rFonts w:ascii="Arial" w:cs="Arial" w:eastAsia="Arial" w:hAnsi="Arial"/>
                <w:sz w:val="17"/>
                <w:szCs w:val="17"/>
                <w:color w:val="auto"/>
              </w:rPr>
              <w:t>701,826</w:t>
            </w:r>
          </w:p>
        </w:tc>
        <w:tc>
          <w:tcPr>
            <w:tcW w:w="1200" w:type="dxa"/>
            <w:vAlign w:val="bottom"/>
          </w:tcPr>
          <w:p>
            <w:pPr>
              <w:jc w:val="right"/>
              <w:spacing w:after="0"/>
              <w:rPr>
                <w:sz w:val="20"/>
                <w:szCs w:val="20"/>
                <w:color w:val="auto"/>
              </w:rPr>
            </w:pPr>
            <w:r>
              <w:rPr>
                <w:rFonts w:ascii="Arial" w:cs="Arial" w:eastAsia="Arial" w:hAnsi="Arial"/>
                <w:sz w:val="17"/>
                <w:szCs w:val="17"/>
                <w:color w:val="auto"/>
              </w:rPr>
              <w:t>942,602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320" w:type="dxa"/>
            <w:vAlign w:val="bottom"/>
          </w:tcPr>
          <w:p>
            <w:pPr>
              <w:spacing w:after="0"/>
              <w:rPr>
                <w:sz w:val="19"/>
                <w:szCs w:val="19"/>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7"/>
                <w:szCs w:val="17"/>
                <w:color w:val="auto"/>
              </w:rPr>
              <w:t>Operations in process (c)</w:t>
            </w:r>
          </w:p>
        </w:tc>
        <w:tc>
          <w:tcPr>
            <w:tcW w:w="5280" w:type="dxa"/>
            <w:vAlign w:val="bottom"/>
            <w:gridSpan w:val="3"/>
            <w:shd w:val="clear" w:color="auto" w:fill="CCEEFF"/>
          </w:tcPr>
          <w:p>
            <w:pPr>
              <w:jc w:val="right"/>
              <w:ind w:right="200"/>
              <w:spacing w:after="0"/>
              <w:rPr>
                <w:sz w:val="20"/>
                <w:szCs w:val="20"/>
                <w:color w:val="auto"/>
              </w:rPr>
            </w:pPr>
            <w:r>
              <w:rPr>
                <w:rFonts w:ascii="Arial" w:cs="Arial" w:eastAsia="Arial" w:hAnsi="Arial"/>
                <w:sz w:val="17"/>
                <w:szCs w:val="17"/>
                <w:color w:val="auto"/>
              </w:rPr>
              <w:t>82,542</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45,450</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1"/>
        </w:trPr>
        <w:tc>
          <w:tcPr>
            <w:tcW w:w="320" w:type="dxa"/>
            <w:vAlign w:val="bottom"/>
          </w:tcPr>
          <w:p>
            <w:pPr>
              <w:spacing w:after="0"/>
              <w:rPr>
                <w:sz w:val="17"/>
                <w:szCs w:val="17"/>
                <w:color w:val="auto"/>
              </w:rPr>
            </w:pPr>
          </w:p>
        </w:tc>
        <w:tc>
          <w:tcPr>
            <w:tcW w:w="4360" w:type="dxa"/>
            <w:vAlign w:val="bottom"/>
            <w:tcBorders>
              <w:bottom w:val="single" w:sz="8" w:color="CCEEFF"/>
            </w:tcBorders>
          </w:tcPr>
          <w:p>
            <w:pPr>
              <w:spacing w:after="0"/>
              <w:rPr>
                <w:sz w:val="17"/>
                <w:szCs w:val="17"/>
                <w:color w:val="auto"/>
              </w:rPr>
            </w:pPr>
          </w:p>
        </w:tc>
        <w:tc>
          <w:tcPr>
            <w:tcW w:w="3860" w:type="dxa"/>
            <w:vAlign w:val="bottom"/>
            <w:tcBorders>
              <w:bottom w:val="single" w:sz="8" w:color="CCEEFF"/>
            </w:tcBorders>
          </w:tcPr>
          <w:p>
            <w:pPr>
              <w:spacing w:after="0"/>
              <w:rPr>
                <w:sz w:val="17"/>
                <w:szCs w:val="17"/>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2,460,951</w:t>
            </w:r>
          </w:p>
        </w:tc>
        <w:tc>
          <w:tcPr>
            <w:tcW w:w="200" w:type="dxa"/>
            <w:vAlign w:val="bottom"/>
            <w:tcBorders>
              <w:bottom w:val="single" w:sz="8" w:color="CCEEFF"/>
            </w:tcBorders>
          </w:tcPr>
          <w:p>
            <w:pPr>
              <w:spacing w:after="0"/>
              <w:rPr>
                <w:sz w:val="17"/>
                <w:szCs w:val="17"/>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2,228,684</w:t>
            </w:r>
          </w:p>
        </w:tc>
        <w:tc>
          <w:tcPr>
            <w:tcW w:w="100" w:type="dxa"/>
            <w:vAlign w:val="bottom"/>
            <w:tcBorders>
              <w:bottom w:val="single" w:sz="8" w:color="CCEEFF"/>
            </w:tcBorders>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320" w:type="dxa"/>
            <w:vAlign w:val="bottom"/>
          </w:tcPr>
          <w:p>
            <w:pPr>
              <w:spacing w:after="0"/>
              <w:rPr>
                <w:sz w:val="17"/>
                <w:szCs w:val="17"/>
                <w:color w:val="auto"/>
              </w:rPr>
            </w:pPr>
          </w:p>
        </w:tc>
        <w:tc>
          <w:tcPr>
            <w:tcW w:w="4360" w:type="dxa"/>
            <w:vAlign w:val="bottom"/>
            <w:shd w:val="clear" w:color="auto" w:fill="CCEEFF"/>
          </w:tcPr>
          <w:p>
            <w:pPr>
              <w:spacing w:after="0"/>
              <w:rPr>
                <w:sz w:val="17"/>
                <w:szCs w:val="17"/>
                <w:color w:val="auto"/>
              </w:rPr>
            </w:pPr>
          </w:p>
        </w:tc>
        <w:tc>
          <w:tcPr>
            <w:tcW w:w="38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32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Arial" w:cs="Arial" w:eastAsia="Arial" w:hAnsi="Arial"/>
                <w:sz w:val="17"/>
                <w:szCs w:val="17"/>
                <w:b w:val="1"/>
                <w:bCs w:val="1"/>
                <w:color w:val="auto"/>
              </w:rPr>
              <w:t>Non-financial instruments:</w:t>
            </w:r>
          </w:p>
        </w:tc>
        <w:tc>
          <w:tcPr>
            <w:tcW w:w="38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2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7"/>
                <w:szCs w:val="17"/>
                <w:color w:val="auto"/>
              </w:rPr>
              <w:t>Deferred income tax asset, Note 18(c)</w:t>
            </w:r>
          </w:p>
        </w:tc>
        <w:tc>
          <w:tcPr>
            <w:tcW w:w="5280" w:type="dxa"/>
            <w:vAlign w:val="bottom"/>
            <w:gridSpan w:val="3"/>
            <w:shd w:val="clear" w:color="auto" w:fill="CCEEFF"/>
          </w:tcPr>
          <w:p>
            <w:pPr>
              <w:jc w:val="right"/>
              <w:ind w:right="200"/>
              <w:spacing w:after="0"/>
              <w:rPr>
                <w:sz w:val="20"/>
                <w:szCs w:val="20"/>
                <w:color w:val="auto"/>
              </w:rPr>
            </w:pPr>
            <w:r>
              <w:rPr>
                <w:rFonts w:ascii="Arial" w:cs="Arial" w:eastAsia="Arial" w:hAnsi="Arial"/>
                <w:sz w:val="17"/>
                <w:szCs w:val="17"/>
                <w:color w:val="auto"/>
              </w:rPr>
              <w:t>480,057</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506,044</w:t>
            </w:r>
          </w:p>
        </w:tc>
        <w:tc>
          <w:tcPr>
            <w:tcW w:w="100" w:type="dxa"/>
            <w:vAlign w:val="bottom"/>
            <w:shd w:val="clear" w:color="auto" w:fill="CCEEFF"/>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2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Arial" w:cs="Arial" w:eastAsia="Arial" w:hAnsi="Arial"/>
                <w:sz w:val="17"/>
                <w:szCs w:val="17"/>
                <w:color w:val="auto"/>
              </w:rPr>
              <w:t>Investment in associates (e)</w:t>
            </w:r>
          </w:p>
        </w:tc>
        <w:tc>
          <w:tcPr>
            <w:tcW w:w="5280" w:type="dxa"/>
            <w:vAlign w:val="bottom"/>
            <w:gridSpan w:val="3"/>
          </w:tcPr>
          <w:p>
            <w:pPr>
              <w:jc w:val="right"/>
              <w:ind w:right="200"/>
              <w:spacing w:after="0"/>
              <w:rPr>
                <w:sz w:val="20"/>
                <w:szCs w:val="20"/>
                <w:color w:val="auto"/>
              </w:rPr>
            </w:pPr>
            <w:r>
              <w:rPr>
                <w:rFonts w:ascii="Arial" w:cs="Arial" w:eastAsia="Arial" w:hAnsi="Arial"/>
                <w:sz w:val="17"/>
                <w:szCs w:val="17"/>
                <w:color w:val="auto"/>
              </w:rPr>
              <w:t>708,873</w:t>
            </w:r>
          </w:p>
        </w:tc>
        <w:tc>
          <w:tcPr>
            <w:tcW w:w="1200" w:type="dxa"/>
            <w:vAlign w:val="bottom"/>
          </w:tcPr>
          <w:p>
            <w:pPr>
              <w:jc w:val="right"/>
              <w:spacing w:after="0"/>
              <w:rPr>
                <w:sz w:val="20"/>
                <w:szCs w:val="20"/>
                <w:color w:val="auto"/>
              </w:rPr>
            </w:pPr>
            <w:r>
              <w:rPr>
                <w:rFonts w:ascii="Arial" w:cs="Arial" w:eastAsia="Arial" w:hAnsi="Arial"/>
                <w:sz w:val="17"/>
                <w:szCs w:val="17"/>
                <w:color w:val="auto"/>
              </w:rPr>
              <w:t>699,724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2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7"/>
                <w:szCs w:val="17"/>
                <w:color w:val="auto"/>
              </w:rPr>
              <w:t>Investment properties, net (f)</w:t>
            </w:r>
          </w:p>
        </w:tc>
        <w:tc>
          <w:tcPr>
            <w:tcW w:w="5280" w:type="dxa"/>
            <w:vAlign w:val="bottom"/>
            <w:gridSpan w:val="3"/>
            <w:shd w:val="clear" w:color="auto" w:fill="CCEEFF"/>
          </w:tcPr>
          <w:p>
            <w:pPr>
              <w:jc w:val="right"/>
              <w:ind w:right="200"/>
              <w:spacing w:after="0"/>
              <w:rPr>
                <w:sz w:val="20"/>
                <w:szCs w:val="20"/>
                <w:color w:val="auto"/>
              </w:rPr>
            </w:pPr>
            <w:r>
              <w:rPr>
                <w:rFonts w:ascii="Arial" w:cs="Arial" w:eastAsia="Arial" w:hAnsi="Arial"/>
                <w:sz w:val="17"/>
                <w:szCs w:val="17"/>
                <w:color w:val="auto"/>
              </w:rPr>
              <w:t>458,855</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504,927</w:t>
            </w:r>
          </w:p>
        </w:tc>
        <w:tc>
          <w:tcPr>
            <w:tcW w:w="100" w:type="dxa"/>
            <w:vAlign w:val="bottom"/>
            <w:shd w:val="clear" w:color="auto" w:fill="CCEEFF"/>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2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Arial" w:cs="Arial" w:eastAsia="Arial" w:hAnsi="Arial"/>
                <w:sz w:val="17"/>
                <w:szCs w:val="17"/>
                <w:color w:val="auto"/>
              </w:rPr>
              <w:t>Deferred fees</w:t>
            </w:r>
          </w:p>
        </w:tc>
        <w:tc>
          <w:tcPr>
            <w:tcW w:w="5280" w:type="dxa"/>
            <w:vAlign w:val="bottom"/>
            <w:gridSpan w:val="3"/>
          </w:tcPr>
          <w:p>
            <w:pPr>
              <w:jc w:val="right"/>
              <w:ind w:right="200"/>
              <w:spacing w:after="0"/>
              <w:rPr>
                <w:sz w:val="20"/>
                <w:szCs w:val="20"/>
                <w:color w:val="auto"/>
              </w:rPr>
            </w:pPr>
            <w:r>
              <w:rPr>
                <w:rFonts w:ascii="Arial" w:cs="Arial" w:eastAsia="Arial" w:hAnsi="Arial"/>
                <w:sz w:val="17"/>
                <w:szCs w:val="17"/>
                <w:color w:val="auto"/>
              </w:rPr>
              <w:t>431,598</w:t>
            </w:r>
          </w:p>
        </w:tc>
        <w:tc>
          <w:tcPr>
            <w:tcW w:w="1200" w:type="dxa"/>
            <w:vAlign w:val="bottom"/>
          </w:tcPr>
          <w:p>
            <w:pPr>
              <w:jc w:val="right"/>
              <w:spacing w:after="0"/>
              <w:rPr>
                <w:sz w:val="20"/>
                <w:szCs w:val="20"/>
                <w:color w:val="auto"/>
              </w:rPr>
            </w:pPr>
            <w:r>
              <w:rPr>
                <w:rFonts w:ascii="Arial" w:cs="Arial" w:eastAsia="Arial" w:hAnsi="Arial"/>
                <w:sz w:val="17"/>
                <w:szCs w:val="17"/>
                <w:color w:val="auto"/>
              </w:rPr>
              <w:t>504,445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2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7"/>
                <w:szCs w:val="17"/>
                <w:color w:val="auto"/>
              </w:rPr>
              <w:t>Income tax prepayments, net</w:t>
            </w:r>
          </w:p>
        </w:tc>
        <w:tc>
          <w:tcPr>
            <w:tcW w:w="5280" w:type="dxa"/>
            <w:vAlign w:val="bottom"/>
            <w:gridSpan w:val="3"/>
            <w:shd w:val="clear" w:color="auto" w:fill="CCEEFF"/>
          </w:tcPr>
          <w:p>
            <w:pPr>
              <w:jc w:val="right"/>
              <w:ind w:right="200"/>
              <w:spacing w:after="0"/>
              <w:rPr>
                <w:sz w:val="20"/>
                <w:szCs w:val="20"/>
                <w:color w:val="auto"/>
              </w:rPr>
            </w:pPr>
            <w:r>
              <w:rPr>
                <w:rFonts w:ascii="Arial" w:cs="Arial" w:eastAsia="Arial" w:hAnsi="Arial"/>
                <w:sz w:val="17"/>
                <w:szCs w:val="17"/>
                <w:color w:val="auto"/>
              </w:rPr>
              <w:t>301,863</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357,149</w:t>
            </w:r>
          </w:p>
        </w:tc>
        <w:tc>
          <w:tcPr>
            <w:tcW w:w="100" w:type="dxa"/>
            <w:vAlign w:val="bottom"/>
            <w:shd w:val="clear" w:color="auto" w:fill="CCEEFF"/>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2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Arial" w:cs="Arial" w:eastAsia="Arial" w:hAnsi="Arial"/>
                <w:sz w:val="17"/>
                <w:szCs w:val="17"/>
                <w:color w:val="auto"/>
              </w:rPr>
              <w:t>Seized assets, net</w:t>
            </w:r>
          </w:p>
        </w:tc>
        <w:tc>
          <w:tcPr>
            <w:tcW w:w="5280" w:type="dxa"/>
            <w:vAlign w:val="bottom"/>
            <w:gridSpan w:val="3"/>
          </w:tcPr>
          <w:p>
            <w:pPr>
              <w:jc w:val="right"/>
              <w:ind w:right="200"/>
              <w:spacing w:after="0"/>
              <w:rPr>
                <w:sz w:val="20"/>
                <w:szCs w:val="20"/>
                <w:color w:val="auto"/>
              </w:rPr>
            </w:pPr>
            <w:r>
              <w:rPr>
                <w:rFonts w:ascii="Arial" w:cs="Arial" w:eastAsia="Arial" w:hAnsi="Arial"/>
                <w:sz w:val="17"/>
                <w:szCs w:val="17"/>
                <w:color w:val="auto"/>
              </w:rPr>
              <w:t>95,012</w:t>
            </w:r>
          </w:p>
        </w:tc>
        <w:tc>
          <w:tcPr>
            <w:tcW w:w="1300" w:type="dxa"/>
            <w:vAlign w:val="bottom"/>
            <w:gridSpan w:val="2"/>
          </w:tcPr>
          <w:p>
            <w:pPr>
              <w:jc w:val="right"/>
              <w:ind w:right="100"/>
              <w:spacing w:after="0"/>
              <w:rPr>
                <w:sz w:val="20"/>
                <w:szCs w:val="20"/>
                <w:color w:val="auto"/>
              </w:rPr>
            </w:pPr>
            <w:r>
              <w:rPr>
                <w:rFonts w:ascii="Arial" w:cs="Arial" w:eastAsia="Arial" w:hAnsi="Arial"/>
                <w:sz w:val="17"/>
                <w:szCs w:val="17"/>
                <w:color w:val="auto"/>
              </w:rPr>
              <w:t>73,466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2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7"/>
                <w:szCs w:val="17"/>
                <w:color w:val="auto"/>
              </w:rPr>
              <w:t>VAT (IGV) tax credit</w:t>
            </w:r>
          </w:p>
        </w:tc>
        <w:tc>
          <w:tcPr>
            <w:tcW w:w="5280" w:type="dxa"/>
            <w:vAlign w:val="bottom"/>
            <w:gridSpan w:val="3"/>
            <w:shd w:val="clear" w:color="auto" w:fill="CCEEFF"/>
          </w:tcPr>
          <w:p>
            <w:pPr>
              <w:jc w:val="right"/>
              <w:ind w:right="200"/>
              <w:spacing w:after="0"/>
              <w:rPr>
                <w:sz w:val="20"/>
                <w:szCs w:val="20"/>
                <w:color w:val="auto"/>
              </w:rPr>
            </w:pPr>
            <w:r>
              <w:rPr>
                <w:rFonts w:ascii="Arial" w:cs="Arial" w:eastAsia="Arial" w:hAnsi="Arial"/>
                <w:sz w:val="17"/>
                <w:szCs w:val="17"/>
                <w:color w:val="auto"/>
              </w:rPr>
              <w:t>50,138</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41,140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320" w:type="dxa"/>
            <w:vAlign w:val="bottom"/>
          </w:tcPr>
          <w:p>
            <w:pPr>
              <w:spacing w:after="0"/>
              <w:rPr>
                <w:sz w:val="19"/>
                <w:szCs w:val="19"/>
                <w:color w:val="auto"/>
              </w:rPr>
            </w:pPr>
          </w:p>
        </w:tc>
        <w:tc>
          <w:tcPr>
            <w:tcW w:w="4360" w:type="dxa"/>
            <w:vAlign w:val="bottom"/>
          </w:tcPr>
          <w:p>
            <w:pPr>
              <w:spacing w:after="0"/>
              <w:rPr>
                <w:sz w:val="20"/>
                <w:szCs w:val="20"/>
                <w:color w:val="auto"/>
              </w:rPr>
            </w:pPr>
            <w:r>
              <w:rPr>
                <w:rFonts w:ascii="Arial" w:cs="Arial" w:eastAsia="Arial" w:hAnsi="Arial"/>
                <w:sz w:val="17"/>
                <w:szCs w:val="17"/>
                <w:color w:val="auto"/>
              </w:rPr>
              <w:t>Others</w:t>
            </w:r>
          </w:p>
        </w:tc>
        <w:tc>
          <w:tcPr>
            <w:tcW w:w="5280" w:type="dxa"/>
            <w:vAlign w:val="bottom"/>
            <w:gridSpan w:val="3"/>
          </w:tcPr>
          <w:p>
            <w:pPr>
              <w:jc w:val="right"/>
              <w:ind w:right="200"/>
              <w:spacing w:after="0"/>
              <w:rPr>
                <w:sz w:val="20"/>
                <w:szCs w:val="20"/>
                <w:color w:val="auto"/>
              </w:rPr>
            </w:pPr>
            <w:r>
              <w:rPr>
                <w:rFonts w:ascii="Arial" w:cs="Arial" w:eastAsia="Arial" w:hAnsi="Arial"/>
                <w:sz w:val="17"/>
                <w:szCs w:val="17"/>
                <w:color w:val="auto"/>
              </w:rPr>
              <w:t>12,651</w:t>
            </w:r>
          </w:p>
        </w:tc>
        <w:tc>
          <w:tcPr>
            <w:tcW w:w="1300" w:type="dxa"/>
            <w:vAlign w:val="bottom"/>
            <w:gridSpan w:val="2"/>
          </w:tcPr>
          <w:p>
            <w:pPr>
              <w:jc w:val="right"/>
              <w:ind w:right="100"/>
              <w:spacing w:after="0"/>
              <w:rPr>
                <w:sz w:val="20"/>
                <w:szCs w:val="20"/>
                <w:color w:val="auto"/>
              </w:rPr>
            </w:pPr>
            <w:r>
              <w:rPr>
                <w:rFonts w:ascii="Arial" w:cs="Arial" w:eastAsia="Arial" w:hAnsi="Arial"/>
                <w:sz w:val="17"/>
                <w:szCs w:val="17"/>
                <w:color w:val="auto"/>
              </w:rPr>
              <w:t>13,334</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1"/>
        </w:trPr>
        <w:tc>
          <w:tcPr>
            <w:tcW w:w="320" w:type="dxa"/>
            <w:vAlign w:val="bottom"/>
          </w:tcPr>
          <w:p>
            <w:pPr>
              <w:spacing w:after="0"/>
              <w:rPr>
                <w:sz w:val="17"/>
                <w:szCs w:val="17"/>
                <w:color w:val="auto"/>
              </w:rPr>
            </w:pPr>
          </w:p>
        </w:tc>
        <w:tc>
          <w:tcPr>
            <w:tcW w:w="4360" w:type="dxa"/>
            <w:vAlign w:val="bottom"/>
            <w:tcBorders>
              <w:top w:val="single" w:sz="8" w:color="CCEEFF"/>
            </w:tcBorders>
            <w:shd w:val="clear" w:color="auto" w:fill="CCEEFF"/>
          </w:tcPr>
          <w:p>
            <w:pPr>
              <w:spacing w:after="0"/>
              <w:rPr>
                <w:sz w:val="17"/>
                <w:szCs w:val="17"/>
                <w:color w:val="auto"/>
              </w:rPr>
            </w:pPr>
          </w:p>
        </w:tc>
        <w:tc>
          <w:tcPr>
            <w:tcW w:w="3860" w:type="dxa"/>
            <w:vAlign w:val="bottom"/>
            <w:tcBorders>
              <w:top w:val="single" w:sz="8" w:color="CCEEFF"/>
            </w:tcBorders>
            <w:shd w:val="clear" w:color="auto" w:fill="CCEEFF"/>
          </w:tcPr>
          <w:p>
            <w:pPr>
              <w:spacing w:after="0"/>
              <w:rPr>
                <w:sz w:val="17"/>
                <w:szCs w:val="17"/>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2,539,047</w:t>
            </w:r>
          </w:p>
        </w:tc>
        <w:tc>
          <w:tcPr>
            <w:tcW w:w="200" w:type="dxa"/>
            <w:vAlign w:val="bottom"/>
            <w:tcBorders>
              <w:top w:val="single" w:sz="8" w:color="CCEEFF"/>
            </w:tcBorders>
            <w:shd w:val="clear" w:color="auto" w:fill="CCEEFF"/>
          </w:tcPr>
          <w:p>
            <w:pPr>
              <w:spacing w:after="0"/>
              <w:rPr>
                <w:sz w:val="17"/>
                <w:szCs w:val="17"/>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2,700,229</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320" w:type="dxa"/>
            <w:vAlign w:val="bottom"/>
          </w:tcPr>
          <w:p>
            <w:pPr>
              <w:spacing w:after="0"/>
              <w:rPr>
                <w:sz w:val="20"/>
                <w:szCs w:val="20"/>
                <w:color w:val="auto"/>
              </w:rPr>
            </w:pPr>
          </w:p>
        </w:tc>
        <w:tc>
          <w:tcPr>
            <w:tcW w:w="4360" w:type="dxa"/>
            <w:vAlign w:val="bottom"/>
            <w:tcBorders>
              <w:bottom w:val="single" w:sz="8" w:color="CCEEFF"/>
            </w:tcBorders>
          </w:tcPr>
          <w:p>
            <w:pPr>
              <w:spacing w:after="0"/>
              <w:rPr>
                <w:sz w:val="20"/>
                <w:szCs w:val="20"/>
                <w:color w:val="auto"/>
              </w:rPr>
            </w:pPr>
            <w:r>
              <w:rPr>
                <w:rFonts w:ascii="Arial" w:cs="Arial" w:eastAsia="Arial" w:hAnsi="Arial"/>
                <w:sz w:val="17"/>
                <w:szCs w:val="17"/>
                <w:b w:val="1"/>
                <w:bCs w:val="1"/>
                <w:color w:val="auto"/>
              </w:rPr>
              <w:t>Total</w:t>
            </w:r>
          </w:p>
        </w:tc>
        <w:tc>
          <w:tcPr>
            <w:tcW w:w="3860" w:type="dxa"/>
            <w:vAlign w:val="bottom"/>
            <w:tcBorders>
              <w:bottom w:val="single" w:sz="8" w:color="CCEEFF"/>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4,999,998</w:t>
            </w:r>
          </w:p>
        </w:tc>
        <w:tc>
          <w:tcPr>
            <w:tcW w:w="200" w:type="dxa"/>
            <w:vAlign w:val="bottom"/>
            <w:tcBorders>
              <w:bottom w:val="single" w:sz="8" w:color="CCEEFF"/>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4,928,913</w:t>
            </w:r>
          </w:p>
        </w:tc>
        <w:tc>
          <w:tcPr>
            <w:tcW w:w="100" w:type="dxa"/>
            <w:vAlign w:val="bottom"/>
            <w:tcBorders>
              <w:bottom w:val="single" w:sz="8" w:color="CCEEFF"/>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320" w:type="dxa"/>
            <w:vAlign w:val="bottom"/>
          </w:tcPr>
          <w:p>
            <w:pPr>
              <w:spacing w:after="0"/>
              <w:rPr>
                <w:sz w:val="16"/>
                <w:szCs w:val="16"/>
                <w:color w:val="auto"/>
              </w:rPr>
            </w:pPr>
          </w:p>
        </w:tc>
        <w:tc>
          <w:tcPr>
            <w:tcW w:w="4360" w:type="dxa"/>
            <w:vAlign w:val="bottom"/>
            <w:shd w:val="clear" w:color="auto" w:fill="CCEEFF"/>
          </w:tcPr>
          <w:p>
            <w:pPr>
              <w:spacing w:after="0"/>
              <w:rPr>
                <w:sz w:val="16"/>
                <w:szCs w:val="16"/>
                <w:color w:val="auto"/>
              </w:rPr>
            </w:pPr>
          </w:p>
        </w:tc>
        <w:tc>
          <w:tcPr>
            <w:tcW w:w="386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32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Arial" w:cs="Arial" w:eastAsia="Arial" w:hAnsi="Arial"/>
                <w:sz w:val="17"/>
                <w:szCs w:val="17"/>
                <w:b w:val="1"/>
                <w:bCs w:val="1"/>
                <w:color w:val="auto"/>
              </w:rPr>
              <w:t>Other liabilities -</w:t>
            </w:r>
          </w:p>
        </w:tc>
        <w:tc>
          <w:tcPr>
            <w:tcW w:w="38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2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Financial instruments:</w:t>
            </w:r>
          </w:p>
        </w:tc>
        <w:tc>
          <w:tcPr>
            <w:tcW w:w="38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2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Arial" w:cs="Arial" w:eastAsia="Arial" w:hAnsi="Arial"/>
                <w:sz w:val="17"/>
                <w:szCs w:val="17"/>
                <w:color w:val="auto"/>
              </w:rPr>
              <w:t>Accounts payable</w:t>
            </w:r>
          </w:p>
        </w:tc>
        <w:tc>
          <w:tcPr>
            <w:tcW w:w="5080" w:type="dxa"/>
            <w:vAlign w:val="bottom"/>
            <w:gridSpan w:val="2"/>
          </w:tcPr>
          <w:p>
            <w:pPr>
              <w:jc w:val="right"/>
              <w:spacing w:after="0"/>
              <w:rPr>
                <w:sz w:val="20"/>
                <w:szCs w:val="20"/>
                <w:color w:val="auto"/>
              </w:rPr>
            </w:pPr>
            <w:r>
              <w:rPr>
                <w:rFonts w:ascii="Arial" w:cs="Arial" w:eastAsia="Arial" w:hAnsi="Arial"/>
                <w:sz w:val="17"/>
                <w:szCs w:val="17"/>
                <w:color w:val="auto"/>
              </w:rPr>
              <w:t>1,875,153</w:t>
            </w: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1,512,804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2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7"/>
                <w:szCs w:val="17"/>
                <w:color w:val="auto"/>
              </w:rPr>
              <w:t>Derivatives payable (b)</w:t>
            </w:r>
          </w:p>
        </w:tc>
        <w:tc>
          <w:tcPr>
            <w:tcW w:w="5280" w:type="dxa"/>
            <w:vAlign w:val="bottom"/>
            <w:gridSpan w:val="3"/>
            <w:shd w:val="clear" w:color="auto" w:fill="CCEEFF"/>
          </w:tcPr>
          <w:p>
            <w:pPr>
              <w:jc w:val="right"/>
              <w:ind w:right="200"/>
              <w:spacing w:after="0"/>
              <w:rPr>
                <w:sz w:val="20"/>
                <w:szCs w:val="20"/>
                <w:color w:val="auto"/>
              </w:rPr>
            </w:pPr>
            <w:r>
              <w:rPr>
                <w:rFonts w:ascii="Arial" w:cs="Arial" w:eastAsia="Arial" w:hAnsi="Arial"/>
                <w:sz w:val="17"/>
                <w:szCs w:val="17"/>
                <w:color w:val="auto"/>
              </w:rPr>
              <w:t>636,762</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673,015</w:t>
            </w:r>
          </w:p>
        </w:tc>
        <w:tc>
          <w:tcPr>
            <w:tcW w:w="100" w:type="dxa"/>
            <w:vAlign w:val="bottom"/>
            <w:shd w:val="clear" w:color="auto" w:fill="CCEEFF"/>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2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Arial" w:cs="Arial" w:eastAsia="Arial" w:hAnsi="Arial"/>
                <w:sz w:val="17"/>
                <w:szCs w:val="17"/>
                <w:color w:val="auto"/>
              </w:rPr>
              <w:t>Salaries and other personnel expenses</w:t>
            </w:r>
          </w:p>
        </w:tc>
        <w:tc>
          <w:tcPr>
            <w:tcW w:w="5280" w:type="dxa"/>
            <w:vAlign w:val="bottom"/>
            <w:gridSpan w:val="3"/>
          </w:tcPr>
          <w:p>
            <w:pPr>
              <w:jc w:val="right"/>
              <w:ind w:right="200"/>
              <w:spacing w:after="0"/>
              <w:rPr>
                <w:sz w:val="20"/>
                <w:szCs w:val="20"/>
                <w:color w:val="auto"/>
              </w:rPr>
            </w:pPr>
            <w:r>
              <w:rPr>
                <w:rFonts w:ascii="Arial" w:cs="Arial" w:eastAsia="Arial" w:hAnsi="Arial"/>
                <w:sz w:val="17"/>
                <w:szCs w:val="17"/>
                <w:color w:val="auto"/>
              </w:rPr>
              <w:t>644,234</w:t>
            </w:r>
          </w:p>
        </w:tc>
        <w:tc>
          <w:tcPr>
            <w:tcW w:w="1200" w:type="dxa"/>
            <w:vAlign w:val="bottom"/>
          </w:tcPr>
          <w:p>
            <w:pPr>
              <w:jc w:val="right"/>
              <w:spacing w:after="0"/>
              <w:rPr>
                <w:sz w:val="20"/>
                <w:szCs w:val="20"/>
                <w:color w:val="auto"/>
              </w:rPr>
            </w:pPr>
            <w:r>
              <w:rPr>
                <w:rFonts w:ascii="Arial" w:cs="Arial" w:eastAsia="Arial" w:hAnsi="Arial"/>
                <w:sz w:val="17"/>
                <w:szCs w:val="17"/>
                <w:color w:val="auto"/>
              </w:rPr>
              <w:t>681,853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2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7"/>
                <w:szCs w:val="17"/>
                <w:color w:val="auto"/>
              </w:rPr>
              <w:t>Allowance for indirect loan losses, Note 7(d)</w:t>
            </w:r>
          </w:p>
        </w:tc>
        <w:tc>
          <w:tcPr>
            <w:tcW w:w="5280" w:type="dxa"/>
            <w:vAlign w:val="bottom"/>
            <w:gridSpan w:val="3"/>
            <w:shd w:val="clear" w:color="auto" w:fill="CCEEFF"/>
          </w:tcPr>
          <w:p>
            <w:pPr>
              <w:jc w:val="right"/>
              <w:ind w:right="200"/>
              <w:spacing w:after="0"/>
              <w:rPr>
                <w:sz w:val="20"/>
                <w:szCs w:val="20"/>
                <w:color w:val="auto"/>
              </w:rPr>
            </w:pPr>
            <w:r>
              <w:rPr>
                <w:rFonts w:ascii="Arial" w:cs="Arial" w:eastAsia="Arial" w:hAnsi="Arial"/>
                <w:sz w:val="17"/>
                <w:szCs w:val="17"/>
                <w:color w:val="auto"/>
              </w:rPr>
              <w:t>442,510</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209,559</w:t>
            </w:r>
          </w:p>
        </w:tc>
        <w:tc>
          <w:tcPr>
            <w:tcW w:w="100" w:type="dxa"/>
            <w:vAlign w:val="bottom"/>
            <w:shd w:val="clear" w:color="auto" w:fill="CCEEFF"/>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320" w:type="dxa"/>
            <w:vAlign w:val="bottom"/>
          </w:tcPr>
          <w:p>
            <w:pPr>
              <w:spacing w:after="0"/>
              <w:rPr>
                <w:sz w:val="19"/>
                <w:szCs w:val="19"/>
                <w:color w:val="auto"/>
              </w:rPr>
            </w:pPr>
          </w:p>
        </w:tc>
        <w:tc>
          <w:tcPr>
            <w:tcW w:w="4360" w:type="dxa"/>
            <w:vAlign w:val="bottom"/>
          </w:tcPr>
          <w:p>
            <w:pPr>
              <w:spacing w:after="0"/>
              <w:rPr>
                <w:sz w:val="20"/>
                <w:szCs w:val="20"/>
                <w:color w:val="auto"/>
              </w:rPr>
            </w:pPr>
            <w:r>
              <w:rPr>
                <w:rFonts w:ascii="Arial" w:cs="Arial" w:eastAsia="Arial" w:hAnsi="Arial"/>
                <w:sz w:val="17"/>
                <w:szCs w:val="17"/>
                <w:color w:val="auto"/>
              </w:rPr>
              <w:t>Operations in process (c)</w:t>
            </w:r>
          </w:p>
        </w:tc>
        <w:tc>
          <w:tcPr>
            <w:tcW w:w="5280" w:type="dxa"/>
            <w:vAlign w:val="bottom"/>
            <w:gridSpan w:val="3"/>
          </w:tcPr>
          <w:p>
            <w:pPr>
              <w:jc w:val="right"/>
              <w:ind w:right="200"/>
              <w:spacing w:after="0"/>
              <w:rPr>
                <w:sz w:val="20"/>
                <w:szCs w:val="20"/>
                <w:color w:val="auto"/>
              </w:rPr>
            </w:pPr>
            <w:r>
              <w:rPr>
                <w:rFonts w:ascii="Arial" w:cs="Arial" w:eastAsia="Arial" w:hAnsi="Arial"/>
                <w:sz w:val="17"/>
                <w:szCs w:val="17"/>
                <w:color w:val="auto"/>
              </w:rPr>
              <w:t>274,354</w:t>
            </w:r>
          </w:p>
        </w:tc>
        <w:tc>
          <w:tcPr>
            <w:tcW w:w="1200" w:type="dxa"/>
            <w:vAlign w:val="bottom"/>
          </w:tcPr>
          <w:p>
            <w:pPr>
              <w:jc w:val="right"/>
              <w:spacing w:after="0"/>
              <w:rPr>
                <w:sz w:val="20"/>
                <w:szCs w:val="20"/>
                <w:color w:val="auto"/>
              </w:rPr>
            </w:pPr>
            <w:r>
              <w:rPr>
                <w:rFonts w:ascii="Arial" w:cs="Arial" w:eastAsia="Arial" w:hAnsi="Arial"/>
                <w:sz w:val="17"/>
                <w:szCs w:val="17"/>
                <w:color w:val="auto"/>
              </w:rPr>
              <w:t>136,764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1"/>
        </w:trPr>
        <w:tc>
          <w:tcPr>
            <w:tcW w:w="320" w:type="dxa"/>
            <w:vAlign w:val="bottom"/>
          </w:tcPr>
          <w:p>
            <w:pPr>
              <w:spacing w:after="0"/>
              <w:rPr>
                <w:sz w:val="17"/>
                <w:szCs w:val="17"/>
                <w:color w:val="auto"/>
              </w:rPr>
            </w:pPr>
          </w:p>
        </w:tc>
        <w:tc>
          <w:tcPr>
            <w:tcW w:w="4360" w:type="dxa"/>
            <w:vAlign w:val="bottom"/>
            <w:tcBorders>
              <w:top w:val="single" w:sz="8" w:color="CCEEFF"/>
            </w:tcBorders>
            <w:shd w:val="clear" w:color="auto" w:fill="CCEEFF"/>
          </w:tcPr>
          <w:p>
            <w:pPr>
              <w:spacing w:after="0"/>
              <w:rPr>
                <w:sz w:val="17"/>
                <w:szCs w:val="17"/>
                <w:color w:val="auto"/>
              </w:rPr>
            </w:pPr>
          </w:p>
        </w:tc>
        <w:tc>
          <w:tcPr>
            <w:tcW w:w="3860" w:type="dxa"/>
            <w:vAlign w:val="bottom"/>
            <w:tcBorders>
              <w:top w:val="single" w:sz="8" w:color="CCEEFF"/>
            </w:tcBorders>
            <w:shd w:val="clear" w:color="auto" w:fill="CCEEFF"/>
          </w:tcPr>
          <w:p>
            <w:pPr>
              <w:spacing w:after="0"/>
              <w:rPr>
                <w:sz w:val="17"/>
                <w:szCs w:val="17"/>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3,873,013</w:t>
            </w:r>
          </w:p>
        </w:tc>
        <w:tc>
          <w:tcPr>
            <w:tcW w:w="200" w:type="dxa"/>
            <w:vAlign w:val="bottom"/>
            <w:tcBorders>
              <w:top w:val="single" w:sz="8" w:color="CCEEFF"/>
            </w:tcBorders>
            <w:shd w:val="clear" w:color="auto" w:fill="CCEEFF"/>
          </w:tcPr>
          <w:p>
            <w:pPr>
              <w:spacing w:after="0"/>
              <w:rPr>
                <w:sz w:val="17"/>
                <w:szCs w:val="17"/>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3,213,995</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320" w:type="dxa"/>
            <w:vAlign w:val="bottom"/>
          </w:tcPr>
          <w:p>
            <w:pPr>
              <w:spacing w:after="0"/>
              <w:rPr>
                <w:sz w:val="17"/>
                <w:szCs w:val="17"/>
                <w:color w:val="auto"/>
              </w:rPr>
            </w:pPr>
          </w:p>
        </w:tc>
        <w:tc>
          <w:tcPr>
            <w:tcW w:w="4360" w:type="dxa"/>
            <w:vAlign w:val="bottom"/>
          </w:tcPr>
          <w:p>
            <w:pPr>
              <w:spacing w:after="0"/>
              <w:rPr>
                <w:sz w:val="20"/>
                <w:szCs w:val="20"/>
                <w:color w:val="auto"/>
              </w:rPr>
            </w:pPr>
            <w:r>
              <w:rPr>
                <w:rFonts w:ascii="Arial" w:cs="Arial" w:eastAsia="Arial" w:hAnsi="Arial"/>
                <w:sz w:val="17"/>
                <w:szCs w:val="17"/>
                <w:b w:val="1"/>
                <w:bCs w:val="1"/>
                <w:color w:val="auto"/>
              </w:rPr>
              <w:t>Non-financial instruments:</w:t>
            </w:r>
          </w:p>
        </w:tc>
        <w:tc>
          <w:tcPr>
            <w:tcW w:w="38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32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7"/>
                <w:szCs w:val="17"/>
                <w:color w:val="auto"/>
              </w:rPr>
              <w:t>Taxes</w:t>
            </w:r>
          </w:p>
        </w:tc>
        <w:tc>
          <w:tcPr>
            <w:tcW w:w="5280" w:type="dxa"/>
            <w:vAlign w:val="bottom"/>
            <w:gridSpan w:val="3"/>
            <w:shd w:val="clear" w:color="auto" w:fill="CCEEFF"/>
          </w:tcPr>
          <w:p>
            <w:pPr>
              <w:jc w:val="right"/>
              <w:ind w:right="200"/>
              <w:spacing w:after="0"/>
              <w:rPr>
                <w:sz w:val="20"/>
                <w:szCs w:val="20"/>
                <w:color w:val="auto"/>
              </w:rPr>
            </w:pPr>
            <w:r>
              <w:rPr>
                <w:rFonts w:ascii="Arial" w:cs="Arial" w:eastAsia="Arial" w:hAnsi="Arial"/>
                <w:sz w:val="17"/>
                <w:szCs w:val="17"/>
                <w:color w:val="auto"/>
              </w:rPr>
              <w:t>480,781</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286,504</w:t>
            </w:r>
          </w:p>
        </w:tc>
        <w:tc>
          <w:tcPr>
            <w:tcW w:w="100" w:type="dxa"/>
            <w:vAlign w:val="bottom"/>
            <w:shd w:val="clear" w:color="auto" w:fill="CCEEFF"/>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2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Arial" w:cs="Arial" w:eastAsia="Arial" w:hAnsi="Arial"/>
                <w:sz w:val="17"/>
                <w:szCs w:val="17"/>
                <w:color w:val="auto"/>
              </w:rPr>
              <w:t>Deferred income tax, Note 18(c)</w:t>
            </w:r>
          </w:p>
        </w:tc>
        <w:tc>
          <w:tcPr>
            <w:tcW w:w="5280" w:type="dxa"/>
            <w:vAlign w:val="bottom"/>
            <w:gridSpan w:val="3"/>
          </w:tcPr>
          <w:p>
            <w:pPr>
              <w:jc w:val="right"/>
              <w:ind w:right="200"/>
              <w:spacing w:after="0"/>
              <w:rPr>
                <w:sz w:val="20"/>
                <w:szCs w:val="20"/>
                <w:color w:val="auto"/>
              </w:rPr>
            </w:pPr>
            <w:r>
              <w:rPr>
                <w:rFonts w:ascii="Arial" w:cs="Arial" w:eastAsia="Arial" w:hAnsi="Arial"/>
                <w:sz w:val="17"/>
                <w:szCs w:val="17"/>
                <w:color w:val="auto"/>
              </w:rPr>
              <w:t>150,280</w:t>
            </w:r>
          </w:p>
        </w:tc>
        <w:tc>
          <w:tcPr>
            <w:tcW w:w="1200" w:type="dxa"/>
            <w:vAlign w:val="bottom"/>
          </w:tcPr>
          <w:p>
            <w:pPr>
              <w:jc w:val="right"/>
              <w:spacing w:after="0"/>
              <w:rPr>
                <w:sz w:val="20"/>
                <w:szCs w:val="20"/>
                <w:color w:val="auto"/>
              </w:rPr>
            </w:pPr>
            <w:r>
              <w:rPr>
                <w:rFonts w:ascii="Arial" w:cs="Arial" w:eastAsia="Arial" w:hAnsi="Arial"/>
                <w:sz w:val="17"/>
                <w:szCs w:val="17"/>
                <w:color w:val="auto"/>
              </w:rPr>
              <w:t>172,641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2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7"/>
                <w:szCs w:val="17"/>
                <w:color w:val="auto"/>
              </w:rPr>
              <w:t>Provision for sundry risks (d)</w:t>
            </w:r>
          </w:p>
        </w:tc>
        <w:tc>
          <w:tcPr>
            <w:tcW w:w="5280" w:type="dxa"/>
            <w:vAlign w:val="bottom"/>
            <w:gridSpan w:val="3"/>
            <w:shd w:val="clear" w:color="auto" w:fill="CCEEFF"/>
          </w:tcPr>
          <w:p>
            <w:pPr>
              <w:jc w:val="right"/>
              <w:ind w:right="200"/>
              <w:spacing w:after="0"/>
              <w:rPr>
                <w:sz w:val="20"/>
                <w:szCs w:val="20"/>
                <w:color w:val="auto"/>
              </w:rPr>
            </w:pPr>
            <w:r>
              <w:rPr>
                <w:rFonts w:ascii="Arial" w:cs="Arial" w:eastAsia="Arial" w:hAnsi="Arial"/>
                <w:sz w:val="17"/>
                <w:szCs w:val="17"/>
                <w:color w:val="auto"/>
              </w:rPr>
              <w:t>275,841</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296,339</w:t>
            </w:r>
          </w:p>
        </w:tc>
        <w:tc>
          <w:tcPr>
            <w:tcW w:w="100" w:type="dxa"/>
            <w:vAlign w:val="bottom"/>
            <w:shd w:val="clear" w:color="auto" w:fill="CCEEFF"/>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320" w:type="dxa"/>
            <w:vAlign w:val="bottom"/>
          </w:tcPr>
          <w:p>
            <w:pPr>
              <w:spacing w:after="0"/>
              <w:rPr>
                <w:sz w:val="19"/>
                <w:szCs w:val="19"/>
                <w:color w:val="auto"/>
              </w:rPr>
            </w:pPr>
          </w:p>
        </w:tc>
        <w:tc>
          <w:tcPr>
            <w:tcW w:w="4360" w:type="dxa"/>
            <w:vAlign w:val="bottom"/>
          </w:tcPr>
          <w:p>
            <w:pPr>
              <w:spacing w:after="0"/>
              <w:rPr>
                <w:sz w:val="20"/>
                <w:szCs w:val="20"/>
                <w:color w:val="auto"/>
              </w:rPr>
            </w:pPr>
            <w:r>
              <w:rPr>
                <w:rFonts w:ascii="Arial" w:cs="Arial" w:eastAsia="Arial" w:hAnsi="Arial"/>
                <w:sz w:val="17"/>
                <w:szCs w:val="17"/>
                <w:color w:val="auto"/>
              </w:rPr>
              <w:t>Others</w:t>
            </w:r>
          </w:p>
        </w:tc>
        <w:tc>
          <w:tcPr>
            <w:tcW w:w="5280" w:type="dxa"/>
            <w:vAlign w:val="bottom"/>
            <w:gridSpan w:val="3"/>
          </w:tcPr>
          <w:p>
            <w:pPr>
              <w:jc w:val="right"/>
              <w:ind w:right="200"/>
              <w:spacing w:after="0"/>
              <w:rPr>
                <w:sz w:val="20"/>
                <w:szCs w:val="20"/>
                <w:color w:val="auto"/>
              </w:rPr>
            </w:pPr>
            <w:r>
              <w:rPr>
                <w:rFonts w:ascii="Arial" w:cs="Arial" w:eastAsia="Arial" w:hAnsi="Arial"/>
                <w:sz w:val="17"/>
                <w:szCs w:val="17"/>
                <w:color w:val="auto"/>
              </w:rPr>
              <w:t>234,197</w:t>
            </w:r>
          </w:p>
        </w:tc>
        <w:tc>
          <w:tcPr>
            <w:tcW w:w="1200" w:type="dxa"/>
            <w:vAlign w:val="bottom"/>
          </w:tcPr>
          <w:p>
            <w:pPr>
              <w:jc w:val="right"/>
              <w:spacing w:after="0"/>
              <w:rPr>
                <w:sz w:val="20"/>
                <w:szCs w:val="20"/>
                <w:color w:val="auto"/>
              </w:rPr>
            </w:pPr>
            <w:r>
              <w:rPr>
                <w:rFonts w:ascii="Arial" w:cs="Arial" w:eastAsia="Arial" w:hAnsi="Arial"/>
                <w:sz w:val="17"/>
                <w:szCs w:val="17"/>
                <w:color w:val="auto"/>
              </w:rPr>
              <w:t>150,587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1"/>
        </w:trPr>
        <w:tc>
          <w:tcPr>
            <w:tcW w:w="320" w:type="dxa"/>
            <w:vAlign w:val="bottom"/>
          </w:tcPr>
          <w:p>
            <w:pPr>
              <w:spacing w:after="0"/>
              <w:rPr>
                <w:sz w:val="17"/>
                <w:szCs w:val="17"/>
                <w:color w:val="auto"/>
              </w:rPr>
            </w:pPr>
          </w:p>
        </w:tc>
        <w:tc>
          <w:tcPr>
            <w:tcW w:w="4360" w:type="dxa"/>
            <w:vAlign w:val="bottom"/>
            <w:tcBorders>
              <w:top w:val="single" w:sz="8" w:color="CCEEFF"/>
            </w:tcBorders>
            <w:shd w:val="clear" w:color="auto" w:fill="CCEEFF"/>
          </w:tcPr>
          <w:p>
            <w:pPr>
              <w:spacing w:after="0"/>
              <w:rPr>
                <w:sz w:val="17"/>
                <w:szCs w:val="17"/>
                <w:color w:val="auto"/>
              </w:rPr>
            </w:pPr>
          </w:p>
        </w:tc>
        <w:tc>
          <w:tcPr>
            <w:tcW w:w="3860" w:type="dxa"/>
            <w:vAlign w:val="bottom"/>
            <w:tcBorders>
              <w:top w:val="single" w:sz="8" w:color="CCEEFF"/>
            </w:tcBorders>
            <w:shd w:val="clear" w:color="auto" w:fill="CCEEFF"/>
          </w:tcPr>
          <w:p>
            <w:pPr>
              <w:spacing w:after="0"/>
              <w:rPr>
                <w:sz w:val="17"/>
                <w:szCs w:val="17"/>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1,141,099</w:t>
            </w:r>
          </w:p>
        </w:tc>
        <w:tc>
          <w:tcPr>
            <w:tcW w:w="200" w:type="dxa"/>
            <w:vAlign w:val="bottom"/>
            <w:tcBorders>
              <w:top w:val="single" w:sz="8" w:color="CCEEFF"/>
            </w:tcBorders>
            <w:shd w:val="clear" w:color="auto" w:fill="CCEEFF"/>
          </w:tcPr>
          <w:p>
            <w:pPr>
              <w:spacing w:after="0"/>
              <w:rPr>
                <w:sz w:val="17"/>
                <w:szCs w:val="17"/>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906,071</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320" w:type="dxa"/>
            <w:vAlign w:val="bottom"/>
          </w:tcPr>
          <w:p>
            <w:pPr>
              <w:spacing w:after="0"/>
              <w:rPr>
                <w:sz w:val="17"/>
                <w:szCs w:val="17"/>
                <w:color w:val="auto"/>
              </w:rPr>
            </w:pPr>
          </w:p>
        </w:tc>
        <w:tc>
          <w:tcPr>
            <w:tcW w:w="4360" w:type="dxa"/>
            <w:vAlign w:val="bottom"/>
          </w:tcPr>
          <w:p>
            <w:pPr>
              <w:spacing w:after="0"/>
              <w:rPr>
                <w:sz w:val="20"/>
                <w:szCs w:val="20"/>
                <w:color w:val="auto"/>
              </w:rPr>
            </w:pPr>
            <w:r>
              <w:rPr>
                <w:rFonts w:ascii="Arial" w:cs="Arial" w:eastAsia="Arial" w:hAnsi="Arial"/>
                <w:sz w:val="17"/>
                <w:szCs w:val="17"/>
                <w:b w:val="1"/>
                <w:bCs w:val="1"/>
                <w:color w:val="auto"/>
              </w:rPr>
              <w:t>Total</w:t>
            </w:r>
          </w:p>
        </w:tc>
        <w:tc>
          <w:tcPr>
            <w:tcW w:w="3860" w:type="dxa"/>
            <w:vAlign w:val="bottom"/>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5,014,112</w:t>
            </w:r>
          </w:p>
        </w:tc>
        <w:tc>
          <w:tcPr>
            <w:tcW w:w="200" w:type="dxa"/>
            <w:vAlign w:val="bottom"/>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4,120,066</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3860" w:type="dxa"/>
            <w:vAlign w:val="bottom"/>
            <w:vMerge w:val="restart"/>
          </w:tcPr>
          <w:p>
            <w:pPr>
              <w:jc w:val="right"/>
              <w:ind w:right="2553"/>
              <w:spacing w:after="0"/>
              <w:rPr>
                <w:sz w:val="20"/>
                <w:szCs w:val="20"/>
                <w:color w:val="auto"/>
              </w:rPr>
            </w:pPr>
            <w:r>
              <w:rPr>
                <w:rFonts w:ascii="Arial" w:cs="Arial" w:eastAsia="Arial" w:hAnsi="Arial"/>
                <w:sz w:val="17"/>
                <w:szCs w:val="17"/>
                <w:color w:val="auto"/>
              </w:rPr>
              <w:t>- 71 -</w:t>
            </w:r>
          </w:p>
        </w:tc>
        <w:tc>
          <w:tcPr>
            <w:tcW w:w="12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3"/>
        </w:trPr>
        <w:tc>
          <w:tcPr>
            <w:tcW w:w="320" w:type="dxa"/>
            <w:vAlign w:val="bottom"/>
            <w:tcBorders>
              <w:bottom w:val="single" w:sz="8" w:color="auto"/>
            </w:tcBorders>
          </w:tcPr>
          <w:p>
            <w:pPr>
              <w:spacing w:after="0"/>
              <w:rPr>
                <w:sz w:val="24"/>
                <w:szCs w:val="24"/>
                <w:color w:val="auto"/>
              </w:rPr>
            </w:pPr>
          </w:p>
        </w:tc>
        <w:tc>
          <w:tcPr>
            <w:tcW w:w="4360" w:type="dxa"/>
            <w:vAlign w:val="bottom"/>
            <w:tcBorders>
              <w:bottom w:val="single" w:sz="8" w:color="auto"/>
            </w:tcBorders>
          </w:tcPr>
          <w:p>
            <w:pPr>
              <w:spacing w:after="0"/>
              <w:rPr>
                <w:sz w:val="24"/>
                <w:szCs w:val="24"/>
                <w:color w:val="auto"/>
              </w:rPr>
            </w:pPr>
          </w:p>
        </w:tc>
        <w:tc>
          <w:tcPr>
            <w:tcW w:w="3860" w:type="dxa"/>
            <w:vAlign w:val="bottom"/>
            <w:tcBorders>
              <w:bottom w:val="single" w:sz="8" w:color="auto"/>
            </w:tcBorders>
            <w:vMerge w:val="continue"/>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75" w:right="239" w:bottom="1440" w:gutter="0" w:footer="0" w:header="0"/>
        </w:sectPr>
      </w:pPr>
    </w:p>
    <w:bookmarkStart w:id="77" w:name="page78"/>
    <w:bookmarkEnd w:id="77"/>
    <w:p>
      <w:pPr>
        <w:ind w:left="320" w:right="20" w:hanging="316"/>
        <w:spacing w:after="0" w:line="285" w:lineRule="auto"/>
        <w:tabs>
          <w:tab w:leader="none" w:pos="320" w:val="left"/>
        </w:tabs>
        <w:numPr>
          <w:ilvl w:val="0"/>
          <w:numId w:val="87"/>
        </w:numPr>
        <w:rPr>
          <w:rFonts w:ascii="Arial" w:cs="Arial" w:eastAsia="Arial" w:hAnsi="Arial"/>
          <w:sz w:val="17"/>
          <w:szCs w:val="17"/>
          <w:color w:val="auto"/>
        </w:rPr>
      </w:pPr>
      <w:r>
        <w:rPr>
          <w:rFonts w:ascii="Arial" w:cs="Arial" w:eastAsia="Arial" w:hAnsi="Arial"/>
          <w:sz w:val="17"/>
          <w:szCs w:val="17"/>
          <w:color w:val="auto"/>
        </w:rPr>
        <w:t>The risk in derivative contracts arises from the possibility of the counterparty failing to comply with the terms and conditions agreed and that the reference rates at which the transactions took place change.</w:t>
      </w:r>
    </w:p>
    <w:p>
      <w:pPr>
        <w:spacing w:after="0" w:line="159" w:lineRule="exact"/>
        <w:rPr>
          <w:sz w:val="20"/>
          <w:szCs w:val="20"/>
          <w:color w:val="auto"/>
        </w:rPr>
      </w:pPr>
    </w:p>
    <w:p>
      <w:pPr>
        <w:ind w:right="220"/>
        <w:spacing w:after="0" w:line="270" w:lineRule="auto"/>
        <w:rPr>
          <w:sz w:val="20"/>
          <w:szCs w:val="20"/>
          <w:color w:val="auto"/>
        </w:rPr>
      </w:pPr>
      <w:r>
        <w:rPr>
          <w:rFonts w:ascii="Arial" w:cs="Arial" w:eastAsia="Arial" w:hAnsi="Arial"/>
          <w:sz w:val="17"/>
          <w:szCs w:val="17"/>
          <w:color w:val="auto"/>
        </w:rPr>
        <w:t>The table below shows at December 31, 2017 and 2016 the fair value of derivative financial instruments, recorded as an asset or a liability, together with their nominal amounts and maturities. The nominal amount, recorded gross, is the amount of a derivative’s underlying asset and is the basis upon which changes in the value of derivatives are measured.</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20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gridSpan w:val="2"/>
          </w:tcPr>
          <w:p>
            <w:pPr>
              <w:jc w:val="right"/>
              <w:spacing w:after="0"/>
              <w:rPr>
                <w:sz w:val="20"/>
                <w:szCs w:val="20"/>
                <w:color w:val="auto"/>
              </w:rPr>
            </w:pPr>
            <w:r>
              <w:rPr>
                <w:rFonts w:ascii="Arial" w:cs="Arial" w:eastAsia="Arial" w:hAnsi="Arial"/>
                <w:sz w:val="12"/>
                <w:szCs w:val="12"/>
                <w:b w:val="1"/>
                <w:bCs w:val="1"/>
                <w:color w:val="auto"/>
              </w:rPr>
              <w:t>2017</w:t>
            </w:r>
          </w:p>
        </w:tc>
        <w:tc>
          <w:tcPr>
            <w:tcW w:w="206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319"/>
              <w:spacing w:after="0"/>
              <w:rPr>
                <w:sz w:val="20"/>
                <w:szCs w:val="20"/>
                <w:color w:val="auto"/>
              </w:rPr>
            </w:pPr>
            <w:r>
              <w:rPr>
                <w:rFonts w:ascii="Arial" w:cs="Arial" w:eastAsia="Arial" w:hAnsi="Arial"/>
                <w:sz w:val="12"/>
                <w:szCs w:val="12"/>
                <w:b w:val="1"/>
                <w:bCs w:val="1"/>
                <w:color w:val="auto"/>
                <w:w w:val="89"/>
              </w:rPr>
              <w:t>2016</w:t>
            </w:r>
          </w:p>
        </w:tc>
        <w:tc>
          <w:tcPr>
            <w:tcW w:w="2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Borders>
              <w:bottom w:val="single" w:sz="8" w:color="auto"/>
            </w:tcBorders>
          </w:tcPr>
          <w:p>
            <w:pPr>
              <w:ind w:left="220"/>
              <w:spacing w:after="0"/>
              <w:rPr>
                <w:sz w:val="20"/>
                <w:szCs w:val="20"/>
                <w:color w:val="auto"/>
              </w:rPr>
            </w:pPr>
            <w:r>
              <w:rPr>
                <w:rFonts w:ascii="Arial" w:cs="Arial" w:eastAsia="Arial" w:hAnsi="Arial"/>
                <w:sz w:val="12"/>
                <w:szCs w:val="12"/>
                <w:b w:val="1"/>
                <w:bCs w:val="1"/>
                <w:color w:val="auto"/>
              </w:rPr>
              <w:t>2017 y 2016</w:t>
            </w:r>
          </w:p>
        </w:tc>
        <w:tc>
          <w:tcPr>
            <w:tcW w:w="0" w:type="dxa"/>
            <w:vAlign w:val="bottom"/>
          </w:tcPr>
          <w:p>
            <w:pPr>
              <w:spacing w:after="0"/>
              <w:rPr>
                <w:sz w:val="1"/>
                <w:szCs w:val="1"/>
                <w:color w:val="auto"/>
              </w:rPr>
            </w:pPr>
          </w:p>
        </w:tc>
      </w:tr>
      <w:tr>
        <w:trPr>
          <w:trHeight w:val="105"/>
        </w:trPr>
        <w:tc>
          <w:tcPr>
            <w:tcW w:w="2020" w:type="dxa"/>
            <w:vAlign w:val="bottom"/>
          </w:tcPr>
          <w:p>
            <w:pPr>
              <w:spacing w:after="0"/>
              <w:rPr>
                <w:sz w:val="9"/>
                <w:szCs w:val="9"/>
                <w:color w:val="auto"/>
              </w:rPr>
            </w:pPr>
          </w:p>
        </w:tc>
        <w:tc>
          <w:tcPr>
            <w:tcW w:w="600" w:type="dxa"/>
            <w:vAlign w:val="bottom"/>
            <w:vMerge w:val="restart"/>
          </w:tcPr>
          <w:p>
            <w:pPr>
              <w:jc w:val="center"/>
              <w:spacing w:after="0"/>
              <w:rPr>
                <w:sz w:val="20"/>
                <w:szCs w:val="20"/>
                <w:color w:val="auto"/>
              </w:rPr>
            </w:pPr>
            <w:r>
              <w:rPr>
                <w:rFonts w:ascii="Arial" w:cs="Arial" w:eastAsia="Arial" w:hAnsi="Arial"/>
                <w:sz w:val="12"/>
                <w:szCs w:val="12"/>
                <w:b w:val="1"/>
                <w:bCs w:val="1"/>
                <w:color w:val="auto"/>
                <w:w w:val="89"/>
              </w:rPr>
              <w:t>Note</w:t>
            </w:r>
          </w:p>
        </w:tc>
        <w:tc>
          <w:tcPr>
            <w:tcW w:w="500" w:type="dxa"/>
            <w:vAlign w:val="bottom"/>
          </w:tcPr>
          <w:p>
            <w:pPr>
              <w:spacing w:after="0"/>
              <w:rPr>
                <w:sz w:val="9"/>
                <w:szCs w:val="9"/>
                <w:color w:val="auto"/>
              </w:rPr>
            </w:pPr>
          </w:p>
        </w:tc>
        <w:tc>
          <w:tcPr>
            <w:tcW w:w="200" w:type="dxa"/>
            <w:vAlign w:val="bottom"/>
          </w:tcPr>
          <w:p>
            <w:pPr>
              <w:spacing w:after="0"/>
              <w:rPr>
                <w:sz w:val="9"/>
                <w:szCs w:val="9"/>
                <w:color w:val="auto"/>
              </w:rPr>
            </w:pPr>
          </w:p>
        </w:tc>
        <w:tc>
          <w:tcPr>
            <w:tcW w:w="540" w:type="dxa"/>
            <w:vAlign w:val="bottom"/>
          </w:tcPr>
          <w:p>
            <w:pPr>
              <w:spacing w:after="0"/>
              <w:rPr>
                <w:sz w:val="9"/>
                <w:szCs w:val="9"/>
                <w:color w:val="auto"/>
              </w:rPr>
            </w:pPr>
          </w:p>
        </w:tc>
        <w:tc>
          <w:tcPr>
            <w:tcW w:w="220" w:type="dxa"/>
            <w:vAlign w:val="bottom"/>
          </w:tcPr>
          <w:p>
            <w:pPr>
              <w:spacing w:after="0"/>
              <w:rPr>
                <w:sz w:val="9"/>
                <w:szCs w:val="9"/>
                <w:color w:val="auto"/>
              </w:rPr>
            </w:pPr>
          </w:p>
        </w:tc>
        <w:tc>
          <w:tcPr>
            <w:tcW w:w="840" w:type="dxa"/>
            <w:vAlign w:val="bottom"/>
            <w:gridSpan w:val="2"/>
          </w:tcPr>
          <w:p>
            <w:pPr>
              <w:jc w:val="center"/>
              <w:ind w:right="240"/>
              <w:spacing w:after="0" w:line="105" w:lineRule="exact"/>
              <w:rPr>
                <w:sz w:val="20"/>
                <w:szCs w:val="20"/>
                <w:color w:val="auto"/>
              </w:rPr>
            </w:pPr>
            <w:r>
              <w:rPr>
                <w:rFonts w:ascii="Arial" w:cs="Arial" w:eastAsia="Arial" w:hAnsi="Arial"/>
                <w:sz w:val="12"/>
                <w:szCs w:val="12"/>
                <w:b w:val="1"/>
                <w:bCs w:val="1"/>
                <w:color w:val="auto"/>
                <w:w w:val="91"/>
              </w:rPr>
              <w:t>Notional</w:t>
            </w:r>
          </w:p>
        </w:tc>
        <w:tc>
          <w:tcPr>
            <w:tcW w:w="2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660" w:type="dxa"/>
            <w:vAlign w:val="bottom"/>
            <w:gridSpan w:val="2"/>
          </w:tcPr>
          <w:p>
            <w:pPr>
              <w:jc w:val="center"/>
              <w:ind w:right="40"/>
              <w:spacing w:after="0" w:line="105" w:lineRule="exact"/>
              <w:rPr>
                <w:sz w:val="20"/>
                <w:szCs w:val="20"/>
                <w:color w:val="auto"/>
              </w:rPr>
            </w:pPr>
            <w:r>
              <w:rPr>
                <w:rFonts w:ascii="Arial" w:cs="Arial" w:eastAsia="Arial" w:hAnsi="Arial"/>
                <w:sz w:val="12"/>
                <w:szCs w:val="12"/>
                <w:b w:val="1"/>
                <w:bCs w:val="1"/>
                <w:color w:val="auto"/>
                <w:w w:val="95"/>
              </w:rPr>
              <w:t>Notional</w:t>
            </w:r>
          </w:p>
        </w:tc>
        <w:tc>
          <w:tcPr>
            <w:tcW w:w="200" w:type="dxa"/>
            <w:vAlign w:val="bottom"/>
          </w:tcPr>
          <w:p>
            <w:pPr>
              <w:spacing w:after="0"/>
              <w:rPr>
                <w:sz w:val="9"/>
                <w:szCs w:val="9"/>
                <w:color w:val="auto"/>
              </w:rPr>
            </w:pPr>
          </w:p>
        </w:tc>
        <w:tc>
          <w:tcPr>
            <w:tcW w:w="8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202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2"/>
                <w:szCs w:val="12"/>
                <w:b w:val="1"/>
                <w:bCs w:val="1"/>
                <w:color w:val="auto"/>
              </w:rPr>
              <w:t>Assets</w:t>
            </w:r>
          </w:p>
        </w:tc>
        <w:tc>
          <w:tcPr>
            <w:tcW w:w="760" w:type="dxa"/>
            <w:vAlign w:val="bottom"/>
            <w:gridSpan w:val="2"/>
          </w:tcPr>
          <w:p>
            <w:pPr>
              <w:jc w:val="right"/>
              <w:ind w:right="220"/>
              <w:spacing w:after="0"/>
              <w:rPr>
                <w:sz w:val="20"/>
                <w:szCs w:val="20"/>
                <w:color w:val="auto"/>
              </w:rPr>
            </w:pPr>
            <w:r>
              <w:rPr>
                <w:rFonts w:ascii="Arial" w:cs="Arial" w:eastAsia="Arial" w:hAnsi="Arial"/>
                <w:sz w:val="12"/>
                <w:szCs w:val="12"/>
                <w:b w:val="1"/>
                <w:bCs w:val="1"/>
                <w:color w:val="auto"/>
                <w:w w:val="93"/>
              </w:rPr>
              <w:t>Liabilities</w:t>
            </w:r>
          </w:p>
        </w:tc>
        <w:tc>
          <w:tcPr>
            <w:tcW w:w="84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w w:val="92"/>
              </w:rPr>
              <w:t>amount</w:t>
            </w:r>
          </w:p>
        </w:tc>
        <w:tc>
          <w:tcPr>
            <w:tcW w:w="2160" w:type="dxa"/>
            <w:vAlign w:val="bottom"/>
            <w:gridSpan w:val="2"/>
          </w:tcPr>
          <w:p>
            <w:pPr>
              <w:ind w:left="800"/>
              <w:spacing w:after="0"/>
              <w:rPr>
                <w:sz w:val="20"/>
                <w:szCs w:val="20"/>
                <w:color w:val="auto"/>
              </w:rPr>
            </w:pPr>
            <w:r>
              <w:rPr>
                <w:rFonts w:ascii="Arial" w:cs="Arial" w:eastAsia="Arial" w:hAnsi="Arial"/>
                <w:sz w:val="12"/>
                <w:szCs w:val="12"/>
                <w:b w:val="1"/>
                <w:bCs w:val="1"/>
                <w:color w:val="auto"/>
              </w:rPr>
              <w:t>Maturity</w:t>
            </w:r>
          </w:p>
        </w:tc>
        <w:tc>
          <w:tcPr>
            <w:tcW w:w="720" w:type="dxa"/>
            <w:vAlign w:val="bottom"/>
            <w:gridSpan w:val="2"/>
          </w:tcPr>
          <w:p>
            <w:pPr>
              <w:ind w:left="100"/>
              <w:spacing w:after="0"/>
              <w:rPr>
                <w:sz w:val="20"/>
                <w:szCs w:val="20"/>
                <w:color w:val="auto"/>
              </w:rPr>
            </w:pPr>
            <w:r>
              <w:rPr>
                <w:rFonts w:ascii="Arial" w:cs="Arial" w:eastAsia="Arial" w:hAnsi="Arial"/>
                <w:sz w:val="12"/>
                <w:szCs w:val="12"/>
                <w:b w:val="1"/>
                <w:bCs w:val="1"/>
                <w:color w:val="auto"/>
              </w:rPr>
              <w:t>Assets</w:t>
            </w:r>
          </w:p>
        </w:tc>
        <w:tc>
          <w:tcPr>
            <w:tcW w:w="740" w:type="dxa"/>
            <w:vAlign w:val="bottom"/>
            <w:gridSpan w:val="2"/>
          </w:tcPr>
          <w:p>
            <w:pPr>
              <w:spacing w:after="0"/>
              <w:rPr>
                <w:sz w:val="20"/>
                <w:szCs w:val="20"/>
                <w:color w:val="auto"/>
              </w:rPr>
            </w:pPr>
            <w:r>
              <w:rPr>
                <w:rFonts w:ascii="Arial" w:cs="Arial" w:eastAsia="Arial" w:hAnsi="Arial"/>
                <w:sz w:val="12"/>
                <w:szCs w:val="12"/>
                <w:b w:val="1"/>
                <w:bCs w:val="1"/>
                <w:color w:val="auto"/>
              </w:rPr>
              <w:t>Liabilities</w:t>
            </w:r>
          </w:p>
        </w:tc>
        <w:tc>
          <w:tcPr>
            <w:tcW w:w="660" w:type="dxa"/>
            <w:vAlign w:val="bottom"/>
            <w:gridSpan w:val="2"/>
          </w:tcPr>
          <w:p>
            <w:pPr>
              <w:jc w:val="center"/>
              <w:ind w:right="20"/>
              <w:spacing w:after="0"/>
              <w:rPr>
                <w:sz w:val="20"/>
                <w:szCs w:val="20"/>
                <w:color w:val="auto"/>
              </w:rPr>
            </w:pPr>
            <w:r>
              <w:rPr>
                <w:rFonts w:ascii="Arial" w:cs="Arial" w:eastAsia="Arial" w:hAnsi="Arial"/>
                <w:sz w:val="12"/>
                <w:szCs w:val="12"/>
                <w:b w:val="1"/>
                <w:bCs w:val="1"/>
                <w:color w:val="auto"/>
                <w:w w:val="92"/>
              </w:rPr>
              <w:t>amount</w:t>
            </w:r>
          </w:p>
        </w:tc>
        <w:tc>
          <w:tcPr>
            <w:tcW w:w="200" w:type="dxa"/>
            <w:vAlign w:val="bottom"/>
          </w:tcPr>
          <w:p>
            <w:pPr>
              <w:spacing w:after="0"/>
              <w:rPr>
                <w:sz w:val="12"/>
                <w:szCs w:val="12"/>
                <w:color w:val="auto"/>
              </w:rPr>
            </w:pPr>
          </w:p>
        </w:tc>
        <w:tc>
          <w:tcPr>
            <w:tcW w:w="860" w:type="dxa"/>
            <w:vAlign w:val="bottom"/>
          </w:tcPr>
          <w:p>
            <w:pPr>
              <w:ind w:left="200"/>
              <w:spacing w:after="0"/>
              <w:rPr>
                <w:sz w:val="20"/>
                <w:szCs w:val="20"/>
                <w:color w:val="auto"/>
              </w:rPr>
            </w:pPr>
            <w:r>
              <w:rPr>
                <w:rFonts w:ascii="Arial" w:cs="Arial" w:eastAsia="Arial" w:hAnsi="Arial"/>
                <w:sz w:val="12"/>
                <w:szCs w:val="12"/>
                <w:b w:val="1"/>
                <w:bCs w:val="1"/>
                <w:color w:val="auto"/>
              </w:rPr>
              <w:t>Maturity</w:t>
            </w:r>
          </w:p>
        </w:tc>
        <w:tc>
          <w:tcPr>
            <w:tcW w:w="120" w:type="dxa"/>
            <w:vAlign w:val="bottom"/>
          </w:tcPr>
          <w:p>
            <w:pPr>
              <w:spacing w:after="0"/>
              <w:rPr>
                <w:sz w:val="12"/>
                <w:szCs w:val="12"/>
                <w:color w:val="auto"/>
              </w:rPr>
            </w:pPr>
          </w:p>
        </w:tc>
        <w:tc>
          <w:tcPr>
            <w:tcW w:w="1040" w:type="dxa"/>
            <w:vAlign w:val="bottom"/>
          </w:tcPr>
          <w:p>
            <w:pPr>
              <w:spacing w:after="0"/>
              <w:rPr>
                <w:sz w:val="20"/>
                <w:szCs w:val="20"/>
                <w:color w:val="auto"/>
              </w:rPr>
            </w:pPr>
            <w:r>
              <w:rPr>
                <w:rFonts w:ascii="Arial" w:cs="Arial" w:eastAsia="Arial" w:hAnsi="Arial"/>
                <w:sz w:val="12"/>
                <w:szCs w:val="12"/>
                <w:b w:val="1"/>
                <w:bCs w:val="1"/>
                <w:color w:val="auto"/>
                <w:w w:val="88"/>
              </w:rPr>
              <w:t>Related instruments</w:t>
            </w:r>
          </w:p>
        </w:tc>
        <w:tc>
          <w:tcPr>
            <w:tcW w:w="0" w:type="dxa"/>
            <w:vAlign w:val="bottom"/>
          </w:tcPr>
          <w:p>
            <w:pPr>
              <w:spacing w:after="0"/>
              <w:rPr>
                <w:sz w:val="1"/>
                <w:szCs w:val="1"/>
                <w:color w:val="auto"/>
              </w:rPr>
            </w:pPr>
          </w:p>
        </w:tc>
      </w:tr>
      <w:tr>
        <w:trPr>
          <w:trHeight w:val="151"/>
        </w:trPr>
        <w:tc>
          <w:tcPr>
            <w:tcW w:w="20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2"/>
                <w:szCs w:val="12"/>
                <w:b w:val="1"/>
                <w:bCs w:val="1"/>
                <w:color w:val="auto"/>
              </w:rPr>
              <w:t>S/(000)</w:t>
            </w:r>
          </w:p>
        </w:tc>
        <w:tc>
          <w:tcPr>
            <w:tcW w:w="200" w:type="dxa"/>
            <w:vAlign w:val="bottom"/>
          </w:tcPr>
          <w:p>
            <w:pPr>
              <w:spacing w:after="0"/>
              <w:rPr>
                <w:sz w:val="13"/>
                <w:szCs w:val="13"/>
                <w:color w:val="auto"/>
              </w:rPr>
            </w:pPr>
          </w:p>
        </w:tc>
        <w:tc>
          <w:tcPr>
            <w:tcW w:w="540" w:type="dxa"/>
            <w:vAlign w:val="bottom"/>
            <w:tcBorders>
              <w:top w:val="single" w:sz="8" w:color="auto"/>
            </w:tcBorders>
          </w:tcPr>
          <w:p>
            <w:pPr>
              <w:jc w:val="right"/>
              <w:ind w:right="19"/>
              <w:spacing w:after="0"/>
              <w:rPr>
                <w:sz w:val="20"/>
                <w:szCs w:val="20"/>
                <w:color w:val="auto"/>
              </w:rPr>
            </w:pPr>
            <w:r>
              <w:rPr>
                <w:rFonts w:ascii="Arial" w:cs="Arial" w:eastAsia="Arial" w:hAnsi="Arial"/>
                <w:sz w:val="12"/>
                <w:szCs w:val="12"/>
                <w:b w:val="1"/>
                <w:bCs w:val="1"/>
                <w:color w:val="auto"/>
              </w:rPr>
              <w:t>S/(000)</w:t>
            </w:r>
          </w:p>
        </w:tc>
        <w:tc>
          <w:tcPr>
            <w:tcW w:w="220" w:type="dxa"/>
            <w:vAlign w:val="bottom"/>
          </w:tcPr>
          <w:p>
            <w:pPr>
              <w:spacing w:after="0"/>
              <w:rPr>
                <w:sz w:val="13"/>
                <w:szCs w:val="13"/>
                <w:color w:val="auto"/>
              </w:rPr>
            </w:pPr>
          </w:p>
        </w:tc>
        <w:tc>
          <w:tcPr>
            <w:tcW w:w="640" w:type="dxa"/>
            <w:vAlign w:val="bottom"/>
            <w:tcBorders>
              <w:top w:val="single" w:sz="8" w:color="auto"/>
            </w:tcBorders>
          </w:tcPr>
          <w:p>
            <w:pPr>
              <w:jc w:val="center"/>
              <w:spacing w:after="0"/>
              <w:rPr>
                <w:sz w:val="20"/>
                <w:szCs w:val="20"/>
                <w:color w:val="auto"/>
              </w:rPr>
            </w:pPr>
            <w:r>
              <w:rPr>
                <w:rFonts w:ascii="Arial" w:cs="Arial" w:eastAsia="Arial" w:hAnsi="Arial"/>
                <w:sz w:val="12"/>
                <w:szCs w:val="12"/>
                <w:b w:val="1"/>
                <w:bCs w:val="1"/>
                <w:color w:val="auto"/>
                <w:w w:val="91"/>
              </w:rPr>
              <w:t>S/(000)</w:t>
            </w:r>
          </w:p>
        </w:tc>
        <w:tc>
          <w:tcPr>
            <w:tcW w:w="200" w:type="dxa"/>
            <w:vAlign w:val="bottom"/>
          </w:tcPr>
          <w:p>
            <w:pPr>
              <w:spacing w:after="0"/>
              <w:rPr>
                <w:sz w:val="13"/>
                <w:szCs w:val="13"/>
                <w:color w:val="auto"/>
              </w:rPr>
            </w:pPr>
          </w:p>
        </w:tc>
        <w:tc>
          <w:tcPr>
            <w:tcW w:w="20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Borders>
              <w:top w:val="single" w:sz="8" w:color="auto"/>
            </w:tcBorders>
          </w:tcPr>
          <w:p>
            <w:pPr>
              <w:jc w:val="right"/>
              <w:ind w:right="19"/>
              <w:spacing w:after="0"/>
              <w:rPr>
                <w:sz w:val="20"/>
                <w:szCs w:val="20"/>
                <w:color w:val="auto"/>
              </w:rPr>
            </w:pPr>
            <w:r>
              <w:rPr>
                <w:rFonts w:ascii="Arial" w:cs="Arial" w:eastAsia="Arial" w:hAnsi="Arial"/>
                <w:sz w:val="12"/>
                <w:szCs w:val="12"/>
                <w:b w:val="1"/>
                <w:bCs w:val="1"/>
                <w:color w:val="auto"/>
              </w:rPr>
              <w:t>S/(000)</w:t>
            </w:r>
          </w:p>
        </w:tc>
        <w:tc>
          <w:tcPr>
            <w:tcW w:w="200" w:type="dxa"/>
            <w:vAlign w:val="bottom"/>
          </w:tcPr>
          <w:p>
            <w:pPr>
              <w:spacing w:after="0"/>
              <w:rPr>
                <w:sz w:val="13"/>
                <w:szCs w:val="13"/>
                <w:color w:val="auto"/>
              </w:rPr>
            </w:pPr>
          </w:p>
        </w:tc>
        <w:tc>
          <w:tcPr>
            <w:tcW w:w="540" w:type="dxa"/>
            <w:vAlign w:val="bottom"/>
            <w:tcBorders>
              <w:top w:val="single" w:sz="8" w:color="auto"/>
            </w:tcBorders>
          </w:tcPr>
          <w:p>
            <w:pPr>
              <w:jc w:val="right"/>
              <w:ind w:right="39"/>
              <w:spacing w:after="0"/>
              <w:rPr>
                <w:sz w:val="20"/>
                <w:szCs w:val="20"/>
                <w:color w:val="auto"/>
              </w:rPr>
            </w:pPr>
            <w:r>
              <w:rPr>
                <w:rFonts w:ascii="Arial" w:cs="Arial" w:eastAsia="Arial" w:hAnsi="Arial"/>
                <w:sz w:val="12"/>
                <w:szCs w:val="12"/>
                <w:b w:val="1"/>
                <w:bCs w:val="1"/>
                <w:color w:val="auto"/>
              </w:rPr>
              <w:t>S/(000)</w:t>
            </w:r>
          </w:p>
        </w:tc>
        <w:tc>
          <w:tcPr>
            <w:tcW w:w="200" w:type="dxa"/>
            <w:vAlign w:val="bottom"/>
          </w:tcPr>
          <w:p>
            <w:pPr>
              <w:spacing w:after="0"/>
              <w:rPr>
                <w:sz w:val="13"/>
                <w:szCs w:val="13"/>
                <w:color w:val="auto"/>
              </w:rPr>
            </w:pPr>
          </w:p>
        </w:tc>
        <w:tc>
          <w:tcPr>
            <w:tcW w:w="640" w:type="dxa"/>
            <w:vAlign w:val="bottom"/>
            <w:tcBorders>
              <w:top w:val="single" w:sz="8" w:color="auto"/>
            </w:tcBorders>
          </w:tcPr>
          <w:p>
            <w:pPr>
              <w:jc w:val="center"/>
              <w:spacing w:after="0"/>
              <w:rPr>
                <w:sz w:val="20"/>
                <w:szCs w:val="20"/>
                <w:color w:val="auto"/>
              </w:rPr>
            </w:pPr>
            <w:r>
              <w:rPr>
                <w:rFonts w:ascii="Arial" w:cs="Arial" w:eastAsia="Arial" w:hAnsi="Arial"/>
                <w:sz w:val="12"/>
                <w:szCs w:val="12"/>
                <w:b w:val="1"/>
                <w:bCs w:val="1"/>
                <w:color w:val="auto"/>
                <w:w w:val="91"/>
              </w:rPr>
              <w:t>S/(000)</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02"/>
        </w:trPr>
        <w:tc>
          <w:tcPr>
            <w:tcW w:w="2020" w:type="dxa"/>
            <w:vAlign w:val="bottom"/>
          </w:tcPr>
          <w:p>
            <w:pPr>
              <w:spacing w:after="0"/>
              <w:rPr>
                <w:sz w:val="8"/>
                <w:szCs w:val="8"/>
                <w:color w:val="auto"/>
              </w:rPr>
            </w:pPr>
          </w:p>
        </w:tc>
        <w:tc>
          <w:tcPr>
            <w:tcW w:w="6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2020" w:type="dxa"/>
            <w:vAlign w:val="bottom"/>
            <w:shd w:val="clear" w:color="auto" w:fill="CCEEFF"/>
          </w:tcPr>
          <w:p>
            <w:pPr>
              <w:spacing w:after="0" w:line="130" w:lineRule="exact"/>
              <w:rPr>
                <w:sz w:val="20"/>
                <w:szCs w:val="20"/>
                <w:color w:val="auto"/>
              </w:rPr>
            </w:pPr>
            <w:r>
              <w:rPr>
                <w:rFonts w:ascii="Arial" w:cs="Arial" w:eastAsia="Arial" w:hAnsi="Arial"/>
                <w:sz w:val="12"/>
                <w:szCs w:val="12"/>
                <w:b w:val="1"/>
                <w:bCs w:val="1"/>
                <w:color w:val="auto"/>
              </w:rPr>
              <w:t>Derivatives held for trading(i) -</w:t>
            </w:r>
          </w:p>
        </w:tc>
        <w:tc>
          <w:tcPr>
            <w:tcW w:w="6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0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16"/>
        </w:trPr>
        <w:tc>
          <w:tcPr>
            <w:tcW w:w="2020" w:type="dxa"/>
            <w:vAlign w:val="bottom"/>
          </w:tcPr>
          <w:p>
            <w:pPr>
              <w:spacing w:after="0" w:line="116" w:lineRule="exact"/>
              <w:rPr>
                <w:sz w:val="20"/>
                <w:szCs w:val="20"/>
                <w:color w:val="auto"/>
              </w:rPr>
            </w:pPr>
            <w:r>
              <w:rPr>
                <w:rFonts w:ascii="Arial" w:cs="Arial" w:eastAsia="Arial" w:hAnsi="Arial"/>
                <w:sz w:val="12"/>
                <w:szCs w:val="12"/>
                <w:color w:val="auto"/>
              </w:rPr>
              <w:t>Forward foreign exchange contracts</w:t>
            </w:r>
          </w:p>
        </w:tc>
        <w:tc>
          <w:tcPr>
            <w:tcW w:w="6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160" w:type="dxa"/>
            <w:vAlign w:val="bottom"/>
            <w:gridSpan w:val="2"/>
          </w:tcPr>
          <w:p>
            <w:pPr>
              <w:spacing w:after="0" w:line="116" w:lineRule="exact"/>
              <w:rPr>
                <w:sz w:val="20"/>
                <w:szCs w:val="20"/>
                <w:color w:val="auto"/>
              </w:rPr>
            </w:pPr>
            <w:r>
              <w:rPr>
                <w:rFonts w:ascii="Arial" w:cs="Arial" w:eastAsia="Arial" w:hAnsi="Arial"/>
                <w:sz w:val="12"/>
                <w:szCs w:val="12"/>
                <w:color w:val="auto"/>
              </w:rPr>
              <w:t>Between January 2018 and June 2020</w:t>
            </w:r>
          </w:p>
        </w:tc>
        <w:tc>
          <w:tcPr>
            <w:tcW w:w="5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60" w:type="dxa"/>
            <w:vAlign w:val="bottom"/>
            <w:gridSpan w:val="2"/>
          </w:tcPr>
          <w:p>
            <w:pPr>
              <w:ind w:left="200"/>
              <w:spacing w:after="0" w:line="116" w:lineRule="exact"/>
              <w:rPr>
                <w:sz w:val="20"/>
                <w:szCs w:val="20"/>
                <w:color w:val="auto"/>
              </w:rPr>
            </w:pPr>
            <w:r>
              <w:rPr>
                <w:rFonts w:ascii="Arial" w:cs="Arial" w:eastAsia="Arial" w:hAnsi="Arial"/>
                <w:sz w:val="12"/>
                <w:szCs w:val="12"/>
                <w:color w:val="auto"/>
                <w:w w:val="90"/>
              </w:rPr>
              <w:t>Between January</w:t>
            </w: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20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60" w:type="dxa"/>
            <w:vAlign w:val="bottom"/>
            <w:gridSpan w:val="2"/>
          </w:tcPr>
          <w:p>
            <w:pPr>
              <w:ind w:left="200"/>
              <w:spacing w:after="0" w:line="130" w:lineRule="exact"/>
              <w:rPr>
                <w:sz w:val="20"/>
                <w:szCs w:val="20"/>
                <w:color w:val="auto"/>
              </w:rPr>
            </w:pPr>
            <w:r>
              <w:rPr>
                <w:rFonts w:ascii="Arial" w:cs="Arial" w:eastAsia="Arial" w:hAnsi="Arial"/>
                <w:sz w:val="12"/>
                <w:szCs w:val="12"/>
                <w:color w:val="auto"/>
              </w:rPr>
              <w:t>2017 and June</w:t>
            </w: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2"/>
                <w:szCs w:val="12"/>
                <w:color w:val="auto"/>
              </w:rPr>
              <w:t>62,353</w:t>
            </w:r>
          </w:p>
        </w:tc>
        <w:tc>
          <w:tcPr>
            <w:tcW w:w="760" w:type="dxa"/>
            <w:vAlign w:val="bottom"/>
            <w:gridSpan w:val="2"/>
          </w:tcPr>
          <w:p>
            <w:pPr>
              <w:jc w:val="right"/>
              <w:ind w:right="220"/>
              <w:spacing w:after="0"/>
              <w:rPr>
                <w:sz w:val="20"/>
                <w:szCs w:val="20"/>
                <w:color w:val="auto"/>
              </w:rPr>
            </w:pPr>
            <w:r>
              <w:rPr>
                <w:rFonts w:ascii="Arial" w:cs="Arial" w:eastAsia="Arial" w:hAnsi="Arial"/>
                <w:sz w:val="12"/>
                <w:szCs w:val="12"/>
                <w:color w:val="auto"/>
              </w:rPr>
              <w:t>56,869</w:t>
            </w:r>
          </w:p>
        </w:tc>
        <w:tc>
          <w:tcPr>
            <w:tcW w:w="840" w:type="dxa"/>
            <w:vAlign w:val="bottom"/>
            <w:gridSpan w:val="2"/>
          </w:tcPr>
          <w:p>
            <w:pPr>
              <w:jc w:val="right"/>
              <w:ind w:right="200"/>
              <w:spacing w:after="0"/>
              <w:rPr>
                <w:sz w:val="20"/>
                <w:szCs w:val="20"/>
                <w:color w:val="auto"/>
              </w:rPr>
            </w:pPr>
            <w:r>
              <w:rPr>
                <w:rFonts w:ascii="Arial" w:cs="Arial" w:eastAsia="Arial" w:hAnsi="Arial"/>
                <w:sz w:val="12"/>
                <w:szCs w:val="12"/>
                <w:color w:val="auto"/>
              </w:rPr>
              <w:t>10,846,203</w:t>
            </w:r>
          </w:p>
        </w:tc>
        <w:tc>
          <w:tcPr>
            <w:tcW w:w="2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2"/>
                <w:szCs w:val="12"/>
                <w:color w:val="auto"/>
              </w:rPr>
              <w:t>73,722</w:t>
            </w:r>
          </w:p>
        </w:tc>
        <w:tc>
          <w:tcPr>
            <w:tcW w:w="740" w:type="dxa"/>
            <w:vAlign w:val="bottom"/>
            <w:gridSpan w:val="2"/>
          </w:tcPr>
          <w:p>
            <w:pPr>
              <w:jc w:val="right"/>
              <w:ind w:right="200"/>
              <w:spacing w:after="0"/>
              <w:rPr>
                <w:sz w:val="20"/>
                <w:szCs w:val="20"/>
                <w:color w:val="auto"/>
              </w:rPr>
            </w:pPr>
            <w:r>
              <w:rPr>
                <w:rFonts w:ascii="Arial" w:cs="Arial" w:eastAsia="Arial" w:hAnsi="Arial"/>
                <w:sz w:val="12"/>
                <w:szCs w:val="12"/>
                <w:color w:val="auto"/>
              </w:rPr>
              <w:t>55,437</w:t>
            </w:r>
          </w:p>
        </w:tc>
        <w:tc>
          <w:tcPr>
            <w:tcW w:w="640" w:type="dxa"/>
            <w:vAlign w:val="bottom"/>
          </w:tcPr>
          <w:p>
            <w:pPr>
              <w:jc w:val="right"/>
              <w:spacing w:after="0"/>
              <w:rPr>
                <w:sz w:val="20"/>
                <w:szCs w:val="20"/>
                <w:color w:val="auto"/>
              </w:rPr>
            </w:pPr>
            <w:r>
              <w:rPr>
                <w:rFonts w:ascii="Arial" w:cs="Arial" w:eastAsia="Arial" w:hAnsi="Arial"/>
                <w:sz w:val="12"/>
                <w:szCs w:val="12"/>
                <w:color w:val="auto"/>
              </w:rPr>
              <w:t>9,313,965</w:t>
            </w:r>
          </w:p>
        </w:tc>
        <w:tc>
          <w:tcPr>
            <w:tcW w:w="20" w:type="dxa"/>
            <w:vAlign w:val="bottom"/>
          </w:tcPr>
          <w:p>
            <w:pPr>
              <w:spacing w:after="0"/>
              <w:rPr>
                <w:sz w:val="12"/>
                <w:szCs w:val="12"/>
                <w:color w:val="auto"/>
              </w:rPr>
            </w:pPr>
          </w:p>
        </w:tc>
        <w:tc>
          <w:tcPr>
            <w:tcW w:w="1060" w:type="dxa"/>
            <w:vAlign w:val="bottom"/>
            <w:gridSpan w:val="2"/>
          </w:tcPr>
          <w:p>
            <w:pPr>
              <w:ind w:left="200"/>
              <w:spacing w:after="0"/>
              <w:rPr>
                <w:sz w:val="20"/>
                <w:szCs w:val="20"/>
                <w:color w:val="auto"/>
              </w:rPr>
            </w:pPr>
            <w:r>
              <w:rPr>
                <w:rFonts w:ascii="Arial" w:cs="Arial" w:eastAsia="Arial" w:hAnsi="Arial"/>
                <w:sz w:val="12"/>
                <w:szCs w:val="12"/>
                <w:color w:val="auto"/>
              </w:rPr>
              <w:t>2020</w:t>
            </w:r>
          </w:p>
        </w:tc>
        <w:tc>
          <w:tcPr>
            <w:tcW w:w="1160" w:type="dxa"/>
            <w:vAlign w:val="bottom"/>
            <w:gridSpan w:val="2"/>
          </w:tcPr>
          <w:p>
            <w:pPr>
              <w:ind w:left="6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16"/>
        </w:trPr>
        <w:tc>
          <w:tcPr>
            <w:tcW w:w="2020" w:type="dxa"/>
            <w:vAlign w:val="bottom"/>
            <w:shd w:val="clear" w:color="auto" w:fill="CCEEFF"/>
          </w:tcPr>
          <w:p>
            <w:pPr>
              <w:spacing w:after="0" w:line="116" w:lineRule="exact"/>
              <w:rPr>
                <w:sz w:val="20"/>
                <w:szCs w:val="20"/>
                <w:color w:val="auto"/>
              </w:rPr>
            </w:pPr>
            <w:r>
              <w:rPr>
                <w:rFonts w:ascii="Arial" w:cs="Arial" w:eastAsia="Arial" w:hAnsi="Arial"/>
                <w:sz w:val="12"/>
                <w:szCs w:val="12"/>
                <w:color w:val="auto"/>
              </w:rPr>
              <w:t>Interest rate swaps</w:t>
            </w:r>
          </w:p>
        </w:tc>
        <w:tc>
          <w:tcPr>
            <w:tcW w:w="60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160" w:type="dxa"/>
            <w:vAlign w:val="bottom"/>
            <w:gridSpan w:val="2"/>
            <w:shd w:val="clear" w:color="auto" w:fill="CCEEFF"/>
          </w:tcPr>
          <w:p>
            <w:pPr>
              <w:spacing w:after="0" w:line="116" w:lineRule="exact"/>
              <w:rPr>
                <w:sz w:val="20"/>
                <w:szCs w:val="20"/>
                <w:color w:val="auto"/>
              </w:rPr>
            </w:pPr>
            <w:r>
              <w:rPr>
                <w:rFonts w:ascii="Arial" w:cs="Arial" w:eastAsia="Arial" w:hAnsi="Arial"/>
                <w:sz w:val="12"/>
                <w:szCs w:val="12"/>
                <w:color w:val="auto"/>
              </w:rPr>
              <w:t>Between January 2018 and December</w:t>
            </w:r>
          </w:p>
        </w:tc>
        <w:tc>
          <w:tcPr>
            <w:tcW w:w="5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60" w:type="dxa"/>
            <w:vAlign w:val="bottom"/>
            <w:gridSpan w:val="2"/>
            <w:shd w:val="clear" w:color="auto" w:fill="CCEEFF"/>
          </w:tcPr>
          <w:p>
            <w:pPr>
              <w:ind w:left="200"/>
              <w:spacing w:after="0" w:line="116" w:lineRule="exact"/>
              <w:rPr>
                <w:sz w:val="20"/>
                <w:szCs w:val="20"/>
                <w:color w:val="auto"/>
              </w:rPr>
            </w:pPr>
            <w:r>
              <w:rPr>
                <w:rFonts w:ascii="Arial" w:cs="Arial" w:eastAsia="Arial" w:hAnsi="Arial"/>
                <w:sz w:val="12"/>
                <w:szCs w:val="12"/>
                <w:color w:val="auto"/>
                <w:w w:val="90"/>
              </w:rPr>
              <w:t>Between January</w:t>
            </w:r>
          </w:p>
        </w:tc>
        <w:tc>
          <w:tcPr>
            <w:tcW w:w="12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20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060" w:type="dxa"/>
            <w:vAlign w:val="bottom"/>
            <w:shd w:val="clear" w:color="auto" w:fill="CCEEFF"/>
          </w:tcPr>
          <w:p>
            <w:pPr>
              <w:spacing w:after="0" w:line="130" w:lineRule="exact"/>
              <w:rPr>
                <w:sz w:val="20"/>
                <w:szCs w:val="20"/>
                <w:color w:val="auto"/>
              </w:rPr>
            </w:pPr>
            <w:r>
              <w:rPr>
                <w:rFonts w:ascii="Arial" w:cs="Arial" w:eastAsia="Arial" w:hAnsi="Arial"/>
                <w:sz w:val="12"/>
                <w:szCs w:val="12"/>
                <w:color w:val="auto"/>
              </w:rPr>
              <w:t>2031</w:t>
            </w: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60" w:type="dxa"/>
            <w:vAlign w:val="bottom"/>
            <w:gridSpan w:val="2"/>
            <w:shd w:val="clear" w:color="auto" w:fill="CCEEFF"/>
          </w:tcPr>
          <w:p>
            <w:pPr>
              <w:ind w:left="200"/>
              <w:spacing w:after="0" w:line="130" w:lineRule="exact"/>
              <w:rPr>
                <w:sz w:val="20"/>
                <w:szCs w:val="20"/>
                <w:color w:val="auto"/>
              </w:rPr>
            </w:pPr>
            <w:r>
              <w:rPr>
                <w:rFonts w:ascii="Arial" w:cs="Arial" w:eastAsia="Arial" w:hAnsi="Arial"/>
                <w:sz w:val="12"/>
                <w:szCs w:val="12"/>
                <w:color w:val="auto"/>
              </w:rPr>
              <w:t>2017 and</w:t>
            </w:r>
          </w:p>
        </w:tc>
        <w:tc>
          <w:tcPr>
            <w:tcW w:w="12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101,765</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94,238</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33,057,283</w:t>
            </w:r>
          </w:p>
        </w:tc>
        <w:tc>
          <w:tcPr>
            <w:tcW w:w="20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87,872</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55,927</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25,900,896</w:t>
            </w:r>
          </w:p>
        </w:tc>
        <w:tc>
          <w:tcPr>
            <w:tcW w:w="1060" w:type="dxa"/>
            <w:vAlign w:val="bottom"/>
            <w:gridSpan w:val="2"/>
            <w:shd w:val="clear" w:color="auto" w:fill="CCEEFF"/>
          </w:tcPr>
          <w:p>
            <w:pPr>
              <w:ind w:left="200"/>
              <w:spacing w:after="0"/>
              <w:rPr>
                <w:sz w:val="20"/>
                <w:szCs w:val="20"/>
                <w:color w:val="auto"/>
              </w:rPr>
            </w:pPr>
            <w:r>
              <w:rPr>
                <w:rFonts w:ascii="Arial" w:cs="Arial" w:eastAsia="Arial" w:hAnsi="Arial"/>
                <w:sz w:val="12"/>
                <w:szCs w:val="12"/>
                <w:color w:val="auto"/>
                <w:w w:val="98"/>
              </w:rPr>
              <w:t>December 2031</w:t>
            </w:r>
          </w:p>
        </w:tc>
        <w:tc>
          <w:tcPr>
            <w:tcW w:w="1160" w:type="dxa"/>
            <w:vAlign w:val="bottom"/>
            <w:gridSpan w:val="2"/>
            <w:shd w:val="clear" w:color="auto" w:fill="CCEEFF"/>
          </w:tcPr>
          <w:p>
            <w:pPr>
              <w:ind w:left="6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16"/>
        </w:trPr>
        <w:tc>
          <w:tcPr>
            <w:tcW w:w="2020" w:type="dxa"/>
            <w:vAlign w:val="bottom"/>
          </w:tcPr>
          <w:p>
            <w:pPr>
              <w:spacing w:after="0" w:line="116" w:lineRule="exact"/>
              <w:rPr>
                <w:sz w:val="20"/>
                <w:szCs w:val="20"/>
                <w:color w:val="auto"/>
              </w:rPr>
            </w:pPr>
            <w:r>
              <w:rPr>
                <w:rFonts w:ascii="Arial" w:cs="Arial" w:eastAsia="Arial" w:hAnsi="Arial"/>
                <w:sz w:val="12"/>
                <w:szCs w:val="12"/>
                <w:color w:val="auto"/>
              </w:rPr>
              <w:t>Currency swaps</w:t>
            </w:r>
          </w:p>
        </w:tc>
        <w:tc>
          <w:tcPr>
            <w:tcW w:w="6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160" w:type="dxa"/>
            <w:vAlign w:val="bottom"/>
            <w:gridSpan w:val="2"/>
          </w:tcPr>
          <w:p>
            <w:pPr>
              <w:spacing w:after="0" w:line="116" w:lineRule="exact"/>
              <w:rPr>
                <w:sz w:val="20"/>
                <w:szCs w:val="20"/>
                <w:color w:val="auto"/>
              </w:rPr>
            </w:pPr>
            <w:r>
              <w:rPr>
                <w:rFonts w:ascii="Arial" w:cs="Arial" w:eastAsia="Arial" w:hAnsi="Arial"/>
                <w:sz w:val="12"/>
                <w:szCs w:val="12"/>
                <w:color w:val="auto"/>
              </w:rPr>
              <w:t>Between January 2018 and December</w:t>
            </w:r>
          </w:p>
        </w:tc>
        <w:tc>
          <w:tcPr>
            <w:tcW w:w="5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60" w:type="dxa"/>
            <w:vAlign w:val="bottom"/>
            <w:gridSpan w:val="2"/>
          </w:tcPr>
          <w:p>
            <w:pPr>
              <w:ind w:left="200"/>
              <w:spacing w:after="0" w:line="116" w:lineRule="exact"/>
              <w:rPr>
                <w:sz w:val="20"/>
                <w:szCs w:val="20"/>
                <w:color w:val="auto"/>
              </w:rPr>
            </w:pPr>
            <w:r>
              <w:rPr>
                <w:rFonts w:ascii="Arial" w:cs="Arial" w:eastAsia="Arial" w:hAnsi="Arial"/>
                <w:sz w:val="12"/>
                <w:szCs w:val="12"/>
                <w:color w:val="auto"/>
                <w:w w:val="90"/>
              </w:rPr>
              <w:t>Between January</w:t>
            </w: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20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60" w:type="dxa"/>
            <w:vAlign w:val="bottom"/>
          </w:tcPr>
          <w:p>
            <w:pPr>
              <w:spacing w:after="0" w:line="130" w:lineRule="exact"/>
              <w:rPr>
                <w:sz w:val="20"/>
                <w:szCs w:val="20"/>
                <w:color w:val="auto"/>
              </w:rPr>
            </w:pPr>
            <w:r>
              <w:rPr>
                <w:rFonts w:ascii="Arial" w:cs="Arial" w:eastAsia="Arial" w:hAnsi="Arial"/>
                <w:sz w:val="12"/>
                <w:szCs w:val="12"/>
                <w:color w:val="auto"/>
              </w:rPr>
              <w:t>2027</w:t>
            </w: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60" w:type="dxa"/>
            <w:vAlign w:val="bottom"/>
            <w:gridSpan w:val="2"/>
          </w:tcPr>
          <w:p>
            <w:pPr>
              <w:ind w:left="200"/>
              <w:spacing w:after="0" w:line="130" w:lineRule="exact"/>
              <w:rPr>
                <w:sz w:val="20"/>
                <w:szCs w:val="20"/>
                <w:color w:val="auto"/>
              </w:rPr>
            </w:pPr>
            <w:r>
              <w:rPr>
                <w:rFonts w:ascii="Arial" w:cs="Arial" w:eastAsia="Arial" w:hAnsi="Arial"/>
                <w:sz w:val="12"/>
                <w:szCs w:val="12"/>
                <w:color w:val="auto"/>
              </w:rPr>
              <w:t>2017 and</w:t>
            </w: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2"/>
                <w:szCs w:val="12"/>
                <w:color w:val="auto"/>
              </w:rPr>
              <w:t>332,376</w:t>
            </w:r>
          </w:p>
        </w:tc>
        <w:tc>
          <w:tcPr>
            <w:tcW w:w="540" w:type="dxa"/>
            <w:vAlign w:val="bottom"/>
          </w:tcPr>
          <w:p>
            <w:pPr>
              <w:jc w:val="right"/>
              <w:spacing w:after="0"/>
              <w:rPr>
                <w:sz w:val="20"/>
                <w:szCs w:val="20"/>
                <w:color w:val="auto"/>
              </w:rPr>
            </w:pPr>
            <w:r>
              <w:rPr>
                <w:rFonts w:ascii="Arial" w:cs="Arial" w:eastAsia="Arial" w:hAnsi="Arial"/>
                <w:sz w:val="12"/>
                <w:szCs w:val="12"/>
                <w:color w:val="auto"/>
              </w:rPr>
              <w:t>349,779</w:t>
            </w:r>
          </w:p>
        </w:tc>
        <w:tc>
          <w:tcPr>
            <w:tcW w:w="220" w:type="dxa"/>
            <w:vAlign w:val="bottom"/>
          </w:tcPr>
          <w:p>
            <w:pPr>
              <w:spacing w:after="0"/>
              <w:rPr>
                <w:sz w:val="12"/>
                <w:szCs w:val="12"/>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2"/>
                <w:szCs w:val="12"/>
                <w:color w:val="auto"/>
              </w:rPr>
              <w:t>8,528,764</w:t>
            </w:r>
          </w:p>
        </w:tc>
        <w:tc>
          <w:tcPr>
            <w:tcW w:w="2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2"/>
                <w:szCs w:val="12"/>
                <w:color w:val="auto"/>
              </w:rPr>
              <w:t>428,928</w:t>
            </w:r>
          </w:p>
        </w:tc>
        <w:tc>
          <w:tcPr>
            <w:tcW w:w="740" w:type="dxa"/>
            <w:vAlign w:val="bottom"/>
            <w:gridSpan w:val="2"/>
          </w:tcPr>
          <w:p>
            <w:pPr>
              <w:jc w:val="right"/>
              <w:ind w:right="200"/>
              <w:spacing w:after="0"/>
              <w:rPr>
                <w:sz w:val="20"/>
                <w:szCs w:val="20"/>
                <w:color w:val="auto"/>
              </w:rPr>
            </w:pPr>
            <w:r>
              <w:rPr>
                <w:rFonts w:ascii="Arial" w:cs="Arial" w:eastAsia="Arial" w:hAnsi="Arial"/>
                <w:sz w:val="12"/>
                <w:szCs w:val="12"/>
                <w:color w:val="auto"/>
              </w:rPr>
              <w:t>490,475</w:t>
            </w:r>
          </w:p>
        </w:tc>
        <w:tc>
          <w:tcPr>
            <w:tcW w:w="640" w:type="dxa"/>
            <w:vAlign w:val="bottom"/>
          </w:tcPr>
          <w:p>
            <w:pPr>
              <w:jc w:val="right"/>
              <w:spacing w:after="0"/>
              <w:rPr>
                <w:sz w:val="20"/>
                <w:szCs w:val="20"/>
                <w:color w:val="auto"/>
              </w:rPr>
            </w:pPr>
            <w:r>
              <w:rPr>
                <w:rFonts w:ascii="Arial" w:cs="Arial" w:eastAsia="Arial" w:hAnsi="Arial"/>
                <w:sz w:val="12"/>
                <w:szCs w:val="12"/>
                <w:color w:val="auto"/>
              </w:rPr>
              <w:t>7,518,170</w:t>
            </w:r>
          </w:p>
        </w:tc>
        <w:tc>
          <w:tcPr>
            <w:tcW w:w="20" w:type="dxa"/>
            <w:vAlign w:val="bottom"/>
          </w:tcPr>
          <w:p>
            <w:pPr>
              <w:spacing w:after="0"/>
              <w:rPr>
                <w:sz w:val="12"/>
                <w:szCs w:val="12"/>
                <w:color w:val="auto"/>
              </w:rPr>
            </w:pPr>
          </w:p>
        </w:tc>
        <w:tc>
          <w:tcPr>
            <w:tcW w:w="1060" w:type="dxa"/>
            <w:vAlign w:val="bottom"/>
            <w:gridSpan w:val="2"/>
          </w:tcPr>
          <w:p>
            <w:pPr>
              <w:ind w:left="200"/>
              <w:spacing w:after="0"/>
              <w:rPr>
                <w:sz w:val="20"/>
                <w:szCs w:val="20"/>
                <w:color w:val="auto"/>
              </w:rPr>
            </w:pPr>
            <w:r>
              <w:rPr>
                <w:rFonts w:ascii="Arial" w:cs="Arial" w:eastAsia="Arial" w:hAnsi="Arial"/>
                <w:sz w:val="12"/>
                <w:szCs w:val="12"/>
                <w:color w:val="auto"/>
                <w:w w:val="98"/>
              </w:rPr>
              <w:t>December 2026</w:t>
            </w:r>
          </w:p>
        </w:tc>
        <w:tc>
          <w:tcPr>
            <w:tcW w:w="1160" w:type="dxa"/>
            <w:vAlign w:val="bottom"/>
            <w:gridSpan w:val="2"/>
          </w:tcPr>
          <w:p>
            <w:pPr>
              <w:ind w:left="6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16"/>
        </w:trPr>
        <w:tc>
          <w:tcPr>
            <w:tcW w:w="2020" w:type="dxa"/>
            <w:vAlign w:val="bottom"/>
            <w:shd w:val="clear" w:color="auto" w:fill="CCEEFF"/>
          </w:tcPr>
          <w:p>
            <w:pPr>
              <w:spacing w:after="0" w:line="116" w:lineRule="exact"/>
              <w:rPr>
                <w:sz w:val="20"/>
                <w:szCs w:val="20"/>
                <w:color w:val="auto"/>
              </w:rPr>
            </w:pPr>
            <w:r>
              <w:rPr>
                <w:rFonts w:ascii="Arial" w:cs="Arial" w:eastAsia="Arial" w:hAnsi="Arial"/>
                <w:sz w:val="12"/>
                <w:szCs w:val="12"/>
                <w:color w:val="auto"/>
              </w:rPr>
              <w:t>Foreign exchange options</w:t>
            </w:r>
          </w:p>
        </w:tc>
        <w:tc>
          <w:tcPr>
            <w:tcW w:w="60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160" w:type="dxa"/>
            <w:vAlign w:val="bottom"/>
            <w:gridSpan w:val="2"/>
            <w:shd w:val="clear" w:color="auto" w:fill="CCEEFF"/>
          </w:tcPr>
          <w:p>
            <w:pPr>
              <w:spacing w:after="0" w:line="116" w:lineRule="exact"/>
              <w:rPr>
                <w:sz w:val="20"/>
                <w:szCs w:val="20"/>
                <w:color w:val="auto"/>
              </w:rPr>
            </w:pPr>
            <w:r>
              <w:rPr>
                <w:rFonts w:ascii="Arial" w:cs="Arial" w:eastAsia="Arial" w:hAnsi="Arial"/>
                <w:sz w:val="12"/>
                <w:szCs w:val="12"/>
                <w:color w:val="auto"/>
              </w:rPr>
              <w:t>Between January 2018 and November</w:t>
            </w:r>
          </w:p>
        </w:tc>
        <w:tc>
          <w:tcPr>
            <w:tcW w:w="5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60" w:type="dxa"/>
            <w:vAlign w:val="bottom"/>
            <w:gridSpan w:val="2"/>
            <w:shd w:val="clear" w:color="auto" w:fill="CCEEFF"/>
          </w:tcPr>
          <w:p>
            <w:pPr>
              <w:ind w:left="200"/>
              <w:spacing w:after="0" w:line="116" w:lineRule="exact"/>
              <w:rPr>
                <w:sz w:val="20"/>
                <w:szCs w:val="20"/>
                <w:color w:val="auto"/>
              </w:rPr>
            </w:pPr>
            <w:r>
              <w:rPr>
                <w:rFonts w:ascii="Arial" w:cs="Arial" w:eastAsia="Arial" w:hAnsi="Arial"/>
                <w:sz w:val="12"/>
                <w:szCs w:val="12"/>
                <w:color w:val="auto"/>
                <w:w w:val="90"/>
              </w:rPr>
              <w:t>Between January</w:t>
            </w:r>
          </w:p>
        </w:tc>
        <w:tc>
          <w:tcPr>
            <w:tcW w:w="12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20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060" w:type="dxa"/>
            <w:vAlign w:val="bottom"/>
            <w:shd w:val="clear" w:color="auto" w:fill="CCEEFF"/>
          </w:tcPr>
          <w:p>
            <w:pPr>
              <w:spacing w:after="0" w:line="130" w:lineRule="exact"/>
              <w:rPr>
                <w:sz w:val="20"/>
                <w:szCs w:val="20"/>
                <w:color w:val="auto"/>
              </w:rPr>
            </w:pPr>
            <w:r>
              <w:rPr>
                <w:rFonts w:ascii="Arial" w:cs="Arial" w:eastAsia="Arial" w:hAnsi="Arial"/>
                <w:sz w:val="12"/>
                <w:szCs w:val="12"/>
                <w:color w:val="auto"/>
              </w:rPr>
              <w:t>2018</w:t>
            </w: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60" w:type="dxa"/>
            <w:vAlign w:val="bottom"/>
            <w:gridSpan w:val="2"/>
            <w:shd w:val="clear" w:color="auto" w:fill="CCEEFF"/>
          </w:tcPr>
          <w:p>
            <w:pPr>
              <w:ind w:left="200"/>
              <w:spacing w:after="0" w:line="130" w:lineRule="exact"/>
              <w:rPr>
                <w:sz w:val="20"/>
                <w:szCs w:val="20"/>
                <w:color w:val="auto"/>
              </w:rPr>
            </w:pPr>
            <w:r>
              <w:rPr>
                <w:rFonts w:ascii="Arial" w:cs="Arial" w:eastAsia="Arial" w:hAnsi="Arial"/>
                <w:sz w:val="12"/>
                <w:szCs w:val="12"/>
                <w:color w:val="auto"/>
              </w:rPr>
              <w:t>2017 and</w:t>
            </w:r>
          </w:p>
        </w:tc>
        <w:tc>
          <w:tcPr>
            <w:tcW w:w="12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202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2,692</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980</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410,982</w:t>
            </w:r>
          </w:p>
        </w:tc>
        <w:tc>
          <w:tcPr>
            <w:tcW w:w="20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21,490</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17,202</w:t>
            </w: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2,747,601</w:t>
            </w:r>
          </w:p>
        </w:tc>
        <w:tc>
          <w:tcPr>
            <w:tcW w:w="2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ind w:left="200"/>
              <w:spacing w:after="0"/>
              <w:rPr>
                <w:sz w:val="20"/>
                <w:szCs w:val="20"/>
                <w:color w:val="auto"/>
              </w:rPr>
            </w:pPr>
            <w:r>
              <w:rPr>
                <w:rFonts w:ascii="Arial" w:cs="Arial" w:eastAsia="Arial" w:hAnsi="Arial"/>
                <w:sz w:val="12"/>
                <w:szCs w:val="12"/>
                <w:color w:val="auto"/>
                <w:w w:val="98"/>
              </w:rPr>
              <w:t>December 2017</w:t>
            </w:r>
          </w:p>
        </w:tc>
        <w:tc>
          <w:tcPr>
            <w:tcW w:w="1160" w:type="dxa"/>
            <w:vAlign w:val="bottom"/>
            <w:gridSpan w:val="2"/>
            <w:shd w:val="clear" w:color="auto" w:fill="CCEEFF"/>
          </w:tcPr>
          <w:p>
            <w:pPr>
              <w:ind w:left="6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23"/>
        </w:trPr>
        <w:tc>
          <w:tcPr>
            <w:tcW w:w="20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500" w:type="dxa"/>
            <w:vAlign w:val="bottom"/>
            <w:tcBorders>
              <w:top w:val="single" w:sz="8" w:color="auto"/>
            </w:tcBorders>
          </w:tcPr>
          <w:p>
            <w:pPr>
              <w:jc w:val="right"/>
              <w:spacing w:after="0" w:line="123" w:lineRule="exact"/>
              <w:rPr>
                <w:sz w:val="20"/>
                <w:szCs w:val="20"/>
                <w:color w:val="auto"/>
              </w:rPr>
            </w:pPr>
            <w:r>
              <w:rPr>
                <w:rFonts w:ascii="Arial" w:cs="Arial" w:eastAsia="Arial" w:hAnsi="Arial"/>
                <w:sz w:val="12"/>
                <w:szCs w:val="12"/>
                <w:color w:val="auto"/>
              </w:rPr>
              <w:t>499,186</w:t>
            </w:r>
          </w:p>
        </w:tc>
        <w:tc>
          <w:tcPr>
            <w:tcW w:w="200" w:type="dxa"/>
            <w:vAlign w:val="bottom"/>
          </w:tcPr>
          <w:p>
            <w:pPr>
              <w:spacing w:after="0"/>
              <w:rPr>
                <w:sz w:val="10"/>
                <w:szCs w:val="10"/>
                <w:color w:val="auto"/>
              </w:rPr>
            </w:pPr>
          </w:p>
        </w:tc>
        <w:tc>
          <w:tcPr>
            <w:tcW w:w="540" w:type="dxa"/>
            <w:vAlign w:val="bottom"/>
            <w:tcBorders>
              <w:top w:val="single" w:sz="8" w:color="auto"/>
            </w:tcBorders>
          </w:tcPr>
          <w:p>
            <w:pPr>
              <w:jc w:val="right"/>
              <w:spacing w:after="0" w:line="123" w:lineRule="exact"/>
              <w:rPr>
                <w:sz w:val="20"/>
                <w:szCs w:val="20"/>
                <w:color w:val="auto"/>
              </w:rPr>
            </w:pPr>
            <w:r>
              <w:rPr>
                <w:rFonts w:ascii="Arial" w:cs="Arial" w:eastAsia="Arial" w:hAnsi="Arial"/>
                <w:sz w:val="12"/>
                <w:szCs w:val="12"/>
                <w:color w:val="auto"/>
              </w:rPr>
              <w:t>501,866</w:t>
            </w:r>
          </w:p>
        </w:tc>
        <w:tc>
          <w:tcPr>
            <w:tcW w:w="220" w:type="dxa"/>
            <w:vAlign w:val="bottom"/>
          </w:tcPr>
          <w:p>
            <w:pPr>
              <w:spacing w:after="0"/>
              <w:rPr>
                <w:sz w:val="10"/>
                <w:szCs w:val="10"/>
                <w:color w:val="auto"/>
              </w:rPr>
            </w:pPr>
          </w:p>
        </w:tc>
        <w:tc>
          <w:tcPr>
            <w:tcW w:w="640" w:type="dxa"/>
            <w:vAlign w:val="bottom"/>
            <w:tcBorders>
              <w:top w:val="single" w:sz="8" w:color="auto"/>
            </w:tcBorders>
          </w:tcPr>
          <w:p>
            <w:pPr>
              <w:jc w:val="right"/>
              <w:spacing w:after="0" w:line="123" w:lineRule="exact"/>
              <w:rPr>
                <w:sz w:val="20"/>
                <w:szCs w:val="20"/>
                <w:color w:val="auto"/>
              </w:rPr>
            </w:pPr>
            <w:r>
              <w:rPr>
                <w:rFonts w:ascii="Arial" w:cs="Arial" w:eastAsia="Arial" w:hAnsi="Arial"/>
                <w:sz w:val="12"/>
                <w:szCs w:val="12"/>
                <w:color w:val="auto"/>
              </w:rPr>
              <w:t>52,843,232</w:t>
            </w:r>
          </w:p>
        </w:tc>
        <w:tc>
          <w:tcPr>
            <w:tcW w:w="200" w:type="dxa"/>
            <w:vAlign w:val="bottom"/>
          </w:tcPr>
          <w:p>
            <w:pPr>
              <w:spacing w:after="0"/>
              <w:rPr>
                <w:sz w:val="10"/>
                <w:szCs w:val="10"/>
                <w:color w:val="auto"/>
              </w:rPr>
            </w:pPr>
          </w:p>
        </w:tc>
        <w:tc>
          <w:tcPr>
            <w:tcW w:w="20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Borders>
              <w:top w:val="single" w:sz="8" w:color="auto"/>
            </w:tcBorders>
          </w:tcPr>
          <w:p>
            <w:pPr>
              <w:jc w:val="right"/>
              <w:spacing w:after="0" w:line="123" w:lineRule="exact"/>
              <w:rPr>
                <w:sz w:val="20"/>
                <w:szCs w:val="20"/>
                <w:color w:val="auto"/>
              </w:rPr>
            </w:pPr>
            <w:r>
              <w:rPr>
                <w:rFonts w:ascii="Arial" w:cs="Arial" w:eastAsia="Arial" w:hAnsi="Arial"/>
                <w:sz w:val="12"/>
                <w:szCs w:val="12"/>
                <w:color w:val="auto"/>
              </w:rPr>
              <w:t>612,012</w:t>
            </w:r>
          </w:p>
        </w:tc>
        <w:tc>
          <w:tcPr>
            <w:tcW w:w="200" w:type="dxa"/>
            <w:vAlign w:val="bottom"/>
          </w:tcPr>
          <w:p>
            <w:pPr>
              <w:spacing w:after="0"/>
              <w:rPr>
                <w:sz w:val="10"/>
                <w:szCs w:val="10"/>
                <w:color w:val="auto"/>
              </w:rPr>
            </w:pPr>
          </w:p>
        </w:tc>
        <w:tc>
          <w:tcPr>
            <w:tcW w:w="540" w:type="dxa"/>
            <w:vAlign w:val="bottom"/>
            <w:tcBorders>
              <w:top w:val="single" w:sz="8" w:color="auto"/>
            </w:tcBorders>
          </w:tcPr>
          <w:p>
            <w:pPr>
              <w:jc w:val="right"/>
              <w:spacing w:after="0" w:line="123" w:lineRule="exact"/>
              <w:rPr>
                <w:sz w:val="20"/>
                <w:szCs w:val="20"/>
                <w:color w:val="auto"/>
              </w:rPr>
            </w:pPr>
            <w:r>
              <w:rPr>
                <w:rFonts w:ascii="Arial" w:cs="Arial" w:eastAsia="Arial" w:hAnsi="Arial"/>
                <w:sz w:val="12"/>
                <w:szCs w:val="12"/>
                <w:color w:val="auto"/>
              </w:rPr>
              <w:t>619,041</w:t>
            </w:r>
          </w:p>
        </w:tc>
        <w:tc>
          <w:tcPr>
            <w:tcW w:w="200" w:type="dxa"/>
            <w:vAlign w:val="bottom"/>
          </w:tcPr>
          <w:p>
            <w:pPr>
              <w:spacing w:after="0"/>
              <w:rPr>
                <w:sz w:val="10"/>
                <w:szCs w:val="10"/>
                <w:color w:val="auto"/>
              </w:rPr>
            </w:pPr>
          </w:p>
        </w:tc>
        <w:tc>
          <w:tcPr>
            <w:tcW w:w="640" w:type="dxa"/>
            <w:vAlign w:val="bottom"/>
            <w:tcBorders>
              <w:top w:val="single" w:sz="8" w:color="auto"/>
            </w:tcBorders>
          </w:tcPr>
          <w:p>
            <w:pPr>
              <w:jc w:val="right"/>
              <w:spacing w:after="0" w:line="123" w:lineRule="exact"/>
              <w:rPr>
                <w:sz w:val="20"/>
                <w:szCs w:val="20"/>
                <w:color w:val="auto"/>
              </w:rPr>
            </w:pPr>
            <w:r>
              <w:rPr>
                <w:rFonts w:ascii="Arial" w:cs="Arial" w:eastAsia="Arial" w:hAnsi="Arial"/>
                <w:sz w:val="12"/>
                <w:szCs w:val="12"/>
                <w:color w:val="auto"/>
              </w:rPr>
              <w:t>45,480,632</w:t>
            </w: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2020" w:type="dxa"/>
            <w:vAlign w:val="bottom"/>
            <w:shd w:val="clear" w:color="auto" w:fill="CCEEFF"/>
          </w:tcPr>
          <w:p>
            <w:pPr>
              <w:spacing w:after="0" w:line="130" w:lineRule="exact"/>
              <w:rPr>
                <w:sz w:val="20"/>
                <w:szCs w:val="20"/>
                <w:color w:val="auto"/>
              </w:rPr>
            </w:pPr>
            <w:r>
              <w:rPr>
                <w:rFonts w:ascii="Arial" w:cs="Arial" w:eastAsia="Arial" w:hAnsi="Arial"/>
                <w:sz w:val="12"/>
                <w:szCs w:val="12"/>
                <w:b w:val="1"/>
                <w:bCs w:val="1"/>
                <w:color w:val="auto"/>
              </w:rPr>
              <w:t>Derivatives held as hedges</w:t>
            </w:r>
          </w:p>
        </w:tc>
        <w:tc>
          <w:tcPr>
            <w:tcW w:w="6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0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20" w:type="dxa"/>
            <w:vAlign w:val="bottom"/>
          </w:tcPr>
          <w:p>
            <w:pPr>
              <w:spacing w:after="0" w:line="130" w:lineRule="exact"/>
              <w:rPr>
                <w:sz w:val="20"/>
                <w:szCs w:val="20"/>
                <w:color w:val="auto"/>
              </w:rPr>
            </w:pPr>
            <w:r>
              <w:rPr>
                <w:rFonts w:ascii="Arial" w:cs="Arial" w:eastAsia="Arial" w:hAnsi="Arial"/>
                <w:sz w:val="12"/>
                <w:szCs w:val="12"/>
                <w:b w:val="1"/>
                <w:bCs w:val="1"/>
                <w:color w:val="auto"/>
              </w:rPr>
              <w:t>Cash flow hedges (ii) -</w:t>
            </w:r>
          </w:p>
        </w:tc>
        <w:tc>
          <w:tcPr>
            <w:tcW w:w="6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6"/>
        </w:trPr>
        <w:tc>
          <w:tcPr>
            <w:tcW w:w="2020" w:type="dxa"/>
            <w:vAlign w:val="bottom"/>
            <w:shd w:val="clear" w:color="auto" w:fill="CCEEFF"/>
          </w:tcPr>
          <w:p>
            <w:pPr>
              <w:spacing w:after="0" w:line="116" w:lineRule="exact"/>
              <w:rPr>
                <w:sz w:val="20"/>
                <w:szCs w:val="20"/>
                <w:color w:val="auto"/>
              </w:rPr>
            </w:pPr>
            <w:r>
              <w:rPr>
                <w:rFonts w:ascii="Arial" w:cs="Arial" w:eastAsia="Arial" w:hAnsi="Arial"/>
                <w:sz w:val="12"/>
                <w:szCs w:val="12"/>
                <w:color w:val="auto"/>
              </w:rPr>
              <w:t>Interest rate swaps (IRS)</w:t>
            </w:r>
          </w:p>
        </w:tc>
        <w:tc>
          <w:tcPr>
            <w:tcW w:w="600" w:type="dxa"/>
            <w:vAlign w:val="bottom"/>
            <w:shd w:val="clear" w:color="auto" w:fill="CCEEFF"/>
          </w:tcPr>
          <w:p>
            <w:pPr>
              <w:jc w:val="center"/>
              <w:spacing w:after="0" w:line="116" w:lineRule="exact"/>
              <w:rPr>
                <w:sz w:val="20"/>
                <w:szCs w:val="20"/>
                <w:color w:val="auto"/>
              </w:rPr>
            </w:pPr>
            <w:r>
              <w:rPr>
                <w:rFonts w:ascii="Arial" w:cs="Arial" w:eastAsia="Arial" w:hAnsi="Arial"/>
                <w:sz w:val="12"/>
                <w:szCs w:val="12"/>
                <w:color w:val="auto"/>
                <w:w w:val="92"/>
              </w:rPr>
              <w:t>14(b)</w:t>
            </w:r>
          </w:p>
        </w:tc>
        <w:tc>
          <w:tcPr>
            <w:tcW w:w="5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160" w:type="dxa"/>
            <w:vAlign w:val="bottom"/>
            <w:gridSpan w:val="2"/>
            <w:shd w:val="clear" w:color="auto" w:fill="CCEEFF"/>
          </w:tcPr>
          <w:p>
            <w:pPr>
              <w:spacing w:after="0" w:line="116" w:lineRule="exact"/>
              <w:rPr>
                <w:sz w:val="20"/>
                <w:szCs w:val="20"/>
                <w:color w:val="auto"/>
              </w:rPr>
            </w:pPr>
            <w:r>
              <w:rPr>
                <w:rFonts w:ascii="Arial" w:cs="Arial" w:eastAsia="Arial" w:hAnsi="Arial"/>
                <w:sz w:val="12"/>
                <w:szCs w:val="12"/>
                <w:color w:val="auto"/>
              </w:rPr>
              <w:t>August 2019</w:t>
            </w:r>
          </w:p>
        </w:tc>
        <w:tc>
          <w:tcPr>
            <w:tcW w:w="5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020" w:type="dxa"/>
            <w:vAlign w:val="bottom"/>
            <w:shd w:val="clear" w:color="auto" w:fill="CCEEFF"/>
          </w:tcPr>
          <w:p>
            <w:pPr>
              <w:spacing w:after="0"/>
              <w:rPr>
                <w:sz w:val="12"/>
                <w:szCs w:val="12"/>
                <w:color w:val="auto"/>
              </w:rPr>
            </w:pPr>
          </w:p>
        </w:tc>
        <w:tc>
          <w:tcPr>
            <w:tcW w:w="600" w:type="dxa"/>
            <w:vAlign w:val="bottom"/>
            <w:shd w:val="clear" w:color="auto" w:fill="CCEEFF"/>
          </w:tcPr>
          <w:p>
            <w:pPr>
              <w:jc w:val="center"/>
              <w:spacing w:after="0"/>
              <w:rPr>
                <w:sz w:val="20"/>
                <w:szCs w:val="20"/>
                <w:color w:val="auto"/>
              </w:rPr>
            </w:pPr>
            <w:r>
              <w:rPr>
                <w:rFonts w:ascii="Arial" w:cs="Arial" w:eastAsia="Arial" w:hAnsi="Arial"/>
                <w:sz w:val="12"/>
                <w:szCs w:val="12"/>
                <w:color w:val="auto"/>
              </w:rPr>
              <w:t>(i)</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2,491</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486,150</w:t>
            </w:r>
          </w:p>
        </w:tc>
        <w:tc>
          <w:tcPr>
            <w:tcW w:w="20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w:t>
            </w:r>
          </w:p>
        </w:tc>
        <w:tc>
          <w:tcPr>
            <w:tcW w:w="1060" w:type="dxa"/>
            <w:vAlign w:val="bottom"/>
            <w:gridSpan w:val="2"/>
            <w:shd w:val="clear" w:color="auto" w:fill="CCEEFF"/>
          </w:tcPr>
          <w:p>
            <w:pPr>
              <w:ind w:left="200"/>
              <w:spacing w:after="0"/>
              <w:rPr>
                <w:sz w:val="20"/>
                <w:szCs w:val="20"/>
                <w:color w:val="auto"/>
              </w:rPr>
            </w:pPr>
            <w:r>
              <w:rPr>
                <w:rFonts w:ascii="Arial" w:cs="Arial" w:eastAsia="Arial" w:hAnsi="Arial"/>
                <w:sz w:val="12"/>
                <w:szCs w:val="12"/>
                <w:color w:val="auto"/>
              </w:rPr>
              <w:t>-</w:t>
            </w:r>
          </w:p>
        </w:tc>
        <w:tc>
          <w:tcPr>
            <w:tcW w:w="1160" w:type="dxa"/>
            <w:vAlign w:val="bottom"/>
            <w:gridSpan w:val="2"/>
            <w:shd w:val="clear" w:color="auto" w:fill="CCEEFF"/>
          </w:tcPr>
          <w:p>
            <w:pPr>
              <w:ind w:left="120"/>
              <w:spacing w:after="0"/>
              <w:rPr>
                <w:sz w:val="20"/>
                <w:szCs w:val="20"/>
                <w:color w:val="auto"/>
              </w:rPr>
            </w:pPr>
            <w:r>
              <w:rPr>
                <w:rFonts w:ascii="Arial" w:cs="Arial" w:eastAsia="Arial" w:hAnsi="Arial"/>
                <w:sz w:val="12"/>
                <w:szCs w:val="12"/>
                <w:color w:val="auto"/>
              </w:rPr>
              <w:t>Debt to banks</w:t>
            </w:r>
          </w:p>
        </w:tc>
        <w:tc>
          <w:tcPr>
            <w:tcW w:w="0" w:type="dxa"/>
            <w:vAlign w:val="bottom"/>
          </w:tcPr>
          <w:p>
            <w:pPr>
              <w:spacing w:after="0"/>
              <w:rPr>
                <w:sz w:val="1"/>
                <w:szCs w:val="1"/>
                <w:color w:val="auto"/>
              </w:rPr>
            </w:pPr>
          </w:p>
        </w:tc>
      </w:tr>
      <w:tr>
        <w:trPr>
          <w:trHeight w:val="116"/>
        </w:trPr>
        <w:tc>
          <w:tcPr>
            <w:tcW w:w="2020" w:type="dxa"/>
            <w:vAlign w:val="bottom"/>
          </w:tcPr>
          <w:p>
            <w:pPr>
              <w:spacing w:after="0" w:line="116" w:lineRule="exact"/>
              <w:rPr>
                <w:sz w:val="20"/>
                <w:szCs w:val="20"/>
                <w:color w:val="auto"/>
              </w:rPr>
            </w:pPr>
            <w:r>
              <w:rPr>
                <w:rFonts w:ascii="Arial" w:cs="Arial" w:eastAsia="Arial" w:hAnsi="Arial"/>
                <w:sz w:val="12"/>
                <w:szCs w:val="12"/>
                <w:color w:val="auto"/>
              </w:rPr>
              <w:t>Interest rate swaps (IRS)</w:t>
            </w:r>
          </w:p>
        </w:tc>
        <w:tc>
          <w:tcPr>
            <w:tcW w:w="6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160" w:type="dxa"/>
            <w:vAlign w:val="bottom"/>
            <w:gridSpan w:val="2"/>
          </w:tcPr>
          <w:p>
            <w:pPr>
              <w:spacing w:after="0" w:line="116" w:lineRule="exact"/>
              <w:rPr>
                <w:sz w:val="20"/>
                <w:szCs w:val="20"/>
                <w:color w:val="auto"/>
              </w:rPr>
            </w:pPr>
            <w:r>
              <w:rPr>
                <w:rFonts w:ascii="Arial" w:cs="Arial" w:eastAsia="Arial" w:hAnsi="Arial"/>
                <w:sz w:val="12"/>
                <w:szCs w:val="12"/>
                <w:color w:val="auto"/>
                <w:w w:val="96"/>
              </w:rPr>
              <w:t>Between September 2018 and November</w:t>
            </w:r>
          </w:p>
        </w:tc>
        <w:tc>
          <w:tcPr>
            <w:tcW w:w="5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60" w:type="dxa"/>
            <w:vAlign w:val="bottom"/>
            <w:gridSpan w:val="2"/>
          </w:tcPr>
          <w:p>
            <w:pPr>
              <w:ind w:left="200"/>
              <w:spacing w:after="0" w:line="116" w:lineRule="exact"/>
              <w:rPr>
                <w:sz w:val="20"/>
                <w:szCs w:val="20"/>
                <w:color w:val="auto"/>
              </w:rPr>
            </w:pPr>
            <w:r>
              <w:rPr>
                <w:rFonts w:ascii="Arial" w:cs="Arial" w:eastAsia="Arial" w:hAnsi="Arial"/>
                <w:sz w:val="12"/>
                <w:szCs w:val="12"/>
                <w:color w:val="auto"/>
              </w:rPr>
              <w:t>Between April</w:t>
            </w: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2020" w:type="dxa"/>
            <w:vAlign w:val="bottom"/>
          </w:tcPr>
          <w:p>
            <w:pPr>
              <w:spacing w:after="0"/>
              <w:rPr>
                <w:sz w:val="11"/>
                <w:szCs w:val="11"/>
                <w:color w:val="auto"/>
              </w:rPr>
            </w:pPr>
          </w:p>
        </w:tc>
        <w:tc>
          <w:tcPr>
            <w:tcW w:w="600" w:type="dxa"/>
            <w:vAlign w:val="bottom"/>
          </w:tcPr>
          <w:p>
            <w:pPr>
              <w:jc w:val="center"/>
              <w:spacing w:after="0" w:line="130" w:lineRule="exact"/>
              <w:rPr>
                <w:sz w:val="20"/>
                <w:szCs w:val="20"/>
                <w:color w:val="auto"/>
              </w:rPr>
            </w:pPr>
            <w:r>
              <w:rPr>
                <w:rFonts w:ascii="Arial" w:cs="Arial" w:eastAsia="Arial" w:hAnsi="Arial"/>
                <w:sz w:val="12"/>
                <w:szCs w:val="12"/>
                <w:color w:val="auto"/>
                <w:w w:val="92"/>
              </w:rPr>
              <w:t>14(b)</w:t>
            </w: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60" w:type="dxa"/>
            <w:vAlign w:val="bottom"/>
          </w:tcPr>
          <w:p>
            <w:pPr>
              <w:spacing w:after="0" w:line="130" w:lineRule="exact"/>
              <w:rPr>
                <w:sz w:val="20"/>
                <w:szCs w:val="20"/>
                <w:color w:val="auto"/>
              </w:rPr>
            </w:pPr>
            <w:r>
              <w:rPr>
                <w:rFonts w:ascii="Arial" w:cs="Arial" w:eastAsia="Arial" w:hAnsi="Arial"/>
                <w:sz w:val="12"/>
                <w:szCs w:val="12"/>
                <w:color w:val="auto"/>
              </w:rPr>
              <w:t>2019</w:t>
            </w: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60" w:type="dxa"/>
            <w:vAlign w:val="bottom"/>
            <w:gridSpan w:val="2"/>
          </w:tcPr>
          <w:p>
            <w:pPr>
              <w:ind w:left="200"/>
              <w:spacing w:after="0" w:line="130" w:lineRule="exact"/>
              <w:rPr>
                <w:sz w:val="20"/>
                <w:szCs w:val="20"/>
                <w:color w:val="auto"/>
              </w:rPr>
            </w:pPr>
            <w:r>
              <w:rPr>
                <w:rFonts w:ascii="Arial" w:cs="Arial" w:eastAsia="Arial" w:hAnsi="Arial"/>
                <w:sz w:val="12"/>
                <w:szCs w:val="12"/>
                <w:color w:val="auto"/>
              </w:rPr>
              <w:t>2017 and</w:t>
            </w: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20" w:type="dxa"/>
            <w:vAlign w:val="bottom"/>
          </w:tcPr>
          <w:p>
            <w:pPr>
              <w:spacing w:after="0"/>
              <w:rPr>
                <w:sz w:val="12"/>
                <w:szCs w:val="12"/>
                <w:color w:val="auto"/>
              </w:rPr>
            </w:pPr>
          </w:p>
        </w:tc>
        <w:tc>
          <w:tcPr>
            <w:tcW w:w="600" w:type="dxa"/>
            <w:vAlign w:val="bottom"/>
          </w:tcPr>
          <w:p>
            <w:pPr>
              <w:jc w:val="center"/>
              <w:spacing w:after="0"/>
              <w:rPr>
                <w:sz w:val="20"/>
                <w:szCs w:val="20"/>
                <w:color w:val="auto"/>
              </w:rPr>
            </w:pPr>
            <w:r>
              <w:rPr>
                <w:rFonts w:ascii="Arial" w:cs="Arial" w:eastAsia="Arial" w:hAnsi="Arial"/>
                <w:sz w:val="12"/>
                <w:szCs w:val="12"/>
                <w:color w:val="auto"/>
              </w:rPr>
              <w:t>(ii)</w:t>
            </w:r>
          </w:p>
        </w:tc>
        <w:tc>
          <w:tcPr>
            <w:tcW w:w="700" w:type="dxa"/>
            <w:vAlign w:val="bottom"/>
            <w:gridSpan w:val="2"/>
          </w:tcPr>
          <w:p>
            <w:pPr>
              <w:jc w:val="right"/>
              <w:ind w:right="200"/>
              <w:spacing w:after="0"/>
              <w:rPr>
                <w:sz w:val="20"/>
                <w:szCs w:val="20"/>
                <w:color w:val="auto"/>
              </w:rPr>
            </w:pPr>
            <w:r>
              <w:rPr>
                <w:rFonts w:ascii="Arial" w:cs="Arial" w:eastAsia="Arial" w:hAnsi="Arial"/>
                <w:sz w:val="12"/>
                <w:szCs w:val="12"/>
                <w:color w:val="auto"/>
              </w:rPr>
              <w:t>1,864</w:t>
            </w:r>
          </w:p>
        </w:tc>
        <w:tc>
          <w:tcPr>
            <w:tcW w:w="76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840" w:type="dxa"/>
            <w:vAlign w:val="bottom"/>
            <w:gridSpan w:val="2"/>
          </w:tcPr>
          <w:p>
            <w:pPr>
              <w:jc w:val="right"/>
              <w:ind w:right="200"/>
              <w:spacing w:after="0"/>
              <w:rPr>
                <w:sz w:val="20"/>
                <w:szCs w:val="20"/>
                <w:color w:val="auto"/>
              </w:rPr>
            </w:pPr>
            <w:r>
              <w:rPr>
                <w:rFonts w:ascii="Arial" w:cs="Arial" w:eastAsia="Arial" w:hAnsi="Arial"/>
                <w:sz w:val="12"/>
                <w:szCs w:val="12"/>
                <w:color w:val="auto"/>
              </w:rPr>
              <w:t>486,150</w:t>
            </w:r>
          </w:p>
        </w:tc>
        <w:tc>
          <w:tcPr>
            <w:tcW w:w="2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2"/>
                <w:szCs w:val="12"/>
                <w:color w:val="auto"/>
              </w:rPr>
              <w:t>1,384</w:t>
            </w:r>
          </w:p>
        </w:tc>
        <w:tc>
          <w:tcPr>
            <w:tcW w:w="74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640" w:type="dxa"/>
            <w:vAlign w:val="bottom"/>
          </w:tcPr>
          <w:p>
            <w:pPr>
              <w:jc w:val="right"/>
              <w:spacing w:after="0"/>
              <w:rPr>
                <w:sz w:val="20"/>
                <w:szCs w:val="20"/>
                <w:color w:val="auto"/>
              </w:rPr>
            </w:pPr>
            <w:r>
              <w:rPr>
                <w:rFonts w:ascii="Arial" w:cs="Arial" w:eastAsia="Arial" w:hAnsi="Arial"/>
                <w:sz w:val="12"/>
                <w:szCs w:val="12"/>
                <w:color w:val="auto"/>
              </w:rPr>
              <w:t>318,820</w:t>
            </w:r>
          </w:p>
        </w:tc>
        <w:tc>
          <w:tcPr>
            <w:tcW w:w="20" w:type="dxa"/>
            <w:vAlign w:val="bottom"/>
          </w:tcPr>
          <w:p>
            <w:pPr>
              <w:spacing w:after="0"/>
              <w:rPr>
                <w:sz w:val="12"/>
                <w:szCs w:val="12"/>
                <w:color w:val="auto"/>
              </w:rPr>
            </w:pPr>
          </w:p>
        </w:tc>
        <w:tc>
          <w:tcPr>
            <w:tcW w:w="1060" w:type="dxa"/>
            <w:vAlign w:val="bottom"/>
            <w:gridSpan w:val="2"/>
          </w:tcPr>
          <w:p>
            <w:pPr>
              <w:ind w:left="200"/>
              <w:spacing w:after="0"/>
              <w:rPr>
                <w:sz w:val="20"/>
                <w:szCs w:val="20"/>
                <w:color w:val="auto"/>
              </w:rPr>
            </w:pPr>
            <w:r>
              <w:rPr>
                <w:rFonts w:ascii="Arial" w:cs="Arial" w:eastAsia="Arial" w:hAnsi="Arial"/>
                <w:sz w:val="12"/>
                <w:szCs w:val="12"/>
                <w:color w:val="auto"/>
                <w:w w:val="94"/>
              </w:rPr>
              <w:t>September 2018</w:t>
            </w:r>
          </w:p>
        </w:tc>
        <w:tc>
          <w:tcPr>
            <w:tcW w:w="1160" w:type="dxa"/>
            <w:vAlign w:val="bottom"/>
            <w:gridSpan w:val="2"/>
          </w:tcPr>
          <w:p>
            <w:pPr>
              <w:ind w:left="120"/>
              <w:spacing w:after="0"/>
              <w:rPr>
                <w:sz w:val="20"/>
                <w:szCs w:val="20"/>
                <w:color w:val="auto"/>
              </w:rPr>
            </w:pPr>
            <w:r>
              <w:rPr>
                <w:rFonts w:ascii="Arial" w:cs="Arial" w:eastAsia="Arial" w:hAnsi="Arial"/>
                <w:sz w:val="12"/>
                <w:szCs w:val="12"/>
                <w:color w:val="auto"/>
              </w:rPr>
              <w:t>Debt to banks</w:t>
            </w:r>
          </w:p>
        </w:tc>
        <w:tc>
          <w:tcPr>
            <w:tcW w:w="0" w:type="dxa"/>
            <w:vAlign w:val="bottom"/>
          </w:tcPr>
          <w:p>
            <w:pPr>
              <w:spacing w:after="0"/>
              <w:rPr>
                <w:sz w:val="1"/>
                <w:szCs w:val="1"/>
                <w:color w:val="auto"/>
              </w:rPr>
            </w:pPr>
          </w:p>
        </w:tc>
      </w:tr>
      <w:tr>
        <w:trPr>
          <w:trHeight w:val="116"/>
        </w:trPr>
        <w:tc>
          <w:tcPr>
            <w:tcW w:w="2020" w:type="dxa"/>
            <w:vAlign w:val="bottom"/>
            <w:shd w:val="clear" w:color="auto" w:fill="CCEEFF"/>
          </w:tcPr>
          <w:p>
            <w:pPr>
              <w:spacing w:after="0" w:line="116" w:lineRule="exact"/>
              <w:rPr>
                <w:sz w:val="20"/>
                <w:szCs w:val="20"/>
                <w:color w:val="auto"/>
              </w:rPr>
            </w:pPr>
            <w:r>
              <w:rPr>
                <w:rFonts w:ascii="Arial" w:cs="Arial" w:eastAsia="Arial" w:hAnsi="Arial"/>
                <w:sz w:val="12"/>
                <w:szCs w:val="12"/>
                <w:color w:val="auto"/>
              </w:rPr>
              <w:t>Interest rate swaps (IRS)</w:t>
            </w:r>
          </w:p>
        </w:tc>
        <w:tc>
          <w:tcPr>
            <w:tcW w:w="600" w:type="dxa"/>
            <w:vAlign w:val="bottom"/>
            <w:shd w:val="clear" w:color="auto" w:fill="CCEEFF"/>
          </w:tcPr>
          <w:p>
            <w:pPr>
              <w:jc w:val="center"/>
              <w:spacing w:after="0" w:line="116" w:lineRule="exact"/>
              <w:rPr>
                <w:sz w:val="20"/>
                <w:szCs w:val="20"/>
                <w:color w:val="auto"/>
              </w:rPr>
            </w:pPr>
            <w:r>
              <w:rPr>
                <w:rFonts w:ascii="Arial" w:cs="Arial" w:eastAsia="Arial" w:hAnsi="Arial"/>
                <w:sz w:val="12"/>
                <w:szCs w:val="12"/>
                <w:color w:val="auto"/>
                <w:w w:val="92"/>
              </w:rPr>
              <w:t>14(b)</w:t>
            </w:r>
          </w:p>
        </w:tc>
        <w:tc>
          <w:tcPr>
            <w:tcW w:w="5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160" w:type="dxa"/>
            <w:vAlign w:val="bottom"/>
            <w:gridSpan w:val="2"/>
            <w:shd w:val="clear" w:color="auto" w:fill="CCEEFF"/>
          </w:tcPr>
          <w:p>
            <w:pPr>
              <w:spacing w:after="0" w:line="116" w:lineRule="exact"/>
              <w:rPr>
                <w:sz w:val="20"/>
                <w:szCs w:val="20"/>
                <w:color w:val="auto"/>
              </w:rPr>
            </w:pPr>
            <w:r>
              <w:rPr>
                <w:rFonts w:ascii="Arial" w:cs="Arial" w:eastAsia="Arial" w:hAnsi="Arial"/>
                <w:sz w:val="12"/>
                <w:szCs w:val="12"/>
                <w:color w:val="auto"/>
              </w:rPr>
              <w:t>January 2018</w:t>
            </w:r>
          </w:p>
        </w:tc>
        <w:tc>
          <w:tcPr>
            <w:tcW w:w="5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020" w:type="dxa"/>
            <w:vAlign w:val="bottom"/>
            <w:shd w:val="clear" w:color="auto" w:fill="CCEEFF"/>
          </w:tcPr>
          <w:p>
            <w:pPr>
              <w:spacing w:after="0"/>
              <w:rPr>
                <w:sz w:val="12"/>
                <w:szCs w:val="12"/>
                <w:color w:val="auto"/>
              </w:rPr>
            </w:pPr>
          </w:p>
        </w:tc>
        <w:tc>
          <w:tcPr>
            <w:tcW w:w="600" w:type="dxa"/>
            <w:vAlign w:val="bottom"/>
            <w:shd w:val="clear" w:color="auto" w:fill="CCEEFF"/>
          </w:tcPr>
          <w:p>
            <w:pPr>
              <w:jc w:val="center"/>
              <w:spacing w:after="0"/>
              <w:rPr>
                <w:sz w:val="20"/>
                <w:szCs w:val="20"/>
                <w:color w:val="auto"/>
              </w:rPr>
            </w:pPr>
            <w:r>
              <w:rPr>
                <w:rFonts w:ascii="Arial" w:cs="Arial" w:eastAsia="Arial" w:hAnsi="Arial"/>
                <w:sz w:val="12"/>
                <w:szCs w:val="12"/>
                <w:color w:val="auto"/>
              </w:rPr>
              <w:t>(iv)</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112</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324,100</w:t>
            </w:r>
          </w:p>
        </w:tc>
        <w:tc>
          <w:tcPr>
            <w:tcW w:w="20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218</w:t>
            </w: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335,600</w:t>
            </w:r>
          </w:p>
        </w:tc>
        <w:tc>
          <w:tcPr>
            <w:tcW w:w="2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ind w:left="200"/>
              <w:spacing w:after="0"/>
              <w:rPr>
                <w:sz w:val="20"/>
                <w:szCs w:val="20"/>
                <w:color w:val="auto"/>
              </w:rPr>
            </w:pPr>
            <w:r>
              <w:rPr>
                <w:rFonts w:ascii="Arial" w:cs="Arial" w:eastAsia="Arial" w:hAnsi="Arial"/>
                <w:sz w:val="12"/>
                <w:szCs w:val="12"/>
                <w:color w:val="auto"/>
              </w:rPr>
              <w:t>January 2018</w:t>
            </w:r>
          </w:p>
        </w:tc>
        <w:tc>
          <w:tcPr>
            <w:tcW w:w="1160" w:type="dxa"/>
            <w:vAlign w:val="bottom"/>
            <w:gridSpan w:val="2"/>
            <w:shd w:val="clear" w:color="auto" w:fill="CCEEFF"/>
          </w:tcPr>
          <w:p>
            <w:pPr>
              <w:ind w:left="120"/>
              <w:spacing w:after="0"/>
              <w:rPr>
                <w:sz w:val="20"/>
                <w:szCs w:val="20"/>
                <w:color w:val="auto"/>
              </w:rPr>
            </w:pPr>
            <w:r>
              <w:rPr>
                <w:rFonts w:ascii="Arial" w:cs="Arial" w:eastAsia="Arial" w:hAnsi="Arial"/>
                <w:sz w:val="12"/>
                <w:szCs w:val="12"/>
                <w:color w:val="auto"/>
              </w:rPr>
              <w:t>Debt to banks</w:t>
            </w:r>
          </w:p>
        </w:tc>
        <w:tc>
          <w:tcPr>
            <w:tcW w:w="0" w:type="dxa"/>
            <w:vAlign w:val="bottom"/>
          </w:tcPr>
          <w:p>
            <w:pPr>
              <w:spacing w:after="0"/>
              <w:rPr>
                <w:sz w:val="1"/>
                <w:szCs w:val="1"/>
                <w:color w:val="auto"/>
              </w:rPr>
            </w:pPr>
          </w:p>
        </w:tc>
      </w:tr>
      <w:tr>
        <w:trPr>
          <w:trHeight w:val="116"/>
        </w:trPr>
        <w:tc>
          <w:tcPr>
            <w:tcW w:w="2020" w:type="dxa"/>
            <w:vAlign w:val="bottom"/>
          </w:tcPr>
          <w:p>
            <w:pPr>
              <w:spacing w:after="0" w:line="116" w:lineRule="exact"/>
              <w:rPr>
                <w:sz w:val="20"/>
                <w:szCs w:val="20"/>
                <w:color w:val="auto"/>
              </w:rPr>
            </w:pPr>
            <w:r>
              <w:rPr>
                <w:rFonts w:ascii="Arial" w:cs="Arial" w:eastAsia="Arial" w:hAnsi="Arial"/>
                <w:sz w:val="12"/>
                <w:szCs w:val="12"/>
                <w:color w:val="auto"/>
              </w:rPr>
              <w:t>Interest rate swaps (IRS)</w:t>
            </w:r>
          </w:p>
        </w:tc>
        <w:tc>
          <w:tcPr>
            <w:tcW w:w="600" w:type="dxa"/>
            <w:vAlign w:val="bottom"/>
          </w:tcPr>
          <w:p>
            <w:pPr>
              <w:jc w:val="center"/>
              <w:spacing w:after="0" w:line="116" w:lineRule="exact"/>
              <w:rPr>
                <w:sz w:val="20"/>
                <w:szCs w:val="20"/>
                <w:color w:val="auto"/>
              </w:rPr>
            </w:pPr>
            <w:r>
              <w:rPr>
                <w:rFonts w:ascii="Arial" w:cs="Arial" w:eastAsia="Arial" w:hAnsi="Arial"/>
                <w:sz w:val="12"/>
                <w:szCs w:val="12"/>
                <w:color w:val="auto"/>
                <w:w w:val="92"/>
              </w:rPr>
              <w:t>14(b)</w:t>
            </w:r>
          </w:p>
        </w:tc>
        <w:tc>
          <w:tcPr>
            <w:tcW w:w="5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160" w:type="dxa"/>
            <w:vAlign w:val="bottom"/>
            <w:gridSpan w:val="2"/>
          </w:tcPr>
          <w:p>
            <w:pPr>
              <w:ind w:left="100"/>
              <w:spacing w:after="0" w:line="116" w:lineRule="exact"/>
              <w:rPr>
                <w:sz w:val="20"/>
                <w:szCs w:val="20"/>
                <w:color w:val="auto"/>
              </w:rPr>
            </w:pPr>
            <w:r>
              <w:rPr>
                <w:rFonts w:ascii="Arial" w:cs="Arial" w:eastAsia="Arial" w:hAnsi="Arial"/>
                <w:sz w:val="12"/>
                <w:szCs w:val="12"/>
                <w:color w:val="auto"/>
              </w:rPr>
              <w:t>March 2018</w:t>
            </w:r>
          </w:p>
        </w:tc>
        <w:tc>
          <w:tcPr>
            <w:tcW w:w="5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020" w:type="dxa"/>
            <w:vAlign w:val="bottom"/>
          </w:tcPr>
          <w:p>
            <w:pPr>
              <w:spacing w:after="0"/>
              <w:rPr>
                <w:sz w:val="12"/>
                <w:szCs w:val="12"/>
                <w:color w:val="auto"/>
              </w:rPr>
            </w:pPr>
          </w:p>
        </w:tc>
        <w:tc>
          <w:tcPr>
            <w:tcW w:w="600" w:type="dxa"/>
            <w:vAlign w:val="bottom"/>
          </w:tcPr>
          <w:p>
            <w:pPr>
              <w:jc w:val="center"/>
              <w:spacing w:after="0"/>
              <w:rPr>
                <w:sz w:val="20"/>
                <w:szCs w:val="20"/>
                <w:color w:val="auto"/>
              </w:rPr>
            </w:pPr>
            <w:r>
              <w:rPr>
                <w:rFonts w:ascii="Arial" w:cs="Arial" w:eastAsia="Arial" w:hAnsi="Arial"/>
                <w:sz w:val="12"/>
                <w:szCs w:val="12"/>
                <w:color w:val="auto"/>
                <w:w w:val="99"/>
              </w:rPr>
              <w:t>(v)</w:t>
            </w:r>
          </w:p>
        </w:tc>
        <w:tc>
          <w:tcPr>
            <w:tcW w:w="700" w:type="dxa"/>
            <w:vAlign w:val="bottom"/>
            <w:gridSpan w:val="2"/>
          </w:tcPr>
          <w:p>
            <w:pPr>
              <w:jc w:val="right"/>
              <w:ind w:right="200"/>
              <w:spacing w:after="0"/>
              <w:rPr>
                <w:sz w:val="20"/>
                <w:szCs w:val="20"/>
                <w:color w:val="auto"/>
              </w:rPr>
            </w:pPr>
            <w:r>
              <w:rPr>
                <w:rFonts w:ascii="Arial" w:cs="Arial" w:eastAsia="Arial" w:hAnsi="Arial"/>
                <w:sz w:val="12"/>
                <w:szCs w:val="12"/>
                <w:color w:val="auto"/>
              </w:rPr>
              <w:t>658</w:t>
            </w:r>
          </w:p>
        </w:tc>
        <w:tc>
          <w:tcPr>
            <w:tcW w:w="76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840" w:type="dxa"/>
            <w:vAlign w:val="bottom"/>
            <w:gridSpan w:val="2"/>
          </w:tcPr>
          <w:p>
            <w:pPr>
              <w:jc w:val="right"/>
              <w:ind w:right="200"/>
              <w:spacing w:after="0"/>
              <w:rPr>
                <w:sz w:val="20"/>
                <w:szCs w:val="20"/>
                <w:color w:val="auto"/>
              </w:rPr>
            </w:pPr>
            <w:r>
              <w:rPr>
                <w:rFonts w:ascii="Arial" w:cs="Arial" w:eastAsia="Arial" w:hAnsi="Arial"/>
                <w:sz w:val="12"/>
                <w:szCs w:val="12"/>
                <w:color w:val="auto"/>
              </w:rPr>
              <w:t>324,100</w:t>
            </w:r>
          </w:p>
        </w:tc>
        <w:tc>
          <w:tcPr>
            <w:tcW w:w="2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2"/>
                <w:szCs w:val="12"/>
                <w:color w:val="auto"/>
              </w:rPr>
              <w:t>1,614</w:t>
            </w:r>
          </w:p>
        </w:tc>
        <w:tc>
          <w:tcPr>
            <w:tcW w:w="74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640" w:type="dxa"/>
            <w:vAlign w:val="bottom"/>
          </w:tcPr>
          <w:p>
            <w:pPr>
              <w:jc w:val="right"/>
              <w:spacing w:after="0"/>
              <w:rPr>
                <w:sz w:val="20"/>
                <w:szCs w:val="20"/>
                <w:color w:val="auto"/>
              </w:rPr>
            </w:pPr>
            <w:r>
              <w:rPr>
                <w:rFonts w:ascii="Arial" w:cs="Arial" w:eastAsia="Arial" w:hAnsi="Arial"/>
                <w:sz w:val="12"/>
                <w:szCs w:val="12"/>
                <w:color w:val="auto"/>
              </w:rPr>
              <w:t>335,600</w:t>
            </w:r>
          </w:p>
        </w:tc>
        <w:tc>
          <w:tcPr>
            <w:tcW w:w="20" w:type="dxa"/>
            <w:vAlign w:val="bottom"/>
          </w:tcPr>
          <w:p>
            <w:pPr>
              <w:spacing w:after="0"/>
              <w:rPr>
                <w:sz w:val="12"/>
                <w:szCs w:val="12"/>
                <w:color w:val="auto"/>
              </w:rPr>
            </w:pPr>
          </w:p>
        </w:tc>
        <w:tc>
          <w:tcPr>
            <w:tcW w:w="1060" w:type="dxa"/>
            <w:vAlign w:val="bottom"/>
            <w:gridSpan w:val="2"/>
          </w:tcPr>
          <w:p>
            <w:pPr>
              <w:ind w:left="200"/>
              <w:spacing w:after="0"/>
              <w:rPr>
                <w:sz w:val="20"/>
                <w:szCs w:val="20"/>
                <w:color w:val="auto"/>
              </w:rPr>
            </w:pPr>
            <w:r>
              <w:rPr>
                <w:rFonts w:ascii="Arial" w:cs="Arial" w:eastAsia="Arial" w:hAnsi="Arial"/>
                <w:sz w:val="12"/>
                <w:szCs w:val="12"/>
                <w:color w:val="auto"/>
              </w:rPr>
              <w:t>March 2018</w:t>
            </w:r>
          </w:p>
        </w:tc>
        <w:tc>
          <w:tcPr>
            <w:tcW w:w="1160" w:type="dxa"/>
            <w:vAlign w:val="bottom"/>
            <w:gridSpan w:val="2"/>
          </w:tcPr>
          <w:p>
            <w:pPr>
              <w:ind w:left="120"/>
              <w:spacing w:after="0"/>
              <w:rPr>
                <w:sz w:val="20"/>
                <w:szCs w:val="20"/>
                <w:color w:val="auto"/>
              </w:rPr>
            </w:pPr>
            <w:r>
              <w:rPr>
                <w:rFonts w:ascii="Arial" w:cs="Arial" w:eastAsia="Arial" w:hAnsi="Arial"/>
                <w:sz w:val="12"/>
                <w:szCs w:val="12"/>
                <w:color w:val="auto"/>
              </w:rPr>
              <w:t>Debt to banks</w:t>
            </w:r>
          </w:p>
        </w:tc>
        <w:tc>
          <w:tcPr>
            <w:tcW w:w="0" w:type="dxa"/>
            <w:vAlign w:val="bottom"/>
          </w:tcPr>
          <w:p>
            <w:pPr>
              <w:spacing w:after="0"/>
              <w:rPr>
                <w:sz w:val="1"/>
                <w:szCs w:val="1"/>
                <w:color w:val="auto"/>
              </w:rPr>
            </w:pPr>
          </w:p>
        </w:tc>
      </w:tr>
      <w:tr>
        <w:trPr>
          <w:trHeight w:val="116"/>
        </w:trPr>
        <w:tc>
          <w:tcPr>
            <w:tcW w:w="2020" w:type="dxa"/>
            <w:vAlign w:val="bottom"/>
            <w:shd w:val="clear" w:color="auto" w:fill="CCEEFF"/>
          </w:tcPr>
          <w:p>
            <w:pPr>
              <w:spacing w:after="0" w:line="116" w:lineRule="exact"/>
              <w:rPr>
                <w:sz w:val="20"/>
                <w:szCs w:val="20"/>
                <w:color w:val="auto"/>
              </w:rPr>
            </w:pPr>
            <w:r>
              <w:rPr>
                <w:rFonts w:ascii="Arial" w:cs="Arial" w:eastAsia="Arial" w:hAnsi="Arial"/>
                <w:sz w:val="12"/>
                <w:szCs w:val="12"/>
                <w:color w:val="auto"/>
              </w:rPr>
              <w:t>Interest rate swaps (IRS)</w:t>
            </w:r>
          </w:p>
        </w:tc>
        <w:tc>
          <w:tcPr>
            <w:tcW w:w="600" w:type="dxa"/>
            <w:vAlign w:val="bottom"/>
            <w:shd w:val="clear" w:color="auto" w:fill="CCEEFF"/>
          </w:tcPr>
          <w:p>
            <w:pPr>
              <w:jc w:val="center"/>
              <w:spacing w:after="0" w:line="116" w:lineRule="exact"/>
              <w:rPr>
                <w:sz w:val="20"/>
                <w:szCs w:val="20"/>
                <w:color w:val="auto"/>
              </w:rPr>
            </w:pPr>
            <w:r>
              <w:rPr>
                <w:rFonts w:ascii="Arial" w:cs="Arial" w:eastAsia="Arial" w:hAnsi="Arial"/>
                <w:sz w:val="12"/>
                <w:szCs w:val="12"/>
                <w:color w:val="auto"/>
                <w:w w:val="92"/>
              </w:rPr>
              <w:t>16(a)</w:t>
            </w:r>
          </w:p>
        </w:tc>
        <w:tc>
          <w:tcPr>
            <w:tcW w:w="5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060" w:type="dxa"/>
            <w:vAlign w:val="bottom"/>
            <w:shd w:val="clear" w:color="auto" w:fill="CCEEFF"/>
          </w:tcPr>
          <w:p>
            <w:pPr>
              <w:spacing w:after="0" w:line="116" w:lineRule="exact"/>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020" w:type="dxa"/>
            <w:vAlign w:val="bottom"/>
            <w:shd w:val="clear" w:color="auto" w:fill="CCEEFF"/>
          </w:tcPr>
          <w:p>
            <w:pPr>
              <w:spacing w:after="0"/>
              <w:rPr>
                <w:sz w:val="12"/>
                <w:szCs w:val="12"/>
                <w:color w:val="auto"/>
              </w:rPr>
            </w:pPr>
          </w:p>
        </w:tc>
        <w:tc>
          <w:tcPr>
            <w:tcW w:w="600" w:type="dxa"/>
            <w:vAlign w:val="bottom"/>
            <w:shd w:val="clear" w:color="auto" w:fill="CCEEFF"/>
          </w:tcPr>
          <w:p>
            <w:pPr>
              <w:jc w:val="center"/>
              <w:spacing w:after="0"/>
              <w:rPr>
                <w:sz w:val="20"/>
                <w:szCs w:val="20"/>
                <w:color w:val="auto"/>
              </w:rPr>
            </w:pPr>
            <w:r>
              <w:rPr>
                <w:rFonts w:ascii="Arial" w:cs="Arial" w:eastAsia="Arial" w:hAnsi="Arial"/>
                <w:sz w:val="12"/>
                <w:szCs w:val="12"/>
                <w:color w:val="auto"/>
              </w:rPr>
              <w:t>(iii)</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20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2,736</w:t>
            </w: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179,231</w:t>
            </w:r>
          </w:p>
        </w:tc>
        <w:tc>
          <w:tcPr>
            <w:tcW w:w="2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ind w:left="200"/>
              <w:spacing w:after="0"/>
              <w:rPr>
                <w:sz w:val="20"/>
                <w:szCs w:val="20"/>
                <w:color w:val="auto"/>
              </w:rPr>
            </w:pPr>
            <w:r>
              <w:rPr>
                <w:rFonts w:ascii="Arial" w:cs="Arial" w:eastAsia="Arial" w:hAnsi="Arial"/>
                <w:sz w:val="12"/>
                <w:szCs w:val="12"/>
                <w:color w:val="auto"/>
              </w:rPr>
              <w:t>October 2017</w:t>
            </w:r>
          </w:p>
        </w:tc>
        <w:tc>
          <w:tcPr>
            <w:tcW w:w="1160" w:type="dxa"/>
            <w:vAlign w:val="bottom"/>
            <w:gridSpan w:val="2"/>
            <w:shd w:val="clear" w:color="auto" w:fill="CCEEFF"/>
          </w:tcPr>
          <w:p>
            <w:pPr>
              <w:ind w:left="120"/>
              <w:spacing w:after="0"/>
              <w:rPr>
                <w:sz w:val="20"/>
                <w:szCs w:val="20"/>
                <w:color w:val="auto"/>
              </w:rPr>
            </w:pPr>
            <w:r>
              <w:rPr>
                <w:rFonts w:ascii="Arial" w:cs="Arial" w:eastAsia="Arial" w:hAnsi="Arial"/>
                <w:sz w:val="12"/>
                <w:szCs w:val="12"/>
                <w:color w:val="auto"/>
              </w:rPr>
              <w:t>Notes issued</w:t>
            </w:r>
          </w:p>
        </w:tc>
        <w:tc>
          <w:tcPr>
            <w:tcW w:w="0" w:type="dxa"/>
            <w:vAlign w:val="bottom"/>
          </w:tcPr>
          <w:p>
            <w:pPr>
              <w:spacing w:after="0"/>
              <w:rPr>
                <w:sz w:val="1"/>
                <w:szCs w:val="1"/>
                <w:color w:val="auto"/>
              </w:rPr>
            </w:pPr>
          </w:p>
        </w:tc>
      </w:tr>
      <w:tr>
        <w:trPr>
          <w:trHeight w:val="116"/>
        </w:trPr>
        <w:tc>
          <w:tcPr>
            <w:tcW w:w="2020" w:type="dxa"/>
            <w:vAlign w:val="bottom"/>
          </w:tcPr>
          <w:p>
            <w:pPr>
              <w:spacing w:after="0" w:line="116" w:lineRule="exact"/>
              <w:rPr>
                <w:sz w:val="20"/>
                <w:szCs w:val="20"/>
                <w:color w:val="auto"/>
              </w:rPr>
            </w:pPr>
            <w:r>
              <w:rPr>
                <w:rFonts w:ascii="Arial" w:cs="Arial" w:eastAsia="Arial" w:hAnsi="Arial"/>
                <w:sz w:val="12"/>
                <w:szCs w:val="12"/>
                <w:color w:val="auto"/>
              </w:rPr>
              <w:t>Interest rate swaps (IRS)</w:t>
            </w:r>
          </w:p>
        </w:tc>
        <w:tc>
          <w:tcPr>
            <w:tcW w:w="6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160" w:type="dxa"/>
            <w:vAlign w:val="bottom"/>
            <w:gridSpan w:val="2"/>
          </w:tcPr>
          <w:p>
            <w:pPr>
              <w:spacing w:after="0" w:line="116" w:lineRule="exact"/>
              <w:rPr>
                <w:sz w:val="20"/>
                <w:szCs w:val="20"/>
                <w:color w:val="auto"/>
              </w:rPr>
            </w:pPr>
            <w:r>
              <w:rPr>
                <w:rFonts w:ascii="Arial" w:cs="Arial" w:eastAsia="Arial" w:hAnsi="Arial"/>
                <w:sz w:val="12"/>
                <w:szCs w:val="12"/>
                <w:color w:val="auto"/>
                <w:w w:val="94"/>
              </w:rPr>
              <w:t>Between March 2019 and December 2019</w:t>
            </w:r>
          </w:p>
        </w:tc>
        <w:tc>
          <w:tcPr>
            <w:tcW w:w="5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60" w:type="dxa"/>
            <w:vAlign w:val="bottom"/>
            <w:gridSpan w:val="2"/>
          </w:tcPr>
          <w:p>
            <w:pPr>
              <w:ind w:left="200"/>
              <w:spacing w:after="0" w:line="116" w:lineRule="exact"/>
              <w:rPr>
                <w:sz w:val="20"/>
                <w:szCs w:val="20"/>
                <w:color w:val="auto"/>
              </w:rPr>
            </w:pPr>
            <w:r>
              <w:rPr>
                <w:rFonts w:ascii="Arial" w:cs="Arial" w:eastAsia="Arial" w:hAnsi="Arial"/>
                <w:sz w:val="12"/>
                <w:szCs w:val="12"/>
                <w:color w:val="auto"/>
              </w:rPr>
              <w:t>Between March</w:t>
            </w: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20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60" w:type="dxa"/>
            <w:vAlign w:val="bottom"/>
            <w:gridSpan w:val="2"/>
          </w:tcPr>
          <w:p>
            <w:pPr>
              <w:ind w:left="200"/>
              <w:spacing w:after="0" w:line="130" w:lineRule="exact"/>
              <w:rPr>
                <w:sz w:val="20"/>
                <w:szCs w:val="20"/>
                <w:color w:val="auto"/>
              </w:rPr>
            </w:pPr>
            <w:r>
              <w:rPr>
                <w:rFonts w:ascii="Arial" w:cs="Arial" w:eastAsia="Arial" w:hAnsi="Arial"/>
                <w:sz w:val="12"/>
                <w:szCs w:val="12"/>
                <w:color w:val="auto"/>
              </w:rPr>
              <w:t>2019 and</w:t>
            </w:r>
          </w:p>
        </w:tc>
        <w:tc>
          <w:tcPr>
            <w:tcW w:w="1160" w:type="dxa"/>
            <w:vAlign w:val="bottom"/>
            <w:gridSpan w:val="2"/>
          </w:tcPr>
          <w:p>
            <w:pPr>
              <w:ind w:left="120"/>
              <w:spacing w:after="0" w:line="130" w:lineRule="exact"/>
              <w:rPr>
                <w:sz w:val="20"/>
                <w:szCs w:val="20"/>
                <w:color w:val="auto"/>
              </w:rPr>
            </w:pPr>
            <w:r>
              <w:rPr>
                <w:rFonts w:ascii="Arial" w:cs="Arial" w:eastAsia="Arial" w:hAnsi="Arial"/>
                <w:sz w:val="12"/>
                <w:szCs w:val="12"/>
                <w:color w:val="auto"/>
              </w:rPr>
              <w:t>Repurchase</w:t>
            </w:r>
          </w:p>
        </w:tc>
        <w:tc>
          <w:tcPr>
            <w:tcW w:w="0" w:type="dxa"/>
            <w:vAlign w:val="bottom"/>
          </w:tcPr>
          <w:p>
            <w:pPr>
              <w:spacing w:after="0"/>
              <w:rPr>
                <w:sz w:val="1"/>
                <w:szCs w:val="1"/>
                <w:color w:val="auto"/>
              </w:rPr>
            </w:pPr>
          </w:p>
        </w:tc>
      </w:tr>
      <w:tr>
        <w:trPr>
          <w:trHeight w:val="144"/>
        </w:trPr>
        <w:tc>
          <w:tcPr>
            <w:tcW w:w="2020" w:type="dxa"/>
            <w:vAlign w:val="bottom"/>
          </w:tcPr>
          <w:p>
            <w:pPr>
              <w:spacing w:after="0"/>
              <w:rPr>
                <w:sz w:val="12"/>
                <w:szCs w:val="12"/>
                <w:color w:val="auto"/>
              </w:rPr>
            </w:pPr>
          </w:p>
        </w:tc>
        <w:tc>
          <w:tcPr>
            <w:tcW w:w="600" w:type="dxa"/>
            <w:vAlign w:val="bottom"/>
          </w:tcPr>
          <w:p>
            <w:pPr>
              <w:jc w:val="center"/>
              <w:spacing w:after="0"/>
              <w:rPr>
                <w:sz w:val="20"/>
                <w:szCs w:val="20"/>
                <w:color w:val="auto"/>
              </w:rPr>
            </w:pPr>
            <w:r>
              <w:rPr>
                <w:rFonts w:ascii="Arial" w:cs="Arial" w:eastAsia="Arial" w:hAnsi="Arial"/>
                <w:sz w:val="12"/>
                <w:szCs w:val="12"/>
                <w:color w:val="auto"/>
              </w:rPr>
              <w:t>5(c)(i)</w:t>
            </w:r>
          </w:p>
        </w:tc>
        <w:tc>
          <w:tcPr>
            <w:tcW w:w="700" w:type="dxa"/>
            <w:vAlign w:val="bottom"/>
            <w:gridSpan w:val="2"/>
          </w:tcPr>
          <w:p>
            <w:pPr>
              <w:jc w:val="right"/>
              <w:ind w:right="200"/>
              <w:spacing w:after="0"/>
              <w:rPr>
                <w:sz w:val="20"/>
                <w:szCs w:val="20"/>
                <w:color w:val="auto"/>
              </w:rPr>
            </w:pPr>
            <w:r>
              <w:rPr>
                <w:rFonts w:ascii="Arial" w:cs="Arial" w:eastAsia="Arial" w:hAnsi="Arial"/>
                <w:sz w:val="12"/>
                <w:szCs w:val="12"/>
                <w:color w:val="auto"/>
              </w:rPr>
              <w:t>4,626</w:t>
            </w:r>
          </w:p>
        </w:tc>
        <w:tc>
          <w:tcPr>
            <w:tcW w:w="76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840" w:type="dxa"/>
            <w:vAlign w:val="bottom"/>
            <w:gridSpan w:val="2"/>
          </w:tcPr>
          <w:p>
            <w:pPr>
              <w:jc w:val="right"/>
              <w:ind w:right="200"/>
              <w:spacing w:after="0"/>
              <w:rPr>
                <w:sz w:val="20"/>
                <w:szCs w:val="20"/>
                <w:color w:val="auto"/>
              </w:rPr>
            </w:pPr>
            <w:r>
              <w:rPr>
                <w:rFonts w:ascii="Arial" w:cs="Arial" w:eastAsia="Arial" w:hAnsi="Arial"/>
                <w:sz w:val="12"/>
                <w:szCs w:val="12"/>
                <w:color w:val="auto"/>
              </w:rPr>
              <w:t>486,150</w:t>
            </w:r>
          </w:p>
        </w:tc>
        <w:tc>
          <w:tcPr>
            <w:tcW w:w="2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2"/>
                <w:szCs w:val="12"/>
                <w:color w:val="auto"/>
              </w:rPr>
              <w:t>3,140</w:t>
            </w:r>
          </w:p>
        </w:tc>
        <w:tc>
          <w:tcPr>
            <w:tcW w:w="740" w:type="dxa"/>
            <w:vAlign w:val="bottom"/>
            <w:gridSpan w:val="2"/>
          </w:tcPr>
          <w:p>
            <w:pPr>
              <w:jc w:val="right"/>
              <w:ind w:right="200"/>
              <w:spacing w:after="0"/>
              <w:rPr>
                <w:sz w:val="20"/>
                <w:szCs w:val="20"/>
                <w:color w:val="auto"/>
              </w:rPr>
            </w:pPr>
            <w:r>
              <w:rPr>
                <w:rFonts w:ascii="Arial" w:cs="Arial" w:eastAsia="Arial" w:hAnsi="Arial"/>
                <w:sz w:val="12"/>
                <w:szCs w:val="12"/>
                <w:color w:val="auto"/>
              </w:rPr>
              <w:t>294</w:t>
            </w:r>
          </w:p>
        </w:tc>
        <w:tc>
          <w:tcPr>
            <w:tcW w:w="640" w:type="dxa"/>
            <w:vAlign w:val="bottom"/>
          </w:tcPr>
          <w:p>
            <w:pPr>
              <w:jc w:val="right"/>
              <w:spacing w:after="0"/>
              <w:rPr>
                <w:sz w:val="20"/>
                <w:szCs w:val="20"/>
                <w:color w:val="auto"/>
              </w:rPr>
            </w:pPr>
            <w:r>
              <w:rPr>
                <w:rFonts w:ascii="Arial" w:cs="Arial" w:eastAsia="Arial" w:hAnsi="Arial"/>
                <w:sz w:val="12"/>
                <w:szCs w:val="12"/>
                <w:color w:val="auto"/>
              </w:rPr>
              <w:t>503,400</w:t>
            </w:r>
          </w:p>
        </w:tc>
        <w:tc>
          <w:tcPr>
            <w:tcW w:w="20" w:type="dxa"/>
            <w:vAlign w:val="bottom"/>
          </w:tcPr>
          <w:p>
            <w:pPr>
              <w:spacing w:after="0"/>
              <w:rPr>
                <w:sz w:val="12"/>
                <w:szCs w:val="12"/>
                <w:color w:val="auto"/>
              </w:rPr>
            </w:pPr>
          </w:p>
        </w:tc>
        <w:tc>
          <w:tcPr>
            <w:tcW w:w="1060" w:type="dxa"/>
            <w:vAlign w:val="bottom"/>
            <w:gridSpan w:val="2"/>
          </w:tcPr>
          <w:p>
            <w:pPr>
              <w:ind w:left="200"/>
              <w:spacing w:after="0"/>
              <w:rPr>
                <w:sz w:val="20"/>
                <w:szCs w:val="20"/>
                <w:color w:val="auto"/>
              </w:rPr>
            </w:pPr>
            <w:r>
              <w:rPr>
                <w:rFonts w:ascii="Arial" w:cs="Arial" w:eastAsia="Arial" w:hAnsi="Arial"/>
                <w:sz w:val="12"/>
                <w:szCs w:val="12"/>
                <w:color w:val="auto"/>
                <w:w w:val="98"/>
              </w:rPr>
              <w:t>December 2019</w:t>
            </w:r>
          </w:p>
        </w:tc>
        <w:tc>
          <w:tcPr>
            <w:tcW w:w="1160" w:type="dxa"/>
            <w:vAlign w:val="bottom"/>
            <w:gridSpan w:val="2"/>
          </w:tcPr>
          <w:p>
            <w:pPr>
              <w:ind w:left="120"/>
              <w:spacing w:after="0"/>
              <w:rPr>
                <w:sz w:val="20"/>
                <w:szCs w:val="20"/>
                <w:color w:val="auto"/>
              </w:rPr>
            </w:pPr>
            <w:r>
              <w:rPr>
                <w:rFonts w:ascii="Arial" w:cs="Arial" w:eastAsia="Arial" w:hAnsi="Arial"/>
                <w:sz w:val="12"/>
                <w:szCs w:val="12"/>
                <w:color w:val="auto"/>
              </w:rPr>
              <w:t>agreements</w:t>
            </w:r>
          </w:p>
        </w:tc>
        <w:tc>
          <w:tcPr>
            <w:tcW w:w="0" w:type="dxa"/>
            <w:vAlign w:val="bottom"/>
          </w:tcPr>
          <w:p>
            <w:pPr>
              <w:spacing w:after="0"/>
              <w:rPr>
                <w:sz w:val="1"/>
                <w:szCs w:val="1"/>
                <w:color w:val="auto"/>
              </w:rPr>
            </w:pPr>
          </w:p>
        </w:tc>
      </w:tr>
      <w:tr>
        <w:trPr>
          <w:trHeight w:val="116"/>
        </w:trPr>
        <w:tc>
          <w:tcPr>
            <w:tcW w:w="2020" w:type="dxa"/>
            <w:vAlign w:val="bottom"/>
            <w:shd w:val="clear" w:color="auto" w:fill="CCEEFF"/>
          </w:tcPr>
          <w:p>
            <w:pPr>
              <w:spacing w:after="0" w:line="116" w:lineRule="exact"/>
              <w:rPr>
                <w:sz w:val="20"/>
                <w:szCs w:val="20"/>
                <w:color w:val="auto"/>
              </w:rPr>
            </w:pPr>
            <w:r>
              <w:rPr>
                <w:rFonts w:ascii="Arial" w:cs="Arial" w:eastAsia="Arial" w:hAnsi="Arial"/>
                <w:sz w:val="12"/>
                <w:szCs w:val="12"/>
                <w:color w:val="auto"/>
              </w:rPr>
              <w:t>Cross currency swaps (CCS)</w:t>
            </w:r>
          </w:p>
        </w:tc>
        <w:tc>
          <w:tcPr>
            <w:tcW w:w="600" w:type="dxa"/>
            <w:vAlign w:val="bottom"/>
            <w:shd w:val="clear" w:color="auto" w:fill="CCEEFF"/>
          </w:tcPr>
          <w:p>
            <w:pPr>
              <w:jc w:val="center"/>
              <w:spacing w:after="0" w:line="116" w:lineRule="exact"/>
              <w:rPr>
                <w:sz w:val="20"/>
                <w:szCs w:val="20"/>
                <w:color w:val="auto"/>
              </w:rPr>
            </w:pPr>
            <w:r>
              <w:rPr>
                <w:rFonts w:ascii="Arial" w:cs="Arial" w:eastAsia="Arial" w:hAnsi="Arial"/>
                <w:sz w:val="12"/>
                <w:szCs w:val="12"/>
                <w:color w:val="auto"/>
                <w:w w:val="92"/>
              </w:rPr>
              <w:t>16(a)</w:t>
            </w:r>
          </w:p>
        </w:tc>
        <w:tc>
          <w:tcPr>
            <w:tcW w:w="5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160" w:type="dxa"/>
            <w:vAlign w:val="bottom"/>
            <w:gridSpan w:val="2"/>
            <w:shd w:val="clear" w:color="auto" w:fill="CCEEFF"/>
          </w:tcPr>
          <w:p>
            <w:pPr>
              <w:spacing w:after="0" w:line="116" w:lineRule="exact"/>
              <w:rPr>
                <w:sz w:val="20"/>
                <w:szCs w:val="20"/>
                <w:color w:val="auto"/>
              </w:rPr>
            </w:pPr>
            <w:r>
              <w:rPr>
                <w:rFonts w:ascii="Arial" w:cs="Arial" w:eastAsia="Arial" w:hAnsi="Arial"/>
                <w:sz w:val="12"/>
                <w:szCs w:val="12"/>
                <w:color w:val="auto"/>
              </w:rPr>
              <w:t>October 2019</w:t>
            </w:r>
          </w:p>
        </w:tc>
        <w:tc>
          <w:tcPr>
            <w:tcW w:w="5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020" w:type="dxa"/>
            <w:vAlign w:val="bottom"/>
            <w:shd w:val="clear" w:color="auto" w:fill="CCEEFF"/>
          </w:tcPr>
          <w:p>
            <w:pPr>
              <w:spacing w:after="0"/>
              <w:rPr>
                <w:sz w:val="12"/>
                <w:szCs w:val="12"/>
                <w:color w:val="auto"/>
              </w:rPr>
            </w:pPr>
          </w:p>
        </w:tc>
        <w:tc>
          <w:tcPr>
            <w:tcW w:w="600" w:type="dxa"/>
            <w:vAlign w:val="bottom"/>
            <w:shd w:val="clear" w:color="auto" w:fill="CCEEFF"/>
          </w:tcPr>
          <w:p>
            <w:pPr>
              <w:jc w:val="center"/>
              <w:spacing w:after="0"/>
              <w:rPr>
                <w:sz w:val="20"/>
                <w:szCs w:val="20"/>
                <w:color w:val="auto"/>
              </w:rPr>
            </w:pPr>
            <w:r>
              <w:rPr>
                <w:rFonts w:ascii="Arial" w:cs="Arial" w:eastAsia="Arial" w:hAnsi="Arial"/>
                <w:sz w:val="12"/>
                <w:szCs w:val="12"/>
                <w:color w:val="auto"/>
              </w:rPr>
              <w:t>(xi)</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97,440</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972,300</w:t>
            </w:r>
          </w:p>
        </w:tc>
        <w:tc>
          <w:tcPr>
            <w:tcW w:w="20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25,387</w:t>
            </w: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1,006,800</w:t>
            </w:r>
          </w:p>
        </w:tc>
        <w:tc>
          <w:tcPr>
            <w:tcW w:w="2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ind w:left="200"/>
              <w:spacing w:after="0"/>
              <w:rPr>
                <w:sz w:val="20"/>
                <w:szCs w:val="20"/>
                <w:color w:val="auto"/>
              </w:rPr>
            </w:pPr>
            <w:r>
              <w:rPr>
                <w:rFonts w:ascii="Arial" w:cs="Arial" w:eastAsia="Arial" w:hAnsi="Arial"/>
                <w:sz w:val="12"/>
                <w:szCs w:val="12"/>
                <w:color w:val="auto"/>
              </w:rPr>
              <w:t>October 2019</w:t>
            </w:r>
          </w:p>
        </w:tc>
        <w:tc>
          <w:tcPr>
            <w:tcW w:w="1160" w:type="dxa"/>
            <w:vAlign w:val="bottom"/>
            <w:gridSpan w:val="2"/>
            <w:shd w:val="clear" w:color="auto" w:fill="CCEEFF"/>
          </w:tcPr>
          <w:p>
            <w:pPr>
              <w:ind w:left="120"/>
              <w:spacing w:after="0"/>
              <w:rPr>
                <w:sz w:val="20"/>
                <w:szCs w:val="20"/>
                <w:color w:val="auto"/>
              </w:rPr>
            </w:pPr>
            <w:r>
              <w:rPr>
                <w:rFonts w:ascii="Arial" w:cs="Arial" w:eastAsia="Arial" w:hAnsi="Arial"/>
                <w:sz w:val="12"/>
                <w:szCs w:val="12"/>
                <w:color w:val="auto"/>
              </w:rPr>
              <w:t>Bonds issued</w:t>
            </w:r>
          </w:p>
        </w:tc>
        <w:tc>
          <w:tcPr>
            <w:tcW w:w="0" w:type="dxa"/>
            <w:vAlign w:val="bottom"/>
          </w:tcPr>
          <w:p>
            <w:pPr>
              <w:spacing w:after="0"/>
              <w:rPr>
                <w:sz w:val="1"/>
                <w:szCs w:val="1"/>
                <w:color w:val="auto"/>
              </w:rPr>
            </w:pPr>
          </w:p>
        </w:tc>
      </w:tr>
      <w:tr>
        <w:trPr>
          <w:trHeight w:val="116"/>
        </w:trPr>
        <w:tc>
          <w:tcPr>
            <w:tcW w:w="2020" w:type="dxa"/>
            <w:vAlign w:val="bottom"/>
          </w:tcPr>
          <w:p>
            <w:pPr>
              <w:spacing w:after="0" w:line="116" w:lineRule="exact"/>
              <w:rPr>
                <w:sz w:val="20"/>
                <w:szCs w:val="20"/>
                <w:color w:val="auto"/>
              </w:rPr>
            </w:pPr>
            <w:r>
              <w:rPr>
                <w:rFonts w:ascii="Arial" w:cs="Arial" w:eastAsia="Arial" w:hAnsi="Arial"/>
                <w:sz w:val="12"/>
                <w:szCs w:val="12"/>
                <w:color w:val="auto"/>
              </w:rPr>
              <w:t>Cross currency swaps (CCS)</w:t>
            </w:r>
          </w:p>
        </w:tc>
        <w:tc>
          <w:tcPr>
            <w:tcW w:w="600" w:type="dxa"/>
            <w:vAlign w:val="bottom"/>
          </w:tcPr>
          <w:p>
            <w:pPr>
              <w:jc w:val="center"/>
              <w:spacing w:after="0" w:line="116" w:lineRule="exact"/>
              <w:rPr>
                <w:sz w:val="20"/>
                <w:szCs w:val="20"/>
                <w:color w:val="auto"/>
              </w:rPr>
            </w:pPr>
            <w:r>
              <w:rPr>
                <w:rFonts w:ascii="Arial" w:cs="Arial" w:eastAsia="Arial" w:hAnsi="Arial"/>
                <w:sz w:val="12"/>
                <w:szCs w:val="12"/>
                <w:color w:val="auto"/>
                <w:w w:val="96"/>
              </w:rPr>
              <w:t>5(c)</w:t>
            </w:r>
          </w:p>
        </w:tc>
        <w:tc>
          <w:tcPr>
            <w:tcW w:w="5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160" w:type="dxa"/>
            <w:vAlign w:val="bottom"/>
            <w:gridSpan w:val="2"/>
          </w:tcPr>
          <w:p>
            <w:pPr>
              <w:spacing w:after="0" w:line="116" w:lineRule="exact"/>
              <w:rPr>
                <w:sz w:val="20"/>
                <w:szCs w:val="20"/>
                <w:color w:val="auto"/>
              </w:rPr>
            </w:pPr>
            <w:r>
              <w:rPr>
                <w:rFonts w:ascii="Arial" w:cs="Arial" w:eastAsia="Arial" w:hAnsi="Arial"/>
                <w:sz w:val="12"/>
                <w:szCs w:val="12"/>
                <w:color w:val="auto"/>
              </w:rPr>
              <w:t>August 2020</w:t>
            </w:r>
          </w:p>
        </w:tc>
        <w:tc>
          <w:tcPr>
            <w:tcW w:w="5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160" w:type="dxa"/>
            <w:vAlign w:val="bottom"/>
            <w:gridSpan w:val="2"/>
          </w:tcPr>
          <w:p>
            <w:pPr>
              <w:ind w:left="120"/>
              <w:spacing w:after="0" w:line="116" w:lineRule="exact"/>
              <w:rPr>
                <w:sz w:val="20"/>
                <w:szCs w:val="20"/>
                <w:color w:val="auto"/>
              </w:rPr>
            </w:pPr>
            <w:r>
              <w:rPr>
                <w:rFonts w:ascii="Arial" w:cs="Arial" w:eastAsia="Arial" w:hAnsi="Arial"/>
                <w:sz w:val="12"/>
                <w:szCs w:val="12"/>
                <w:color w:val="auto"/>
              </w:rPr>
              <w:t>Repurchase</w:t>
            </w:r>
          </w:p>
        </w:tc>
        <w:tc>
          <w:tcPr>
            <w:tcW w:w="0" w:type="dxa"/>
            <w:vAlign w:val="bottom"/>
          </w:tcPr>
          <w:p>
            <w:pPr>
              <w:spacing w:after="0"/>
              <w:rPr>
                <w:sz w:val="1"/>
                <w:szCs w:val="1"/>
                <w:color w:val="auto"/>
              </w:rPr>
            </w:pPr>
          </w:p>
        </w:tc>
      </w:tr>
      <w:tr>
        <w:trPr>
          <w:trHeight w:val="144"/>
        </w:trPr>
        <w:tc>
          <w:tcPr>
            <w:tcW w:w="2020" w:type="dxa"/>
            <w:vAlign w:val="bottom"/>
          </w:tcPr>
          <w:p>
            <w:pPr>
              <w:spacing w:after="0"/>
              <w:rPr>
                <w:sz w:val="12"/>
                <w:szCs w:val="12"/>
                <w:color w:val="auto"/>
              </w:rPr>
            </w:pPr>
          </w:p>
        </w:tc>
        <w:tc>
          <w:tcPr>
            <w:tcW w:w="600" w:type="dxa"/>
            <w:vAlign w:val="bottom"/>
          </w:tcPr>
          <w:p>
            <w:pPr>
              <w:jc w:val="center"/>
              <w:spacing w:after="0"/>
              <w:rPr>
                <w:sz w:val="20"/>
                <w:szCs w:val="20"/>
                <w:color w:val="auto"/>
              </w:rPr>
            </w:pPr>
            <w:r>
              <w:rPr>
                <w:rFonts w:ascii="Arial" w:cs="Arial" w:eastAsia="Arial" w:hAnsi="Arial"/>
                <w:sz w:val="12"/>
                <w:szCs w:val="12"/>
                <w:color w:val="auto"/>
              </w:rPr>
              <w:t>(iii)</w:t>
            </w:r>
          </w:p>
        </w:tc>
        <w:tc>
          <w:tcPr>
            <w:tcW w:w="700" w:type="dxa"/>
            <w:vAlign w:val="bottom"/>
            <w:gridSpan w:val="2"/>
          </w:tcPr>
          <w:p>
            <w:pPr>
              <w:jc w:val="right"/>
              <w:ind w:right="200"/>
              <w:spacing w:after="0"/>
              <w:rPr>
                <w:sz w:val="20"/>
                <w:szCs w:val="20"/>
                <w:color w:val="auto"/>
              </w:rPr>
            </w:pPr>
            <w:r>
              <w:rPr>
                <w:rFonts w:ascii="Arial" w:cs="Arial" w:eastAsia="Arial" w:hAnsi="Arial"/>
                <w:sz w:val="12"/>
                <w:szCs w:val="12"/>
                <w:color w:val="auto"/>
              </w:rPr>
              <w:t>18,889</w:t>
            </w:r>
          </w:p>
        </w:tc>
        <w:tc>
          <w:tcPr>
            <w:tcW w:w="76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840" w:type="dxa"/>
            <w:vAlign w:val="bottom"/>
            <w:gridSpan w:val="2"/>
          </w:tcPr>
          <w:p>
            <w:pPr>
              <w:jc w:val="right"/>
              <w:ind w:right="200"/>
              <w:spacing w:after="0"/>
              <w:rPr>
                <w:sz w:val="20"/>
                <w:szCs w:val="20"/>
                <w:color w:val="auto"/>
              </w:rPr>
            </w:pPr>
            <w:r>
              <w:rPr>
                <w:rFonts w:ascii="Arial" w:cs="Arial" w:eastAsia="Arial" w:hAnsi="Arial"/>
                <w:sz w:val="12"/>
                <w:szCs w:val="12"/>
                <w:color w:val="auto"/>
              </w:rPr>
              <w:t>226,870</w:t>
            </w:r>
          </w:p>
        </w:tc>
        <w:tc>
          <w:tcPr>
            <w:tcW w:w="2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2"/>
                <w:szCs w:val="12"/>
                <w:color w:val="auto"/>
              </w:rPr>
              <w:t>35,158</w:t>
            </w:r>
          </w:p>
        </w:tc>
        <w:tc>
          <w:tcPr>
            <w:tcW w:w="74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640" w:type="dxa"/>
            <w:vAlign w:val="bottom"/>
          </w:tcPr>
          <w:p>
            <w:pPr>
              <w:jc w:val="right"/>
              <w:spacing w:after="0"/>
              <w:rPr>
                <w:sz w:val="20"/>
                <w:szCs w:val="20"/>
                <w:color w:val="auto"/>
              </w:rPr>
            </w:pPr>
            <w:r>
              <w:rPr>
                <w:rFonts w:ascii="Arial" w:cs="Arial" w:eastAsia="Arial" w:hAnsi="Arial"/>
                <w:sz w:val="12"/>
                <w:szCs w:val="12"/>
                <w:color w:val="auto"/>
              </w:rPr>
              <w:t>234,920</w:t>
            </w:r>
          </w:p>
        </w:tc>
        <w:tc>
          <w:tcPr>
            <w:tcW w:w="20" w:type="dxa"/>
            <w:vAlign w:val="bottom"/>
          </w:tcPr>
          <w:p>
            <w:pPr>
              <w:spacing w:after="0"/>
              <w:rPr>
                <w:sz w:val="12"/>
                <w:szCs w:val="12"/>
                <w:color w:val="auto"/>
              </w:rPr>
            </w:pPr>
          </w:p>
        </w:tc>
        <w:tc>
          <w:tcPr>
            <w:tcW w:w="1060" w:type="dxa"/>
            <w:vAlign w:val="bottom"/>
            <w:gridSpan w:val="2"/>
          </w:tcPr>
          <w:p>
            <w:pPr>
              <w:ind w:left="200"/>
              <w:spacing w:after="0"/>
              <w:rPr>
                <w:sz w:val="20"/>
                <w:szCs w:val="20"/>
                <w:color w:val="auto"/>
              </w:rPr>
            </w:pPr>
            <w:r>
              <w:rPr>
                <w:rFonts w:ascii="Arial" w:cs="Arial" w:eastAsia="Arial" w:hAnsi="Arial"/>
                <w:sz w:val="12"/>
                <w:szCs w:val="12"/>
                <w:color w:val="auto"/>
              </w:rPr>
              <w:t>August 2020</w:t>
            </w:r>
          </w:p>
        </w:tc>
        <w:tc>
          <w:tcPr>
            <w:tcW w:w="1160" w:type="dxa"/>
            <w:vAlign w:val="bottom"/>
            <w:gridSpan w:val="2"/>
          </w:tcPr>
          <w:p>
            <w:pPr>
              <w:ind w:left="120"/>
              <w:spacing w:after="0"/>
              <w:rPr>
                <w:sz w:val="20"/>
                <w:szCs w:val="20"/>
                <w:color w:val="auto"/>
              </w:rPr>
            </w:pPr>
            <w:r>
              <w:rPr>
                <w:rFonts w:ascii="Arial" w:cs="Arial" w:eastAsia="Arial" w:hAnsi="Arial"/>
                <w:sz w:val="12"/>
                <w:szCs w:val="12"/>
                <w:color w:val="auto"/>
              </w:rPr>
              <w:t>agreements</w:t>
            </w:r>
          </w:p>
        </w:tc>
        <w:tc>
          <w:tcPr>
            <w:tcW w:w="0" w:type="dxa"/>
            <w:vAlign w:val="bottom"/>
          </w:tcPr>
          <w:p>
            <w:pPr>
              <w:spacing w:after="0"/>
              <w:rPr>
                <w:sz w:val="1"/>
                <w:szCs w:val="1"/>
                <w:color w:val="auto"/>
              </w:rPr>
            </w:pPr>
          </w:p>
        </w:tc>
      </w:tr>
      <w:tr>
        <w:trPr>
          <w:trHeight w:val="116"/>
        </w:trPr>
        <w:tc>
          <w:tcPr>
            <w:tcW w:w="2020" w:type="dxa"/>
            <w:vAlign w:val="bottom"/>
            <w:shd w:val="clear" w:color="auto" w:fill="CCEEFF"/>
          </w:tcPr>
          <w:p>
            <w:pPr>
              <w:spacing w:after="0" w:line="116" w:lineRule="exact"/>
              <w:rPr>
                <w:sz w:val="20"/>
                <w:szCs w:val="20"/>
                <w:color w:val="auto"/>
              </w:rPr>
            </w:pPr>
            <w:r>
              <w:rPr>
                <w:rFonts w:ascii="Arial" w:cs="Arial" w:eastAsia="Arial" w:hAnsi="Arial"/>
                <w:sz w:val="12"/>
                <w:szCs w:val="12"/>
                <w:color w:val="auto"/>
              </w:rPr>
              <w:t>Cross currency swaps (CCS)</w:t>
            </w:r>
          </w:p>
        </w:tc>
        <w:tc>
          <w:tcPr>
            <w:tcW w:w="600" w:type="dxa"/>
            <w:vAlign w:val="bottom"/>
            <w:shd w:val="clear" w:color="auto" w:fill="CCEEFF"/>
          </w:tcPr>
          <w:p>
            <w:pPr>
              <w:jc w:val="center"/>
              <w:spacing w:after="0" w:line="116" w:lineRule="exact"/>
              <w:rPr>
                <w:sz w:val="20"/>
                <w:szCs w:val="20"/>
                <w:color w:val="auto"/>
              </w:rPr>
            </w:pPr>
            <w:r>
              <w:rPr>
                <w:rFonts w:ascii="Arial" w:cs="Arial" w:eastAsia="Arial" w:hAnsi="Arial"/>
                <w:sz w:val="12"/>
                <w:szCs w:val="12"/>
                <w:color w:val="auto"/>
                <w:w w:val="96"/>
              </w:rPr>
              <w:t>5(c)</w:t>
            </w:r>
          </w:p>
        </w:tc>
        <w:tc>
          <w:tcPr>
            <w:tcW w:w="5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160" w:type="dxa"/>
            <w:vAlign w:val="bottom"/>
            <w:gridSpan w:val="2"/>
            <w:shd w:val="clear" w:color="auto" w:fill="CCEEFF"/>
          </w:tcPr>
          <w:p>
            <w:pPr>
              <w:spacing w:after="0" w:line="116" w:lineRule="exact"/>
              <w:rPr>
                <w:sz w:val="20"/>
                <w:szCs w:val="20"/>
                <w:color w:val="auto"/>
              </w:rPr>
            </w:pPr>
            <w:r>
              <w:rPr>
                <w:rFonts w:ascii="Arial" w:cs="Arial" w:eastAsia="Arial" w:hAnsi="Arial"/>
                <w:sz w:val="12"/>
                <w:szCs w:val="12"/>
                <w:color w:val="auto"/>
              </w:rPr>
              <w:t>August 2026</w:t>
            </w:r>
          </w:p>
        </w:tc>
        <w:tc>
          <w:tcPr>
            <w:tcW w:w="5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1160" w:type="dxa"/>
            <w:vAlign w:val="bottom"/>
            <w:gridSpan w:val="2"/>
            <w:shd w:val="clear" w:color="auto" w:fill="CCEEFF"/>
          </w:tcPr>
          <w:p>
            <w:pPr>
              <w:ind w:left="120"/>
              <w:spacing w:after="0" w:line="116" w:lineRule="exact"/>
              <w:rPr>
                <w:sz w:val="20"/>
                <w:szCs w:val="20"/>
                <w:color w:val="auto"/>
              </w:rPr>
            </w:pPr>
            <w:r>
              <w:rPr>
                <w:rFonts w:ascii="Arial" w:cs="Arial" w:eastAsia="Arial" w:hAnsi="Arial"/>
                <w:sz w:val="12"/>
                <w:szCs w:val="12"/>
                <w:color w:val="auto"/>
              </w:rPr>
              <w:t>Repurchase</w:t>
            </w:r>
          </w:p>
        </w:tc>
        <w:tc>
          <w:tcPr>
            <w:tcW w:w="0" w:type="dxa"/>
            <w:vAlign w:val="bottom"/>
          </w:tcPr>
          <w:p>
            <w:pPr>
              <w:spacing w:after="0"/>
              <w:rPr>
                <w:sz w:val="1"/>
                <w:szCs w:val="1"/>
                <w:color w:val="auto"/>
              </w:rPr>
            </w:pPr>
          </w:p>
        </w:tc>
      </w:tr>
      <w:tr>
        <w:trPr>
          <w:trHeight w:val="144"/>
        </w:trPr>
        <w:tc>
          <w:tcPr>
            <w:tcW w:w="2020" w:type="dxa"/>
            <w:vAlign w:val="bottom"/>
            <w:shd w:val="clear" w:color="auto" w:fill="CCEEFF"/>
          </w:tcPr>
          <w:p>
            <w:pPr>
              <w:spacing w:after="0"/>
              <w:rPr>
                <w:sz w:val="12"/>
                <w:szCs w:val="12"/>
                <w:color w:val="auto"/>
              </w:rPr>
            </w:pPr>
          </w:p>
        </w:tc>
        <w:tc>
          <w:tcPr>
            <w:tcW w:w="600" w:type="dxa"/>
            <w:vAlign w:val="bottom"/>
            <w:shd w:val="clear" w:color="auto" w:fill="CCEEFF"/>
          </w:tcPr>
          <w:p>
            <w:pPr>
              <w:jc w:val="center"/>
              <w:spacing w:after="0"/>
              <w:rPr>
                <w:sz w:val="20"/>
                <w:szCs w:val="20"/>
                <w:color w:val="auto"/>
              </w:rPr>
            </w:pPr>
            <w:r>
              <w:rPr>
                <w:rFonts w:ascii="Arial" w:cs="Arial" w:eastAsia="Arial" w:hAnsi="Arial"/>
                <w:sz w:val="12"/>
                <w:szCs w:val="12"/>
                <w:color w:val="auto"/>
              </w:rPr>
              <w:t>(iv)</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26,240</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145,845</w:t>
            </w:r>
          </w:p>
        </w:tc>
        <w:tc>
          <w:tcPr>
            <w:tcW w:w="20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6,871</w:t>
            </w: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151,020</w:t>
            </w:r>
          </w:p>
        </w:tc>
        <w:tc>
          <w:tcPr>
            <w:tcW w:w="2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ind w:left="200"/>
              <w:spacing w:after="0"/>
              <w:rPr>
                <w:sz w:val="20"/>
                <w:szCs w:val="20"/>
                <w:color w:val="auto"/>
              </w:rPr>
            </w:pPr>
            <w:r>
              <w:rPr>
                <w:rFonts w:ascii="Arial" w:cs="Arial" w:eastAsia="Arial" w:hAnsi="Arial"/>
                <w:sz w:val="12"/>
                <w:szCs w:val="12"/>
                <w:color w:val="auto"/>
              </w:rPr>
              <w:t>August 2026</w:t>
            </w:r>
          </w:p>
        </w:tc>
        <w:tc>
          <w:tcPr>
            <w:tcW w:w="1160" w:type="dxa"/>
            <w:vAlign w:val="bottom"/>
            <w:gridSpan w:val="2"/>
            <w:shd w:val="clear" w:color="auto" w:fill="CCEEFF"/>
          </w:tcPr>
          <w:p>
            <w:pPr>
              <w:ind w:left="120"/>
              <w:spacing w:after="0"/>
              <w:rPr>
                <w:sz w:val="20"/>
                <w:szCs w:val="20"/>
                <w:color w:val="auto"/>
              </w:rPr>
            </w:pPr>
            <w:r>
              <w:rPr>
                <w:rFonts w:ascii="Arial" w:cs="Arial" w:eastAsia="Arial" w:hAnsi="Arial"/>
                <w:sz w:val="12"/>
                <w:szCs w:val="12"/>
                <w:color w:val="auto"/>
              </w:rPr>
              <w:t>agreements</w:t>
            </w:r>
          </w:p>
        </w:tc>
        <w:tc>
          <w:tcPr>
            <w:tcW w:w="0" w:type="dxa"/>
            <w:vAlign w:val="bottom"/>
          </w:tcPr>
          <w:p>
            <w:pPr>
              <w:spacing w:after="0"/>
              <w:rPr>
                <w:sz w:val="1"/>
                <w:szCs w:val="1"/>
                <w:color w:val="auto"/>
              </w:rPr>
            </w:pPr>
          </w:p>
        </w:tc>
      </w:tr>
      <w:tr>
        <w:trPr>
          <w:trHeight w:val="116"/>
        </w:trPr>
        <w:tc>
          <w:tcPr>
            <w:tcW w:w="2020" w:type="dxa"/>
            <w:vAlign w:val="bottom"/>
          </w:tcPr>
          <w:p>
            <w:pPr>
              <w:spacing w:after="0" w:line="116" w:lineRule="exact"/>
              <w:rPr>
                <w:sz w:val="20"/>
                <w:szCs w:val="20"/>
                <w:color w:val="auto"/>
              </w:rPr>
            </w:pPr>
            <w:r>
              <w:rPr>
                <w:rFonts w:ascii="Arial" w:cs="Arial" w:eastAsia="Arial" w:hAnsi="Arial"/>
                <w:sz w:val="12"/>
                <w:szCs w:val="12"/>
                <w:color w:val="auto"/>
              </w:rPr>
              <w:t>Cross currency swaps (CCS)</w:t>
            </w:r>
          </w:p>
        </w:tc>
        <w:tc>
          <w:tcPr>
            <w:tcW w:w="6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160" w:type="dxa"/>
            <w:vAlign w:val="bottom"/>
            <w:gridSpan w:val="2"/>
          </w:tcPr>
          <w:p>
            <w:pPr>
              <w:spacing w:after="0" w:line="116" w:lineRule="exact"/>
              <w:rPr>
                <w:sz w:val="20"/>
                <w:szCs w:val="20"/>
                <w:color w:val="auto"/>
              </w:rPr>
            </w:pPr>
            <w:r>
              <w:rPr>
                <w:rFonts w:ascii="Arial" w:cs="Arial" w:eastAsia="Arial" w:hAnsi="Arial"/>
                <w:sz w:val="12"/>
                <w:szCs w:val="12"/>
                <w:color w:val="auto"/>
              </w:rPr>
              <w:t>August 2026</w:t>
            </w:r>
          </w:p>
        </w:tc>
        <w:tc>
          <w:tcPr>
            <w:tcW w:w="5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160" w:type="dxa"/>
            <w:vAlign w:val="bottom"/>
            <w:gridSpan w:val="2"/>
          </w:tcPr>
          <w:p>
            <w:pPr>
              <w:ind w:left="120"/>
              <w:spacing w:after="0" w:line="116" w:lineRule="exact"/>
              <w:rPr>
                <w:sz w:val="20"/>
                <w:szCs w:val="20"/>
                <w:color w:val="auto"/>
              </w:rPr>
            </w:pPr>
            <w:r>
              <w:rPr>
                <w:rFonts w:ascii="Arial" w:cs="Arial" w:eastAsia="Arial" w:hAnsi="Arial"/>
                <w:sz w:val="12"/>
                <w:szCs w:val="12"/>
                <w:color w:val="auto"/>
              </w:rPr>
              <w:t>Repurchase</w:t>
            </w:r>
          </w:p>
        </w:tc>
        <w:tc>
          <w:tcPr>
            <w:tcW w:w="0" w:type="dxa"/>
            <w:vAlign w:val="bottom"/>
          </w:tcPr>
          <w:p>
            <w:pPr>
              <w:spacing w:after="0"/>
              <w:rPr>
                <w:sz w:val="1"/>
                <w:szCs w:val="1"/>
                <w:color w:val="auto"/>
              </w:rPr>
            </w:pPr>
          </w:p>
        </w:tc>
      </w:tr>
      <w:tr>
        <w:trPr>
          <w:trHeight w:val="144"/>
        </w:trPr>
        <w:tc>
          <w:tcPr>
            <w:tcW w:w="2020" w:type="dxa"/>
            <w:vAlign w:val="bottom"/>
          </w:tcPr>
          <w:p>
            <w:pPr>
              <w:spacing w:after="0"/>
              <w:rPr>
                <w:sz w:val="12"/>
                <w:szCs w:val="12"/>
                <w:color w:val="auto"/>
              </w:rPr>
            </w:pPr>
          </w:p>
        </w:tc>
        <w:tc>
          <w:tcPr>
            <w:tcW w:w="600" w:type="dxa"/>
            <w:vAlign w:val="bottom"/>
          </w:tcPr>
          <w:p>
            <w:pPr>
              <w:jc w:val="center"/>
              <w:spacing w:after="0"/>
              <w:rPr>
                <w:sz w:val="20"/>
                <w:szCs w:val="20"/>
                <w:color w:val="auto"/>
              </w:rPr>
            </w:pPr>
            <w:r>
              <w:rPr>
                <w:rFonts w:ascii="Arial" w:cs="Arial" w:eastAsia="Arial" w:hAnsi="Arial"/>
                <w:sz w:val="12"/>
                <w:szCs w:val="12"/>
                <w:color w:val="auto"/>
                <w:w w:val="97"/>
              </w:rPr>
              <w:t>5(c)(v)</w:t>
            </w:r>
          </w:p>
        </w:tc>
        <w:tc>
          <w:tcPr>
            <w:tcW w:w="70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540" w:type="dxa"/>
            <w:vAlign w:val="bottom"/>
          </w:tcPr>
          <w:p>
            <w:pPr>
              <w:jc w:val="right"/>
              <w:spacing w:after="0"/>
              <w:rPr>
                <w:sz w:val="20"/>
                <w:szCs w:val="20"/>
                <w:color w:val="auto"/>
              </w:rPr>
            </w:pPr>
            <w:r>
              <w:rPr>
                <w:rFonts w:ascii="Arial" w:cs="Arial" w:eastAsia="Arial" w:hAnsi="Arial"/>
                <w:sz w:val="12"/>
                <w:szCs w:val="12"/>
                <w:color w:val="auto"/>
              </w:rPr>
              <w:t>9,053</w:t>
            </w:r>
          </w:p>
        </w:tc>
        <w:tc>
          <w:tcPr>
            <w:tcW w:w="220" w:type="dxa"/>
            <w:vAlign w:val="bottom"/>
          </w:tcPr>
          <w:p>
            <w:pPr>
              <w:spacing w:after="0"/>
              <w:rPr>
                <w:sz w:val="12"/>
                <w:szCs w:val="12"/>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2"/>
                <w:szCs w:val="12"/>
                <w:color w:val="auto"/>
              </w:rPr>
              <w:t>81,025</w:t>
            </w:r>
          </w:p>
        </w:tc>
        <w:tc>
          <w:tcPr>
            <w:tcW w:w="2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2"/>
                <w:szCs w:val="12"/>
                <w:color w:val="auto"/>
              </w:rPr>
              <w:t>1,154</w:t>
            </w:r>
          </w:p>
        </w:tc>
        <w:tc>
          <w:tcPr>
            <w:tcW w:w="74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660" w:type="dxa"/>
            <w:vAlign w:val="bottom"/>
            <w:gridSpan w:val="2"/>
          </w:tcPr>
          <w:p>
            <w:pPr>
              <w:jc w:val="right"/>
              <w:ind w:right="20"/>
              <w:spacing w:after="0"/>
              <w:rPr>
                <w:sz w:val="20"/>
                <w:szCs w:val="20"/>
                <w:color w:val="auto"/>
              </w:rPr>
            </w:pPr>
            <w:r>
              <w:rPr>
                <w:rFonts w:ascii="Arial" w:cs="Arial" w:eastAsia="Arial" w:hAnsi="Arial"/>
                <w:sz w:val="12"/>
                <w:szCs w:val="12"/>
                <w:color w:val="auto"/>
              </w:rPr>
              <w:t>83,900</w:t>
            </w:r>
          </w:p>
        </w:tc>
        <w:tc>
          <w:tcPr>
            <w:tcW w:w="1060" w:type="dxa"/>
            <w:vAlign w:val="bottom"/>
            <w:gridSpan w:val="2"/>
          </w:tcPr>
          <w:p>
            <w:pPr>
              <w:ind w:left="200"/>
              <w:spacing w:after="0"/>
              <w:rPr>
                <w:sz w:val="20"/>
                <w:szCs w:val="20"/>
                <w:color w:val="auto"/>
              </w:rPr>
            </w:pPr>
            <w:r>
              <w:rPr>
                <w:rFonts w:ascii="Arial" w:cs="Arial" w:eastAsia="Arial" w:hAnsi="Arial"/>
                <w:sz w:val="12"/>
                <w:szCs w:val="12"/>
                <w:color w:val="auto"/>
              </w:rPr>
              <w:t>August 2026</w:t>
            </w:r>
          </w:p>
        </w:tc>
        <w:tc>
          <w:tcPr>
            <w:tcW w:w="1160" w:type="dxa"/>
            <w:vAlign w:val="bottom"/>
            <w:gridSpan w:val="2"/>
          </w:tcPr>
          <w:p>
            <w:pPr>
              <w:ind w:left="120"/>
              <w:spacing w:after="0"/>
              <w:rPr>
                <w:sz w:val="20"/>
                <w:szCs w:val="20"/>
                <w:color w:val="auto"/>
              </w:rPr>
            </w:pPr>
            <w:r>
              <w:rPr>
                <w:rFonts w:ascii="Arial" w:cs="Arial" w:eastAsia="Arial" w:hAnsi="Arial"/>
                <w:sz w:val="12"/>
                <w:szCs w:val="12"/>
                <w:color w:val="auto"/>
              </w:rPr>
              <w:t>agreements</w:t>
            </w:r>
          </w:p>
        </w:tc>
        <w:tc>
          <w:tcPr>
            <w:tcW w:w="0" w:type="dxa"/>
            <w:vAlign w:val="bottom"/>
          </w:tcPr>
          <w:p>
            <w:pPr>
              <w:spacing w:after="0"/>
              <w:rPr>
                <w:sz w:val="1"/>
                <w:szCs w:val="1"/>
                <w:color w:val="auto"/>
              </w:rPr>
            </w:pPr>
          </w:p>
        </w:tc>
      </w:tr>
      <w:tr>
        <w:trPr>
          <w:trHeight w:val="116"/>
        </w:trPr>
        <w:tc>
          <w:tcPr>
            <w:tcW w:w="2020" w:type="dxa"/>
            <w:vAlign w:val="bottom"/>
            <w:shd w:val="clear" w:color="auto" w:fill="CCEEFF"/>
          </w:tcPr>
          <w:p>
            <w:pPr>
              <w:spacing w:after="0" w:line="116" w:lineRule="exact"/>
              <w:rPr>
                <w:sz w:val="20"/>
                <w:szCs w:val="20"/>
                <w:color w:val="auto"/>
              </w:rPr>
            </w:pPr>
            <w:r>
              <w:rPr>
                <w:rFonts w:ascii="Arial" w:cs="Arial" w:eastAsia="Arial" w:hAnsi="Arial"/>
                <w:sz w:val="12"/>
                <w:szCs w:val="12"/>
                <w:color w:val="auto"/>
              </w:rPr>
              <w:t>Cross currency swaps (CCS)</w:t>
            </w:r>
          </w:p>
        </w:tc>
        <w:tc>
          <w:tcPr>
            <w:tcW w:w="60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160" w:type="dxa"/>
            <w:vAlign w:val="bottom"/>
            <w:gridSpan w:val="2"/>
            <w:shd w:val="clear" w:color="auto" w:fill="CCEEFF"/>
          </w:tcPr>
          <w:p>
            <w:pPr>
              <w:spacing w:after="0" w:line="116" w:lineRule="exact"/>
              <w:rPr>
                <w:sz w:val="20"/>
                <w:szCs w:val="20"/>
                <w:color w:val="auto"/>
              </w:rPr>
            </w:pPr>
            <w:r>
              <w:rPr>
                <w:rFonts w:ascii="Arial" w:cs="Arial" w:eastAsia="Arial" w:hAnsi="Arial"/>
                <w:sz w:val="12"/>
                <w:szCs w:val="12"/>
                <w:color w:val="auto"/>
              </w:rPr>
              <w:t>Between January 2018 and September</w:t>
            </w:r>
          </w:p>
        </w:tc>
        <w:tc>
          <w:tcPr>
            <w:tcW w:w="5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60" w:type="dxa"/>
            <w:vAlign w:val="bottom"/>
            <w:gridSpan w:val="2"/>
            <w:shd w:val="clear" w:color="auto" w:fill="CCEEFF"/>
          </w:tcPr>
          <w:p>
            <w:pPr>
              <w:ind w:left="200"/>
              <w:spacing w:after="0" w:line="116" w:lineRule="exact"/>
              <w:rPr>
                <w:sz w:val="20"/>
                <w:szCs w:val="20"/>
                <w:color w:val="auto"/>
              </w:rPr>
            </w:pPr>
            <w:r>
              <w:rPr>
                <w:rFonts w:ascii="Arial" w:cs="Arial" w:eastAsia="Arial" w:hAnsi="Arial"/>
                <w:sz w:val="12"/>
                <w:szCs w:val="12"/>
                <w:color w:val="auto"/>
                <w:w w:val="90"/>
              </w:rPr>
              <w:t>Between January</w:t>
            </w:r>
          </w:p>
        </w:tc>
        <w:tc>
          <w:tcPr>
            <w:tcW w:w="12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2020" w:type="dxa"/>
            <w:vAlign w:val="bottom"/>
            <w:shd w:val="clear" w:color="auto" w:fill="CCEEFF"/>
          </w:tcPr>
          <w:p>
            <w:pPr>
              <w:spacing w:after="0"/>
              <w:rPr>
                <w:sz w:val="11"/>
                <w:szCs w:val="11"/>
                <w:color w:val="auto"/>
              </w:rPr>
            </w:pPr>
          </w:p>
        </w:tc>
        <w:tc>
          <w:tcPr>
            <w:tcW w:w="600" w:type="dxa"/>
            <w:vAlign w:val="bottom"/>
            <w:shd w:val="clear" w:color="auto" w:fill="CCEEFF"/>
          </w:tcPr>
          <w:p>
            <w:pPr>
              <w:jc w:val="center"/>
              <w:spacing w:after="0" w:line="130" w:lineRule="exact"/>
              <w:rPr>
                <w:sz w:val="20"/>
                <w:szCs w:val="20"/>
                <w:color w:val="auto"/>
              </w:rPr>
            </w:pPr>
            <w:r>
              <w:rPr>
                <w:rFonts w:ascii="Arial" w:cs="Arial" w:eastAsia="Arial" w:hAnsi="Arial"/>
                <w:sz w:val="12"/>
                <w:szCs w:val="12"/>
                <w:color w:val="auto"/>
                <w:w w:val="93"/>
              </w:rPr>
              <w:t>6(a)</w:t>
            </w:r>
          </w:p>
        </w:tc>
        <w:tc>
          <w:tcPr>
            <w:tcW w:w="5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060" w:type="dxa"/>
            <w:vAlign w:val="bottom"/>
            <w:shd w:val="clear" w:color="auto" w:fill="CCEEFF"/>
          </w:tcPr>
          <w:p>
            <w:pPr>
              <w:spacing w:after="0" w:line="130" w:lineRule="exact"/>
              <w:rPr>
                <w:sz w:val="20"/>
                <w:szCs w:val="20"/>
                <w:color w:val="auto"/>
              </w:rPr>
            </w:pPr>
            <w:r>
              <w:rPr>
                <w:rFonts w:ascii="Arial" w:cs="Arial" w:eastAsia="Arial" w:hAnsi="Arial"/>
                <w:sz w:val="12"/>
                <w:szCs w:val="12"/>
                <w:color w:val="auto"/>
              </w:rPr>
              <w:t>2024</w:t>
            </w: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60" w:type="dxa"/>
            <w:vAlign w:val="bottom"/>
            <w:gridSpan w:val="2"/>
            <w:shd w:val="clear" w:color="auto" w:fill="CCEEFF"/>
          </w:tcPr>
          <w:p>
            <w:pPr>
              <w:ind w:left="200"/>
              <w:spacing w:after="0" w:line="130" w:lineRule="exact"/>
              <w:rPr>
                <w:sz w:val="20"/>
                <w:szCs w:val="20"/>
                <w:color w:val="auto"/>
              </w:rPr>
            </w:pPr>
            <w:r>
              <w:rPr>
                <w:rFonts w:ascii="Arial" w:cs="Arial" w:eastAsia="Arial" w:hAnsi="Arial"/>
                <w:sz w:val="12"/>
                <w:szCs w:val="12"/>
                <w:color w:val="auto"/>
              </w:rPr>
              <w:t>2017 and</w:t>
            </w:r>
          </w:p>
        </w:tc>
        <w:tc>
          <w:tcPr>
            <w:tcW w:w="1160" w:type="dxa"/>
            <w:vAlign w:val="bottom"/>
            <w:gridSpan w:val="2"/>
            <w:shd w:val="clear" w:color="auto" w:fill="CCEEFF"/>
          </w:tcPr>
          <w:p>
            <w:pPr>
              <w:ind w:left="120"/>
              <w:spacing w:after="0" w:line="130" w:lineRule="exact"/>
              <w:rPr>
                <w:sz w:val="20"/>
                <w:szCs w:val="20"/>
                <w:color w:val="auto"/>
              </w:rPr>
            </w:pPr>
            <w:r>
              <w:rPr>
                <w:rFonts w:ascii="Arial" w:cs="Arial" w:eastAsia="Arial" w:hAnsi="Arial"/>
                <w:sz w:val="12"/>
                <w:szCs w:val="12"/>
                <w:color w:val="auto"/>
              </w:rPr>
              <w:t>Available-for-sale</w:t>
            </w:r>
          </w:p>
        </w:tc>
        <w:tc>
          <w:tcPr>
            <w:tcW w:w="0" w:type="dxa"/>
            <w:vAlign w:val="bottom"/>
          </w:tcPr>
          <w:p>
            <w:pPr>
              <w:spacing w:after="0"/>
              <w:rPr>
                <w:sz w:val="1"/>
                <w:szCs w:val="1"/>
                <w:color w:val="auto"/>
              </w:rPr>
            </w:pPr>
          </w:p>
        </w:tc>
      </w:tr>
      <w:tr>
        <w:trPr>
          <w:trHeight w:val="144"/>
        </w:trPr>
        <w:tc>
          <w:tcPr>
            <w:tcW w:w="2020" w:type="dxa"/>
            <w:vAlign w:val="bottom"/>
            <w:shd w:val="clear" w:color="auto" w:fill="CCEEFF"/>
          </w:tcPr>
          <w:p>
            <w:pPr>
              <w:spacing w:after="0"/>
              <w:rPr>
                <w:sz w:val="12"/>
                <w:szCs w:val="12"/>
                <w:color w:val="auto"/>
              </w:rPr>
            </w:pPr>
          </w:p>
        </w:tc>
        <w:tc>
          <w:tcPr>
            <w:tcW w:w="600" w:type="dxa"/>
            <w:vAlign w:val="bottom"/>
            <w:shd w:val="clear" w:color="auto" w:fill="CCEEFF"/>
          </w:tcPr>
          <w:p>
            <w:pPr>
              <w:jc w:val="center"/>
              <w:spacing w:after="0"/>
              <w:rPr>
                <w:sz w:val="20"/>
                <w:szCs w:val="20"/>
                <w:color w:val="auto"/>
              </w:rPr>
            </w:pPr>
            <w:r>
              <w:rPr>
                <w:rFonts w:ascii="Arial" w:cs="Arial" w:eastAsia="Arial" w:hAnsi="Arial"/>
                <w:sz w:val="12"/>
                <w:szCs w:val="12"/>
                <w:color w:val="auto"/>
              </w:rPr>
              <w:t>(iv)</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24,263</w:t>
            </w: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1,386</w:t>
            </w:r>
          </w:p>
        </w:tc>
        <w:tc>
          <w:tcPr>
            <w:tcW w:w="2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228,756</w:t>
            </w:r>
          </w:p>
        </w:tc>
        <w:tc>
          <w:tcPr>
            <w:tcW w:w="20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16,537</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9,483</w:t>
            </w: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236,335</w:t>
            </w:r>
          </w:p>
        </w:tc>
        <w:tc>
          <w:tcPr>
            <w:tcW w:w="2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ind w:left="200"/>
              <w:spacing w:after="0"/>
              <w:rPr>
                <w:sz w:val="20"/>
                <w:szCs w:val="20"/>
                <w:color w:val="auto"/>
              </w:rPr>
            </w:pPr>
            <w:r>
              <w:rPr>
                <w:rFonts w:ascii="Arial" w:cs="Arial" w:eastAsia="Arial" w:hAnsi="Arial"/>
                <w:sz w:val="12"/>
                <w:szCs w:val="12"/>
                <w:color w:val="auto"/>
                <w:w w:val="94"/>
              </w:rPr>
              <w:t>September 2024</w:t>
            </w:r>
          </w:p>
        </w:tc>
        <w:tc>
          <w:tcPr>
            <w:tcW w:w="1160" w:type="dxa"/>
            <w:vAlign w:val="bottom"/>
            <w:gridSpan w:val="2"/>
            <w:shd w:val="clear" w:color="auto" w:fill="CCEEFF"/>
          </w:tcPr>
          <w:p>
            <w:pPr>
              <w:ind w:left="120"/>
              <w:spacing w:after="0"/>
              <w:rPr>
                <w:sz w:val="20"/>
                <w:szCs w:val="20"/>
                <w:color w:val="auto"/>
              </w:rPr>
            </w:pPr>
            <w:r>
              <w:rPr>
                <w:rFonts w:ascii="Arial" w:cs="Arial" w:eastAsia="Arial" w:hAnsi="Arial"/>
                <w:sz w:val="12"/>
                <w:szCs w:val="12"/>
                <w:color w:val="auto"/>
              </w:rPr>
              <w:t>investments</w:t>
            </w:r>
          </w:p>
        </w:tc>
        <w:tc>
          <w:tcPr>
            <w:tcW w:w="0" w:type="dxa"/>
            <w:vAlign w:val="bottom"/>
          </w:tcPr>
          <w:p>
            <w:pPr>
              <w:spacing w:after="0"/>
              <w:rPr>
                <w:sz w:val="1"/>
                <w:szCs w:val="1"/>
                <w:color w:val="auto"/>
              </w:rPr>
            </w:pPr>
          </w:p>
        </w:tc>
      </w:tr>
      <w:tr>
        <w:trPr>
          <w:trHeight w:val="116"/>
        </w:trPr>
        <w:tc>
          <w:tcPr>
            <w:tcW w:w="2020" w:type="dxa"/>
            <w:vAlign w:val="bottom"/>
          </w:tcPr>
          <w:p>
            <w:pPr>
              <w:spacing w:after="0" w:line="116" w:lineRule="exact"/>
              <w:rPr>
                <w:sz w:val="20"/>
                <w:szCs w:val="20"/>
                <w:color w:val="auto"/>
              </w:rPr>
            </w:pPr>
            <w:r>
              <w:rPr>
                <w:rFonts w:ascii="Arial" w:cs="Arial" w:eastAsia="Arial" w:hAnsi="Arial"/>
                <w:sz w:val="12"/>
                <w:szCs w:val="12"/>
                <w:color w:val="auto"/>
              </w:rPr>
              <w:t>Cross currency swaps (CCS)</w:t>
            </w:r>
          </w:p>
        </w:tc>
        <w:tc>
          <w:tcPr>
            <w:tcW w:w="6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160" w:type="dxa"/>
            <w:vAlign w:val="bottom"/>
            <w:gridSpan w:val="2"/>
          </w:tcPr>
          <w:p>
            <w:pPr>
              <w:spacing w:after="0" w:line="116" w:lineRule="exact"/>
              <w:rPr>
                <w:sz w:val="20"/>
                <w:szCs w:val="20"/>
                <w:color w:val="auto"/>
              </w:rPr>
            </w:pPr>
            <w:r>
              <w:rPr>
                <w:rFonts w:ascii="Arial" w:cs="Arial" w:eastAsia="Arial" w:hAnsi="Arial"/>
                <w:sz w:val="12"/>
                <w:szCs w:val="12"/>
                <w:color w:val="auto"/>
              </w:rPr>
              <w:t>March 2019</w:t>
            </w:r>
          </w:p>
        </w:tc>
        <w:tc>
          <w:tcPr>
            <w:tcW w:w="5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60" w:type="dxa"/>
            <w:vAlign w:val="bottom"/>
            <w:gridSpan w:val="2"/>
          </w:tcPr>
          <w:p>
            <w:pPr>
              <w:ind w:left="200"/>
              <w:spacing w:after="0" w:line="116" w:lineRule="exact"/>
              <w:rPr>
                <w:sz w:val="20"/>
                <w:szCs w:val="20"/>
                <w:color w:val="auto"/>
              </w:rPr>
            </w:pPr>
            <w:r>
              <w:rPr>
                <w:rFonts w:ascii="Arial" w:cs="Arial" w:eastAsia="Arial" w:hAnsi="Arial"/>
                <w:sz w:val="12"/>
                <w:szCs w:val="12"/>
                <w:color w:val="auto"/>
                <w:w w:val="90"/>
              </w:rPr>
              <w:t>Between January</w:t>
            </w: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2020" w:type="dxa"/>
            <w:vAlign w:val="bottom"/>
          </w:tcPr>
          <w:p>
            <w:pPr>
              <w:spacing w:after="0"/>
              <w:rPr>
                <w:sz w:val="11"/>
                <w:szCs w:val="11"/>
                <w:color w:val="auto"/>
              </w:rPr>
            </w:pPr>
          </w:p>
        </w:tc>
        <w:tc>
          <w:tcPr>
            <w:tcW w:w="600" w:type="dxa"/>
            <w:vAlign w:val="bottom"/>
          </w:tcPr>
          <w:p>
            <w:pPr>
              <w:jc w:val="center"/>
              <w:spacing w:after="0" w:line="130" w:lineRule="exact"/>
              <w:rPr>
                <w:sz w:val="20"/>
                <w:szCs w:val="20"/>
                <w:color w:val="auto"/>
              </w:rPr>
            </w:pPr>
            <w:r>
              <w:rPr>
                <w:rFonts w:ascii="Arial" w:cs="Arial" w:eastAsia="Arial" w:hAnsi="Arial"/>
                <w:sz w:val="12"/>
                <w:szCs w:val="12"/>
                <w:color w:val="auto"/>
                <w:w w:val="93"/>
              </w:rPr>
              <w:t>6(a)</w:t>
            </w: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60" w:type="dxa"/>
            <w:vAlign w:val="bottom"/>
            <w:gridSpan w:val="2"/>
          </w:tcPr>
          <w:p>
            <w:pPr>
              <w:ind w:left="200"/>
              <w:spacing w:after="0" w:line="130" w:lineRule="exact"/>
              <w:rPr>
                <w:sz w:val="20"/>
                <w:szCs w:val="20"/>
                <w:color w:val="auto"/>
              </w:rPr>
            </w:pPr>
            <w:r>
              <w:rPr>
                <w:rFonts w:ascii="Arial" w:cs="Arial" w:eastAsia="Arial" w:hAnsi="Arial"/>
                <w:sz w:val="12"/>
                <w:szCs w:val="12"/>
                <w:color w:val="auto"/>
                <w:w w:val="96"/>
              </w:rPr>
              <w:t>2017 and March</w:t>
            </w:r>
          </w:p>
        </w:tc>
        <w:tc>
          <w:tcPr>
            <w:tcW w:w="1160" w:type="dxa"/>
            <w:vAlign w:val="bottom"/>
            <w:gridSpan w:val="2"/>
          </w:tcPr>
          <w:p>
            <w:pPr>
              <w:ind w:left="120"/>
              <w:spacing w:after="0" w:line="130" w:lineRule="exact"/>
              <w:rPr>
                <w:sz w:val="20"/>
                <w:szCs w:val="20"/>
                <w:color w:val="auto"/>
              </w:rPr>
            </w:pPr>
            <w:r>
              <w:rPr>
                <w:rFonts w:ascii="Arial" w:cs="Arial" w:eastAsia="Arial" w:hAnsi="Arial"/>
                <w:sz w:val="12"/>
                <w:szCs w:val="12"/>
                <w:color w:val="auto"/>
              </w:rPr>
              <w:t>Available-for-sale</w:t>
            </w:r>
          </w:p>
        </w:tc>
        <w:tc>
          <w:tcPr>
            <w:tcW w:w="0" w:type="dxa"/>
            <w:vAlign w:val="bottom"/>
          </w:tcPr>
          <w:p>
            <w:pPr>
              <w:spacing w:after="0"/>
              <w:rPr>
                <w:sz w:val="1"/>
                <w:szCs w:val="1"/>
                <w:color w:val="auto"/>
              </w:rPr>
            </w:pPr>
          </w:p>
        </w:tc>
      </w:tr>
      <w:tr>
        <w:trPr>
          <w:trHeight w:val="144"/>
        </w:trPr>
        <w:tc>
          <w:tcPr>
            <w:tcW w:w="2020" w:type="dxa"/>
            <w:vAlign w:val="bottom"/>
          </w:tcPr>
          <w:p>
            <w:pPr>
              <w:spacing w:after="0"/>
              <w:rPr>
                <w:sz w:val="12"/>
                <w:szCs w:val="12"/>
                <w:color w:val="auto"/>
              </w:rPr>
            </w:pPr>
          </w:p>
        </w:tc>
        <w:tc>
          <w:tcPr>
            <w:tcW w:w="600" w:type="dxa"/>
            <w:vAlign w:val="bottom"/>
          </w:tcPr>
          <w:p>
            <w:pPr>
              <w:jc w:val="center"/>
              <w:spacing w:after="0"/>
              <w:rPr>
                <w:sz w:val="20"/>
                <w:szCs w:val="20"/>
                <w:color w:val="auto"/>
              </w:rPr>
            </w:pPr>
            <w:r>
              <w:rPr>
                <w:rFonts w:ascii="Arial" w:cs="Arial" w:eastAsia="Arial" w:hAnsi="Arial"/>
                <w:sz w:val="12"/>
                <w:szCs w:val="12"/>
                <w:color w:val="auto"/>
              </w:rPr>
              <w:t>(iv)</w:t>
            </w:r>
          </w:p>
        </w:tc>
        <w:tc>
          <w:tcPr>
            <w:tcW w:w="70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760" w:type="dxa"/>
            <w:vAlign w:val="bottom"/>
            <w:gridSpan w:val="2"/>
          </w:tcPr>
          <w:p>
            <w:pPr>
              <w:jc w:val="right"/>
              <w:ind w:right="220"/>
              <w:spacing w:after="0"/>
              <w:rPr>
                <w:sz w:val="20"/>
                <w:szCs w:val="20"/>
                <w:color w:val="auto"/>
              </w:rPr>
            </w:pPr>
            <w:r>
              <w:rPr>
                <w:rFonts w:ascii="Arial" w:cs="Arial" w:eastAsia="Arial" w:hAnsi="Arial"/>
                <w:sz w:val="12"/>
                <w:szCs w:val="12"/>
                <w:color w:val="auto"/>
              </w:rPr>
              <w:t>151</w:t>
            </w:r>
          </w:p>
        </w:tc>
        <w:tc>
          <w:tcPr>
            <w:tcW w:w="840" w:type="dxa"/>
            <w:vAlign w:val="bottom"/>
            <w:gridSpan w:val="2"/>
          </w:tcPr>
          <w:p>
            <w:pPr>
              <w:jc w:val="right"/>
              <w:ind w:right="200"/>
              <w:spacing w:after="0"/>
              <w:rPr>
                <w:sz w:val="20"/>
                <w:szCs w:val="20"/>
                <w:color w:val="auto"/>
              </w:rPr>
            </w:pPr>
            <w:r>
              <w:rPr>
                <w:rFonts w:ascii="Arial" w:cs="Arial" w:eastAsia="Arial" w:hAnsi="Arial"/>
                <w:sz w:val="12"/>
                <w:szCs w:val="12"/>
                <w:color w:val="auto"/>
              </w:rPr>
              <w:t>55,097</w:t>
            </w:r>
          </w:p>
        </w:tc>
        <w:tc>
          <w:tcPr>
            <w:tcW w:w="2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2"/>
                <w:szCs w:val="12"/>
                <w:color w:val="auto"/>
              </w:rPr>
              <w:t>1,289</w:t>
            </w:r>
          </w:p>
        </w:tc>
        <w:tc>
          <w:tcPr>
            <w:tcW w:w="740" w:type="dxa"/>
            <w:vAlign w:val="bottom"/>
            <w:gridSpan w:val="2"/>
          </w:tcPr>
          <w:p>
            <w:pPr>
              <w:jc w:val="right"/>
              <w:ind w:right="200"/>
              <w:spacing w:after="0"/>
              <w:rPr>
                <w:sz w:val="20"/>
                <w:szCs w:val="20"/>
                <w:color w:val="auto"/>
              </w:rPr>
            </w:pPr>
            <w:r>
              <w:rPr>
                <w:rFonts w:ascii="Arial" w:cs="Arial" w:eastAsia="Arial" w:hAnsi="Arial"/>
                <w:sz w:val="12"/>
                <w:szCs w:val="12"/>
                <w:color w:val="auto"/>
              </w:rPr>
              <w:t>7,588</w:t>
            </w:r>
          </w:p>
        </w:tc>
        <w:tc>
          <w:tcPr>
            <w:tcW w:w="640" w:type="dxa"/>
            <w:vAlign w:val="bottom"/>
          </w:tcPr>
          <w:p>
            <w:pPr>
              <w:jc w:val="right"/>
              <w:spacing w:after="0"/>
              <w:rPr>
                <w:sz w:val="20"/>
                <w:szCs w:val="20"/>
                <w:color w:val="auto"/>
              </w:rPr>
            </w:pPr>
            <w:r>
              <w:rPr>
                <w:rFonts w:ascii="Arial" w:cs="Arial" w:eastAsia="Arial" w:hAnsi="Arial"/>
                <w:sz w:val="12"/>
                <w:szCs w:val="12"/>
                <w:color w:val="auto"/>
              </w:rPr>
              <w:t>167,800</w:t>
            </w:r>
          </w:p>
        </w:tc>
        <w:tc>
          <w:tcPr>
            <w:tcW w:w="20" w:type="dxa"/>
            <w:vAlign w:val="bottom"/>
          </w:tcPr>
          <w:p>
            <w:pPr>
              <w:spacing w:after="0"/>
              <w:rPr>
                <w:sz w:val="12"/>
                <w:szCs w:val="12"/>
                <w:color w:val="auto"/>
              </w:rPr>
            </w:pPr>
          </w:p>
        </w:tc>
        <w:tc>
          <w:tcPr>
            <w:tcW w:w="1060" w:type="dxa"/>
            <w:vAlign w:val="bottom"/>
            <w:gridSpan w:val="2"/>
          </w:tcPr>
          <w:p>
            <w:pPr>
              <w:ind w:left="200"/>
              <w:spacing w:after="0"/>
              <w:rPr>
                <w:sz w:val="20"/>
                <w:szCs w:val="20"/>
                <w:color w:val="auto"/>
              </w:rPr>
            </w:pPr>
            <w:r>
              <w:rPr>
                <w:rFonts w:ascii="Arial" w:cs="Arial" w:eastAsia="Arial" w:hAnsi="Arial"/>
                <w:sz w:val="12"/>
                <w:szCs w:val="12"/>
                <w:color w:val="auto"/>
              </w:rPr>
              <w:t>2019</w:t>
            </w:r>
          </w:p>
        </w:tc>
        <w:tc>
          <w:tcPr>
            <w:tcW w:w="1160" w:type="dxa"/>
            <w:vAlign w:val="bottom"/>
            <w:gridSpan w:val="2"/>
          </w:tcPr>
          <w:p>
            <w:pPr>
              <w:ind w:left="120"/>
              <w:spacing w:after="0"/>
              <w:rPr>
                <w:sz w:val="20"/>
                <w:szCs w:val="20"/>
                <w:color w:val="auto"/>
              </w:rPr>
            </w:pPr>
            <w:r>
              <w:rPr>
                <w:rFonts w:ascii="Arial" w:cs="Arial" w:eastAsia="Arial" w:hAnsi="Arial"/>
                <w:sz w:val="12"/>
                <w:szCs w:val="12"/>
                <w:color w:val="auto"/>
              </w:rPr>
              <w:t>investments</w:t>
            </w:r>
          </w:p>
        </w:tc>
        <w:tc>
          <w:tcPr>
            <w:tcW w:w="0" w:type="dxa"/>
            <w:vAlign w:val="bottom"/>
          </w:tcPr>
          <w:p>
            <w:pPr>
              <w:spacing w:after="0"/>
              <w:rPr>
                <w:sz w:val="1"/>
                <w:szCs w:val="1"/>
                <w:color w:val="auto"/>
              </w:rPr>
            </w:pPr>
          </w:p>
        </w:tc>
      </w:tr>
      <w:tr>
        <w:trPr>
          <w:trHeight w:val="116"/>
        </w:trPr>
        <w:tc>
          <w:tcPr>
            <w:tcW w:w="2020" w:type="dxa"/>
            <w:vAlign w:val="bottom"/>
            <w:shd w:val="clear" w:color="auto" w:fill="CCEEFF"/>
          </w:tcPr>
          <w:p>
            <w:pPr>
              <w:spacing w:after="0" w:line="116" w:lineRule="exact"/>
              <w:rPr>
                <w:sz w:val="20"/>
                <w:szCs w:val="20"/>
                <w:color w:val="auto"/>
              </w:rPr>
            </w:pPr>
            <w:r>
              <w:rPr>
                <w:rFonts w:ascii="Arial" w:cs="Arial" w:eastAsia="Arial" w:hAnsi="Arial"/>
                <w:sz w:val="12"/>
                <w:szCs w:val="12"/>
                <w:color w:val="auto"/>
              </w:rPr>
              <w:t>Cross currency swaps (CCS)</w:t>
            </w:r>
          </w:p>
        </w:tc>
        <w:tc>
          <w:tcPr>
            <w:tcW w:w="600" w:type="dxa"/>
            <w:vAlign w:val="bottom"/>
            <w:shd w:val="clear" w:color="auto" w:fill="CCEEFF"/>
          </w:tcPr>
          <w:p>
            <w:pPr>
              <w:jc w:val="center"/>
              <w:spacing w:after="0" w:line="116" w:lineRule="exact"/>
              <w:rPr>
                <w:sz w:val="20"/>
                <w:szCs w:val="20"/>
                <w:color w:val="auto"/>
              </w:rPr>
            </w:pPr>
            <w:r>
              <w:rPr>
                <w:rFonts w:ascii="Arial" w:cs="Arial" w:eastAsia="Arial" w:hAnsi="Arial"/>
                <w:sz w:val="12"/>
                <w:szCs w:val="12"/>
                <w:color w:val="auto"/>
                <w:w w:val="92"/>
              </w:rPr>
              <w:t>14(b)</w:t>
            </w:r>
          </w:p>
        </w:tc>
        <w:tc>
          <w:tcPr>
            <w:tcW w:w="5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160" w:type="dxa"/>
            <w:vAlign w:val="bottom"/>
            <w:gridSpan w:val="2"/>
            <w:shd w:val="clear" w:color="auto" w:fill="CCEEFF"/>
          </w:tcPr>
          <w:p>
            <w:pPr>
              <w:spacing w:after="0" w:line="116" w:lineRule="exact"/>
              <w:rPr>
                <w:sz w:val="20"/>
                <w:szCs w:val="20"/>
                <w:color w:val="auto"/>
              </w:rPr>
            </w:pPr>
            <w:r>
              <w:rPr>
                <w:rFonts w:ascii="Arial" w:cs="Arial" w:eastAsia="Arial" w:hAnsi="Arial"/>
                <w:sz w:val="12"/>
                <w:szCs w:val="12"/>
                <w:color w:val="auto"/>
              </w:rPr>
              <w:t>January 2020</w:t>
            </w:r>
          </w:p>
        </w:tc>
        <w:tc>
          <w:tcPr>
            <w:tcW w:w="5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020" w:type="dxa"/>
            <w:vAlign w:val="bottom"/>
            <w:shd w:val="clear" w:color="auto" w:fill="CCEEFF"/>
          </w:tcPr>
          <w:p>
            <w:pPr>
              <w:spacing w:after="0"/>
              <w:rPr>
                <w:sz w:val="12"/>
                <w:szCs w:val="12"/>
                <w:color w:val="auto"/>
              </w:rPr>
            </w:pPr>
          </w:p>
        </w:tc>
        <w:tc>
          <w:tcPr>
            <w:tcW w:w="600" w:type="dxa"/>
            <w:vAlign w:val="bottom"/>
            <w:shd w:val="clear" w:color="auto" w:fill="CCEEFF"/>
          </w:tcPr>
          <w:p>
            <w:pPr>
              <w:jc w:val="center"/>
              <w:spacing w:after="0"/>
              <w:rPr>
                <w:sz w:val="20"/>
                <w:szCs w:val="20"/>
                <w:color w:val="auto"/>
              </w:rPr>
            </w:pPr>
            <w:r>
              <w:rPr>
                <w:rFonts w:ascii="Arial" w:cs="Arial" w:eastAsia="Arial" w:hAnsi="Arial"/>
                <w:sz w:val="12"/>
                <w:szCs w:val="12"/>
                <w:color w:val="auto"/>
              </w:rPr>
              <w:t>(iii)</w:t>
            </w: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73</w:t>
            </w:r>
          </w:p>
        </w:tc>
        <w:tc>
          <w:tcPr>
            <w:tcW w:w="20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79</w:t>
            </w:r>
          </w:p>
        </w:tc>
        <w:tc>
          <w:tcPr>
            <w:tcW w:w="2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324,100</w:t>
            </w:r>
          </w:p>
        </w:tc>
        <w:tc>
          <w:tcPr>
            <w:tcW w:w="20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w:t>
            </w:r>
          </w:p>
        </w:tc>
        <w:tc>
          <w:tcPr>
            <w:tcW w:w="1060" w:type="dxa"/>
            <w:vAlign w:val="bottom"/>
            <w:gridSpan w:val="2"/>
            <w:shd w:val="clear" w:color="auto" w:fill="CCEEFF"/>
          </w:tcPr>
          <w:p>
            <w:pPr>
              <w:ind w:left="200"/>
              <w:spacing w:after="0"/>
              <w:rPr>
                <w:sz w:val="20"/>
                <w:szCs w:val="20"/>
                <w:color w:val="auto"/>
              </w:rPr>
            </w:pPr>
            <w:r>
              <w:rPr>
                <w:rFonts w:ascii="Arial" w:cs="Arial" w:eastAsia="Arial" w:hAnsi="Arial"/>
                <w:sz w:val="12"/>
                <w:szCs w:val="12"/>
                <w:color w:val="auto"/>
              </w:rPr>
              <w:t>-</w:t>
            </w:r>
          </w:p>
        </w:tc>
        <w:tc>
          <w:tcPr>
            <w:tcW w:w="1160" w:type="dxa"/>
            <w:vAlign w:val="bottom"/>
            <w:gridSpan w:val="2"/>
            <w:shd w:val="clear" w:color="auto" w:fill="CCEEFF"/>
          </w:tcPr>
          <w:p>
            <w:pPr>
              <w:ind w:left="120"/>
              <w:spacing w:after="0"/>
              <w:rPr>
                <w:sz w:val="20"/>
                <w:szCs w:val="20"/>
                <w:color w:val="auto"/>
              </w:rPr>
            </w:pPr>
            <w:r>
              <w:rPr>
                <w:rFonts w:ascii="Arial" w:cs="Arial" w:eastAsia="Arial" w:hAnsi="Arial"/>
                <w:sz w:val="12"/>
                <w:szCs w:val="12"/>
                <w:color w:val="auto"/>
              </w:rPr>
              <w:t>Debt to banks</w:t>
            </w:r>
          </w:p>
        </w:tc>
        <w:tc>
          <w:tcPr>
            <w:tcW w:w="0" w:type="dxa"/>
            <w:vAlign w:val="bottom"/>
          </w:tcPr>
          <w:p>
            <w:pPr>
              <w:spacing w:after="0"/>
              <w:rPr>
                <w:sz w:val="1"/>
                <w:szCs w:val="1"/>
                <w:color w:val="auto"/>
              </w:rPr>
            </w:pPr>
          </w:p>
        </w:tc>
      </w:tr>
      <w:tr>
        <w:trPr>
          <w:trHeight w:val="116"/>
        </w:trPr>
        <w:tc>
          <w:tcPr>
            <w:tcW w:w="2020" w:type="dxa"/>
            <w:vAlign w:val="bottom"/>
          </w:tcPr>
          <w:p>
            <w:pPr>
              <w:spacing w:after="0" w:line="116" w:lineRule="exact"/>
              <w:rPr>
                <w:sz w:val="20"/>
                <w:szCs w:val="20"/>
                <w:color w:val="auto"/>
              </w:rPr>
            </w:pPr>
            <w:r>
              <w:rPr>
                <w:rFonts w:ascii="Arial" w:cs="Arial" w:eastAsia="Arial" w:hAnsi="Arial"/>
                <w:sz w:val="12"/>
                <w:szCs w:val="12"/>
                <w:color w:val="auto"/>
                <w:w w:val="96"/>
              </w:rPr>
              <w:t>Cross currency swaps and interest rate</w:t>
            </w:r>
          </w:p>
        </w:tc>
        <w:tc>
          <w:tcPr>
            <w:tcW w:w="600" w:type="dxa"/>
            <w:vAlign w:val="bottom"/>
          </w:tcPr>
          <w:p>
            <w:pPr>
              <w:jc w:val="center"/>
              <w:spacing w:after="0" w:line="116" w:lineRule="exact"/>
              <w:rPr>
                <w:sz w:val="20"/>
                <w:szCs w:val="20"/>
                <w:color w:val="auto"/>
              </w:rPr>
            </w:pPr>
            <w:r>
              <w:rPr>
                <w:rFonts w:ascii="Arial" w:cs="Arial" w:eastAsia="Arial" w:hAnsi="Arial"/>
                <w:sz w:val="12"/>
                <w:szCs w:val="12"/>
                <w:color w:val="auto"/>
                <w:w w:val="96"/>
              </w:rPr>
              <w:t>5(c)</w:t>
            </w:r>
          </w:p>
        </w:tc>
        <w:tc>
          <w:tcPr>
            <w:tcW w:w="5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160" w:type="dxa"/>
            <w:vAlign w:val="bottom"/>
            <w:gridSpan w:val="2"/>
          </w:tcPr>
          <w:p>
            <w:pPr>
              <w:spacing w:after="0" w:line="116" w:lineRule="exact"/>
              <w:rPr>
                <w:sz w:val="20"/>
                <w:szCs w:val="20"/>
                <w:color w:val="auto"/>
              </w:rPr>
            </w:pPr>
            <w:r>
              <w:rPr>
                <w:rFonts w:ascii="Arial" w:cs="Arial" w:eastAsia="Arial" w:hAnsi="Arial"/>
                <w:sz w:val="12"/>
                <w:szCs w:val="12"/>
                <w:color w:val="auto"/>
              </w:rPr>
              <w:t>August 2020</w:t>
            </w:r>
          </w:p>
        </w:tc>
        <w:tc>
          <w:tcPr>
            <w:tcW w:w="5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160" w:type="dxa"/>
            <w:vAlign w:val="bottom"/>
            <w:gridSpan w:val="2"/>
          </w:tcPr>
          <w:p>
            <w:pPr>
              <w:ind w:left="120"/>
              <w:spacing w:after="0" w:line="116" w:lineRule="exact"/>
              <w:rPr>
                <w:sz w:val="20"/>
                <w:szCs w:val="20"/>
                <w:color w:val="auto"/>
              </w:rPr>
            </w:pPr>
            <w:r>
              <w:rPr>
                <w:rFonts w:ascii="Arial" w:cs="Arial" w:eastAsia="Arial" w:hAnsi="Arial"/>
                <w:sz w:val="12"/>
                <w:szCs w:val="12"/>
                <w:color w:val="auto"/>
              </w:rPr>
              <w:t>Repurchase</w:t>
            </w:r>
          </w:p>
        </w:tc>
        <w:tc>
          <w:tcPr>
            <w:tcW w:w="0" w:type="dxa"/>
            <w:vAlign w:val="bottom"/>
          </w:tcPr>
          <w:p>
            <w:pPr>
              <w:spacing w:after="0"/>
              <w:rPr>
                <w:sz w:val="1"/>
                <w:szCs w:val="1"/>
                <w:color w:val="auto"/>
              </w:rPr>
            </w:pPr>
          </w:p>
        </w:tc>
      </w:tr>
      <w:tr>
        <w:trPr>
          <w:trHeight w:val="144"/>
        </w:trPr>
        <w:tc>
          <w:tcPr>
            <w:tcW w:w="2020" w:type="dxa"/>
            <w:vAlign w:val="bottom"/>
          </w:tcPr>
          <w:p>
            <w:pPr>
              <w:spacing w:after="0"/>
              <w:rPr>
                <w:sz w:val="20"/>
                <w:szCs w:val="20"/>
                <w:color w:val="auto"/>
              </w:rPr>
            </w:pPr>
            <w:r>
              <w:rPr>
                <w:rFonts w:ascii="Arial" w:cs="Arial" w:eastAsia="Arial" w:hAnsi="Arial"/>
                <w:sz w:val="12"/>
                <w:szCs w:val="12"/>
                <w:color w:val="auto"/>
              </w:rPr>
              <w:t>swaps (CCS and IRS)</w:t>
            </w:r>
          </w:p>
        </w:tc>
        <w:tc>
          <w:tcPr>
            <w:tcW w:w="600" w:type="dxa"/>
            <w:vAlign w:val="bottom"/>
          </w:tcPr>
          <w:p>
            <w:pPr>
              <w:jc w:val="center"/>
              <w:spacing w:after="0"/>
              <w:rPr>
                <w:sz w:val="20"/>
                <w:szCs w:val="20"/>
                <w:color w:val="auto"/>
              </w:rPr>
            </w:pPr>
            <w:r>
              <w:rPr>
                <w:rFonts w:ascii="Arial" w:cs="Arial" w:eastAsia="Arial" w:hAnsi="Arial"/>
                <w:sz w:val="12"/>
                <w:szCs w:val="12"/>
                <w:color w:val="auto"/>
              </w:rPr>
              <w:t>(ii)</w:t>
            </w:r>
          </w:p>
        </w:tc>
        <w:tc>
          <w:tcPr>
            <w:tcW w:w="700" w:type="dxa"/>
            <w:vAlign w:val="bottom"/>
            <w:gridSpan w:val="2"/>
          </w:tcPr>
          <w:p>
            <w:pPr>
              <w:jc w:val="right"/>
              <w:ind w:right="200"/>
              <w:spacing w:after="0"/>
              <w:rPr>
                <w:sz w:val="20"/>
                <w:szCs w:val="20"/>
                <w:color w:val="auto"/>
              </w:rPr>
            </w:pPr>
            <w:r>
              <w:rPr>
                <w:rFonts w:ascii="Arial" w:cs="Arial" w:eastAsia="Arial" w:hAnsi="Arial"/>
                <w:sz w:val="12"/>
                <w:szCs w:val="12"/>
                <w:color w:val="auto"/>
              </w:rPr>
              <w:t>32,719</w:t>
            </w:r>
          </w:p>
        </w:tc>
        <w:tc>
          <w:tcPr>
            <w:tcW w:w="76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840" w:type="dxa"/>
            <w:vAlign w:val="bottom"/>
            <w:gridSpan w:val="2"/>
          </w:tcPr>
          <w:p>
            <w:pPr>
              <w:jc w:val="right"/>
              <w:ind w:right="200"/>
              <w:spacing w:after="0"/>
              <w:rPr>
                <w:sz w:val="20"/>
                <w:szCs w:val="20"/>
                <w:color w:val="auto"/>
              </w:rPr>
            </w:pPr>
            <w:r>
              <w:rPr>
                <w:rFonts w:ascii="Arial" w:cs="Arial" w:eastAsia="Arial" w:hAnsi="Arial"/>
                <w:sz w:val="12"/>
                <w:szCs w:val="12"/>
                <w:color w:val="auto"/>
              </w:rPr>
              <w:t>259,280</w:t>
            </w:r>
          </w:p>
        </w:tc>
        <w:tc>
          <w:tcPr>
            <w:tcW w:w="2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2"/>
                <w:szCs w:val="12"/>
                <w:color w:val="auto"/>
              </w:rPr>
              <w:t>54,103</w:t>
            </w:r>
          </w:p>
        </w:tc>
        <w:tc>
          <w:tcPr>
            <w:tcW w:w="74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640" w:type="dxa"/>
            <w:vAlign w:val="bottom"/>
          </w:tcPr>
          <w:p>
            <w:pPr>
              <w:jc w:val="right"/>
              <w:spacing w:after="0"/>
              <w:rPr>
                <w:sz w:val="20"/>
                <w:szCs w:val="20"/>
                <w:color w:val="auto"/>
              </w:rPr>
            </w:pPr>
            <w:r>
              <w:rPr>
                <w:rFonts w:ascii="Arial" w:cs="Arial" w:eastAsia="Arial" w:hAnsi="Arial"/>
                <w:sz w:val="12"/>
                <w:szCs w:val="12"/>
                <w:color w:val="auto"/>
              </w:rPr>
              <w:t>268,480</w:t>
            </w:r>
          </w:p>
        </w:tc>
        <w:tc>
          <w:tcPr>
            <w:tcW w:w="20" w:type="dxa"/>
            <w:vAlign w:val="bottom"/>
          </w:tcPr>
          <w:p>
            <w:pPr>
              <w:spacing w:after="0"/>
              <w:rPr>
                <w:sz w:val="12"/>
                <w:szCs w:val="12"/>
                <w:color w:val="auto"/>
              </w:rPr>
            </w:pPr>
          </w:p>
        </w:tc>
        <w:tc>
          <w:tcPr>
            <w:tcW w:w="1060" w:type="dxa"/>
            <w:vAlign w:val="bottom"/>
            <w:gridSpan w:val="2"/>
          </w:tcPr>
          <w:p>
            <w:pPr>
              <w:ind w:left="200"/>
              <w:spacing w:after="0"/>
              <w:rPr>
                <w:sz w:val="20"/>
                <w:szCs w:val="20"/>
                <w:color w:val="auto"/>
              </w:rPr>
            </w:pPr>
            <w:r>
              <w:rPr>
                <w:rFonts w:ascii="Arial" w:cs="Arial" w:eastAsia="Arial" w:hAnsi="Arial"/>
                <w:sz w:val="12"/>
                <w:szCs w:val="12"/>
                <w:color w:val="auto"/>
              </w:rPr>
              <w:t>August 2020</w:t>
            </w:r>
          </w:p>
        </w:tc>
        <w:tc>
          <w:tcPr>
            <w:tcW w:w="1160" w:type="dxa"/>
            <w:vAlign w:val="bottom"/>
            <w:gridSpan w:val="2"/>
          </w:tcPr>
          <w:p>
            <w:pPr>
              <w:ind w:left="120"/>
              <w:spacing w:after="0"/>
              <w:rPr>
                <w:sz w:val="20"/>
                <w:szCs w:val="20"/>
                <w:color w:val="auto"/>
              </w:rPr>
            </w:pPr>
            <w:r>
              <w:rPr>
                <w:rFonts w:ascii="Arial" w:cs="Arial" w:eastAsia="Arial" w:hAnsi="Arial"/>
                <w:sz w:val="12"/>
                <w:szCs w:val="12"/>
                <w:color w:val="auto"/>
              </w:rPr>
              <w:t>agreements</w:t>
            </w:r>
          </w:p>
        </w:tc>
        <w:tc>
          <w:tcPr>
            <w:tcW w:w="0" w:type="dxa"/>
            <w:vAlign w:val="bottom"/>
          </w:tcPr>
          <w:p>
            <w:pPr>
              <w:spacing w:after="0"/>
              <w:rPr>
                <w:sz w:val="1"/>
                <w:szCs w:val="1"/>
                <w:color w:val="auto"/>
              </w:rPr>
            </w:pPr>
          </w:p>
        </w:tc>
      </w:tr>
      <w:tr>
        <w:trPr>
          <w:trHeight w:val="130"/>
        </w:trPr>
        <w:tc>
          <w:tcPr>
            <w:tcW w:w="20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0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20" w:type="dxa"/>
            <w:vAlign w:val="bottom"/>
          </w:tcPr>
          <w:p>
            <w:pPr>
              <w:spacing w:after="0" w:line="130" w:lineRule="exact"/>
              <w:rPr>
                <w:sz w:val="20"/>
                <w:szCs w:val="20"/>
                <w:color w:val="auto"/>
              </w:rPr>
            </w:pPr>
            <w:r>
              <w:rPr>
                <w:rFonts w:ascii="Arial" w:cs="Arial" w:eastAsia="Arial" w:hAnsi="Arial"/>
                <w:sz w:val="12"/>
                <w:szCs w:val="12"/>
                <w:b w:val="1"/>
                <w:bCs w:val="1"/>
                <w:color w:val="auto"/>
              </w:rPr>
              <w:t>Fair value hedges -</w:t>
            </w:r>
          </w:p>
        </w:tc>
        <w:tc>
          <w:tcPr>
            <w:tcW w:w="6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6"/>
        </w:trPr>
        <w:tc>
          <w:tcPr>
            <w:tcW w:w="2020" w:type="dxa"/>
            <w:vAlign w:val="bottom"/>
            <w:shd w:val="clear" w:color="auto" w:fill="CCEEFF"/>
          </w:tcPr>
          <w:p>
            <w:pPr>
              <w:spacing w:after="0" w:line="116" w:lineRule="exact"/>
              <w:rPr>
                <w:sz w:val="20"/>
                <w:szCs w:val="20"/>
                <w:color w:val="auto"/>
              </w:rPr>
            </w:pPr>
            <w:r>
              <w:rPr>
                <w:rFonts w:ascii="Arial" w:cs="Arial" w:eastAsia="Arial" w:hAnsi="Arial"/>
                <w:sz w:val="12"/>
                <w:szCs w:val="12"/>
                <w:color w:val="auto"/>
              </w:rPr>
              <w:t>Interest rate swaps (IRS)</w:t>
            </w:r>
          </w:p>
        </w:tc>
        <w:tc>
          <w:tcPr>
            <w:tcW w:w="60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160" w:type="dxa"/>
            <w:vAlign w:val="bottom"/>
            <w:gridSpan w:val="2"/>
            <w:shd w:val="clear" w:color="auto" w:fill="CCEEFF"/>
          </w:tcPr>
          <w:p>
            <w:pPr>
              <w:spacing w:after="0" w:line="116" w:lineRule="exact"/>
              <w:rPr>
                <w:sz w:val="20"/>
                <w:szCs w:val="20"/>
                <w:color w:val="auto"/>
              </w:rPr>
            </w:pPr>
            <w:r>
              <w:rPr>
                <w:rFonts w:ascii="Arial" w:cs="Arial" w:eastAsia="Arial" w:hAnsi="Arial"/>
                <w:sz w:val="12"/>
                <w:szCs w:val="12"/>
                <w:color w:val="auto"/>
                <w:w w:val="97"/>
              </w:rPr>
              <w:t>Between September 2020 and April 2023</w:t>
            </w:r>
          </w:p>
        </w:tc>
        <w:tc>
          <w:tcPr>
            <w:tcW w:w="5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60" w:type="dxa"/>
            <w:vAlign w:val="bottom"/>
            <w:gridSpan w:val="2"/>
            <w:shd w:val="clear" w:color="auto" w:fill="CCEEFF"/>
          </w:tcPr>
          <w:p>
            <w:pPr>
              <w:ind w:left="200"/>
              <w:spacing w:after="0" w:line="116" w:lineRule="exact"/>
              <w:rPr>
                <w:sz w:val="20"/>
                <w:szCs w:val="20"/>
                <w:color w:val="auto"/>
              </w:rPr>
            </w:pPr>
            <w:r>
              <w:rPr>
                <w:rFonts w:ascii="Arial" w:cs="Arial" w:eastAsia="Arial" w:hAnsi="Arial"/>
                <w:sz w:val="12"/>
                <w:szCs w:val="12"/>
                <w:color w:val="auto"/>
              </w:rPr>
              <w:t>Between</w:t>
            </w:r>
          </w:p>
        </w:tc>
        <w:tc>
          <w:tcPr>
            <w:tcW w:w="12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20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0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60" w:type="dxa"/>
            <w:vAlign w:val="bottom"/>
            <w:gridSpan w:val="2"/>
            <w:shd w:val="clear" w:color="auto" w:fill="CCEEFF"/>
          </w:tcPr>
          <w:p>
            <w:pPr>
              <w:ind w:left="200"/>
              <w:spacing w:after="0" w:line="130" w:lineRule="exact"/>
              <w:rPr>
                <w:sz w:val="20"/>
                <w:szCs w:val="20"/>
                <w:color w:val="auto"/>
              </w:rPr>
            </w:pPr>
            <w:r>
              <w:rPr>
                <w:rFonts w:ascii="Arial" w:cs="Arial" w:eastAsia="Arial" w:hAnsi="Arial"/>
                <w:sz w:val="12"/>
                <w:szCs w:val="12"/>
                <w:color w:val="auto"/>
                <w:w w:val="94"/>
              </w:rPr>
              <w:t>September 2020</w:t>
            </w:r>
          </w:p>
        </w:tc>
        <w:tc>
          <w:tcPr>
            <w:tcW w:w="12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20" w:type="dxa"/>
            <w:vAlign w:val="bottom"/>
            <w:shd w:val="clear" w:color="auto" w:fill="CCEEFF"/>
          </w:tcPr>
          <w:p>
            <w:pPr>
              <w:spacing w:after="0"/>
              <w:rPr>
                <w:sz w:val="12"/>
                <w:szCs w:val="12"/>
                <w:color w:val="auto"/>
              </w:rPr>
            </w:pPr>
          </w:p>
        </w:tc>
        <w:tc>
          <w:tcPr>
            <w:tcW w:w="60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2"/>
              </w:rPr>
              <w:t>16(a)</w:t>
            </w: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110,808</w:t>
            </w:r>
          </w:p>
        </w:tc>
        <w:tc>
          <w:tcPr>
            <w:tcW w:w="2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7,915,886</w:t>
            </w:r>
          </w:p>
        </w:tc>
        <w:tc>
          <w:tcPr>
            <w:tcW w:w="20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212,162</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8,196,765</w:t>
            </w:r>
          </w:p>
        </w:tc>
        <w:tc>
          <w:tcPr>
            <w:tcW w:w="2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ind w:left="200"/>
              <w:spacing w:after="0"/>
              <w:rPr>
                <w:sz w:val="20"/>
                <w:szCs w:val="20"/>
                <w:color w:val="auto"/>
              </w:rPr>
            </w:pPr>
            <w:r>
              <w:rPr>
                <w:rFonts w:ascii="Arial" w:cs="Arial" w:eastAsia="Arial" w:hAnsi="Arial"/>
                <w:sz w:val="12"/>
                <w:szCs w:val="12"/>
                <w:color w:val="auto"/>
              </w:rPr>
              <w:t>and April 2023</w:t>
            </w:r>
          </w:p>
        </w:tc>
        <w:tc>
          <w:tcPr>
            <w:tcW w:w="1160" w:type="dxa"/>
            <w:vAlign w:val="bottom"/>
            <w:gridSpan w:val="2"/>
            <w:shd w:val="clear" w:color="auto" w:fill="CCEEFF"/>
          </w:tcPr>
          <w:p>
            <w:pPr>
              <w:ind w:left="120"/>
              <w:spacing w:after="0"/>
              <w:rPr>
                <w:sz w:val="20"/>
                <w:szCs w:val="20"/>
                <w:color w:val="auto"/>
              </w:rPr>
            </w:pPr>
            <w:r>
              <w:rPr>
                <w:rFonts w:ascii="Arial" w:cs="Arial" w:eastAsia="Arial" w:hAnsi="Arial"/>
                <w:sz w:val="12"/>
                <w:szCs w:val="12"/>
                <w:color w:val="auto"/>
              </w:rPr>
              <w:t>Bonds issued</w:t>
            </w:r>
          </w:p>
        </w:tc>
        <w:tc>
          <w:tcPr>
            <w:tcW w:w="0" w:type="dxa"/>
            <w:vAlign w:val="bottom"/>
          </w:tcPr>
          <w:p>
            <w:pPr>
              <w:spacing w:after="0"/>
              <w:rPr>
                <w:sz w:val="1"/>
                <w:szCs w:val="1"/>
                <w:color w:val="auto"/>
              </w:rPr>
            </w:pPr>
          </w:p>
        </w:tc>
      </w:tr>
      <w:tr>
        <w:trPr>
          <w:trHeight w:val="116"/>
        </w:trPr>
        <w:tc>
          <w:tcPr>
            <w:tcW w:w="2020" w:type="dxa"/>
            <w:vAlign w:val="bottom"/>
          </w:tcPr>
          <w:p>
            <w:pPr>
              <w:spacing w:after="0" w:line="116" w:lineRule="exact"/>
              <w:rPr>
                <w:sz w:val="20"/>
                <w:szCs w:val="20"/>
                <w:color w:val="auto"/>
              </w:rPr>
            </w:pPr>
            <w:r>
              <w:rPr>
                <w:rFonts w:ascii="Arial" w:cs="Arial" w:eastAsia="Arial" w:hAnsi="Arial"/>
                <w:sz w:val="12"/>
                <w:szCs w:val="12"/>
                <w:color w:val="auto"/>
              </w:rPr>
              <w:t>Interest rate swaps (IRS)</w:t>
            </w:r>
          </w:p>
        </w:tc>
        <w:tc>
          <w:tcPr>
            <w:tcW w:w="6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160" w:type="dxa"/>
            <w:vAlign w:val="bottom"/>
            <w:gridSpan w:val="2"/>
          </w:tcPr>
          <w:p>
            <w:pPr>
              <w:spacing w:after="0" w:line="116" w:lineRule="exact"/>
              <w:rPr>
                <w:sz w:val="20"/>
                <w:szCs w:val="20"/>
                <w:color w:val="auto"/>
              </w:rPr>
            </w:pPr>
            <w:r>
              <w:rPr>
                <w:rFonts w:ascii="Arial" w:cs="Arial" w:eastAsia="Arial" w:hAnsi="Arial"/>
                <w:sz w:val="12"/>
                <w:szCs w:val="12"/>
                <w:color w:val="auto"/>
              </w:rPr>
              <w:t>Between April 2018 and October 2023</w:t>
            </w:r>
          </w:p>
        </w:tc>
        <w:tc>
          <w:tcPr>
            <w:tcW w:w="5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60" w:type="dxa"/>
            <w:vAlign w:val="bottom"/>
            <w:gridSpan w:val="2"/>
          </w:tcPr>
          <w:p>
            <w:pPr>
              <w:ind w:left="200"/>
              <w:spacing w:after="0" w:line="116" w:lineRule="exact"/>
              <w:rPr>
                <w:sz w:val="20"/>
                <w:szCs w:val="20"/>
                <w:color w:val="auto"/>
              </w:rPr>
            </w:pPr>
            <w:r>
              <w:rPr>
                <w:rFonts w:ascii="Arial" w:cs="Arial" w:eastAsia="Arial" w:hAnsi="Arial"/>
                <w:sz w:val="12"/>
                <w:szCs w:val="12"/>
                <w:color w:val="auto"/>
                <w:w w:val="90"/>
              </w:rPr>
              <w:t>Between January</w:t>
            </w: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2020" w:type="dxa"/>
            <w:vAlign w:val="bottom"/>
          </w:tcPr>
          <w:p>
            <w:pPr>
              <w:spacing w:after="0"/>
              <w:rPr>
                <w:sz w:val="11"/>
                <w:szCs w:val="11"/>
                <w:color w:val="auto"/>
              </w:rPr>
            </w:pPr>
          </w:p>
        </w:tc>
        <w:tc>
          <w:tcPr>
            <w:tcW w:w="600" w:type="dxa"/>
            <w:vAlign w:val="bottom"/>
          </w:tcPr>
          <w:p>
            <w:pPr>
              <w:jc w:val="center"/>
              <w:spacing w:after="0" w:line="130" w:lineRule="exact"/>
              <w:rPr>
                <w:sz w:val="20"/>
                <w:szCs w:val="20"/>
                <w:color w:val="auto"/>
              </w:rPr>
            </w:pPr>
            <w:r>
              <w:rPr>
                <w:rFonts w:ascii="Arial" w:cs="Arial" w:eastAsia="Arial" w:hAnsi="Arial"/>
                <w:sz w:val="12"/>
                <w:szCs w:val="12"/>
                <w:color w:val="auto"/>
                <w:w w:val="93"/>
              </w:rPr>
              <w:t>6(a)</w:t>
            </w: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60" w:type="dxa"/>
            <w:vAlign w:val="bottom"/>
            <w:gridSpan w:val="2"/>
          </w:tcPr>
          <w:p>
            <w:pPr>
              <w:ind w:left="200"/>
              <w:spacing w:after="0" w:line="130" w:lineRule="exact"/>
              <w:rPr>
                <w:sz w:val="20"/>
                <w:szCs w:val="20"/>
                <w:color w:val="auto"/>
              </w:rPr>
            </w:pPr>
            <w:r>
              <w:rPr>
                <w:rFonts w:ascii="Arial" w:cs="Arial" w:eastAsia="Arial" w:hAnsi="Arial"/>
                <w:sz w:val="12"/>
                <w:szCs w:val="12"/>
                <w:color w:val="auto"/>
                <w:w w:val="87"/>
              </w:rPr>
              <w:t>2017 and October</w:t>
            </w:r>
          </w:p>
        </w:tc>
        <w:tc>
          <w:tcPr>
            <w:tcW w:w="1160" w:type="dxa"/>
            <w:vAlign w:val="bottom"/>
            <w:gridSpan w:val="2"/>
          </w:tcPr>
          <w:p>
            <w:pPr>
              <w:ind w:left="120"/>
              <w:spacing w:after="0" w:line="130" w:lineRule="exact"/>
              <w:rPr>
                <w:sz w:val="20"/>
                <w:szCs w:val="20"/>
                <w:color w:val="auto"/>
              </w:rPr>
            </w:pPr>
            <w:r>
              <w:rPr>
                <w:rFonts w:ascii="Arial" w:cs="Arial" w:eastAsia="Arial" w:hAnsi="Arial"/>
                <w:sz w:val="12"/>
                <w:szCs w:val="12"/>
                <w:color w:val="auto"/>
              </w:rPr>
              <w:t>Available-for-sale</w:t>
            </w:r>
          </w:p>
        </w:tc>
        <w:tc>
          <w:tcPr>
            <w:tcW w:w="0" w:type="dxa"/>
            <w:vAlign w:val="bottom"/>
          </w:tcPr>
          <w:p>
            <w:pPr>
              <w:spacing w:after="0"/>
              <w:rPr>
                <w:sz w:val="1"/>
                <w:szCs w:val="1"/>
                <w:color w:val="auto"/>
              </w:rPr>
            </w:pPr>
          </w:p>
        </w:tc>
      </w:tr>
      <w:tr>
        <w:trPr>
          <w:trHeight w:val="157"/>
        </w:trPr>
        <w:tc>
          <w:tcPr>
            <w:tcW w:w="2020" w:type="dxa"/>
            <w:vAlign w:val="bottom"/>
          </w:tcPr>
          <w:p>
            <w:pPr>
              <w:spacing w:after="0"/>
              <w:rPr>
                <w:sz w:val="13"/>
                <w:szCs w:val="13"/>
                <w:color w:val="auto"/>
              </w:rPr>
            </w:pPr>
          </w:p>
        </w:tc>
        <w:tc>
          <w:tcPr>
            <w:tcW w:w="600" w:type="dxa"/>
            <w:vAlign w:val="bottom"/>
          </w:tcPr>
          <w:p>
            <w:pPr>
              <w:jc w:val="center"/>
              <w:spacing w:after="0"/>
              <w:rPr>
                <w:sz w:val="20"/>
                <w:szCs w:val="20"/>
                <w:color w:val="auto"/>
              </w:rPr>
            </w:pPr>
            <w:r>
              <w:rPr>
                <w:rFonts w:ascii="Arial" w:cs="Arial" w:eastAsia="Arial" w:hAnsi="Arial"/>
                <w:sz w:val="12"/>
                <w:szCs w:val="12"/>
                <w:color w:val="auto"/>
              </w:rPr>
              <w:t>(iv)</w:t>
            </w:r>
          </w:p>
        </w:tc>
        <w:tc>
          <w:tcPr>
            <w:tcW w:w="700" w:type="dxa"/>
            <w:vAlign w:val="bottom"/>
            <w:gridSpan w:val="2"/>
          </w:tcPr>
          <w:p>
            <w:pPr>
              <w:jc w:val="right"/>
              <w:ind w:right="200"/>
              <w:spacing w:after="0"/>
              <w:rPr>
                <w:sz w:val="20"/>
                <w:szCs w:val="20"/>
                <w:color w:val="auto"/>
              </w:rPr>
            </w:pPr>
            <w:r>
              <w:rPr>
                <w:rFonts w:ascii="Arial" w:cs="Arial" w:eastAsia="Arial" w:hAnsi="Arial"/>
                <w:sz w:val="12"/>
                <w:szCs w:val="12"/>
                <w:color w:val="auto"/>
              </w:rPr>
              <w:t>6,137</w:t>
            </w:r>
          </w:p>
        </w:tc>
        <w:tc>
          <w:tcPr>
            <w:tcW w:w="760" w:type="dxa"/>
            <w:vAlign w:val="bottom"/>
            <w:gridSpan w:val="2"/>
          </w:tcPr>
          <w:p>
            <w:pPr>
              <w:jc w:val="right"/>
              <w:ind w:right="220"/>
              <w:spacing w:after="0"/>
              <w:rPr>
                <w:sz w:val="20"/>
                <w:szCs w:val="20"/>
                <w:color w:val="auto"/>
              </w:rPr>
            </w:pPr>
            <w:r>
              <w:rPr>
                <w:rFonts w:ascii="Arial" w:cs="Arial" w:eastAsia="Arial" w:hAnsi="Arial"/>
                <w:sz w:val="12"/>
                <w:szCs w:val="12"/>
                <w:color w:val="auto"/>
              </w:rPr>
              <w:t>547</w:t>
            </w:r>
          </w:p>
        </w:tc>
        <w:tc>
          <w:tcPr>
            <w:tcW w:w="840" w:type="dxa"/>
            <w:vAlign w:val="bottom"/>
            <w:gridSpan w:val="2"/>
          </w:tcPr>
          <w:p>
            <w:pPr>
              <w:jc w:val="right"/>
              <w:ind w:right="200"/>
              <w:spacing w:after="0"/>
              <w:rPr>
                <w:sz w:val="20"/>
                <w:szCs w:val="20"/>
                <w:color w:val="auto"/>
              </w:rPr>
            </w:pPr>
            <w:r>
              <w:rPr>
                <w:rFonts w:ascii="Arial" w:cs="Arial" w:eastAsia="Arial" w:hAnsi="Arial"/>
                <w:sz w:val="12"/>
                <w:szCs w:val="12"/>
                <w:color w:val="auto"/>
              </w:rPr>
              <w:t>659,524</w:t>
            </w:r>
          </w:p>
        </w:tc>
        <w:tc>
          <w:tcPr>
            <w:tcW w:w="2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2"/>
                <w:szCs w:val="12"/>
                <w:color w:val="auto"/>
              </w:rPr>
              <w:t>4,049</w:t>
            </w:r>
          </w:p>
        </w:tc>
        <w:tc>
          <w:tcPr>
            <w:tcW w:w="740" w:type="dxa"/>
            <w:vAlign w:val="bottom"/>
            <w:gridSpan w:val="2"/>
          </w:tcPr>
          <w:p>
            <w:pPr>
              <w:jc w:val="right"/>
              <w:ind w:right="200"/>
              <w:spacing w:after="0"/>
              <w:rPr>
                <w:sz w:val="20"/>
                <w:szCs w:val="20"/>
                <w:color w:val="auto"/>
              </w:rPr>
            </w:pPr>
            <w:r>
              <w:rPr>
                <w:rFonts w:ascii="Arial" w:cs="Arial" w:eastAsia="Arial" w:hAnsi="Arial"/>
                <w:sz w:val="12"/>
                <w:szCs w:val="12"/>
                <w:color w:val="auto"/>
              </w:rPr>
              <w:t>1,397</w:t>
            </w:r>
          </w:p>
        </w:tc>
        <w:tc>
          <w:tcPr>
            <w:tcW w:w="640" w:type="dxa"/>
            <w:vAlign w:val="bottom"/>
          </w:tcPr>
          <w:p>
            <w:pPr>
              <w:jc w:val="right"/>
              <w:spacing w:after="0"/>
              <w:rPr>
                <w:sz w:val="20"/>
                <w:szCs w:val="20"/>
                <w:color w:val="auto"/>
              </w:rPr>
            </w:pPr>
            <w:r>
              <w:rPr>
                <w:rFonts w:ascii="Arial" w:cs="Arial" w:eastAsia="Arial" w:hAnsi="Arial"/>
                <w:sz w:val="12"/>
                <w:szCs w:val="12"/>
                <w:color w:val="auto"/>
              </w:rPr>
              <w:t>760,315</w:t>
            </w:r>
          </w:p>
        </w:tc>
        <w:tc>
          <w:tcPr>
            <w:tcW w:w="20" w:type="dxa"/>
            <w:vAlign w:val="bottom"/>
          </w:tcPr>
          <w:p>
            <w:pPr>
              <w:spacing w:after="0"/>
              <w:rPr>
                <w:sz w:val="13"/>
                <w:szCs w:val="13"/>
                <w:color w:val="auto"/>
              </w:rPr>
            </w:pPr>
          </w:p>
        </w:tc>
        <w:tc>
          <w:tcPr>
            <w:tcW w:w="1060" w:type="dxa"/>
            <w:vAlign w:val="bottom"/>
            <w:gridSpan w:val="2"/>
          </w:tcPr>
          <w:p>
            <w:pPr>
              <w:ind w:left="200"/>
              <w:spacing w:after="0"/>
              <w:rPr>
                <w:sz w:val="20"/>
                <w:szCs w:val="20"/>
                <w:color w:val="auto"/>
              </w:rPr>
            </w:pPr>
            <w:r>
              <w:rPr>
                <w:rFonts w:ascii="Arial" w:cs="Arial" w:eastAsia="Arial" w:hAnsi="Arial"/>
                <w:sz w:val="12"/>
                <w:szCs w:val="12"/>
                <w:color w:val="auto"/>
              </w:rPr>
              <w:t>2023</w:t>
            </w:r>
          </w:p>
        </w:tc>
        <w:tc>
          <w:tcPr>
            <w:tcW w:w="1160" w:type="dxa"/>
            <w:vAlign w:val="bottom"/>
            <w:gridSpan w:val="2"/>
          </w:tcPr>
          <w:p>
            <w:pPr>
              <w:ind w:left="120"/>
              <w:spacing w:after="0"/>
              <w:rPr>
                <w:sz w:val="20"/>
                <w:szCs w:val="20"/>
                <w:color w:val="auto"/>
              </w:rPr>
            </w:pPr>
            <w:r>
              <w:rPr>
                <w:rFonts w:ascii="Arial" w:cs="Arial" w:eastAsia="Arial" w:hAnsi="Arial"/>
                <w:sz w:val="12"/>
                <w:szCs w:val="12"/>
                <w:color w:val="auto"/>
              </w:rPr>
              <w:t>investments</w:t>
            </w:r>
          </w:p>
        </w:tc>
        <w:tc>
          <w:tcPr>
            <w:tcW w:w="0" w:type="dxa"/>
            <w:vAlign w:val="bottom"/>
          </w:tcPr>
          <w:p>
            <w:pPr>
              <w:spacing w:after="0"/>
              <w:rPr>
                <w:sz w:val="1"/>
                <w:szCs w:val="1"/>
                <w:color w:val="auto"/>
              </w:rPr>
            </w:pPr>
          </w:p>
        </w:tc>
      </w:tr>
      <w:tr>
        <w:trPr>
          <w:trHeight w:val="123"/>
        </w:trPr>
        <w:tc>
          <w:tcPr>
            <w:tcW w:w="2020" w:type="dxa"/>
            <w:vAlign w:val="bottom"/>
            <w:tcBorders>
              <w:top w:val="single" w:sz="8" w:color="CCEEFF"/>
            </w:tcBorders>
            <w:shd w:val="clear" w:color="auto" w:fill="CCEEFF"/>
          </w:tcPr>
          <w:p>
            <w:pPr>
              <w:spacing w:after="0"/>
              <w:rPr>
                <w:sz w:val="10"/>
                <w:szCs w:val="10"/>
                <w:color w:val="auto"/>
              </w:rPr>
            </w:pPr>
          </w:p>
        </w:tc>
        <w:tc>
          <w:tcPr>
            <w:tcW w:w="600" w:type="dxa"/>
            <w:vAlign w:val="bottom"/>
            <w:tcBorders>
              <w:top w:val="single" w:sz="8" w:color="CCEEFF"/>
            </w:tcBorders>
            <w:shd w:val="clear" w:color="auto" w:fill="CCEEFF"/>
          </w:tcPr>
          <w:p>
            <w:pPr>
              <w:spacing w:after="0"/>
              <w:rPr>
                <w:sz w:val="10"/>
                <w:szCs w:val="10"/>
                <w:color w:val="auto"/>
              </w:rPr>
            </w:pPr>
          </w:p>
        </w:tc>
        <w:tc>
          <w:tcPr>
            <w:tcW w:w="500" w:type="dxa"/>
            <w:vAlign w:val="bottom"/>
            <w:tcBorders>
              <w:top w:val="single" w:sz="8" w:color="auto"/>
              <w:bottom w:val="single" w:sz="8" w:color="auto"/>
            </w:tcBorders>
            <w:shd w:val="clear" w:color="auto" w:fill="CCEEFF"/>
          </w:tcPr>
          <w:p>
            <w:pPr>
              <w:jc w:val="right"/>
              <w:spacing w:after="0" w:line="123" w:lineRule="exact"/>
              <w:rPr>
                <w:sz w:val="20"/>
                <w:szCs w:val="20"/>
                <w:color w:val="auto"/>
              </w:rPr>
            </w:pPr>
            <w:r>
              <w:rPr>
                <w:rFonts w:ascii="Arial" w:cs="Arial" w:eastAsia="Arial" w:hAnsi="Arial"/>
                <w:sz w:val="12"/>
                <w:szCs w:val="12"/>
                <w:color w:val="auto"/>
              </w:rPr>
              <w:t>202,640</w:t>
            </w:r>
          </w:p>
        </w:tc>
        <w:tc>
          <w:tcPr>
            <w:tcW w:w="200" w:type="dxa"/>
            <w:vAlign w:val="bottom"/>
            <w:tcBorders>
              <w:top w:val="single" w:sz="8" w:color="CCEEFF"/>
            </w:tcBorders>
            <w:shd w:val="clear" w:color="auto" w:fill="CCEEFF"/>
          </w:tcPr>
          <w:p>
            <w:pPr>
              <w:spacing w:after="0"/>
              <w:rPr>
                <w:sz w:val="10"/>
                <w:szCs w:val="10"/>
                <w:color w:val="auto"/>
              </w:rPr>
            </w:pPr>
          </w:p>
        </w:tc>
        <w:tc>
          <w:tcPr>
            <w:tcW w:w="540" w:type="dxa"/>
            <w:vAlign w:val="bottom"/>
            <w:tcBorders>
              <w:top w:val="single" w:sz="8" w:color="auto"/>
              <w:bottom w:val="single" w:sz="8" w:color="auto"/>
            </w:tcBorders>
            <w:shd w:val="clear" w:color="auto" w:fill="CCEEFF"/>
          </w:tcPr>
          <w:p>
            <w:pPr>
              <w:jc w:val="right"/>
              <w:spacing w:after="0" w:line="123" w:lineRule="exact"/>
              <w:rPr>
                <w:sz w:val="20"/>
                <w:szCs w:val="20"/>
                <w:color w:val="auto"/>
              </w:rPr>
            </w:pPr>
            <w:r>
              <w:rPr>
                <w:rFonts w:ascii="Arial" w:cs="Arial" w:eastAsia="Arial" w:hAnsi="Arial"/>
                <w:sz w:val="12"/>
                <w:szCs w:val="12"/>
                <w:color w:val="auto"/>
              </w:rPr>
              <w:t>134,896</w:t>
            </w:r>
          </w:p>
        </w:tc>
        <w:tc>
          <w:tcPr>
            <w:tcW w:w="220" w:type="dxa"/>
            <w:vAlign w:val="bottom"/>
            <w:tcBorders>
              <w:top w:val="single" w:sz="8" w:color="CCEEFF"/>
            </w:tcBorders>
            <w:shd w:val="clear" w:color="auto" w:fill="CCEEFF"/>
          </w:tcPr>
          <w:p>
            <w:pPr>
              <w:spacing w:after="0"/>
              <w:rPr>
                <w:sz w:val="10"/>
                <w:szCs w:val="10"/>
                <w:color w:val="auto"/>
              </w:rPr>
            </w:pPr>
          </w:p>
        </w:tc>
        <w:tc>
          <w:tcPr>
            <w:tcW w:w="640" w:type="dxa"/>
            <w:vAlign w:val="bottom"/>
            <w:tcBorders>
              <w:top w:val="single" w:sz="8" w:color="auto"/>
              <w:bottom w:val="single" w:sz="8" w:color="auto"/>
            </w:tcBorders>
            <w:shd w:val="clear" w:color="auto" w:fill="CCEEFF"/>
          </w:tcPr>
          <w:p>
            <w:pPr>
              <w:jc w:val="right"/>
              <w:spacing w:after="0" w:line="123" w:lineRule="exact"/>
              <w:rPr>
                <w:sz w:val="20"/>
                <w:szCs w:val="20"/>
                <w:color w:val="auto"/>
              </w:rPr>
            </w:pPr>
            <w:r>
              <w:rPr>
                <w:rFonts w:ascii="Arial" w:cs="Arial" w:eastAsia="Arial" w:hAnsi="Arial"/>
                <w:sz w:val="12"/>
                <w:szCs w:val="12"/>
                <w:color w:val="auto"/>
              </w:rPr>
              <w:t>12,975,333</w:t>
            </w:r>
          </w:p>
        </w:tc>
        <w:tc>
          <w:tcPr>
            <w:tcW w:w="200" w:type="dxa"/>
            <w:vAlign w:val="bottom"/>
            <w:tcBorders>
              <w:top w:val="single" w:sz="8" w:color="CCEEFF"/>
            </w:tcBorders>
            <w:shd w:val="clear" w:color="auto" w:fill="CCEEFF"/>
          </w:tcPr>
          <w:p>
            <w:pPr>
              <w:spacing w:after="0"/>
              <w:rPr>
                <w:sz w:val="10"/>
                <w:szCs w:val="10"/>
                <w:color w:val="auto"/>
              </w:rPr>
            </w:pPr>
          </w:p>
        </w:tc>
        <w:tc>
          <w:tcPr>
            <w:tcW w:w="206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520" w:type="dxa"/>
            <w:vAlign w:val="bottom"/>
            <w:tcBorders>
              <w:top w:val="single" w:sz="8" w:color="auto"/>
              <w:bottom w:val="single" w:sz="8" w:color="auto"/>
            </w:tcBorders>
            <w:shd w:val="clear" w:color="auto" w:fill="CCEEFF"/>
          </w:tcPr>
          <w:p>
            <w:pPr>
              <w:jc w:val="right"/>
              <w:spacing w:after="0" w:line="123" w:lineRule="exact"/>
              <w:rPr>
                <w:sz w:val="20"/>
                <w:szCs w:val="20"/>
                <w:color w:val="auto"/>
              </w:rPr>
            </w:pPr>
            <w:r>
              <w:rPr>
                <w:rFonts w:ascii="Arial" w:cs="Arial" w:eastAsia="Arial" w:hAnsi="Arial"/>
                <w:sz w:val="12"/>
                <w:szCs w:val="12"/>
                <w:color w:val="auto"/>
              </w:rPr>
              <w:t>330,590</w:t>
            </w:r>
          </w:p>
        </w:tc>
        <w:tc>
          <w:tcPr>
            <w:tcW w:w="200" w:type="dxa"/>
            <w:vAlign w:val="bottom"/>
            <w:tcBorders>
              <w:top w:val="single" w:sz="8" w:color="CCEEFF"/>
            </w:tcBorders>
            <w:shd w:val="clear" w:color="auto" w:fill="CCEEFF"/>
          </w:tcPr>
          <w:p>
            <w:pPr>
              <w:spacing w:after="0"/>
              <w:rPr>
                <w:sz w:val="10"/>
                <w:szCs w:val="10"/>
                <w:color w:val="auto"/>
              </w:rPr>
            </w:pPr>
          </w:p>
        </w:tc>
        <w:tc>
          <w:tcPr>
            <w:tcW w:w="540" w:type="dxa"/>
            <w:vAlign w:val="bottom"/>
            <w:tcBorders>
              <w:top w:val="single" w:sz="8" w:color="auto"/>
              <w:bottom w:val="single" w:sz="8" w:color="auto"/>
            </w:tcBorders>
            <w:shd w:val="clear" w:color="auto" w:fill="CCEEFF"/>
          </w:tcPr>
          <w:p>
            <w:pPr>
              <w:jc w:val="right"/>
              <w:spacing w:after="0" w:line="123" w:lineRule="exact"/>
              <w:rPr>
                <w:sz w:val="20"/>
                <w:szCs w:val="20"/>
                <w:color w:val="auto"/>
              </w:rPr>
            </w:pPr>
            <w:r>
              <w:rPr>
                <w:rFonts w:ascii="Arial" w:cs="Arial" w:eastAsia="Arial" w:hAnsi="Arial"/>
                <w:sz w:val="12"/>
                <w:szCs w:val="12"/>
                <w:color w:val="auto"/>
              </w:rPr>
              <w:t>53,974</w:t>
            </w:r>
          </w:p>
        </w:tc>
        <w:tc>
          <w:tcPr>
            <w:tcW w:w="200" w:type="dxa"/>
            <w:vAlign w:val="bottom"/>
            <w:tcBorders>
              <w:top w:val="single" w:sz="8" w:color="CCEEFF"/>
            </w:tcBorders>
            <w:shd w:val="clear" w:color="auto" w:fill="CCEEFF"/>
          </w:tcPr>
          <w:p>
            <w:pPr>
              <w:spacing w:after="0"/>
              <w:rPr>
                <w:sz w:val="10"/>
                <w:szCs w:val="10"/>
                <w:color w:val="auto"/>
              </w:rPr>
            </w:pPr>
          </w:p>
        </w:tc>
        <w:tc>
          <w:tcPr>
            <w:tcW w:w="640" w:type="dxa"/>
            <w:vAlign w:val="bottom"/>
            <w:tcBorders>
              <w:top w:val="single" w:sz="8" w:color="auto"/>
              <w:bottom w:val="single" w:sz="8" w:color="auto"/>
            </w:tcBorders>
            <w:shd w:val="clear" w:color="auto" w:fill="CCEEFF"/>
          </w:tcPr>
          <w:p>
            <w:pPr>
              <w:jc w:val="right"/>
              <w:spacing w:after="0" w:line="123" w:lineRule="exact"/>
              <w:rPr>
                <w:sz w:val="20"/>
                <w:szCs w:val="20"/>
                <w:color w:val="auto"/>
              </w:rPr>
            </w:pPr>
            <w:r>
              <w:rPr>
                <w:rFonts w:ascii="Arial" w:cs="Arial" w:eastAsia="Arial" w:hAnsi="Arial"/>
                <w:sz w:val="12"/>
                <w:szCs w:val="12"/>
                <w:color w:val="auto"/>
              </w:rPr>
              <w:t>12,778,986</w:t>
            </w:r>
          </w:p>
        </w:tc>
        <w:tc>
          <w:tcPr>
            <w:tcW w:w="20" w:type="dxa"/>
            <w:vAlign w:val="bottom"/>
            <w:tcBorders>
              <w:top w:val="single" w:sz="8" w:color="CCEEFF"/>
            </w:tcBorders>
            <w:shd w:val="clear" w:color="auto" w:fill="CCEEFF"/>
          </w:tcPr>
          <w:p>
            <w:pPr>
              <w:spacing w:after="0"/>
              <w:rPr>
                <w:sz w:val="10"/>
                <w:szCs w:val="10"/>
                <w:color w:val="auto"/>
              </w:rPr>
            </w:pPr>
          </w:p>
        </w:tc>
        <w:tc>
          <w:tcPr>
            <w:tcW w:w="200" w:type="dxa"/>
            <w:vAlign w:val="bottom"/>
            <w:tcBorders>
              <w:top w:val="single" w:sz="8" w:color="CCEEFF"/>
            </w:tcBorders>
            <w:shd w:val="clear" w:color="auto" w:fill="CCEEFF"/>
          </w:tcPr>
          <w:p>
            <w:pPr>
              <w:spacing w:after="0"/>
              <w:rPr>
                <w:sz w:val="10"/>
                <w:szCs w:val="10"/>
                <w:color w:val="auto"/>
              </w:rPr>
            </w:pPr>
          </w:p>
        </w:tc>
        <w:tc>
          <w:tcPr>
            <w:tcW w:w="86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104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6"/>
        </w:trPr>
        <w:tc>
          <w:tcPr>
            <w:tcW w:w="20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00" w:type="dxa"/>
            <w:vAlign w:val="bottom"/>
            <w:tcBorders>
              <w:bottom w:val="single" w:sz="8" w:color="auto"/>
            </w:tcBorders>
          </w:tcPr>
          <w:p>
            <w:pPr>
              <w:jc w:val="right"/>
              <w:spacing w:after="0" w:line="136" w:lineRule="exact"/>
              <w:rPr>
                <w:sz w:val="20"/>
                <w:szCs w:val="20"/>
                <w:color w:val="auto"/>
              </w:rPr>
            </w:pPr>
            <w:r>
              <w:rPr>
                <w:rFonts w:ascii="Arial" w:cs="Arial" w:eastAsia="Arial" w:hAnsi="Arial"/>
                <w:sz w:val="12"/>
                <w:szCs w:val="12"/>
                <w:color w:val="auto"/>
              </w:rPr>
              <w:t>701,826</w:t>
            </w:r>
          </w:p>
        </w:tc>
        <w:tc>
          <w:tcPr>
            <w:tcW w:w="200" w:type="dxa"/>
            <w:vAlign w:val="bottom"/>
          </w:tcPr>
          <w:p>
            <w:pPr>
              <w:spacing w:after="0"/>
              <w:rPr>
                <w:sz w:val="11"/>
                <w:szCs w:val="11"/>
                <w:color w:val="auto"/>
              </w:rPr>
            </w:pPr>
          </w:p>
        </w:tc>
        <w:tc>
          <w:tcPr>
            <w:tcW w:w="540" w:type="dxa"/>
            <w:vAlign w:val="bottom"/>
            <w:tcBorders>
              <w:bottom w:val="single" w:sz="8" w:color="auto"/>
            </w:tcBorders>
          </w:tcPr>
          <w:p>
            <w:pPr>
              <w:jc w:val="right"/>
              <w:spacing w:after="0" w:line="136" w:lineRule="exact"/>
              <w:rPr>
                <w:sz w:val="20"/>
                <w:szCs w:val="20"/>
                <w:color w:val="auto"/>
              </w:rPr>
            </w:pPr>
            <w:r>
              <w:rPr>
                <w:rFonts w:ascii="Arial" w:cs="Arial" w:eastAsia="Arial" w:hAnsi="Arial"/>
                <w:sz w:val="12"/>
                <w:szCs w:val="12"/>
                <w:color w:val="auto"/>
              </w:rPr>
              <w:t>636,762</w:t>
            </w:r>
          </w:p>
        </w:tc>
        <w:tc>
          <w:tcPr>
            <w:tcW w:w="220" w:type="dxa"/>
            <w:vAlign w:val="bottom"/>
          </w:tcPr>
          <w:p>
            <w:pPr>
              <w:spacing w:after="0"/>
              <w:rPr>
                <w:sz w:val="11"/>
                <w:szCs w:val="11"/>
                <w:color w:val="auto"/>
              </w:rPr>
            </w:pPr>
          </w:p>
        </w:tc>
        <w:tc>
          <w:tcPr>
            <w:tcW w:w="640" w:type="dxa"/>
            <w:vAlign w:val="bottom"/>
            <w:tcBorders>
              <w:bottom w:val="single" w:sz="8" w:color="auto"/>
            </w:tcBorders>
          </w:tcPr>
          <w:p>
            <w:pPr>
              <w:jc w:val="right"/>
              <w:spacing w:after="0" w:line="136" w:lineRule="exact"/>
              <w:rPr>
                <w:sz w:val="20"/>
                <w:szCs w:val="20"/>
                <w:color w:val="auto"/>
              </w:rPr>
            </w:pPr>
            <w:r>
              <w:rPr>
                <w:rFonts w:ascii="Arial" w:cs="Arial" w:eastAsia="Arial" w:hAnsi="Arial"/>
                <w:sz w:val="12"/>
                <w:szCs w:val="12"/>
                <w:color w:val="auto"/>
              </w:rPr>
              <w:t>65,818,565</w:t>
            </w:r>
          </w:p>
        </w:tc>
        <w:tc>
          <w:tcPr>
            <w:tcW w:w="200" w:type="dxa"/>
            <w:vAlign w:val="bottom"/>
          </w:tcPr>
          <w:p>
            <w:pPr>
              <w:spacing w:after="0"/>
              <w:rPr>
                <w:sz w:val="11"/>
                <w:szCs w:val="11"/>
                <w:color w:val="auto"/>
              </w:rPr>
            </w:pPr>
          </w:p>
        </w:tc>
        <w:tc>
          <w:tcPr>
            <w:tcW w:w="2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Borders>
              <w:bottom w:val="single" w:sz="8" w:color="auto"/>
            </w:tcBorders>
          </w:tcPr>
          <w:p>
            <w:pPr>
              <w:jc w:val="right"/>
              <w:spacing w:after="0" w:line="136" w:lineRule="exact"/>
              <w:rPr>
                <w:sz w:val="20"/>
                <w:szCs w:val="20"/>
                <w:color w:val="auto"/>
              </w:rPr>
            </w:pPr>
            <w:r>
              <w:rPr>
                <w:rFonts w:ascii="Arial" w:cs="Arial" w:eastAsia="Arial" w:hAnsi="Arial"/>
                <w:sz w:val="12"/>
                <w:szCs w:val="12"/>
                <w:color w:val="auto"/>
              </w:rPr>
              <w:t>942,602</w:t>
            </w:r>
          </w:p>
        </w:tc>
        <w:tc>
          <w:tcPr>
            <w:tcW w:w="200" w:type="dxa"/>
            <w:vAlign w:val="bottom"/>
          </w:tcPr>
          <w:p>
            <w:pPr>
              <w:spacing w:after="0"/>
              <w:rPr>
                <w:sz w:val="11"/>
                <w:szCs w:val="11"/>
                <w:color w:val="auto"/>
              </w:rPr>
            </w:pPr>
          </w:p>
        </w:tc>
        <w:tc>
          <w:tcPr>
            <w:tcW w:w="540" w:type="dxa"/>
            <w:vAlign w:val="bottom"/>
            <w:tcBorders>
              <w:bottom w:val="single" w:sz="8" w:color="auto"/>
            </w:tcBorders>
          </w:tcPr>
          <w:p>
            <w:pPr>
              <w:jc w:val="right"/>
              <w:spacing w:after="0" w:line="136" w:lineRule="exact"/>
              <w:rPr>
                <w:sz w:val="20"/>
                <w:szCs w:val="20"/>
                <w:color w:val="auto"/>
              </w:rPr>
            </w:pPr>
            <w:r>
              <w:rPr>
                <w:rFonts w:ascii="Arial" w:cs="Arial" w:eastAsia="Arial" w:hAnsi="Arial"/>
                <w:sz w:val="12"/>
                <w:szCs w:val="12"/>
                <w:color w:val="auto"/>
              </w:rPr>
              <w:t>673,015</w:t>
            </w:r>
          </w:p>
        </w:tc>
        <w:tc>
          <w:tcPr>
            <w:tcW w:w="200" w:type="dxa"/>
            <w:vAlign w:val="bottom"/>
          </w:tcPr>
          <w:p>
            <w:pPr>
              <w:spacing w:after="0"/>
              <w:rPr>
                <w:sz w:val="11"/>
                <w:szCs w:val="11"/>
                <w:color w:val="auto"/>
              </w:rPr>
            </w:pPr>
          </w:p>
        </w:tc>
        <w:tc>
          <w:tcPr>
            <w:tcW w:w="640" w:type="dxa"/>
            <w:vAlign w:val="bottom"/>
            <w:tcBorders>
              <w:bottom w:val="single" w:sz="8" w:color="auto"/>
            </w:tcBorders>
          </w:tcPr>
          <w:p>
            <w:pPr>
              <w:jc w:val="right"/>
              <w:spacing w:after="0" w:line="136" w:lineRule="exact"/>
              <w:rPr>
                <w:sz w:val="20"/>
                <w:szCs w:val="20"/>
                <w:color w:val="auto"/>
              </w:rPr>
            </w:pPr>
            <w:r>
              <w:rPr>
                <w:rFonts w:ascii="Arial" w:cs="Arial" w:eastAsia="Arial" w:hAnsi="Arial"/>
                <w:sz w:val="12"/>
                <w:szCs w:val="12"/>
                <w:color w:val="auto"/>
              </w:rPr>
              <w:t>58,259,618</w:t>
            </w:r>
          </w:p>
        </w:tc>
        <w:tc>
          <w:tcPr>
            <w:tcW w:w="2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- 72 -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15875</wp:posOffset>
            </wp:positionV>
            <wp:extent cx="725170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51700" cy="8255"/>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78" w:name="page79"/>
    <w:bookmarkEnd w:id="78"/>
    <w:p>
      <w:pPr>
        <w:ind w:left="316" w:right="100" w:hanging="316"/>
        <w:spacing w:after="0" w:line="270" w:lineRule="auto"/>
        <w:tabs>
          <w:tab w:leader="none" w:pos="316" w:val="left"/>
        </w:tabs>
        <w:numPr>
          <w:ilvl w:val="0"/>
          <w:numId w:val="88"/>
        </w:numPr>
        <w:rPr>
          <w:rFonts w:ascii="Arial" w:cs="Arial" w:eastAsia="Arial" w:hAnsi="Arial"/>
          <w:sz w:val="17"/>
          <w:szCs w:val="17"/>
          <w:color w:val="auto"/>
        </w:rPr>
      </w:pPr>
      <w:r>
        <w:rPr>
          <w:rFonts w:ascii="Arial" w:cs="Arial" w:eastAsia="Arial" w:hAnsi="Arial"/>
          <w:sz w:val="17"/>
          <w:szCs w:val="17"/>
          <w:color w:val="auto"/>
        </w:rPr>
        <w:t>Held-for-trading derivatives are principally negotiated to satisfy clients’ needs. On the other hand, the Group may also take positions with the expectation of profiting from favorable movements in prices or rates. Also, this caption includes any derivatives which do not comply with IAS 39 hedging accounting requirements. Fair value of derivatives held for trading classified by contractual maturity is as follows:</w:t>
      </w:r>
    </w:p>
    <w:p>
      <w:pPr>
        <w:spacing w:after="0" w:line="162" w:lineRule="exact"/>
        <w:rPr>
          <w:sz w:val="20"/>
          <w:szCs w:val="20"/>
          <w:color w:val="auto"/>
        </w:rPr>
      </w:pPr>
    </w:p>
    <w:tbl>
      <w:tblPr>
        <w:tblLayout w:type="fixed"/>
        <w:tblInd w:w="316" w:type="dxa"/>
        <w:tblCellMar>
          <w:top w:w="0" w:type="dxa"/>
          <w:left w:w="0" w:type="dxa"/>
          <w:bottom w:w="0" w:type="dxa"/>
          <w:right w:w="0" w:type="dxa"/>
        </w:tblCellMar>
      </w:tblPr>
      <w:tr>
        <w:trPr>
          <w:trHeight w:val="165"/>
        </w:trPr>
        <w:tc>
          <w:tcPr>
            <w:tcW w:w="1320" w:type="dxa"/>
            <w:vAlign w:val="bottom"/>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4"/>
          </w:tcPr>
          <w:p>
            <w:pPr>
              <w:jc w:val="right"/>
              <w:ind w:right="320"/>
              <w:spacing w:after="0"/>
              <w:rPr>
                <w:sz w:val="20"/>
                <w:szCs w:val="20"/>
                <w:color w:val="auto"/>
              </w:rPr>
            </w:pPr>
            <w:r>
              <w:rPr>
                <w:rFonts w:ascii="Arial" w:cs="Arial" w:eastAsia="Arial" w:hAnsi="Arial"/>
                <w:sz w:val="14"/>
                <w:szCs w:val="14"/>
                <w:b w:val="1"/>
                <w:bCs w:val="1"/>
                <w:color w:val="auto"/>
                <w:w w:val="96"/>
              </w:rPr>
              <w:t>At December 31, 2017</w:t>
            </w:r>
          </w:p>
        </w:tc>
        <w:tc>
          <w:tcPr>
            <w:tcW w:w="5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10"/>
          </w:tcPr>
          <w:p>
            <w:pPr>
              <w:jc w:val="center"/>
              <w:ind w:right="520"/>
              <w:spacing w:after="0"/>
              <w:rPr>
                <w:sz w:val="20"/>
                <w:szCs w:val="20"/>
                <w:color w:val="auto"/>
              </w:rPr>
            </w:pPr>
            <w:r>
              <w:rPr>
                <w:rFonts w:ascii="Arial" w:cs="Arial" w:eastAsia="Arial" w:hAnsi="Arial"/>
                <w:sz w:val="14"/>
                <w:szCs w:val="14"/>
                <w:b w:val="1"/>
                <w:bCs w:val="1"/>
                <w:color w:val="auto"/>
                <w:w w:val="89"/>
              </w:rPr>
              <w:t>At December 31, 2016</w:t>
            </w:r>
          </w:p>
        </w:tc>
        <w:tc>
          <w:tcPr>
            <w:tcW w:w="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3"/>
        </w:trPr>
        <w:tc>
          <w:tcPr>
            <w:tcW w:w="1320" w:type="dxa"/>
            <w:vAlign w:val="bottom"/>
          </w:tcPr>
          <w:p>
            <w:pPr>
              <w:spacing w:after="0"/>
              <w:rPr>
                <w:sz w:val="9"/>
                <w:szCs w:val="9"/>
                <w:color w:val="auto"/>
              </w:rPr>
            </w:pPr>
          </w:p>
        </w:tc>
        <w:tc>
          <w:tcPr>
            <w:tcW w:w="68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2"/>
              </w:rPr>
              <w:t>Up to 3</w:t>
            </w:r>
          </w:p>
        </w:tc>
        <w:tc>
          <w:tcPr>
            <w:tcW w:w="760" w:type="dxa"/>
            <w:vAlign w:val="bottom"/>
            <w:gridSpan w:val="2"/>
          </w:tcPr>
          <w:p>
            <w:pPr>
              <w:jc w:val="center"/>
              <w:ind w:right="200"/>
              <w:spacing w:after="0" w:line="114" w:lineRule="exact"/>
              <w:rPr>
                <w:sz w:val="20"/>
                <w:szCs w:val="20"/>
                <w:color w:val="auto"/>
              </w:rPr>
            </w:pPr>
            <w:r>
              <w:rPr>
                <w:rFonts w:ascii="Arial" w:cs="Arial" w:eastAsia="Arial" w:hAnsi="Arial"/>
                <w:sz w:val="13"/>
                <w:szCs w:val="13"/>
                <w:b w:val="1"/>
                <w:bCs w:val="1"/>
                <w:color w:val="auto"/>
              </w:rPr>
              <w:t>From 3</w:t>
            </w:r>
          </w:p>
        </w:tc>
        <w:tc>
          <w:tcPr>
            <w:tcW w:w="88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0"/>
              </w:rPr>
              <w:t>From 1 to 3</w:t>
            </w:r>
          </w:p>
        </w:tc>
        <w:tc>
          <w:tcPr>
            <w:tcW w:w="86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2"/>
              </w:rPr>
              <w:t>From 3 to 5</w:t>
            </w:r>
          </w:p>
        </w:tc>
        <w:tc>
          <w:tcPr>
            <w:tcW w:w="70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1"/>
              </w:rPr>
              <w:t>Over 5</w:t>
            </w:r>
          </w:p>
        </w:tc>
        <w:tc>
          <w:tcPr>
            <w:tcW w:w="20" w:type="dxa"/>
            <w:vAlign w:val="bottom"/>
          </w:tcPr>
          <w:p>
            <w:pPr>
              <w:spacing w:after="0"/>
              <w:rPr>
                <w:sz w:val="9"/>
                <w:szCs w:val="9"/>
                <w:color w:val="auto"/>
              </w:rPr>
            </w:pPr>
          </w:p>
        </w:tc>
        <w:tc>
          <w:tcPr>
            <w:tcW w:w="50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40" w:type="dxa"/>
            <w:vAlign w:val="bottom"/>
          </w:tcPr>
          <w:p>
            <w:pPr>
              <w:spacing w:after="0"/>
              <w:rPr>
                <w:sz w:val="9"/>
                <w:szCs w:val="9"/>
                <w:color w:val="auto"/>
              </w:rPr>
            </w:pPr>
          </w:p>
        </w:tc>
        <w:tc>
          <w:tcPr>
            <w:tcW w:w="88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 w:type="dxa"/>
            <w:vAlign w:val="bottom"/>
          </w:tcPr>
          <w:p>
            <w:pPr>
              <w:spacing w:after="0"/>
              <w:rPr>
                <w:sz w:val="9"/>
                <w:szCs w:val="9"/>
                <w:color w:val="auto"/>
              </w:rPr>
            </w:pPr>
          </w:p>
        </w:tc>
        <w:tc>
          <w:tcPr>
            <w:tcW w:w="720" w:type="dxa"/>
            <w:vAlign w:val="bottom"/>
            <w:gridSpan w:val="2"/>
          </w:tcPr>
          <w:p>
            <w:pPr>
              <w:jc w:val="center"/>
              <w:ind w:right="11"/>
              <w:spacing w:after="0" w:line="114" w:lineRule="exact"/>
              <w:rPr>
                <w:sz w:val="20"/>
                <w:szCs w:val="20"/>
                <w:color w:val="auto"/>
              </w:rPr>
            </w:pPr>
            <w:r>
              <w:rPr>
                <w:rFonts w:ascii="Arial" w:cs="Arial" w:eastAsia="Arial" w:hAnsi="Arial"/>
                <w:sz w:val="13"/>
                <w:szCs w:val="13"/>
                <w:b w:val="1"/>
                <w:bCs w:val="1"/>
                <w:color w:val="auto"/>
              </w:rPr>
              <w:t>From 3</w:t>
            </w:r>
          </w:p>
        </w:tc>
        <w:tc>
          <w:tcPr>
            <w:tcW w:w="160" w:type="dxa"/>
            <w:vAlign w:val="bottom"/>
          </w:tcPr>
          <w:p>
            <w:pPr>
              <w:spacing w:after="0"/>
              <w:rPr>
                <w:sz w:val="9"/>
                <w:szCs w:val="9"/>
                <w:color w:val="auto"/>
              </w:rPr>
            </w:pPr>
          </w:p>
        </w:tc>
        <w:tc>
          <w:tcPr>
            <w:tcW w:w="900" w:type="dxa"/>
            <w:vAlign w:val="bottom"/>
            <w:gridSpan w:val="4"/>
            <w:vMerge w:val="restart"/>
          </w:tcPr>
          <w:p>
            <w:pPr>
              <w:jc w:val="center"/>
              <w:ind w:right="200"/>
              <w:spacing w:after="0"/>
              <w:rPr>
                <w:sz w:val="20"/>
                <w:szCs w:val="20"/>
                <w:color w:val="auto"/>
              </w:rPr>
            </w:pPr>
            <w:r>
              <w:rPr>
                <w:rFonts w:ascii="Arial" w:cs="Arial" w:eastAsia="Arial" w:hAnsi="Arial"/>
                <w:sz w:val="14"/>
                <w:szCs w:val="14"/>
                <w:b w:val="1"/>
                <w:bCs w:val="1"/>
                <w:color w:val="auto"/>
                <w:w w:val="92"/>
              </w:rPr>
              <w:t>From 1 to 3</w:t>
            </w:r>
          </w:p>
        </w:tc>
        <w:tc>
          <w:tcPr>
            <w:tcW w:w="780" w:type="dxa"/>
            <w:vAlign w:val="bottom"/>
            <w:gridSpan w:val="4"/>
            <w:vMerge w:val="restart"/>
          </w:tcPr>
          <w:p>
            <w:pPr>
              <w:jc w:val="right"/>
              <w:ind w:right="200"/>
              <w:spacing w:after="0"/>
              <w:rPr>
                <w:sz w:val="20"/>
                <w:szCs w:val="20"/>
                <w:color w:val="auto"/>
              </w:rPr>
            </w:pPr>
            <w:r>
              <w:rPr>
                <w:rFonts w:ascii="Arial" w:cs="Arial" w:eastAsia="Arial" w:hAnsi="Arial"/>
                <w:sz w:val="14"/>
                <w:szCs w:val="14"/>
                <w:b w:val="1"/>
                <w:bCs w:val="1"/>
                <w:color w:val="auto"/>
                <w:w w:val="87"/>
              </w:rPr>
              <w:t>From 3 to</w:t>
            </w:r>
          </w:p>
        </w:tc>
        <w:tc>
          <w:tcPr>
            <w:tcW w:w="20" w:type="dxa"/>
            <w:vAlign w:val="bottom"/>
          </w:tcPr>
          <w:p>
            <w:pPr>
              <w:spacing w:after="0"/>
              <w:rPr>
                <w:sz w:val="9"/>
                <w:szCs w:val="9"/>
                <w:color w:val="auto"/>
              </w:rPr>
            </w:pPr>
          </w:p>
        </w:tc>
        <w:tc>
          <w:tcPr>
            <w:tcW w:w="72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1"/>
              </w:rPr>
              <w:t>Over 5</w:t>
            </w: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3"/>
        </w:trPr>
        <w:tc>
          <w:tcPr>
            <w:tcW w:w="1320" w:type="dxa"/>
            <w:vAlign w:val="bottom"/>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760" w:type="dxa"/>
            <w:vAlign w:val="bottom"/>
            <w:gridSpan w:val="2"/>
          </w:tcPr>
          <w:p>
            <w:pPr>
              <w:jc w:val="center"/>
              <w:ind w:right="160"/>
              <w:spacing w:after="0" w:line="143" w:lineRule="exact"/>
              <w:rPr>
                <w:sz w:val="20"/>
                <w:szCs w:val="20"/>
                <w:color w:val="auto"/>
              </w:rPr>
            </w:pPr>
            <w:r>
              <w:rPr>
                <w:rFonts w:ascii="Arial" w:cs="Arial" w:eastAsia="Arial" w:hAnsi="Arial"/>
                <w:sz w:val="14"/>
                <w:szCs w:val="14"/>
                <w:b w:val="1"/>
                <w:bCs w:val="1"/>
                <w:color w:val="auto"/>
                <w:w w:val="88"/>
              </w:rPr>
              <w:t>months to</w:t>
            </w:r>
          </w:p>
        </w:tc>
        <w:tc>
          <w:tcPr>
            <w:tcW w:w="880" w:type="dxa"/>
            <w:vAlign w:val="bottom"/>
            <w:gridSpan w:val="2"/>
            <w:vMerge w:val="continue"/>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Total</w:t>
            </w:r>
          </w:p>
        </w:tc>
        <w:tc>
          <w:tcPr>
            <w:tcW w:w="1100" w:type="dxa"/>
            <w:vAlign w:val="bottom"/>
            <w:gridSpan w:val="4"/>
            <w:vMerge w:val="restart"/>
          </w:tcPr>
          <w:p>
            <w:pPr>
              <w:jc w:val="right"/>
              <w:ind w:right="180"/>
              <w:spacing w:after="0"/>
              <w:rPr>
                <w:sz w:val="20"/>
                <w:szCs w:val="20"/>
                <w:color w:val="auto"/>
              </w:rPr>
            </w:pPr>
            <w:r>
              <w:rPr>
                <w:rFonts w:ascii="Arial" w:cs="Arial" w:eastAsia="Arial" w:hAnsi="Arial"/>
                <w:sz w:val="14"/>
                <w:szCs w:val="14"/>
                <w:b w:val="1"/>
                <w:bCs w:val="1"/>
                <w:color w:val="auto"/>
                <w:w w:val="88"/>
              </w:rPr>
              <w:t>Up to 3 months</w:t>
            </w:r>
          </w:p>
        </w:tc>
        <w:tc>
          <w:tcPr>
            <w:tcW w:w="740" w:type="dxa"/>
            <w:vAlign w:val="bottom"/>
            <w:gridSpan w:val="3"/>
          </w:tcPr>
          <w:p>
            <w:pPr>
              <w:jc w:val="center"/>
              <w:spacing w:after="0" w:line="143" w:lineRule="exact"/>
              <w:rPr>
                <w:sz w:val="20"/>
                <w:szCs w:val="20"/>
                <w:color w:val="auto"/>
              </w:rPr>
            </w:pPr>
            <w:r>
              <w:rPr>
                <w:rFonts w:ascii="Arial" w:cs="Arial" w:eastAsia="Arial" w:hAnsi="Arial"/>
                <w:sz w:val="14"/>
                <w:szCs w:val="14"/>
                <w:b w:val="1"/>
                <w:bCs w:val="1"/>
                <w:color w:val="auto"/>
                <w:w w:val="88"/>
              </w:rPr>
              <w:t>months to 1</w:t>
            </w:r>
          </w:p>
        </w:tc>
        <w:tc>
          <w:tcPr>
            <w:tcW w:w="160" w:type="dxa"/>
            <w:vAlign w:val="bottom"/>
          </w:tcPr>
          <w:p>
            <w:pPr>
              <w:spacing w:after="0"/>
              <w:rPr>
                <w:sz w:val="12"/>
                <w:szCs w:val="12"/>
                <w:color w:val="auto"/>
              </w:rPr>
            </w:pPr>
          </w:p>
        </w:tc>
        <w:tc>
          <w:tcPr>
            <w:tcW w:w="900" w:type="dxa"/>
            <w:vAlign w:val="bottom"/>
            <w:gridSpan w:val="4"/>
            <w:vMerge w:val="continue"/>
          </w:tcPr>
          <w:p>
            <w:pPr>
              <w:spacing w:after="0"/>
              <w:rPr>
                <w:sz w:val="12"/>
                <w:szCs w:val="12"/>
                <w:color w:val="auto"/>
              </w:rPr>
            </w:pPr>
          </w:p>
        </w:tc>
        <w:tc>
          <w:tcPr>
            <w:tcW w:w="780" w:type="dxa"/>
            <w:vAlign w:val="bottom"/>
            <w:gridSpan w:val="4"/>
            <w:vMerge w:val="continue"/>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62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65"/>
        </w:trPr>
        <w:tc>
          <w:tcPr>
            <w:tcW w:w="1320" w:type="dxa"/>
            <w:vAlign w:val="bottom"/>
          </w:tcPr>
          <w:p>
            <w:pPr>
              <w:spacing w:after="0"/>
              <w:rPr>
                <w:sz w:val="14"/>
                <w:szCs w:val="14"/>
                <w:color w:val="auto"/>
              </w:rPr>
            </w:pPr>
          </w:p>
        </w:tc>
        <w:tc>
          <w:tcPr>
            <w:tcW w:w="6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6"/>
              </w:rPr>
              <w:t>months</w:t>
            </w:r>
          </w:p>
        </w:tc>
        <w:tc>
          <w:tcPr>
            <w:tcW w:w="7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8"/>
              </w:rPr>
              <w:t>1 year</w:t>
            </w:r>
          </w:p>
        </w:tc>
        <w:tc>
          <w:tcPr>
            <w:tcW w:w="8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7"/>
              </w:rPr>
              <w:t>years</w:t>
            </w:r>
          </w:p>
        </w:tc>
        <w:tc>
          <w:tcPr>
            <w:tcW w:w="8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1"/>
              </w:rPr>
              <w:t>years</w:t>
            </w:r>
          </w:p>
        </w:tc>
        <w:tc>
          <w:tcPr>
            <w:tcW w:w="7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1"/>
              </w:rPr>
              <w:t>years</w:t>
            </w:r>
          </w:p>
        </w:tc>
        <w:tc>
          <w:tcPr>
            <w:tcW w:w="20" w:type="dxa"/>
            <w:vAlign w:val="bottom"/>
          </w:tcPr>
          <w:p>
            <w:pPr>
              <w:spacing w:after="0"/>
              <w:rPr>
                <w:sz w:val="14"/>
                <w:szCs w:val="14"/>
                <w:color w:val="auto"/>
              </w:rPr>
            </w:pPr>
          </w:p>
        </w:tc>
        <w:tc>
          <w:tcPr>
            <w:tcW w:w="680" w:type="dxa"/>
            <w:vAlign w:val="bottom"/>
            <w:gridSpan w:val="3"/>
            <w:vMerge w:val="continue"/>
          </w:tcPr>
          <w:p>
            <w:pPr>
              <w:spacing w:after="0"/>
              <w:rPr>
                <w:sz w:val="14"/>
                <w:szCs w:val="14"/>
                <w:color w:val="auto"/>
              </w:rPr>
            </w:pPr>
          </w:p>
        </w:tc>
        <w:tc>
          <w:tcPr>
            <w:tcW w:w="1100" w:type="dxa"/>
            <w:vAlign w:val="bottom"/>
            <w:gridSpan w:val="4"/>
            <w:vMerge w:val="continue"/>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year</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87"/>
              </w:rPr>
              <w:t>years</w:t>
            </w:r>
          </w:p>
        </w:tc>
        <w:tc>
          <w:tcPr>
            <w:tcW w:w="20" w:type="dxa"/>
            <w:vAlign w:val="bottom"/>
          </w:tcPr>
          <w:p>
            <w:pPr>
              <w:spacing w:after="0"/>
              <w:rPr>
                <w:sz w:val="14"/>
                <w:szCs w:val="14"/>
                <w:color w:val="auto"/>
              </w:rPr>
            </w:pPr>
          </w:p>
        </w:tc>
        <w:tc>
          <w:tcPr>
            <w:tcW w:w="76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w w:val="95"/>
              </w:rPr>
              <w:t>5 years</w:t>
            </w:r>
          </w:p>
        </w:tc>
        <w:tc>
          <w:tcPr>
            <w:tcW w:w="20" w:type="dxa"/>
            <w:vAlign w:val="bottom"/>
          </w:tcPr>
          <w:p>
            <w:pPr>
              <w:spacing w:after="0"/>
              <w:rPr>
                <w:sz w:val="14"/>
                <w:szCs w:val="14"/>
                <w:color w:val="auto"/>
              </w:rPr>
            </w:pPr>
          </w:p>
        </w:tc>
        <w:tc>
          <w:tcPr>
            <w:tcW w:w="7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7"/>
              </w:rPr>
              <w:t>years</w:t>
            </w:r>
          </w:p>
        </w:tc>
        <w:tc>
          <w:tcPr>
            <w:tcW w:w="6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1320" w:type="dxa"/>
            <w:vAlign w:val="bottom"/>
          </w:tcPr>
          <w:p>
            <w:pPr>
              <w:spacing w:after="0"/>
              <w:rPr>
                <w:sz w:val="14"/>
                <w:szCs w:val="14"/>
                <w:color w:val="auto"/>
              </w:rPr>
            </w:pPr>
          </w:p>
        </w:tc>
        <w:tc>
          <w:tcPr>
            <w:tcW w:w="52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S/(000)</w:t>
            </w:r>
          </w:p>
        </w:tc>
        <w:tc>
          <w:tcPr>
            <w:tcW w:w="160" w:type="dxa"/>
            <w:vAlign w:val="bottom"/>
          </w:tcPr>
          <w:p>
            <w:pPr>
              <w:spacing w:after="0"/>
              <w:rPr>
                <w:sz w:val="14"/>
                <w:szCs w:val="14"/>
                <w:color w:val="auto"/>
              </w:rPr>
            </w:pPr>
          </w:p>
        </w:tc>
        <w:tc>
          <w:tcPr>
            <w:tcW w:w="60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S/(000)</w:t>
            </w:r>
          </w:p>
        </w:tc>
        <w:tc>
          <w:tcPr>
            <w:tcW w:w="160" w:type="dxa"/>
            <w:vAlign w:val="bottom"/>
          </w:tcPr>
          <w:p>
            <w:pPr>
              <w:spacing w:after="0"/>
              <w:rPr>
                <w:sz w:val="14"/>
                <w:szCs w:val="14"/>
                <w:color w:val="auto"/>
              </w:rPr>
            </w:pPr>
          </w:p>
        </w:tc>
        <w:tc>
          <w:tcPr>
            <w:tcW w:w="72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S/(000)</w:t>
            </w:r>
          </w:p>
        </w:tc>
        <w:tc>
          <w:tcPr>
            <w:tcW w:w="160" w:type="dxa"/>
            <w:vAlign w:val="bottom"/>
          </w:tcPr>
          <w:p>
            <w:pPr>
              <w:spacing w:after="0"/>
              <w:rPr>
                <w:sz w:val="14"/>
                <w:szCs w:val="14"/>
                <w:color w:val="auto"/>
              </w:rPr>
            </w:pPr>
          </w:p>
        </w:tc>
        <w:tc>
          <w:tcPr>
            <w:tcW w:w="70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S/(000)</w:t>
            </w:r>
          </w:p>
        </w:tc>
        <w:tc>
          <w:tcPr>
            <w:tcW w:w="160" w:type="dxa"/>
            <w:vAlign w:val="bottom"/>
          </w:tcPr>
          <w:p>
            <w:pPr>
              <w:spacing w:after="0"/>
              <w:rPr>
                <w:sz w:val="14"/>
                <w:szCs w:val="14"/>
                <w:color w:val="auto"/>
              </w:rPr>
            </w:pPr>
          </w:p>
        </w:tc>
        <w:tc>
          <w:tcPr>
            <w:tcW w:w="54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S/(000)</w:t>
            </w:r>
          </w:p>
        </w:tc>
        <w:tc>
          <w:tcPr>
            <w:tcW w:w="160" w:type="dxa"/>
            <w:vAlign w:val="bottom"/>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w w:val="91"/>
              </w:rPr>
              <w:t>S/(000)</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S/(000)</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S/(000)</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S/(000)</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tcPr>
          <w:p>
            <w:pPr>
              <w:jc w:val="right"/>
              <w:ind w:right="31"/>
              <w:spacing w:after="0"/>
              <w:rPr>
                <w:sz w:val="20"/>
                <w:szCs w:val="20"/>
                <w:color w:val="auto"/>
              </w:rPr>
            </w:pPr>
            <w:r>
              <w:rPr>
                <w:rFonts w:ascii="Arial" w:cs="Arial" w:eastAsia="Arial" w:hAnsi="Arial"/>
                <w:sz w:val="14"/>
                <w:szCs w:val="14"/>
                <w:b w:val="1"/>
                <w:bCs w:val="1"/>
                <w:color w:val="auto"/>
              </w:rPr>
              <w:t>S/(000)</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52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S/(000)</w:t>
            </w:r>
          </w:p>
        </w:tc>
        <w:tc>
          <w:tcPr>
            <w:tcW w:w="200" w:type="dxa"/>
            <w:vAlign w:val="bottom"/>
          </w:tcPr>
          <w:p>
            <w:pPr>
              <w:spacing w:after="0"/>
              <w:rPr>
                <w:sz w:val="14"/>
                <w:szCs w:val="14"/>
                <w:color w:val="auto"/>
              </w:rPr>
            </w:pPr>
          </w:p>
        </w:tc>
        <w:tc>
          <w:tcPr>
            <w:tcW w:w="54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S/(000)</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6"/>
        </w:trPr>
        <w:tc>
          <w:tcPr>
            <w:tcW w:w="13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60" w:type="dxa"/>
            <w:vAlign w:val="bottom"/>
          </w:tcPr>
          <w:p>
            <w:pPr>
              <w:spacing w:after="0"/>
              <w:rPr>
                <w:sz w:val="9"/>
                <w:szCs w:val="9"/>
                <w:color w:val="auto"/>
              </w:rPr>
            </w:pPr>
          </w:p>
        </w:tc>
        <w:tc>
          <w:tcPr>
            <w:tcW w:w="720" w:type="dxa"/>
            <w:vAlign w:val="bottom"/>
          </w:tcPr>
          <w:p>
            <w:pPr>
              <w:spacing w:after="0"/>
              <w:rPr>
                <w:sz w:val="9"/>
                <w:szCs w:val="9"/>
                <w:color w:val="auto"/>
              </w:rPr>
            </w:pPr>
          </w:p>
        </w:tc>
        <w:tc>
          <w:tcPr>
            <w:tcW w:w="160" w:type="dxa"/>
            <w:vAlign w:val="bottom"/>
          </w:tcPr>
          <w:p>
            <w:pPr>
              <w:spacing w:after="0"/>
              <w:rPr>
                <w:sz w:val="9"/>
                <w:szCs w:val="9"/>
                <w:color w:val="auto"/>
              </w:rPr>
            </w:pPr>
          </w:p>
        </w:tc>
        <w:tc>
          <w:tcPr>
            <w:tcW w:w="70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 w:type="dxa"/>
            <w:vAlign w:val="bottom"/>
          </w:tcPr>
          <w:p>
            <w:pPr>
              <w:spacing w:after="0"/>
              <w:rPr>
                <w:sz w:val="9"/>
                <w:szCs w:val="9"/>
                <w:color w:val="auto"/>
              </w:rPr>
            </w:pPr>
          </w:p>
        </w:tc>
        <w:tc>
          <w:tcPr>
            <w:tcW w:w="50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40" w:type="dxa"/>
            <w:vAlign w:val="bottom"/>
          </w:tcPr>
          <w:p>
            <w:pPr>
              <w:spacing w:after="0"/>
              <w:rPr>
                <w:sz w:val="9"/>
                <w:szCs w:val="9"/>
                <w:color w:val="auto"/>
              </w:rPr>
            </w:pPr>
          </w:p>
        </w:tc>
        <w:tc>
          <w:tcPr>
            <w:tcW w:w="88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 w:type="dxa"/>
            <w:vAlign w:val="bottom"/>
          </w:tcPr>
          <w:p>
            <w:pPr>
              <w:spacing w:after="0"/>
              <w:rPr>
                <w:sz w:val="9"/>
                <w:szCs w:val="9"/>
                <w:color w:val="auto"/>
              </w:rPr>
            </w:pPr>
          </w:p>
        </w:tc>
        <w:tc>
          <w:tcPr>
            <w:tcW w:w="680" w:type="dxa"/>
            <w:vAlign w:val="bottom"/>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4"/>
        </w:trPr>
        <w:tc>
          <w:tcPr>
            <w:tcW w:w="1320" w:type="dxa"/>
            <w:vAlign w:val="bottom"/>
            <w:shd w:val="clear" w:color="auto" w:fill="CCEEFF"/>
          </w:tcPr>
          <w:p>
            <w:pPr>
              <w:spacing w:after="0" w:line="125" w:lineRule="exact"/>
              <w:rPr>
                <w:sz w:val="20"/>
                <w:szCs w:val="20"/>
                <w:color w:val="auto"/>
              </w:rPr>
            </w:pPr>
            <w:r>
              <w:rPr>
                <w:rFonts w:ascii="Arial" w:cs="Arial" w:eastAsia="Arial" w:hAnsi="Arial"/>
                <w:sz w:val="14"/>
                <w:szCs w:val="14"/>
                <w:color w:val="auto"/>
              </w:rPr>
              <w:t>Forward foreign</w:t>
            </w:r>
          </w:p>
        </w:tc>
        <w:tc>
          <w:tcPr>
            <w:tcW w:w="5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1"/>
        </w:trPr>
        <w:tc>
          <w:tcPr>
            <w:tcW w:w="1320" w:type="dxa"/>
            <w:vAlign w:val="bottom"/>
            <w:shd w:val="clear" w:color="auto" w:fill="CCEEFF"/>
          </w:tcPr>
          <w:p>
            <w:pPr>
              <w:spacing w:after="0"/>
              <w:rPr>
                <w:sz w:val="20"/>
                <w:szCs w:val="20"/>
                <w:color w:val="auto"/>
              </w:rPr>
            </w:pPr>
            <w:r>
              <w:rPr>
                <w:rFonts w:ascii="Arial" w:cs="Arial" w:eastAsia="Arial" w:hAnsi="Arial"/>
                <w:sz w:val="14"/>
                <w:szCs w:val="14"/>
                <w:color w:val="auto"/>
              </w:rPr>
              <w:t>exchange contracts</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41,995</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19,238</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1,120</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560" w:type="dxa"/>
            <w:vAlign w:val="bottom"/>
            <w:gridSpan w:val="3"/>
            <w:shd w:val="clear" w:color="auto" w:fill="CCEEFF"/>
          </w:tcPr>
          <w:p>
            <w:pPr>
              <w:jc w:val="right"/>
              <w:ind w:right="40"/>
              <w:spacing w:after="0"/>
              <w:rPr>
                <w:sz w:val="20"/>
                <w:szCs w:val="20"/>
                <w:color w:val="auto"/>
              </w:rPr>
            </w:pPr>
            <w:r>
              <w:rPr>
                <w:rFonts w:ascii="Arial" w:cs="Arial" w:eastAsia="Arial" w:hAnsi="Arial"/>
                <w:sz w:val="14"/>
                <w:szCs w:val="14"/>
                <w:color w:val="auto"/>
              </w:rPr>
              <w:t>62,353</w:t>
            </w:r>
          </w:p>
        </w:tc>
        <w:tc>
          <w:tcPr>
            <w:tcW w:w="140" w:type="dxa"/>
            <w:vAlign w:val="bottom"/>
            <w:shd w:val="clear" w:color="auto" w:fill="CCEEFF"/>
          </w:tcPr>
          <w:p>
            <w:pPr>
              <w:spacing w:after="0"/>
              <w:rPr>
                <w:sz w:val="14"/>
                <w:szCs w:val="14"/>
                <w:color w:val="auto"/>
              </w:rPr>
            </w:pPr>
          </w:p>
        </w:tc>
        <w:tc>
          <w:tcPr>
            <w:tcW w:w="940" w:type="dxa"/>
            <w:vAlign w:val="bottom"/>
            <w:gridSpan w:val="3"/>
            <w:shd w:val="clear" w:color="auto" w:fill="CCEEFF"/>
          </w:tcPr>
          <w:p>
            <w:pPr>
              <w:jc w:val="right"/>
              <w:ind w:right="20"/>
              <w:spacing w:after="0"/>
              <w:rPr>
                <w:sz w:val="20"/>
                <w:szCs w:val="20"/>
                <w:color w:val="auto"/>
              </w:rPr>
            </w:pPr>
            <w:r>
              <w:rPr>
                <w:rFonts w:ascii="Arial" w:cs="Arial" w:eastAsia="Arial" w:hAnsi="Arial"/>
                <w:sz w:val="14"/>
                <w:szCs w:val="14"/>
                <w:color w:val="auto"/>
              </w:rPr>
              <w:t>58,168</w:t>
            </w:r>
          </w:p>
        </w:tc>
        <w:tc>
          <w:tcPr>
            <w:tcW w:w="160" w:type="dxa"/>
            <w:vAlign w:val="bottom"/>
            <w:shd w:val="clear" w:color="auto" w:fill="CCEEFF"/>
          </w:tcPr>
          <w:p>
            <w:pPr>
              <w:spacing w:after="0"/>
              <w:rPr>
                <w:sz w:val="14"/>
                <w:szCs w:val="14"/>
                <w:color w:val="auto"/>
              </w:rPr>
            </w:pPr>
          </w:p>
        </w:tc>
        <w:tc>
          <w:tcPr>
            <w:tcW w:w="74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12,737</w:t>
            </w:r>
          </w:p>
        </w:tc>
        <w:tc>
          <w:tcPr>
            <w:tcW w:w="900" w:type="dxa"/>
            <w:vAlign w:val="bottom"/>
            <w:gridSpan w:val="4"/>
            <w:shd w:val="clear" w:color="auto" w:fill="CCEEFF"/>
          </w:tcPr>
          <w:p>
            <w:pPr>
              <w:jc w:val="right"/>
              <w:ind w:right="40"/>
              <w:spacing w:after="0"/>
              <w:rPr>
                <w:sz w:val="20"/>
                <w:szCs w:val="20"/>
                <w:color w:val="auto"/>
              </w:rPr>
            </w:pPr>
            <w:r>
              <w:rPr>
                <w:rFonts w:ascii="Arial" w:cs="Arial" w:eastAsia="Arial" w:hAnsi="Arial"/>
                <w:sz w:val="14"/>
                <w:szCs w:val="14"/>
                <w:color w:val="auto"/>
              </w:rPr>
              <w:t>2,040</w:t>
            </w:r>
          </w:p>
        </w:tc>
        <w:tc>
          <w:tcPr>
            <w:tcW w:w="160" w:type="dxa"/>
            <w:vAlign w:val="bottom"/>
            <w:shd w:val="clear" w:color="auto" w:fill="CCEEFF"/>
          </w:tcPr>
          <w:p>
            <w:pPr>
              <w:spacing w:after="0"/>
              <w:rPr>
                <w:sz w:val="14"/>
                <w:szCs w:val="14"/>
                <w:color w:val="auto"/>
              </w:rPr>
            </w:pPr>
          </w:p>
        </w:tc>
        <w:tc>
          <w:tcPr>
            <w:tcW w:w="620" w:type="dxa"/>
            <w:vAlign w:val="bottom"/>
            <w:gridSpan w:val="3"/>
            <w:shd w:val="clear" w:color="auto" w:fill="CCEEFF"/>
          </w:tcPr>
          <w:p>
            <w:pPr>
              <w:jc w:val="right"/>
              <w:ind w:right="20"/>
              <w:spacing w:after="0"/>
              <w:rPr>
                <w:sz w:val="20"/>
                <w:szCs w:val="20"/>
                <w:color w:val="auto"/>
              </w:rPr>
            </w:pPr>
            <w:r>
              <w:rPr>
                <w:rFonts w:ascii="Arial" w:cs="Arial" w:eastAsia="Arial" w:hAnsi="Arial"/>
                <w:sz w:val="14"/>
                <w:szCs w:val="14"/>
                <w:color w:val="auto"/>
              </w:rPr>
              <w:t>777</w:t>
            </w:r>
          </w:p>
        </w:tc>
        <w:tc>
          <w:tcPr>
            <w:tcW w:w="16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73,722</w:t>
            </w:r>
          </w:p>
        </w:tc>
        <w:tc>
          <w:tcPr>
            <w:tcW w:w="0" w:type="dxa"/>
            <w:vAlign w:val="bottom"/>
          </w:tcPr>
          <w:p>
            <w:pPr>
              <w:spacing w:after="0"/>
              <w:rPr>
                <w:sz w:val="1"/>
                <w:szCs w:val="1"/>
                <w:color w:val="auto"/>
              </w:rPr>
            </w:pPr>
          </w:p>
        </w:tc>
      </w:tr>
      <w:tr>
        <w:trPr>
          <w:trHeight w:val="143"/>
        </w:trPr>
        <w:tc>
          <w:tcPr>
            <w:tcW w:w="1320" w:type="dxa"/>
            <w:vAlign w:val="bottom"/>
          </w:tcPr>
          <w:p>
            <w:pPr>
              <w:spacing w:after="0" w:line="143" w:lineRule="exact"/>
              <w:rPr>
                <w:sz w:val="20"/>
                <w:szCs w:val="20"/>
                <w:color w:val="auto"/>
              </w:rPr>
            </w:pPr>
            <w:r>
              <w:rPr>
                <w:rFonts w:ascii="Arial" w:cs="Arial" w:eastAsia="Arial" w:hAnsi="Arial"/>
                <w:sz w:val="14"/>
                <w:szCs w:val="14"/>
                <w:color w:val="auto"/>
              </w:rPr>
              <w:t>Interest rate swaps</w:t>
            </w:r>
          </w:p>
        </w:tc>
        <w:tc>
          <w:tcPr>
            <w:tcW w:w="680" w:type="dxa"/>
            <w:vAlign w:val="bottom"/>
            <w:gridSpan w:val="2"/>
          </w:tcPr>
          <w:p>
            <w:pPr>
              <w:jc w:val="right"/>
              <w:ind w:right="160"/>
              <w:spacing w:after="0" w:line="143" w:lineRule="exact"/>
              <w:rPr>
                <w:sz w:val="20"/>
                <w:szCs w:val="20"/>
                <w:color w:val="auto"/>
              </w:rPr>
            </w:pPr>
            <w:r>
              <w:rPr>
                <w:rFonts w:ascii="Arial" w:cs="Arial" w:eastAsia="Arial" w:hAnsi="Arial"/>
                <w:sz w:val="14"/>
                <w:szCs w:val="14"/>
                <w:color w:val="auto"/>
              </w:rPr>
              <w:t>5,487</w:t>
            </w:r>
          </w:p>
        </w:tc>
        <w:tc>
          <w:tcPr>
            <w:tcW w:w="760" w:type="dxa"/>
            <w:vAlign w:val="bottom"/>
            <w:gridSpan w:val="2"/>
          </w:tcPr>
          <w:p>
            <w:pPr>
              <w:jc w:val="right"/>
              <w:ind w:right="160"/>
              <w:spacing w:after="0" w:line="143" w:lineRule="exact"/>
              <w:rPr>
                <w:sz w:val="20"/>
                <w:szCs w:val="20"/>
                <w:color w:val="auto"/>
              </w:rPr>
            </w:pPr>
            <w:r>
              <w:rPr>
                <w:rFonts w:ascii="Arial" w:cs="Arial" w:eastAsia="Arial" w:hAnsi="Arial"/>
                <w:sz w:val="14"/>
                <w:szCs w:val="14"/>
                <w:color w:val="auto"/>
              </w:rPr>
              <w:t>16,971</w:t>
            </w:r>
          </w:p>
        </w:tc>
        <w:tc>
          <w:tcPr>
            <w:tcW w:w="880" w:type="dxa"/>
            <w:vAlign w:val="bottom"/>
            <w:gridSpan w:val="2"/>
          </w:tcPr>
          <w:p>
            <w:pPr>
              <w:jc w:val="right"/>
              <w:ind w:right="160"/>
              <w:spacing w:after="0" w:line="143" w:lineRule="exact"/>
              <w:rPr>
                <w:sz w:val="20"/>
                <w:szCs w:val="20"/>
                <w:color w:val="auto"/>
              </w:rPr>
            </w:pPr>
            <w:r>
              <w:rPr>
                <w:rFonts w:ascii="Arial" w:cs="Arial" w:eastAsia="Arial" w:hAnsi="Arial"/>
                <w:sz w:val="14"/>
                <w:szCs w:val="14"/>
                <w:color w:val="auto"/>
              </w:rPr>
              <w:t>22,705</w:t>
            </w:r>
          </w:p>
        </w:tc>
        <w:tc>
          <w:tcPr>
            <w:tcW w:w="860" w:type="dxa"/>
            <w:vAlign w:val="bottom"/>
            <w:gridSpan w:val="2"/>
          </w:tcPr>
          <w:p>
            <w:pPr>
              <w:jc w:val="right"/>
              <w:ind w:right="160"/>
              <w:spacing w:after="0" w:line="143" w:lineRule="exact"/>
              <w:rPr>
                <w:sz w:val="20"/>
                <w:szCs w:val="20"/>
                <w:color w:val="auto"/>
              </w:rPr>
            </w:pPr>
            <w:r>
              <w:rPr>
                <w:rFonts w:ascii="Arial" w:cs="Arial" w:eastAsia="Arial" w:hAnsi="Arial"/>
                <w:sz w:val="14"/>
                <w:szCs w:val="14"/>
                <w:color w:val="auto"/>
              </w:rPr>
              <w:t>18,464</w:t>
            </w:r>
          </w:p>
        </w:tc>
        <w:tc>
          <w:tcPr>
            <w:tcW w:w="700" w:type="dxa"/>
            <w:vAlign w:val="bottom"/>
            <w:gridSpan w:val="2"/>
          </w:tcPr>
          <w:p>
            <w:pPr>
              <w:jc w:val="right"/>
              <w:ind w:right="160"/>
              <w:spacing w:after="0" w:line="143" w:lineRule="exact"/>
              <w:rPr>
                <w:sz w:val="20"/>
                <w:szCs w:val="20"/>
                <w:color w:val="auto"/>
              </w:rPr>
            </w:pPr>
            <w:r>
              <w:rPr>
                <w:rFonts w:ascii="Arial" w:cs="Arial" w:eastAsia="Arial" w:hAnsi="Arial"/>
                <w:sz w:val="14"/>
                <w:szCs w:val="14"/>
                <w:color w:val="auto"/>
              </w:rPr>
              <w:t>38,138</w:t>
            </w:r>
          </w:p>
        </w:tc>
        <w:tc>
          <w:tcPr>
            <w:tcW w:w="560" w:type="dxa"/>
            <w:vAlign w:val="bottom"/>
            <w:gridSpan w:val="3"/>
          </w:tcPr>
          <w:p>
            <w:pPr>
              <w:jc w:val="right"/>
              <w:ind w:right="40"/>
              <w:spacing w:after="0" w:line="143" w:lineRule="exact"/>
              <w:rPr>
                <w:sz w:val="20"/>
                <w:szCs w:val="20"/>
                <w:color w:val="auto"/>
              </w:rPr>
            </w:pPr>
            <w:r>
              <w:rPr>
                <w:rFonts w:ascii="Arial" w:cs="Arial" w:eastAsia="Arial" w:hAnsi="Arial"/>
                <w:sz w:val="14"/>
                <w:szCs w:val="14"/>
                <w:color w:val="auto"/>
                <w:w w:val="98"/>
              </w:rPr>
              <w:t>101,765</w:t>
            </w:r>
          </w:p>
        </w:tc>
        <w:tc>
          <w:tcPr>
            <w:tcW w:w="140" w:type="dxa"/>
            <w:vAlign w:val="bottom"/>
          </w:tcPr>
          <w:p>
            <w:pPr>
              <w:spacing w:after="0"/>
              <w:rPr>
                <w:sz w:val="12"/>
                <w:szCs w:val="12"/>
                <w:color w:val="auto"/>
              </w:rPr>
            </w:pPr>
          </w:p>
        </w:tc>
        <w:tc>
          <w:tcPr>
            <w:tcW w:w="940" w:type="dxa"/>
            <w:vAlign w:val="bottom"/>
            <w:gridSpan w:val="3"/>
          </w:tcPr>
          <w:p>
            <w:pPr>
              <w:jc w:val="right"/>
              <w:ind w:right="20"/>
              <w:spacing w:after="0" w:line="143" w:lineRule="exact"/>
              <w:rPr>
                <w:sz w:val="20"/>
                <w:szCs w:val="20"/>
                <w:color w:val="auto"/>
              </w:rPr>
            </w:pPr>
            <w:r>
              <w:rPr>
                <w:rFonts w:ascii="Arial" w:cs="Arial" w:eastAsia="Arial" w:hAnsi="Arial"/>
                <w:sz w:val="14"/>
                <w:szCs w:val="14"/>
                <w:color w:val="auto"/>
              </w:rPr>
              <w:t>6,763</w:t>
            </w:r>
          </w:p>
        </w:tc>
        <w:tc>
          <w:tcPr>
            <w:tcW w:w="160" w:type="dxa"/>
            <w:vAlign w:val="bottom"/>
          </w:tcPr>
          <w:p>
            <w:pPr>
              <w:spacing w:after="0"/>
              <w:rPr>
                <w:sz w:val="12"/>
                <w:szCs w:val="12"/>
                <w:color w:val="auto"/>
              </w:rPr>
            </w:pPr>
          </w:p>
        </w:tc>
        <w:tc>
          <w:tcPr>
            <w:tcW w:w="740" w:type="dxa"/>
            <w:vAlign w:val="bottom"/>
            <w:gridSpan w:val="3"/>
          </w:tcPr>
          <w:p>
            <w:pPr>
              <w:jc w:val="right"/>
              <w:spacing w:after="0" w:line="143" w:lineRule="exact"/>
              <w:rPr>
                <w:sz w:val="20"/>
                <w:szCs w:val="20"/>
                <w:color w:val="auto"/>
              </w:rPr>
            </w:pPr>
            <w:r>
              <w:rPr>
                <w:rFonts w:ascii="Arial" w:cs="Arial" w:eastAsia="Arial" w:hAnsi="Arial"/>
                <w:sz w:val="14"/>
                <w:szCs w:val="14"/>
                <w:color w:val="auto"/>
              </w:rPr>
              <w:t>9,480</w:t>
            </w:r>
          </w:p>
        </w:tc>
        <w:tc>
          <w:tcPr>
            <w:tcW w:w="900" w:type="dxa"/>
            <w:vAlign w:val="bottom"/>
            <w:gridSpan w:val="4"/>
          </w:tcPr>
          <w:p>
            <w:pPr>
              <w:jc w:val="right"/>
              <w:ind w:right="40"/>
              <w:spacing w:after="0" w:line="143" w:lineRule="exact"/>
              <w:rPr>
                <w:sz w:val="20"/>
                <w:szCs w:val="20"/>
                <w:color w:val="auto"/>
              </w:rPr>
            </w:pPr>
            <w:r>
              <w:rPr>
                <w:rFonts w:ascii="Arial" w:cs="Arial" w:eastAsia="Arial" w:hAnsi="Arial"/>
                <w:sz w:val="14"/>
                <w:szCs w:val="14"/>
                <w:color w:val="auto"/>
              </w:rPr>
              <w:t>18,550</w:t>
            </w:r>
          </w:p>
        </w:tc>
        <w:tc>
          <w:tcPr>
            <w:tcW w:w="160" w:type="dxa"/>
            <w:vAlign w:val="bottom"/>
          </w:tcPr>
          <w:p>
            <w:pPr>
              <w:spacing w:after="0"/>
              <w:rPr>
                <w:sz w:val="12"/>
                <w:szCs w:val="12"/>
                <w:color w:val="auto"/>
              </w:rPr>
            </w:pPr>
          </w:p>
        </w:tc>
        <w:tc>
          <w:tcPr>
            <w:tcW w:w="620" w:type="dxa"/>
            <w:vAlign w:val="bottom"/>
            <w:gridSpan w:val="3"/>
          </w:tcPr>
          <w:p>
            <w:pPr>
              <w:jc w:val="right"/>
              <w:ind w:right="20"/>
              <w:spacing w:after="0" w:line="143" w:lineRule="exact"/>
              <w:rPr>
                <w:sz w:val="20"/>
                <w:szCs w:val="20"/>
                <w:color w:val="auto"/>
              </w:rPr>
            </w:pPr>
            <w:r>
              <w:rPr>
                <w:rFonts w:ascii="Arial" w:cs="Arial" w:eastAsia="Arial" w:hAnsi="Arial"/>
                <w:sz w:val="14"/>
                <w:szCs w:val="14"/>
                <w:color w:val="auto"/>
              </w:rPr>
              <w:t>9,591</w:t>
            </w:r>
          </w:p>
        </w:tc>
        <w:tc>
          <w:tcPr>
            <w:tcW w:w="160" w:type="dxa"/>
            <w:vAlign w:val="bottom"/>
          </w:tcPr>
          <w:p>
            <w:pPr>
              <w:spacing w:after="0"/>
              <w:rPr>
                <w:sz w:val="12"/>
                <w:szCs w:val="12"/>
                <w:color w:val="auto"/>
              </w:rPr>
            </w:pPr>
          </w:p>
        </w:tc>
        <w:tc>
          <w:tcPr>
            <w:tcW w:w="740" w:type="dxa"/>
            <w:vAlign w:val="bottom"/>
            <w:gridSpan w:val="3"/>
          </w:tcPr>
          <w:p>
            <w:pPr>
              <w:jc w:val="right"/>
              <w:ind w:right="200"/>
              <w:spacing w:after="0" w:line="143" w:lineRule="exact"/>
              <w:rPr>
                <w:sz w:val="20"/>
                <w:szCs w:val="20"/>
                <w:color w:val="auto"/>
              </w:rPr>
            </w:pPr>
            <w:r>
              <w:rPr>
                <w:rFonts w:ascii="Arial" w:cs="Arial" w:eastAsia="Arial" w:hAnsi="Arial"/>
                <w:sz w:val="14"/>
                <w:szCs w:val="14"/>
                <w:color w:val="auto"/>
              </w:rPr>
              <w:t>43,488</w:t>
            </w:r>
          </w:p>
        </w:tc>
        <w:tc>
          <w:tcPr>
            <w:tcW w:w="620" w:type="dxa"/>
            <w:vAlign w:val="bottom"/>
            <w:gridSpan w:val="2"/>
          </w:tcPr>
          <w:p>
            <w:pPr>
              <w:jc w:val="right"/>
              <w:ind w:right="80"/>
              <w:spacing w:after="0" w:line="143" w:lineRule="exact"/>
              <w:rPr>
                <w:sz w:val="20"/>
                <w:szCs w:val="20"/>
                <w:color w:val="auto"/>
              </w:rPr>
            </w:pPr>
            <w:r>
              <w:rPr>
                <w:rFonts w:ascii="Arial" w:cs="Arial" w:eastAsia="Arial" w:hAnsi="Arial"/>
                <w:sz w:val="14"/>
                <w:szCs w:val="14"/>
                <w:color w:val="auto"/>
              </w:rPr>
              <w:t>87,872</w:t>
            </w:r>
          </w:p>
        </w:tc>
        <w:tc>
          <w:tcPr>
            <w:tcW w:w="0" w:type="dxa"/>
            <w:vAlign w:val="bottom"/>
          </w:tcPr>
          <w:p>
            <w:pPr>
              <w:spacing w:after="0"/>
              <w:rPr>
                <w:sz w:val="1"/>
                <w:szCs w:val="1"/>
                <w:color w:val="auto"/>
              </w:rPr>
            </w:pPr>
          </w:p>
        </w:tc>
      </w:tr>
      <w:tr>
        <w:trPr>
          <w:trHeight w:val="143"/>
        </w:trPr>
        <w:tc>
          <w:tcPr>
            <w:tcW w:w="132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rPr>
              <w:t>Currency swaps</w:t>
            </w:r>
          </w:p>
        </w:tc>
        <w:tc>
          <w:tcPr>
            <w:tcW w:w="680" w:type="dxa"/>
            <w:vAlign w:val="bottom"/>
            <w:gridSpan w:val="2"/>
            <w:shd w:val="clear" w:color="auto" w:fill="CCEEFF"/>
          </w:tcPr>
          <w:p>
            <w:pPr>
              <w:jc w:val="right"/>
              <w:ind w:right="160"/>
              <w:spacing w:after="0" w:line="143" w:lineRule="exact"/>
              <w:rPr>
                <w:sz w:val="20"/>
                <w:szCs w:val="20"/>
                <w:color w:val="auto"/>
              </w:rPr>
            </w:pPr>
            <w:r>
              <w:rPr>
                <w:rFonts w:ascii="Arial" w:cs="Arial" w:eastAsia="Arial" w:hAnsi="Arial"/>
                <w:sz w:val="14"/>
                <w:szCs w:val="14"/>
                <w:color w:val="auto"/>
              </w:rPr>
              <w:t>12,190</w:t>
            </w:r>
          </w:p>
        </w:tc>
        <w:tc>
          <w:tcPr>
            <w:tcW w:w="760" w:type="dxa"/>
            <w:vAlign w:val="bottom"/>
            <w:gridSpan w:val="2"/>
            <w:shd w:val="clear" w:color="auto" w:fill="CCEEFF"/>
          </w:tcPr>
          <w:p>
            <w:pPr>
              <w:jc w:val="right"/>
              <w:ind w:right="160"/>
              <w:spacing w:after="0" w:line="143" w:lineRule="exact"/>
              <w:rPr>
                <w:sz w:val="20"/>
                <w:szCs w:val="20"/>
                <w:color w:val="auto"/>
              </w:rPr>
            </w:pPr>
            <w:r>
              <w:rPr>
                <w:rFonts w:ascii="Arial" w:cs="Arial" w:eastAsia="Arial" w:hAnsi="Arial"/>
                <w:sz w:val="14"/>
                <w:szCs w:val="14"/>
                <w:color w:val="auto"/>
              </w:rPr>
              <w:t>7,803</w:t>
            </w:r>
          </w:p>
        </w:tc>
        <w:tc>
          <w:tcPr>
            <w:tcW w:w="880" w:type="dxa"/>
            <w:vAlign w:val="bottom"/>
            <w:gridSpan w:val="2"/>
            <w:shd w:val="clear" w:color="auto" w:fill="CCEEFF"/>
          </w:tcPr>
          <w:p>
            <w:pPr>
              <w:jc w:val="right"/>
              <w:ind w:right="160"/>
              <w:spacing w:after="0" w:line="143" w:lineRule="exact"/>
              <w:rPr>
                <w:sz w:val="20"/>
                <w:szCs w:val="20"/>
                <w:color w:val="auto"/>
              </w:rPr>
            </w:pPr>
            <w:r>
              <w:rPr>
                <w:rFonts w:ascii="Arial" w:cs="Arial" w:eastAsia="Arial" w:hAnsi="Arial"/>
                <w:sz w:val="14"/>
                <w:szCs w:val="14"/>
                <w:color w:val="auto"/>
              </w:rPr>
              <w:t>142,370</w:t>
            </w:r>
          </w:p>
        </w:tc>
        <w:tc>
          <w:tcPr>
            <w:tcW w:w="860" w:type="dxa"/>
            <w:vAlign w:val="bottom"/>
            <w:gridSpan w:val="2"/>
            <w:shd w:val="clear" w:color="auto" w:fill="CCEEFF"/>
          </w:tcPr>
          <w:p>
            <w:pPr>
              <w:jc w:val="right"/>
              <w:ind w:right="160"/>
              <w:spacing w:after="0" w:line="143" w:lineRule="exact"/>
              <w:rPr>
                <w:sz w:val="20"/>
                <w:szCs w:val="20"/>
                <w:color w:val="auto"/>
              </w:rPr>
            </w:pPr>
            <w:r>
              <w:rPr>
                <w:rFonts w:ascii="Arial" w:cs="Arial" w:eastAsia="Arial" w:hAnsi="Arial"/>
                <w:sz w:val="14"/>
                <w:szCs w:val="14"/>
                <w:color w:val="auto"/>
              </w:rPr>
              <w:t>58,391</w:t>
            </w:r>
          </w:p>
        </w:tc>
        <w:tc>
          <w:tcPr>
            <w:tcW w:w="700" w:type="dxa"/>
            <w:vAlign w:val="bottom"/>
            <w:gridSpan w:val="2"/>
            <w:shd w:val="clear" w:color="auto" w:fill="CCEEFF"/>
          </w:tcPr>
          <w:p>
            <w:pPr>
              <w:jc w:val="right"/>
              <w:ind w:right="160"/>
              <w:spacing w:after="0" w:line="143" w:lineRule="exact"/>
              <w:rPr>
                <w:sz w:val="20"/>
                <w:szCs w:val="20"/>
                <w:color w:val="auto"/>
              </w:rPr>
            </w:pPr>
            <w:r>
              <w:rPr>
                <w:rFonts w:ascii="Arial" w:cs="Arial" w:eastAsia="Arial" w:hAnsi="Arial"/>
                <w:sz w:val="14"/>
                <w:szCs w:val="14"/>
                <w:color w:val="auto"/>
              </w:rPr>
              <w:t>111,622</w:t>
            </w:r>
          </w:p>
        </w:tc>
        <w:tc>
          <w:tcPr>
            <w:tcW w:w="560" w:type="dxa"/>
            <w:vAlign w:val="bottom"/>
            <w:gridSpan w:val="3"/>
            <w:shd w:val="clear" w:color="auto" w:fill="CCEEFF"/>
          </w:tcPr>
          <w:p>
            <w:pPr>
              <w:jc w:val="right"/>
              <w:ind w:right="40"/>
              <w:spacing w:after="0" w:line="143" w:lineRule="exact"/>
              <w:rPr>
                <w:sz w:val="20"/>
                <w:szCs w:val="20"/>
                <w:color w:val="auto"/>
              </w:rPr>
            </w:pPr>
            <w:r>
              <w:rPr>
                <w:rFonts w:ascii="Arial" w:cs="Arial" w:eastAsia="Arial" w:hAnsi="Arial"/>
                <w:sz w:val="14"/>
                <w:szCs w:val="14"/>
                <w:color w:val="auto"/>
                <w:w w:val="98"/>
              </w:rPr>
              <w:t>332,376</w:t>
            </w:r>
          </w:p>
        </w:tc>
        <w:tc>
          <w:tcPr>
            <w:tcW w:w="14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spacing w:after="0" w:line="143" w:lineRule="exact"/>
              <w:rPr>
                <w:sz w:val="20"/>
                <w:szCs w:val="20"/>
                <w:color w:val="auto"/>
              </w:rPr>
            </w:pPr>
            <w:r>
              <w:rPr>
                <w:rFonts w:ascii="Arial" w:cs="Arial" w:eastAsia="Arial" w:hAnsi="Arial"/>
                <w:sz w:val="14"/>
                <w:szCs w:val="14"/>
                <w:color w:val="auto"/>
              </w:rPr>
              <w:t>751</w:t>
            </w: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gridSpan w:val="3"/>
            <w:shd w:val="clear" w:color="auto" w:fill="CCEEFF"/>
          </w:tcPr>
          <w:p>
            <w:pPr>
              <w:jc w:val="right"/>
              <w:spacing w:after="0" w:line="143" w:lineRule="exact"/>
              <w:rPr>
                <w:sz w:val="20"/>
                <w:szCs w:val="20"/>
                <w:color w:val="auto"/>
              </w:rPr>
            </w:pPr>
            <w:r>
              <w:rPr>
                <w:rFonts w:ascii="Arial" w:cs="Arial" w:eastAsia="Arial" w:hAnsi="Arial"/>
                <w:sz w:val="14"/>
                <w:szCs w:val="14"/>
                <w:color w:val="auto"/>
              </w:rPr>
              <w:t>20,029</w:t>
            </w:r>
          </w:p>
        </w:tc>
        <w:tc>
          <w:tcPr>
            <w:tcW w:w="900" w:type="dxa"/>
            <w:vAlign w:val="bottom"/>
            <w:gridSpan w:val="4"/>
            <w:shd w:val="clear" w:color="auto" w:fill="CCEEFF"/>
          </w:tcPr>
          <w:p>
            <w:pPr>
              <w:jc w:val="right"/>
              <w:ind w:right="40"/>
              <w:spacing w:after="0" w:line="143" w:lineRule="exact"/>
              <w:rPr>
                <w:sz w:val="20"/>
                <w:szCs w:val="20"/>
                <w:color w:val="auto"/>
              </w:rPr>
            </w:pPr>
            <w:r>
              <w:rPr>
                <w:rFonts w:ascii="Arial" w:cs="Arial" w:eastAsia="Arial" w:hAnsi="Arial"/>
                <w:sz w:val="14"/>
                <w:szCs w:val="14"/>
                <w:color w:val="auto"/>
              </w:rPr>
              <w:t>87,300</w:t>
            </w:r>
          </w:p>
        </w:tc>
        <w:tc>
          <w:tcPr>
            <w:tcW w:w="160" w:type="dxa"/>
            <w:vAlign w:val="bottom"/>
            <w:shd w:val="clear" w:color="auto" w:fill="CCEEFF"/>
          </w:tcPr>
          <w:p>
            <w:pPr>
              <w:spacing w:after="0"/>
              <w:rPr>
                <w:sz w:val="12"/>
                <w:szCs w:val="12"/>
                <w:color w:val="auto"/>
              </w:rPr>
            </w:pPr>
          </w:p>
        </w:tc>
        <w:tc>
          <w:tcPr>
            <w:tcW w:w="620" w:type="dxa"/>
            <w:vAlign w:val="bottom"/>
            <w:gridSpan w:val="3"/>
            <w:shd w:val="clear" w:color="auto" w:fill="CCEEFF"/>
          </w:tcPr>
          <w:p>
            <w:pPr>
              <w:jc w:val="right"/>
              <w:ind w:right="20"/>
              <w:spacing w:after="0" w:line="143" w:lineRule="exact"/>
              <w:rPr>
                <w:sz w:val="20"/>
                <w:szCs w:val="20"/>
                <w:color w:val="auto"/>
              </w:rPr>
            </w:pPr>
            <w:r>
              <w:rPr>
                <w:rFonts w:ascii="Arial" w:cs="Arial" w:eastAsia="Arial" w:hAnsi="Arial"/>
                <w:sz w:val="14"/>
                <w:szCs w:val="14"/>
                <w:color w:val="auto"/>
              </w:rPr>
              <w:t>212,990</w:t>
            </w:r>
          </w:p>
        </w:tc>
        <w:tc>
          <w:tcPr>
            <w:tcW w:w="160" w:type="dxa"/>
            <w:vAlign w:val="bottom"/>
            <w:shd w:val="clear" w:color="auto" w:fill="CCEEFF"/>
          </w:tcPr>
          <w:p>
            <w:pPr>
              <w:spacing w:after="0"/>
              <w:rPr>
                <w:sz w:val="12"/>
                <w:szCs w:val="12"/>
                <w:color w:val="auto"/>
              </w:rPr>
            </w:pPr>
          </w:p>
        </w:tc>
        <w:tc>
          <w:tcPr>
            <w:tcW w:w="740" w:type="dxa"/>
            <w:vAlign w:val="bottom"/>
            <w:gridSpan w:val="3"/>
            <w:shd w:val="clear" w:color="auto" w:fill="CCEEFF"/>
          </w:tcPr>
          <w:p>
            <w:pPr>
              <w:jc w:val="right"/>
              <w:ind w:right="200"/>
              <w:spacing w:after="0" w:line="143" w:lineRule="exact"/>
              <w:rPr>
                <w:sz w:val="20"/>
                <w:szCs w:val="20"/>
                <w:color w:val="auto"/>
              </w:rPr>
            </w:pPr>
            <w:r>
              <w:rPr>
                <w:rFonts w:ascii="Arial" w:cs="Arial" w:eastAsia="Arial" w:hAnsi="Arial"/>
                <w:sz w:val="14"/>
                <w:szCs w:val="14"/>
                <w:color w:val="auto"/>
              </w:rPr>
              <w:t>107,858</w:t>
            </w:r>
          </w:p>
        </w:tc>
        <w:tc>
          <w:tcPr>
            <w:tcW w:w="620" w:type="dxa"/>
            <w:vAlign w:val="bottom"/>
            <w:gridSpan w:val="2"/>
            <w:shd w:val="clear" w:color="auto" w:fill="CCEEFF"/>
          </w:tcPr>
          <w:p>
            <w:pPr>
              <w:jc w:val="right"/>
              <w:ind w:right="80"/>
              <w:spacing w:after="0" w:line="143" w:lineRule="exact"/>
              <w:rPr>
                <w:sz w:val="20"/>
                <w:szCs w:val="20"/>
                <w:color w:val="auto"/>
              </w:rPr>
            </w:pPr>
            <w:r>
              <w:rPr>
                <w:rFonts w:ascii="Arial" w:cs="Arial" w:eastAsia="Arial" w:hAnsi="Arial"/>
                <w:sz w:val="14"/>
                <w:szCs w:val="14"/>
                <w:color w:val="auto"/>
              </w:rPr>
              <w:t>428,928</w:t>
            </w:r>
          </w:p>
        </w:tc>
        <w:tc>
          <w:tcPr>
            <w:tcW w:w="0" w:type="dxa"/>
            <w:vAlign w:val="bottom"/>
          </w:tcPr>
          <w:p>
            <w:pPr>
              <w:spacing w:after="0"/>
              <w:rPr>
                <w:sz w:val="1"/>
                <w:szCs w:val="1"/>
                <w:color w:val="auto"/>
              </w:rPr>
            </w:pPr>
          </w:p>
        </w:tc>
      </w:tr>
      <w:tr>
        <w:trPr>
          <w:trHeight w:val="124"/>
        </w:trPr>
        <w:tc>
          <w:tcPr>
            <w:tcW w:w="1320" w:type="dxa"/>
            <w:vAlign w:val="bottom"/>
          </w:tcPr>
          <w:p>
            <w:pPr>
              <w:spacing w:after="0" w:line="125" w:lineRule="exact"/>
              <w:rPr>
                <w:sz w:val="20"/>
                <w:szCs w:val="20"/>
                <w:color w:val="auto"/>
              </w:rPr>
            </w:pPr>
            <w:r>
              <w:rPr>
                <w:rFonts w:ascii="Arial" w:cs="Arial" w:eastAsia="Arial" w:hAnsi="Arial"/>
                <w:sz w:val="14"/>
                <w:szCs w:val="14"/>
                <w:color w:val="auto"/>
              </w:rPr>
              <w:t>Foreign exchange</w:t>
            </w:r>
          </w:p>
        </w:tc>
        <w:tc>
          <w:tcPr>
            <w:tcW w:w="5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1"/>
        </w:trPr>
        <w:tc>
          <w:tcPr>
            <w:tcW w:w="1320" w:type="dxa"/>
            <w:vAlign w:val="bottom"/>
          </w:tcPr>
          <w:p>
            <w:pPr>
              <w:spacing w:after="0"/>
              <w:rPr>
                <w:sz w:val="20"/>
                <w:szCs w:val="20"/>
                <w:color w:val="auto"/>
              </w:rPr>
            </w:pPr>
            <w:r>
              <w:rPr>
                <w:rFonts w:ascii="Arial" w:cs="Arial" w:eastAsia="Arial" w:hAnsi="Arial"/>
                <w:sz w:val="14"/>
                <w:szCs w:val="14"/>
                <w:color w:val="auto"/>
              </w:rPr>
              <w:t>options</w:t>
            </w:r>
          </w:p>
        </w:tc>
        <w:tc>
          <w:tcPr>
            <w:tcW w:w="680" w:type="dxa"/>
            <w:vAlign w:val="bottom"/>
            <w:gridSpan w:val="2"/>
          </w:tcPr>
          <w:p>
            <w:pPr>
              <w:jc w:val="right"/>
              <w:ind w:right="160"/>
              <w:spacing w:after="0"/>
              <w:rPr>
                <w:sz w:val="20"/>
                <w:szCs w:val="20"/>
                <w:color w:val="auto"/>
              </w:rPr>
            </w:pPr>
            <w:r>
              <w:rPr>
                <w:rFonts w:ascii="Arial" w:cs="Arial" w:eastAsia="Arial" w:hAnsi="Arial"/>
                <w:sz w:val="14"/>
                <w:szCs w:val="14"/>
                <w:color w:val="auto"/>
              </w:rPr>
              <w:t>2,468</w:t>
            </w: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224</w:t>
            </w: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560" w:type="dxa"/>
            <w:vAlign w:val="bottom"/>
            <w:gridSpan w:val="3"/>
          </w:tcPr>
          <w:p>
            <w:pPr>
              <w:jc w:val="right"/>
              <w:ind w:right="40"/>
              <w:spacing w:after="0"/>
              <w:rPr>
                <w:sz w:val="20"/>
                <w:szCs w:val="20"/>
                <w:color w:val="auto"/>
              </w:rPr>
            </w:pPr>
            <w:r>
              <w:rPr>
                <w:rFonts w:ascii="Arial" w:cs="Arial" w:eastAsia="Arial" w:hAnsi="Arial"/>
                <w:sz w:val="14"/>
                <w:szCs w:val="14"/>
                <w:color w:val="auto"/>
              </w:rPr>
              <w:t>2,692</w:t>
            </w:r>
          </w:p>
        </w:tc>
        <w:tc>
          <w:tcPr>
            <w:tcW w:w="140" w:type="dxa"/>
            <w:vAlign w:val="bottom"/>
          </w:tcPr>
          <w:p>
            <w:pPr>
              <w:spacing w:after="0"/>
              <w:rPr>
                <w:sz w:val="14"/>
                <w:szCs w:val="14"/>
                <w:color w:val="auto"/>
              </w:rPr>
            </w:pPr>
          </w:p>
        </w:tc>
        <w:tc>
          <w:tcPr>
            <w:tcW w:w="940" w:type="dxa"/>
            <w:vAlign w:val="bottom"/>
            <w:gridSpan w:val="3"/>
          </w:tcPr>
          <w:p>
            <w:pPr>
              <w:jc w:val="right"/>
              <w:ind w:right="20"/>
              <w:spacing w:after="0"/>
              <w:rPr>
                <w:sz w:val="20"/>
                <w:szCs w:val="20"/>
                <w:color w:val="auto"/>
              </w:rPr>
            </w:pPr>
            <w:r>
              <w:rPr>
                <w:rFonts w:ascii="Arial" w:cs="Arial" w:eastAsia="Arial" w:hAnsi="Arial"/>
                <w:sz w:val="14"/>
                <w:szCs w:val="14"/>
                <w:color w:val="auto"/>
              </w:rPr>
              <w:t>9,827</w:t>
            </w:r>
          </w:p>
        </w:tc>
        <w:tc>
          <w:tcPr>
            <w:tcW w:w="160" w:type="dxa"/>
            <w:vAlign w:val="bottom"/>
          </w:tcPr>
          <w:p>
            <w:pPr>
              <w:spacing w:after="0"/>
              <w:rPr>
                <w:sz w:val="14"/>
                <w:szCs w:val="14"/>
                <w:color w:val="auto"/>
              </w:rPr>
            </w:pPr>
          </w:p>
        </w:tc>
        <w:tc>
          <w:tcPr>
            <w:tcW w:w="740" w:type="dxa"/>
            <w:vAlign w:val="bottom"/>
            <w:gridSpan w:val="3"/>
          </w:tcPr>
          <w:p>
            <w:pPr>
              <w:jc w:val="right"/>
              <w:spacing w:after="0"/>
              <w:rPr>
                <w:sz w:val="20"/>
                <w:szCs w:val="20"/>
                <w:color w:val="auto"/>
              </w:rPr>
            </w:pPr>
            <w:r>
              <w:rPr>
                <w:rFonts w:ascii="Arial" w:cs="Arial" w:eastAsia="Arial" w:hAnsi="Arial"/>
                <w:sz w:val="14"/>
                <w:szCs w:val="14"/>
                <w:color w:val="auto"/>
              </w:rPr>
              <w:t>11,663</w:t>
            </w:r>
          </w:p>
        </w:tc>
        <w:tc>
          <w:tcPr>
            <w:tcW w:w="900" w:type="dxa"/>
            <w:vAlign w:val="bottom"/>
            <w:gridSpan w:val="4"/>
          </w:tcPr>
          <w:p>
            <w:pPr>
              <w:jc w:val="right"/>
              <w:ind w:right="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620" w:type="dxa"/>
            <w:vAlign w:val="bottom"/>
            <w:gridSpan w:val="3"/>
          </w:tcPr>
          <w:p>
            <w:pPr>
              <w:jc w:val="right"/>
              <w:ind w:right="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5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4"/>
                <w:szCs w:val="14"/>
                <w:color w:val="auto"/>
              </w:rPr>
              <w:t>21,490</w:t>
            </w:r>
          </w:p>
        </w:tc>
        <w:tc>
          <w:tcPr>
            <w:tcW w:w="0" w:type="dxa"/>
            <w:vAlign w:val="bottom"/>
          </w:tcPr>
          <w:p>
            <w:pPr>
              <w:spacing w:after="0"/>
              <w:rPr>
                <w:sz w:val="1"/>
                <w:szCs w:val="1"/>
                <w:color w:val="auto"/>
              </w:rPr>
            </w:pPr>
          </w:p>
        </w:tc>
      </w:tr>
      <w:tr>
        <w:trPr>
          <w:trHeight w:val="149"/>
        </w:trPr>
        <w:tc>
          <w:tcPr>
            <w:tcW w:w="1320" w:type="dxa"/>
            <w:vAlign w:val="bottom"/>
            <w:tcBorders>
              <w:top w:val="single" w:sz="8" w:color="CCEEFF"/>
              <w:bottom w:val="single" w:sz="8" w:color="CCEEFF"/>
            </w:tcBorders>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assets</w:t>
            </w:r>
          </w:p>
        </w:tc>
        <w:tc>
          <w:tcPr>
            <w:tcW w:w="52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62,140</w:t>
            </w: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60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44,236</w:t>
            </w: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72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166,195</w:t>
            </w: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70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76,855</w:t>
            </w: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54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149,760</w:t>
            </w: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520" w:type="dxa"/>
            <w:vAlign w:val="bottom"/>
            <w:tcBorders>
              <w:top w:val="single" w:sz="8" w:color="auto"/>
              <w:bottom w:val="single" w:sz="8" w:color="auto"/>
            </w:tcBorders>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98"/>
              </w:rPr>
              <w:t>499,186</w:t>
            </w:r>
          </w:p>
        </w:tc>
        <w:tc>
          <w:tcPr>
            <w:tcW w:w="40" w:type="dxa"/>
            <w:vAlign w:val="bottom"/>
            <w:tcBorders>
              <w:top w:val="single" w:sz="8" w:color="CCEEFF"/>
              <w:bottom w:val="single" w:sz="8" w:color="CCEEFF"/>
            </w:tcBorders>
            <w:shd w:val="clear" w:color="auto" w:fill="CCEEFF"/>
          </w:tcPr>
          <w:p>
            <w:pPr>
              <w:spacing w:after="0"/>
              <w:rPr>
                <w:sz w:val="12"/>
                <w:szCs w:val="12"/>
                <w:color w:val="auto"/>
              </w:rPr>
            </w:pP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920" w:type="dxa"/>
            <w:vAlign w:val="bottom"/>
            <w:tcBorders>
              <w:top w:val="single" w:sz="8" w:color="auto"/>
              <w:bottom w:val="single" w:sz="8" w:color="auto"/>
            </w:tcBorders>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75,509</w:t>
            </w: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720" w:type="dxa"/>
            <w:vAlign w:val="bottom"/>
            <w:tcBorders>
              <w:top w:val="single" w:sz="8" w:color="auto"/>
              <w:bottom w:val="single" w:sz="8" w:color="auto"/>
            </w:tcBorders>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53,909</w:t>
            </w: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700" w:type="dxa"/>
            <w:vAlign w:val="bottom"/>
            <w:tcBorders>
              <w:top w:val="single" w:sz="8" w:color="auto"/>
              <w:bottom w:val="single" w:sz="8" w:color="auto"/>
            </w:tcBorders>
            <w:gridSpan w:val="2"/>
            <w:shd w:val="clear" w:color="auto" w:fill="CCEEFF"/>
          </w:tcPr>
          <w:p>
            <w:pPr>
              <w:jc w:val="center"/>
              <w:ind w:left="191"/>
              <w:spacing w:after="0" w:line="149" w:lineRule="exact"/>
              <w:rPr>
                <w:sz w:val="20"/>
                <w:szCs w:val="20"/>
                <w:color w:val="auto"/>
              </w:rPr>
            </w:pPr>
            <w:r>
              <w:rPr>
                <w:rFonts w:ascii="Arial" w:cs="Arial" w:eastAsia="Arial" w:hAnsi="Arial"/>
                <w:sz w:val="14"/>
                <w:szCs w:val="14"/>
                <w:color w:val="auto"/>
                <w:w w:val="86"/>
              </w:rPr>
              <w:t>107,890</w:t>
            </w:r>
          </w:p>
        </w:tc>
        <w:tc>
          <w:tcPr>
            <w:tcW w:w="40" w:type="dxa"/>
            <w:vAlign w:val="bottom"/>
            <w:tcBorders>
              <w:top w:val="single" w:sz="8" w:color="CCEEFF"/>
              <w:bottom w:val="single" w:sz="8" w:color="CCEEFF"/>
            </w:tcBorders>
            <w:shd w:val="clear" w:color="auto" w:fill="CCEEFF"/>
          </w:tcPr>
          <w:p>
            <w:pPr>
              <w:spacing w:after="0"/>
              <w:rPr>
                <w:sz w:val="12"/>
                <w:szCs w:val="12"/>
                <w:color w:val="auto"/>
              </w:rPr>
            </w:pP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600" w:type="dxa"/>
            <w:vAlign w:val="bottom"/>
            <w:tcBorders>
              <w:top w:val="single" w:sz="8" w:color="auto"/>
              <w:bottom w:val="single" w:sz="8" w:color="auto"/>
            </w:tcBorders>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223,358</w:t>
            </w: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540" w:type="dxa"/>
            <w:vAlign w:val="bottom"/>
            <w:tcBorders>
              <w:top w:val="single" w:sz="8" w:color="auto"/>
              <w:bottom w:val="single" w:sz="8" w:color="auto"/>
            </w:tcBorders>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151,346</w:t>
            </w:r>
          </w:p>
        </w:tc>
        <w:tc>
          <w:tcPr>
            <w:tcW w:w="200" w:type="dxa"/>
            <w:vAlign w:val="bottom"/>
            <w:tcBorders>
              <w:top w:val="single" w:sz="8" w:color="CCEEFF"/>
              <w:bottom w:val="single" w:sz="8" w:color="CCEEFF"/>
            </w:tcBorders>
            <w:shd w:val="clear" w:color="auto" w:fill="CCEEFF"/>
          </w:tcPr>
          <w:p>
            <w:pPr>
              <w:spacing w:after="0"/>
              <w:rPr>
                <w:sz w:val="12"/>
                <w:szCs w:val="12"/>
                <w:color w:val="auto"/>
              </w:rPr>
            </w:pPr>
          </w:p>
        </w:tc>
        <w:tc>
          <w:tcPr>
            <w:tcW w:w="54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612,012</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0"/>
        </w:trPr>
        <w:tc>
          <w:tcPr>
            <w:tcW w:w="1320" w:type="dxa"/>
            <w:vAlign w:val="bottom"/>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gridSpan w:val="4"/>
          </w:tcPr>
          <w:p>
            <w:pPr>
              <w:jc w:val="right"/>
              <w:ind w:right="320"/>
              <w:spacing w:after="0"/>
              <w:rPr>
                <w:sz w:val="20"/>
                <w:szCs w:val="20"/>
                <w:color w:val="auto"/>
              </w:rPr>
            </w:pPr>
            <w:r>
              <w:rPr>
                <w:rFonts w:ascii="Arial" w:cs="Arial" w:eastAsia="Arial" w:hAnsi="Arial"/>
                <w:sz w:val="14"/>
                <w:szCs w:val="14"/>
                <w:b w:val="1"/>
                <w:bCs w:val="1"/>
                <w:color w:val="auto"/>
                <w:w w:val="96"/>
              </w:rPr>
              <w:t>At December 31, 2017</w:t>
            </w:r>
          </w:p>
        </w:tc>
        <w:tc>
          <w:tcPr>
            <w:tcW w:w="5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gridSpan w:val="9"/>
          </w:tcPr>
          <w:p>
            <w:pPr>
              <w:jc w:val="center"/>
              <w:ind w:right="540"/>
              <w:spacing w:after="0"/>
              <w:rPr>
                <w:sz w:val="20"/>
                <w:szCs w:val="20"/>
                <w:color w:val="auto"/>
              </w:rPr>
            </w:pPr>
            <w:r>
              <w:rPr>
                <w:rFonts w:ascii="Arial" w:cs="Arial" w:eastAsia="Arial" w:hAnsi="Arial"/>
                <w:sz w:val="14"/>
                <w:szCs w:val="14"/>
                <w:b w:val="1"/>
                <w:bCs w:val="1"/>
                <w:color w:val="auto"/>
                <w:w w:val="89"/>
              </w:rPr>
              <w:t>At December 31, 2016</w:t>
            </w:r>
          </w:p>
        </w:tc>
        <w:tc>
          <w:tcPr>
            <w:tcW w:w="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3"/>
        </w:trPr>
        <w:tc>
          <w:tcPr>
            <w:tcW w:w="1320" w:type="dxa"/>
            <w:vAlign w:val="bottom"/>
          </w:tcPr>
          <w:p>
            <w:pPr>
              <w:spacing w:after="0"/>
              <w:rPr>
                <w:sz w:val="9"/>
                <w:szCs w:val="9"/>
                <w:color w:val="auto"/>
              </w:rPr>
            </w:pPr>
          </w:p>
        </w:tc>
        <w:tc>
          <w:tcPr>
            <w:tcW w:w="68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2"/>
              </w:rPr>
              <w:t>Up to 3</w:t>
            </w:r>
          </w:p>
        </w:tc>
        <w:tc>
          <w:tcPr>
            <w:tcW w:w="760" w:type="dxa"/>
            <w:vAlign w:val="bottom"/>
            <w:gridSpan w:val="2"/>
          </w:tcPr>
          <w:p>
            <w:pPr>
              <w:jc w:val="center"/>
              <w:ind w:right="200"/>
              <w:spacing w:after="0" w:line="114" w:lineRule="exact"/>
              <w:rPr>
                <w:sz w:val="20"/>
                <w:szCs w:val="20"/>
                <w:color w:val="auto"/>
              </w:rPr>
            </w:pPr>
            <w:r>
              <w:rPr>
                <w:rFonts w:ascii="Arial" w:cs="Arial" w:eastAsia="Arial" w:hAnsi="Arial"/>
                <w:sz w:val="13"/>
                <w:szCs w:val="13"/>
                <w:b w:val="1"/>
                <w:bCs w:val="1"/>
                <w:color w:val="auto"/>
              </w:rPr>
              <w:t>From 3</w:t>
            </w:r>
          </w:p>
        </w:tc>
        <w:tc>
          <w:tcPr>
            <w:tcW w:w="88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0"/>
              </w:rPr>
              <w:t>From 1 to 3</w:t>
            </w:r>
          </w:p>
        </w:tc>
        <w:tc>
          <w:tcPr>
            <w:tcW w:w="86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2"/>
              </w:rPr>
              <w:t>From 3 to 5</w:t>
            </w:r>
          </w:p>
        </w:tc>
        <w:tc>
          <w:tcPr>
            <w:tcW w:w="70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1"/>
              </w:rPr>
              <w:t>Over 5</w:t>
            </w:r>
          </w:p>
        </w:tc>
        <w:tc>
          <w:tcPr>
            <w:tcW w:w="20" w:type="dxa"/>
            <w:vAlign w:val="bottom"/>
          </w:tcPr>
          <w:p>
            <w:pPr>
              <w:spacing w:after="0"/>
              <w:rPr>
                <w:sz w:val="9"/>
                <w:szCs w:val="9"/>
                <w:color w:val="auto"/>
              </w:rPr>
            </w:pPr>
          </w:p>
        </w:tc>
        <w:tc>
          <w:tcPr>
            <w:tcW w:w="50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40" w:type="dxa"/>
            <w:vAlign w:val="bottom"/>
          </w:tcPr>
          <w:p>
            <w:pPr>
              <w:spacing w:after="0"/>
              <w:rPr>
                <w:sz w:val="9"/>
                <w:szCs w:val="9"/>
                <w:color w:val="auto"/>
              </w:rPr>
            </w:pPr>
          </w:p>
        </w:tc>
        <w:tc>
          <w:tcPr>
            <w:tcW w:w="88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 w:type="dxa"/>
            <w:vAlign w:val="bottom"/>
          </w:tcPr>
          <w:p>
            <w:pPr>
              <w:spacing w:after="0"/>
              <w:rPr>
                <w:sz w:val="9"/>
                <w:szCs w:val="9"/>
                <w:color w:val="auto"/>
              </w:rPr>
            </w:pPr>
          </w:p>
        </w:tc>
        <w:tc>
          <w:tcPr>
            <w:tcW w:w="720" w:type="dxa"/>
            <w:vAlign w:val="bottom"/>
            <w:gridSpan w:val="2"/>
          </w:tcPr>
          <w:p>
            <w:pPr>
              <w:jc w:val="center"/>
              <w:spacing w:after="0" w:line="114" w:lineRule="exact"/>
              <w:rPr>
                <w:sz w:val="20"/>
                <w:szCs w:val="20"/>
                <w:color w:val="auto"/>
              </w:rPr>
            </w:pPr>
            <w:r>
              <w:rPr>
                <w:rFonts w:ascii="Arial" w:cs="Arial" w:eastAsia="Arial" w:hAnsi="Arial"/>
                <w:sz w:val="13"/>
                <w:szCs w:val="13"/>
                <w:b w:val="1"/>
                <w:bCs w:val="1"/>
                <w:color w:val="auto"/>
              </w:rPr>
              <w:t>From 3</w:t>
            </w:r>
          </w:p>
        </w:tc>
        <w:tc>
          <w:tcPr>
            <w:tcW w:w="160" w:type="dxa"/>
            <w:vAlign w:val="bottom"/>
          </w:tcPr>
          <w:p>
            <w:pPr>
              <w:spacing w:after="0"/>
              <w:rPr>
                <w:sz w:val="9"/>
                <w:szCs w:val="9"/>
                <w:color w:val="auto"/>
              </w:rPr>
            </w:pPr>
          </w:p>
        </w:tc>
        <w:tc>
          <w:tcPr>
            <w:tcW w:w="20" w:type="dxa"/>
            <w:vAlign w:val="bottom"/>
          </w:tcPr>
          <w:p>
            <w:pPr>
              <w:spacing w:after="0"/>
              <w:rPr>
                <w:sz w:val="9"/>
                <w:szCs w:val="9"/>
                <w:color w:val="auto"/>
              </w:rPr>
            </w:pPr>
          </w:p>
        </w:tc>
        <w:tc>
          <w:tcPr>
            <w:tcW w:w="880" w:type="dxa"/>
            <w:vAlign w:val="bottom"/>
            <w:gridSpan w:val="3"/>
            <w:vMerge w:val="restart"/>
          </w:tcPr>
          <w:p>
            <w:pPr>
              <w:jc w:val="center"/>
              <w:ind w:right="160"/>
              <w:spacing w:after="0"/>
              <w:rPr>
                <w:sz w:val="20"/>
                <w:szCs w:val="20"/>
                <w:color w:val="auto"/>
              </w:rPr>
            </w:pPr>
            <w:r>
              <w:rPr>
                <w:rFonts w:ascii="Arial" w:cs="Arial" w:eastAsia="Arial" w:hAnsi="Arial"/>
                <w:sz w:val="14"/>
                <w:szCs w:val="14"/>
                <w:b w:val="1"/>
                <w:bCs w:val="1"/>
                <w:color w:val="auto"/>
                <w:w w:val="90"/>
              </w:rPr>
              <w:t>From 1 to 3</w:t>
            </w:r>
          </w:p>
        </w:tc>
        <w:tc>
          <w:tcPr>
            <w:tcW w:w="20" w:type="dxa"/>
            <w:vAlign w:val="bottom"/>
          </w:tcPr>
          <w:p>
            <w:pPr>
              <w:spacing w:after="0"/>
              <w:rPr>
                <w:sz w:val="9"/>
                <w:szCs w:val="9"/>
                <w:color w:val="auto"/>
              </w:rPr>
            </w:pPr>
          </w:p>
        </w:tc>
        <w:tc>
          <w:tcPr>
            <w:tcW w:w="760" w:type="dxa"/>
            <w:vAlign w:val="bottom"/>
            <w:gridSpan w:val="3"/>
            <w:vMerge w:val="restart"/>
          </w:tcPr>
          <w:p>
            <w:pPr>
              <w:jc w:val="right"/>
              <w:ind w:right="160"/>
              <w:spacing w:after="0"/>
              <w:rPr>
                <w:sz w:val="20"/>
                <w:szCs w:val="20"/>
                <w:color w:val="auto"/>
              </w:rPr>
            </w:pPr>
            <w:r>
              <w:rPr>
                <w:rFonts w:ascii="Arial" w:cs="Arial" w:eastAsia="Arial" w:hAnsi="Arial"/>
                <w:sz w:val="14"/>
                <w:szCs w:val="14"/>
                <w:b w:val="1"/>
                <w:bCs w:val="1"/>
                <w:color w:val="auto"/>
                <w:w w:val="90"/>
              </w:rPr>
              <w:t>From 3 to</w:t>
            </w:r>
          </w:p>
        </w:tc>
        <w:tc>
          <w:tcPr>
            <w:tcW w:w="20" w:type="dxa"/>
            <w:vAlign w:val="bottom"/>
          </w:tcPr>
          <w:p>
            <w:pPr>
              <w:spacing w:after="0"/>
              <w:rPr>
                <w:sz w:val="9"/>
                <w:szCs w:val="9"/>
                <w:color w:val="auto"/>
              </w:rPr>
            </w:pPr>
          </w:p>
        </w:tc>
        <w:tc>
          <w:tcPr>
            <w:tcW w:w="72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1"/>
              </w:rPr>
              <w:t>Over 5</w:t>
            </w: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3"/>
        </w:trPr>
        <w:tc>
          <w:tcPr>
            <w:tcW w:w="1320" w:type="dxa"/>
            <w:vAlign w:val="bottom"/>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760" w:type="dxa"/>
            <w:vAlign w:val="bottom"/>
            <w:gridSpan w:val="2"/>
          </w:tcPr>
          <w:p>
            <w:pPr>
              <w:jc w:val="center"/>
              <w:ind w:right="160"/>
              <w:spacing w:after="0" w:line="143" w:lineRule="exact"/>
              <w:rPr>
                <w:sz w:val="20"/>
                <w:szCs w:val="20"/>
                <w:color w:val="auto"/>
              </w:rPr>
            </w:pPr>
            <w:r>
              <w:rPr>
                <w:rFonts w:ascii="Arial" w:cs="Arial" w:eastAsia="Arial" w:hAnsi="Arial"/>
                <w:sz w:val="14"/>
                <w:szCs w:val="14"/>
                <w:b w:val="1"/>
                <w:bCs w:val="1"/>
                <w:color w:val="auto"/>
                <w:w w:val="88"/>
              </w:rPr>
              <w:t>months to</w:t>
            </w:r>
          </w:p>
        </w:tc>
        <w:tc>
          <w:tcPr>
            <w:tcW w:w="880" w:type="dxa"/>
            <w:vAlign w:val="bottom"/>
            <w:gridSpan w:val="2"/>
            <w:vMerge w:val="continue"/>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Total</w:t>
            </w:r>
          </w:p>
        </w:tc>
        <w:tc>
          <w:tcPr>
            <w:tcW w:w="40" w:type="dxa"/>
            <w:vAlign w:val="bottom"/>
          </w:tcPr>
          <w:p>
            <w:pPr>
              <w:spacing w:after="0"/>
              <w:rPr>
                <w:sz w:val="12"/>
                <w:szCs w:val="12"/>
                <w:color w:val="auto"/>
              </w:rPr>
            </w:pPr>
          </w:p>
        </w:tc>
        <w:tc>
          <w:tcPr>
            <w:tcW w:w="1060" w:type="dxa"/>
            <w:vAlign w:val="bottom"/>
            <w:gridSpan w:val="3"/>
            <w:vMerge w:val="restart"/>
          </w:tcPr>
          <w:p>
            <w:pPr>
              <w:jc w:val="right"/>
              <w:ind w:right="160"/>
              <w:spacing w:after="0"/>
              <w:rPr>
                <w:sz w:val="20"/>
                <w:szCs w:val="20"/>
                <w:color w:val="auto"/>
              </w:rPr>
            </w:pPr>
            <w:r>
              <w:rPr>
                <w:rFonts w:ascii="Arial" w:cs="Arial" w:eastAsia="Arial" w:hAnsi="Arial"/>
                <w:sz w:val="14"/>
                <w:szCs w:val="14"/>
                <w:b w:val="1"/>
                <w:bCs w:val="1"/>
                <w:color w:val="auto"/>
                <w:w w:val="86"/>
              </w:rPr>
              <w:t>Up to 3 months</w:t>
            </w:r>
          </w:p>
        </w:tc>
        <w:tc>
          <w:tcPr>
            <w:tcW w:w="20" w:type="dxa"/>
            <w:vAlign w:val="bottom"/>
          </w:tcPr>
          <w:p>
            <w:pPr>
              <w:spacing w:after="0"/>
              <w:rPr>
                <w:sz w:val="12"/>
                <w:szCs w:val="12"/>
                <w:color w:val="auto"/>
              </w:rPr>
            </w:pPr>
          </w:p>
        </w:tc>
        <w:tc>
          <w:tcPr>
            <w:tcW w:w="720" w:type="dxa"/>
            <w:vAlign w:val="bottom"/>
            <w:gridSpan w:val="2"/>
          </w:tcPr>
          <w:p>
            <w:pPr>
              <w:jc w:val="right"/>
              <w:spacing w:after="0" w:line="143" w:lineRule="exact"/>
              <w:rPr>
                <w:sz w:val="20"/>
                <w:szCs w:val="20"/>
                <w:color w:val="auto"/>
              </w:rPr>
            </w:pPr>
            <w:r>
              <w:rPr>
                <w:rFonts w:ascii="Arial" w:cs="Arial" w:eastAsia="Arial" w:hAnsi="Arial"/>
                <w:sz w:val="14"/>
                <w:szCs w:val="14"/>
                <w:b w:val="1"/>
                <w:bCs w:val="1"/>
                <w:color w:val="auto"/>
                <w:w w:val="85"/>
              </w:rPr>
              <w:t>months to 1</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8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76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62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65"/>
        </w:trPr>
        <w:tc>
          <w:tcPr>
            <w:tcW w:w="1320" w:type="dxa"/>
            <w:vAlign w:val="bottom"/>
          </w:tcPr>
          <w:p>
            <w:pPr>
              <w:spacing w:after="0"/>
              <w:rPr>
                <w:sz w:val="14"/>
                <w:szCs w:val="14"/>
                <w:color w:val="auto"/>
              </w:rPr>
            </w:pPr>
          </w:p>
        </w:tc>
        <w:tc>
          <w:tcPr>
            <w:tcW w:w="6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6"/>
              </w:rPr>
              <w:t>months</w:t>
            </w:r>
          </w:p>
        </w:tc>
        <w:tc>
          <w:tcPr>
            <w:tcW w:w="7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8"/>
              </w:rPr>
              <w:t>1 year</w:t>
            </w:r>
          </w:p>
        </w:tc>
        <w:tc>
          <w:tcPr>
            <w:tcW w:w="8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7"/>
              </w:rPr>
              <w:t>years</w:t>
            </w:r>
          </w:p>
        </w:tc>
        <w:tc>
          <w:tcPr>
            <w:tcW w:w="8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1"/>
              </w:rPr>
              <w:t>years</w:t>
            </w:r>
          </w:p>
        </w:tc>
        <w:tc>
          <w:tcPr>
            <w:tcW w:w="7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1"/>
              </w:rPr>
              <w:t>years</w:t>
            </w:r>
          </w:p>
        </w:tc>
        <w:tc>
          <w:tcPr>
            <w:tcW w:w="20" w:type="dxa"/>
            <w:vAlign w:val="bottom"/>
          </w:tcPr>
          <w:p>
            <w:pPr>
              <w:spacing w:after="0"/>
              <w:rPr>
                <w:sz w:val="14"/>
                <w:szCs w:val="14"/>
                <w:color w:val="auto"/>
              </w:rPr>
            </w:pPr>
          </w:p>
        </w:tc>
        <w:tc>
          <w:tcPr>
            <w:tcW w:w="680" w:type="dxa"/>
            <w:vAlign w:val="bottom"/>
            <w:gridSpan w:val="3"/>
            <w:vMerge w:val="continue"/>
          </w:tcPr>
          <w:p>
            <w:pPr>
              <w:spacing w:after="0"/>
              <w:rPr>
                <w:sz w:val="14"/>
                <w:szCs w:val="14"/>
                <w:color w:val="auto"/>
              </w:rPr>
            </w:pPr>
          </w:p>
        </w:tc>
        <w:tc>
          <w:tcPr>
            <w:tcW w:w="40" w:type="dxa"/>
            <w:vAlign w:val="bottom"/>
          </w:tcPr>
          <w:p>
            <w:pPr>
              <w:spacing w:after="0"/>
              <w:rPr>
                <w:sz w:val="14"/>
                <w:szCs w:val="14"/>
                <w:color w:val="auto"/>
              </w:rPr>
            </w:pPr>
          </w:p>
        </w:tc>
        <w:tc>
          <w:tcPr>
            <w:tcW w:w="1060" w:type="dxa"/>
            <w:vAlign w:val="bottom"/>
            <w:gridSpan w:val="3"/>
            <w:vMerge w:val="continue"/>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gridSpan w:val="2"/>
          </w:tcPr>
          <w:p>
            <w:pPr>
              <w:jc w:val="right"/>
              <w:ind w:right="151"/>
              <w:spacing w:after="0"/>
              <w:rPr>
                <w:sz w:val="20"/>
                <w:szCs w:val="20"/>
                <w:color w:val="auto"/>
              </w:rPr>
            </w:pPr>
            <w:r>
              <w:rPr>
                <w:rFonts w:ascii="Arial" w:cs="Arial" w:eastAsia="Arial" w:hAnsi="Arial"/>
                <w:sz w:val="14"/>
                <w:szCs w:val="14"/>
                <w:b w:val="1"/>
                <w:bCs w:val="1"/>
                <w:color w:val="auto"/>
              </w:rPr>
              <w:t>year</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87"/>
              </w:rPr>
              <w:t>years</w:t>
            </w:r>
          </w:p>
        </w:tc>
        <w:tc>
          <w:tcPr>
            <w:tcW w:w="20" w:type="dxa"/>
            <w:vAlign w:val="bottom"/>
          </w:tcPr>
          <w:p>
            <w:pPr>
              <w:spacing w:after="0"/>
              <w:rPr>
                <w:sz w:val="14"/>
                <w:szCs w:val="14"/>
                <w:color w:val="auto"/>
              </w:rPr>
            </w:pPr>
          </w:p>
        </w:tc>
        <w:tc>
          <w:tcPr>
            <w:tcW w:w="76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rPr>
              <w:t>5 years</w:t>
            </w:r>
          </w:p>
        </w:tc>
        <w:tc>
          <w:tcPr>
            <w:tcW w:w="20" w:type="dxa"/>
            <w:vAlign w:val="bottom"/>
          </w:tcPr>
          <w:p>
            <w:pPr>
              <w:spacing w:after="0"/>
              <w:rPr>
                <w:sz w:val="14"/>
                <w:szCs w:val="14"/>
                <w:color w:val="auto"/>
              </w:rPr>
            </w:pPr>
          </w:p>
        </w:tc>
        <w:tc>
          <w:tcPr>
            <w:tcW w:w="72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years</w:t>
            </w:r>
          </w:p>
        </w:tc>
        <w:tc>
          <w:tcPr>
            <w:tcW w:w="6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1320" w:type="dxa"/>
            <w:vAlign w:val="bottom"/>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4"/>
        </w:trPr>
        <w:tc>
          <w:tcPr>
            <w:tcW w:w="1320" w:type="dxa"/>
            <w:vAlign w:val="bottom"/>
            <w:shd w:val="clear" w:color="auto" w:fill="CCEEFF"/>
          </w:tcPr>
          <w:p>
            <w:pPr>
              <w:spacing w:after="0" w:line="125" w:lineRule="exact"/>
              <w:rPr>
                <w:sz w:val="20"/>
                <w:szCs w:val="20"/>
                <w:color w:val="auto"/>
              </w:rPr>
            </w:pPr>
            <w:r>
              <w:rPr>
                <w:rFonts w:ascii="Arial" w:cs="Arial" w:eastAsia="Arial" w:hAnsi="Arial"/>
                <w:sz w:val="14"/>
                <w:szCs w:val="14"/>
                <w:color w:val="auto"/>
              </w:rPr>
              <w:t>Forward foreign</w:t>
            </w:r>
          </w:p>
        </w:tc>
        <w:tc>
          <w:tcPr>
            <w:tcW w:w="5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1"/>
        </w:trPr>
        <w:tc>
          <w:tcPr>
            <w:tcW w:w="1320" w:type="dxa"/>
            <w:vAlign w:val="bottom"/>
            <w:shd w:val="clear" w:color="auto" w:fill="CCEEFF"/>
          </w:tcPr>
          <w:p>
            <w:pPr>
              <w:spacing w:after="0"/>
              <w:rPr>
                <w:sz w:val="20"/>
                <w:szCs w:val="20"/>
                <w:color w:val="auto"/>
              </w:rPr>
            </w:pPr>
            <w:r>
              <w:rPr>
                <w:rFonts w:ascii="Arial" w:cs="Arial" w:eastAsia="Arial" w:hAnsi="Arial"/>
                <w:sz w:val="14"/>
                <w:szCs w:val="14"/>
                <w:color w:val="auto"/>
              </w:rPr>
              <w:t>exchange contracts</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39,888</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16,603</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378</w:t>
            </w:r>
          </w:p>
        </w:tc>
        <w:tc>
          <w:tcPr>
            <w:tcW w:w="16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700" w:type="dxa"/>
            <w:vAlign w:val="bottom"/>
            <w:gridSpan w:val="4"/>
            <w:shd w:val="clear" w:color="auto" w:fill="CCEEFF"/>
          </w:tcPr>
          <w:p>
            <w:pPr>
              <w:jc w:val="right"/>
              <w:ind w:right="140"/>
              <w:spacing w:after="0"/>
              <w:rPr>
                <w:sz w:val="20"/>
                <w:szCs w:val="20"/>
                <w:color w:val="auto"/>
              </w:rPr>
            </w:pPr>
            <w:r>
              <w:rPr>
                <w:rFonts w:ascii="Arial" w:cs="Arial" w:eastAsia="Arial" w:hAnsi="Arial"/>
                <w:sz w:val="14"/>
                <w:szCs w:val="14"/>
                <w:color w:val="auto"/>
              </w:rPr>
              <w:t>56,869</w:t>
            </w:r>
          </w:p>
        </w:tc>
        <w:tc>
          <w:tcPr>
            <w:tcW w:w="1100" w:type="dxa"/>
            <w:vAlign w:val="bottom"/>
            <w:gridSpan w:val="4"/>
            <w:shd w:val="clear" w:color="auto" w:fill="CCEEFF"/>
          </w:tcPr>
          <w:p>
            <w:pPr>
              <w:jc w:val="right"/>
              <w:ind w:right="160"/>
              <w:spacing w:after="0"/>
              <w:rPr>
                <w:sz w:val="20"/>
                <w:szCs w:val="20"/>
                <w:color w:val="auto"/>
              </w:rPr>
            </w:pPr>
            <w:r>
              <w:rPr>
                <w:rFonts w:ascii="Arial" w:cs="Arial" w:eastAsia="Arial" w:hAnsi="Arial"/>
                <w:sz w:val="14"/>
                <w:szCs w:val="14"/>
                <w:color w:val="auto"/>
              </w:rPr>
              <w:t>46,721</w:t>
            </w:r>
          </w:p>
        </w:tc>
        <w:tc>
          <w:tcPr>
            <w:tcW w:w="74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8,661</w:t>
            </w:r>
          </w:p>
        </w:tc>
        <w:tc>
          <w:tcPr>
            <w:tcW w:w="1060" w:type="dxa"/>
            <w:vAlign w:val="bottom"/>
            <w:gridSpan w:val="5"/>
            <w:shd w:val="clear" w:color="auto" w:fill="CCEEFF"/>
          </w:tcPr>
          <w:p>
            <w:pPr>
              <w:jc w:val="right"/>
              <w:ind w:right="160"/>
              <w:spacing w:after="0"/>
              <w:rPr>
                <w:sz w:val="20"/>
                <w:szCs w:val="20"/>
                <w:color w:val="auto"/>
              </w:rPr>
            </w:pPr>
            <w:r>
              <w:rPr>
                <w:rFonts w:ascii="Arial" w:cs="Arial" w:eastAsia="Arial" w:hAnsi="Arial"/>
                <w:sz w:val="14"/>
                <w:szCs w:val="14"/>
                <w:color w:val="auto"/>
              </w:rPr>
              <w:t>43</w:t>
            </w:r>
          </w:p>
        </w:tc>
        <w:tc>
          <w:tcPr>
            <w:tcW w:w="62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16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55,437</w:t>
            </w:r>
          </w:p>
        </w:tc>
        <w:tc>
          <w:tcPr>
            <w:tcW w:w="0" w:type="dxa"/>
            <w:vAlign w:val="bottom"/>
          </w:tcPr>
          <w:p>
            <w:pPr>
              <w:spacing w:after="0"/>
              <w:rPr>
                <w:sz w:val="1"/>
                <w:szCs w:val="1"/>
                <w:color w:val="auto"/>
              </w:rPr>
            </w:pPr>
          </w:p>
        </w:tc>
      </w:tr>
      <w:tr>
        <w:trPr>
          <w:trHeight w:val="143"/>
        </w:trPr>
        <w:tc>
          <w:tcPr>
            <w:tcW w:w="1320" w:type="dxa"/>
            <w:vAlign w:val="bottom"/>
          </w:tcPr>
          <w:p>
            <w:pPr>
              <w:spacing w:after="0" w:line="143" w:lineRule="exact"/>
              <w:rPr>
                <w:sz w:val="20"/>
                <w:szCs w:val="20"/>
                <w:color w:val="auto"/>
              </w:rPr>
            </w:pPr>
            <w:r>
              <w:rPr>
                <w:rFonts w:ascii="Arial" w:cs="Arial" w:eastAsia="Arial" w:hAnsi="Arial"/>
                <w:sz w:val="14"/>
                <w:szCs w:val="14"/>
                <w:color w:val="auto"/>
              </w:rPr>
              <w:t>Interest rate swaps</w:t>
            </w:r>
          </w:p>
        </w:tc>
        <w:tc>
          <w:tcPr>
            <w:tcW w:w="680" w:type="dxa"/>
            <w:vAlign w:val="bottom"/>
            <w:gridSpan w:val="2"/>
          </w:tcPr>
          <w:p>
            <w:pPr>
              <w:jc w:val="right"/>
              <w:ind w:right="160"/>
              <w:spacing w:after="0" w:line="143" w:lineRule="exact"/>
              <w:rPr>
                <w:sz w:val="20"/>
                <w:szCs w:val="20"/>
                <w:color w:val="auto"/>
              </w:rPr>
            </w:pPr>
            <w:r>
              <w:rPr>
                <w:rFonts w:ascii="Arial" w:cs="Arial" w:eastAsia="Arial" w:hAnsi="Arial"/>
                <w:sz w:val="14"/>
                <w:szCs w:val="14"/>
                <w:color w:val="auto"/>
              </w:rPr>
              <w:t>6,841</w:t>
            </w:r>
          </w:p>
        </w:tc>
        <w:tc>
          <w:tcPr>
            <w:tcW w:w="760" w:type="dxa"/>
            <w:vAlign w:val="bottom"/>
            <w:gridSpan w:val="2"/>
          </w:tcPr>
          <w:p>
            <w:pPr>
              <w:jc w:val="right"/>
              <w:ind w:right="160"/>
              <w:spacing w:after="0" w:line="143" w:lineRule="exact"/>
              <w:rPr>
                <w:sz w:val="20"/>
                <w:szCs w:val="20"/>
                <w:color w:val="auto"/>
              </w:rPr>
            </w:pPr>
            <w:r>
              <w:rPr>
                <w:rFonts w:ascii="Arial" w:cs="Arial" w:eastAsia="Arial" w:hAnsi="Arial"/>
                <w:sz w:val="14"/>
                <w:szCs w:val="14"/>
                <w:color w:val="auto"/>
              </w:rPr>
              <w:t>14,196</w:t>
            </w:r>
          </w:p>
        </w:tc>
        <w:tc>
          <w:tcPr>
            <w:tcW w:w="880" w:type="dxa"/>
            <w:vAlign w:val="bottom"/>
            <w:gridSpan w:val="2"/>
          </w:tcPr>
          <w:p>
            <w:pPr>
              <w:jc w:val="right"/>
              <w:ind w:right="160"/>
              <w:spacing w:after="0" w:line="143" w:lineRule="exact"/>
              <w:rPr>
                <w:sz w:val="20"/>
                <w:szCs w:val="20"/>
                <w:color w:val="auto"/>
              </w:rPr>
            </w:pPr>
            <w:r>
              <w:rPr>
                <w:rFonts w:ascii="Arial" w:cs="Arial" w:eastAsia="Arial" w:hAnsi="Arial"/>
                <w:sz w:val="14"/>
                <w:szCs w:val="14"/>
                <w:color w:val="auto"/>
              </w:rPr>
              <w:t>24,537</w:t>
            </w:r>
          </w:p>
        </w:tc>
        <w:tc>
          <w:tcPr>
            <w:tcW w:w="860" w:type="dxa"/>
            <w:vAlign w:val="bottom"/>
            <w:gridSpan w:val="2"/>
          </w:tcPr>
          <w:p>
            <w:pPr>
              <w:jc w:val="right"/>
              <w:ind w:right="160"/>
              <w:spacing w:after="0" w:line="143" w:lineRule="exact"/>
              <w:rPr>
                <w:sz w:val="20"/>
                <w:szCs w:val="20"/>
                <w:color w:val="auto"/>
              </w:rPr>
            </w:pPr>
            <w:r>
              <w:rPr>
                <w:rFonts w:ascii="Arial" w:cs="Arial" w:eastAsia="Arial" w:hAnsi="Arial"/>
                <w:sz w:val="14"/>
                <w:szCs w:val="14"/>
                <w:color w:val="auto"/>
              </w:rPr>
              <w:t>17,018</w:t>
            </w:r>
          </w:p>
        </w:tc>
        <w:tc>
          <w:tcPr>
            <w:tcW w:w="700" w:type="dxa"/>
            <w:vAlign w:val="bottom"/>
            <w:gridSpan w:val="2"/>
          </w:tcPr>
          <w:p>
            <w:pPr>
              <w:jc w:val="right"/>
              <w:ind w:right="160"/>
              <w:spacing w:after="0" w:line="143" w:lineRule="exact"/>
              <w:rPr>
                <w:sz w:val="20"/>
                <w:szCs w:val="20"/>
                <w:color w:val="auto"/>
              </w:rPr>
            </w:pPr>
            <w:r>
              <w:rPr>
                <w:rFonts w:ascii="Arial" w:cs="Arial" w:eastAsia="Arial" w:hAnsi="Arial"/>
                <w:sz w:val="14"/>
                <w:szCs w:val="14"/>
                <w:color w:val="auto"/>
              </w:rPr>
              <w:t>31,646</w:t>
            </w:r>
          </w:p>
        </w:tc>
        <w:tc>
          <w:tcPr>
            <w:tcW w:w="700" w:type="dxa"/>
            <w:vAlign w:val="bottom"/>
            <w:gridSpan w:val="4"/>
          </w:tcPr>
          <w:p>
            <w:pPr>
              <w:jc w:val="right"/>
              <w:ind w:right="140"/>
              <w:spacing w:after="0" w:line="143" w:lineRule="exact"/>
              <w:rPr>
                <w:sz w:val="20"/>
                <w:szCs w:val="20"/>
                <w:color w:val="auto"/>
              </w:rPr>
            </w:pPr>
            <w:r>
              <w:rPr>
                <w:rFonts w:ascii="Arial" w:cs="Arial" w:eastAsia="Arial" w:hAnsi="Arial"/>
                <w:sz w:val="14"/>
                <w:szCs w:val="14"/>
                <w:color w:val="auto"/>
              </w:rPr>
              <w:t>94,238</w:t>
            </w:r>
          </w:p>
        </w:tc>
        <w:tc>
          <w:tcPr>
            <w:tcW w:w="1100" w:type="dxa"/>
            <w:vAlign w:val="bottom"/>
            <w:gridSpan w:val="4"/>
          </w:tcPr>
          <w:p>
            <w:pPr>
              <w:jc w:val="right"/>
              <w:ind w:right="160"/>
              <w:spacing w:after="0" w:line="143" w:lineRule="exact"/>
              <w:rPr>
                <w:sz w:val="20"/>
                <w:szCs w:val="20"/>
                <w:color w:val="auto"/>
              </w:rPr>
            </w:pPr>
            <w:r>
              <w:rPr>
                <w:rFonts w:ascii="Arial" w:cs="Arial" w:eastAsia="Arial" w:hAnsi="Arial"/>
                <w:sz w:val="14"/>
                <w:szCs w:val="14"/>
                <w:color w:val="auto"/>
              </w:rPr>
              <w:t>4,226</w:t>
            </w:r>
          </w:p>
        </w:tc>
        <w:tc>
          <w:tcPr>
            <w:tcW w:w="740" w:type="dxa"/>
            <w:vAlign w:val="bottom"/>
            <w:gridSpan w:val="3"/>
          </w:tcPr>
          <w:p>
            <w:pPr>
              <w:jc w:val="right"/>
              <w:spacing w:after="0" w:line="143" w:lineRule="exact"/>
              <w:rPr>
                <w:sz w:val="20"/>
                <w:szCs w:val="20"/>
                <w:color w:val="auto"/>
              </w:rPr>
            </w:pPr>
            <w:r>
              <w:rPr>
                <w:rFonts w:ascii="Arial" w:cs="Arial" w:eastAsia="Arial" w:hAnsi="Arial"/>
                <w:sz w:val="14"/>
                <w:szCs w:val="14"/>
                <w:color w:val="auto"/>
              </w:rPr>
              <w:t>8,236</w:t>
            </w:r>
          </w:p>
        </w:tc>
        <w:tc>
          <w:tcPr>
            <w:tcW w:w="1060" w:type="dxa"/>
            <w:vAlign w:val="bottom"/>
            <w:gridSpan w:val="5"/>
          </w:tcPr>
          <w:p>
            <w:pPr>
              <w:jc w:val="right"/>
              <w:ind w:right="160"/>
              <w:spacing w:after="0" w:line="143" w:lineRule="exact"/>
              <w:rPr>
                <w:sz w:val="20"/>
                <w:szCs w:val="20"/>
                <w:color w:val="auto"/>
              </w:rPr>
            </w:pPr>
            <w:r>
              <w:rPr>
                <w:rFonts w:ascii="Arial" w:cs="Arial" w:eastAsia="Arial" w:hAnsi="Arial"/>
                <w:sz w:val="14"/>
                <w:szCs w:val="14"/>
                <w:color w:val="auto"/>
              </w:rPr>
              <w:t>17,749</w:t>
            </w:r>
          </w:p>
        </w:tc>
        <w:tc>
          <w:tcPr>
            <w:tcW w:w="780" w:type="dxa"/>
            <w:vAlign w:val="bottom"/>
            <w:gridSpan w:val="4"/>
          </w:tcPr>
          <w:p>
            <w:pPr>
              <w:jc w:val="right"/>
              <w:ind w:right="160"/>
              <w:spacing w:after="0" w:line="143" w:lineRule="exact"/>
              <w:rPr>
                <w:sz w:val="20"/>
                <w:szCs w:val="20"/>
                <w:color w:val="auto"/>
              </w:rPr>
            </w:pPr>
            <w:r>
              <w:rPr>
                <w:rFonts w:ascii="Arial" w:cs="Arial" w:eastAsia="Arial" w:hAnsi="Arial"/>
                <w:sz w:val="14"/>
                <w:szCs w:val="14"/>
                <w:color w:val="auto"/>
              </w:rPr>
              <w:t>4,300</w:t>
            </w:r>
          </w:p>
        </w:tc>
        <w:tc>
          <w:tcPr>
            <w:tcW w:w="740" w:type="dxa"/>
            <w:vAlign w:val="bottom"/>
            <w:gridSpan w:val="3"/>
          </w:tcPr>
          <w:p>
            <w:pPr>
              <w:jc w:val="right"/>
              <w:ind w:right="200"/>
              <w:spacing w:after="0" w:line="143" w:lineRule="exact"/>
              <w:rPr>
                <w:sz w:val="20"/>
                <w:szCs w:val="20"/>
                <w:color w:val="auto"/>
              </w:rPr>
            </w:pPr>
            <w:r>
              <w:rPr>
                <w:rFonts w:ascii="Arial" w:cs="Arial" w:eastAsia="Arial" w:hAnsi="Arial"/>
                <w:sz w:val="14"/>
                <w:szCs w:val="14"/>
                <w:color w:val="auto"/>
              </w:rPr>
              <w:t>21,416</w:t>
            </w:r>
          </w:p>
        </w:tc>
        <w:tc>
          <w:tcPr>
            <w:tcW w:w="620" w:type="dxa"/>
            <w:vAlign w:val="bottom"/>
            <w:gridSpan w:val="2"/>
          </w:tcPr>
          <w:p>
            <w:pPr>
              <w:jc w:val="right"/>
              <w:ind w:right="80"/>
              <w:spacing w:after="0" w:line="143" w:lineRule="exact"/>
              <w:rPr>
                <w:sz w:val="20"/>
                <w:szCs w:val="20"/>
                <w:color w:val="auto"/>
              </w:rPr>
            </w:pPr>
            <w:r>
              <w:rPr>
                <w:rFonts w:ascii="Arial" w:cs="Arial" w:eastAsia="Arial" w:hAnsi="Arial"/>
                <w:sz w:val="14"/>
                <w:szCs w:val="14"/>
                <w:color w:val="auto"/>
              </w:rPr>
              <w:t>55,927</w:t>
            </w:r>
          </w:p>
        </w:tc>
        <w:tc>
          <w:tcPr>
            <w:tcW w:w="0" w:type="dxa"/>
            <w:vAlign w:val="bottom"/>
          </w:tcPr>
          <w:p>
            <w:pPr>
              <w:spacing w:after="0"/>
              <w:rPr>
                <w:sz w:val="1"/>
                <w:szCs w:val="1"/>
                <w:color w:val="auto"/>
              </w:rPr>
            </w:pPr>
          </w:p>
        </w:tc>
      </w:tr>
      <w:tr>
        <w:trPr>
          <w:trHeight w:val="143"/>
        </w:trPr>
        <w:tc>
          <w:tcPr>
            <w:tcW w:w="132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rPr>
              <w:t>Currency swaps</w:t>
            </w:r>
          </w:p>
        </w:tc>
        <w:tc>
          <w:tcPr>
            <w:tcW w:w="680" w:type="dxa"/>
            <w:vAlign w:val="bottom"/>
            <w:gridSpan w:val="2"/>
            <w:shd w:val="clear" w:color="auto" w:fill="CCEEFF"/>
          </w:tcPr>
          <w:p>
            <w:pPr>
              <w:jc w:val="right"/>
              <w:ind w:right="160"/>
              <w:spacing w:after="0" w:line="143" w:lineRule="exact"/>
              <w:rPr>
                <w:sz w:val="20"/>
                <w:szCs w:val="20"/>
                <w:color w:val="auto"/>
              </w:rPr>
            </w:pPr>
            <w:r>
              <w:rPr>
                <w:rFonts w:ascii="Arial" w:cs="Arial" w:eastAsia="Arial" w:hAnsi="Arial"/>
                <w:sz w:val="14"/>
                <w:szCs w:val="14"/>
                <w:color w:val="auto"/>
              </w:rPr>
              <w:t>22,457</w:t>
            </w:r>
          </w:p>
        </w:tc>
        <w:tc>
          <w:tcPr>
            <w:tcW w:w="760" w:type="dxa"/>
            <w:vAlign w:val="bottom"/>
            <w:gridSpan w:val="2"/>
            <w:shd w:val="clear" w:color="auto" w:fill="CCEEFF"/>
          </w:tcPr>
          <w:p>
            <w:pPr>
              <w:jc w:val="right"/>
              <w:ind w:right="160"/>
              <w:spacing w:after="0" w:line="143" w:lineRule="exact"/>
              <w:rPr>
                <w:sz w:val="20"/>
                <w:szCs w:val="20"/>
                <w:color w:val="auto"/>
              </w:rPr>
            </w:pPr>
            <w:r>
              <w:rPr>
                <w:rFonts w:ascii="Arial" w:cs="Arial" w:eastAsia="Arial" w:hAnsi="Arial"/>
                <w:sz w:val="14"/>
                <w:szCs w:val="14"/>
                <w:color w:val="auto"/>
              </w:rPr>
              <w:t>27,855</w:t>
            </w:r>
          </w:p>
        </w:tc>
        <w:tc>
          <w:tcPr>
            <w:tcW w:w="880" w:type="dxa"/>
            <w:vAlign w:val="bottom"/>
            <w:gridSpan w:val="2"/>
            <w:shd w:val="clear" w:color="auto" w:fill="CCEEFF"/>
          </w:tcPr>
          <w:p>
            <w:pPr>
              <w:jc w:val="right"/>
              <w:ind w:right="160"/>
              <w:spacing w:after="0" w:line="143" w:lineRule="exact"/>
              <w:rPr>
                <w:sz w:val="20"/>
                <w:szCs w:val="20"/>
                <w:color w:val="auto"/>
              </w:rPr>
            </w:pPr>
            <w:r>
              <w:rPr>
                <w:rFonts w:ascii="Arial" w:cs="Arial" w:eastAsia="Arial" w:hAnsi="Arial"/>
                <w:sz w:val="14"/>
                <w:szCs w:val="14"/>
                <w:color w:val="auto"/>
              </w:rPr>
              <w:t>171,412</w:t>
            </w:r>
          </w:p>
        </w:tc>
        <w:tc>
          <w:tcPr>
            <w:tcW w:w="860" w:type="dxa"/>
            <w:vAlign w:val="bottom"/>
            <w:gridSpan w:val="2"/>
            <w:shd w:val="clear" w:color="auto" w:fill="CCEEFF"/>
          </w:tcPr>
          <w:p>
            <w:pPr>
              <w:jc w:val="right"/>
              <w:ind w:right="160"/>
              <w:spacing w:after="0" w:line="143" w:lineRule="exact"/>
              <w:rPr>
                <w:sz w:val="20"/>
                <w:szCs w:val="20"/>
                <w:color w:val="auto"/>
              </w:rPr>
            </w:pPr>
            <w:r>
              <w:rPr>
                <w:rFonts w:ascii="Arial" w:cs="Arial" w:eastAsia="Arial" w:hAnsi="Arial"/>
                <w:sz w:val="14"/>
                <w:szCs w:val="14"/>
                <w:color w:val="auto"/>
              </w:rPr>
              <w:t>17,056</w:t>
            </w:r>
          </w:p>
        </w:tc>
        <w:tc>
          <w:tcPr>
            <w:tcW w:w="700" w:type="dxa"/>
            <w:vAlign w:val="bottom"/>
            <w:gridSpan w:val="2"/>
            <w:shd w:val="clear" w:color="auto" w:fill="CCEEFF"/>
          </w:tcPr>
          <w:p>
            <w:pPr>
              <w:jc w:val="right"/>
              <w:ind w:right="160"/>
              <w:spacing w:after="0" w:line="143" w:lineRule="exact"/>
              <w:rPr>
                <w:sz w:val="20"/>
                <w:szCs w:val="20"/>
                <w:color w:val="auto"/>
              </w:rPr>
            </w:pPr>
            <w:r>
              <w:rPr>
                <w:rFonts w:ascii="Arial" w:cs="Arial" w:eastAsia="Arial" w:hAnsi="Arial"/>
                <w:sz w:val="14"/>
                <w:szCs w:val="14"/>
                <w:color w:val="auto"/>
              </w:rPr>
              <w:t>110,999</w:t>
            </w:r>
          </w:p>
        </w:tc>
        <w:tc>
          <w:tcPr>
            <w:tcW w:w="700" w:type="dxa"/>
            <w:vAlign w:val="bottom"/>
            <w:gridSpan w:val="4"/>
            <w:shd w:val="clear" w:color="auto" w:fill="CCEEFF"/>
          </w:tcPr>
          <w:p>
            <w:pPr>
              <w:jc w:val="right"/>
              <w:ind w:right="140"/>
              <w:spacing w:after="0" w:line="143" w:lineRule="exact"/>
              <w:rPr>
                <w:sz w:val="20"/>
                <w:szCs w:val="20"/>
                <w:color w:val="auto"/>
              </w:rPr>
            </w:pPr>
            <w:r>
              <w:rPr>
                <w:rFonts w:ascii="Arial" w:cs="Arial" w:eastAsia="Arial" w:hAnsi="Arial"/>
                <w:sz w:val="14"/>
                <w:szCs w:val="14"/>
                <w:color w:val="auto"/>
              </w:rPr>
              <w:t>349,779</w:t>
            </w:r>
          </w:p>
        </w:tc>
        <w:tc>
          <w:tcPr>
            <w:tcW w:w="1100" w:type="dxa"/>
            <w:vAlign w:val="bottom"/>
            <w:gridSpan w:val="4"/>
            <w:shd w:val="clear" w:color="auto" w:fill="CCEEFF"/>
          </w:tcPr>
          <w:p>
            <w:pPr>
              <w:jc w:val="right"/>
              <w:ind w:right="160"/>
              <w:spacing w:after="0" w:line="143" w:lineRule="exact"/>
              <w:rPr>
                <w:sz w:val="20"/>
                <w:szCs w:val="20"/>
                <w:color w:val="auto"/>
              </w:rPr>
            </w:pPr>
            <w:r>
              <w:rPr>
                <w:rFonts w:ascii="Arial" w:cs="Arial" w:eastAsia="Arial" w:hAnsi="Arial"/>
                <w:sz w:val="14"/>
                <w:szCs w:val="14"/>
                <w:color w:val="auto"/>
              </w:rPr>
              <w:t>64,023</w:t>
            </w:r>
          </w:p>
        </w:tc>
        <w:tc>
          <w:tcPr>
            <w:tcW w:w="740" w:type="dxa"/>
            <w:vAlign w:val="bottom"/>
            <w:gridSpan w:val="3"/>
            <w:shd w:val="clear" w:color="auto" w:fill="CCEEFF"/>
          </w:tcPr>
          <w:p>
            <w:pPr>
              <w:jc w:val="right"/>
              <w:spacing w:after="0" w:line="143" w:lineRule="exact"/>
              <w:rPr>
                <w:sz w:val="20"/>
                <w:szCs w:val="20"/>
                <w:color w:val="auto"/>
              </w:rPr>
            </w:pPr>
            <w:r>
              <w:rPr>
                <w:rFonts w:ascii="Arial" w:cs="Arial" w:eastAsia="Arial" w:hAnsi="Arial"/>
                <w:sz w:val="14"/>
                <w:szCs w:val="14"/>
                <w:color w:val="auto"/>
              </w:rPr>
              <w:t>37,626</w:t>
            </w:r>
          </w:p>
        </w:tc>
        <w:tc>
          <w:tcPr>
            <w:tcW w:w="1060" w:type="dxa"/>
            <w:vAlign w:val="bottom"/>
            <w:gridSpan w:val="5"/>
            <w:shd w:val="clear" w:color="auto" w:fill="CCEEFF"/>
          </w:tcPr>
          <w:p>
            <w:pPr>
              <w:jc w:val="right"/>
              <w:ind w:right="160"/>
              <w:spacing w:after="0" w:line="143" w:lineRule="exact"/>
              <w:rPr>
                <w:sz w:val="20"/>
                <w:szCs w:val="20"/>
                <w:color w:val="auto"/>
              </w:rPr>
            </w:pPr>
            <w:r>
              <w:rPr>
                <w:rFonts w:ascii="Arial" w:cs="Arial" w:eastAsia="Arial" w:hAnsi="Arial"/>
                <w:sz w:val="14"/>
                <w:szCs w:val="14"/>
                <w:color w:val="auto"/>
              </w:rPr>
              <w:t>133,530</w:t>
            </w:r>
          </w:p>
        </w:tc>
        <w:tc>
          <w:tcPr>
            <w:tcW w:w="780" w:type="dxa"/>
            <w:vAlign w:val="bottom"/>
            <w:gridSpan w:val="4"/>
            <w:shd w:val="clear" w:color="auto" w:fill="CCEEFF"/>
          </w:tcPr>
          <w:p>
            <w:pPr>
              <w:jc w:val="right"/>
              <w:ind w:right="160"/>
              <w:spacing w:after="0" w:line="143" w:lineRule="exact"/>
              <w:rPr>
                <w:sz w:val="20"/>
                <w:szCs w:val="20"/>
                <w:color w:val="auto"/>
              </w:rPr>
            </w:pPr>
            <w:r>
              <w:rPr>
                <w:rFonts w:ascii="Arial" w:cs="Arial" w:eastAsia="Arial" w:hAnsi="Arial"/>
                <w:sz w:val="14"/>
                <w:szCs w:val="14"/>
                <w:color w:val="auto"/>
              </w:rPr>
              <w:t>178,979</w:t>
            </w:r>
          </w:p>
        </w:tc>
        <w:tc>
          <w:tcPr>
            <w:tcW w:w="740" w:type="dxa"/>
            <w:vAlign w:val="bottom"/>
            <w:gridSpan w:val="3"/>
            <w:shd w:val="clear" w:color="auto" w:fill="CCEEFF"/>
          </w:tcPr>
          <w:p>
            <w:pPr>
              <w:jc w:val="right"/>
              <w:ind w:right="200"/>
              <w:spacing w:after="0" w:line="143" w:lineRule="exact"/>
              <w:rPr>
                <w:sz w:val="20"/>
                <w:szCs w:val="20"/>
                <w:color w:val="auto"/>
              </w:rPr>
            </w:pPr>
            <w:r>
              <w:rPr>
                <w:rFonts w:ascii="Arial" w:cs="Arial" w:eastAsia="Arial" w:hAnsi="Arial"/>
                <w:sz w:val="14"/>
                <w:szCs w:val="14"/>
                <w:color w:val="auto"/>
              </w:rPr>
              <w:t>76,317</w:t>
            </w:r>
          </w:p>
        </w:tc>
        <w:tc>
          <w:tcPr>
            <w:tcW w:w="620" w:type="dxa"/>
            <w:vAlign w:val="bottom"/>
            <w:gridSpan w:val="2"/>
            <w:shd w:val="clear" w:color="auto" w:fill="CCEEFF"/>
          </w:tcPr>
          <w:p>
            <w:pPr>
              <w:jc w:val="right"/>
              <w:ind w:right="80"/>
              <w:spacing w:after="0" w:line="143" w:lineRule="exact"/>
              <w:rPr>
                <w:sz w:val="20"/>
                <w:szCs w:val="20"/>
                <w:color w:val="auto"/>
              </w:rPr>
            </w:pPr>
            <w:r>
              <w:rPr>
                <w:rFonts w:ascii="Arial" w:cs="Arial" w:eastAsia="Arial" w:hAnsi="Arial"/>
                <w:sz w:val="14"/>
                <w:szCs w:val="14"/>
                <w:color w:val="auto"/>
              </w:rPr>
              <w:t>490,475</w:t>
            </w:r>
          </w:p>
        </w:tc>
        <w:tc>
          <w:tcPr>
            <w:tcW w:w="0" w:type="dxa"/>
            <w:vAlign w:val="bottom"/>
          </w:tcPr>
          <w:p>
            <w:pPr>
              <w:spacing w:after="0"/>
              <w:rPr>
                <w:sz w:val="1"/>
                <w:szCs w:val="1"/>
                <w:color w:val="auto"/>
              </w:rPr>
            </w:pPr>
          </w:p>
        </w:tc>
      </w:tr>
      <w:tr>
        <w:trPr>
          <w:trHeight w:val="124"/>
        </w:trPr>
        <w:tc>
          <w:tcPr>
            <w:tcW w:w="1320" w:type="dxa"/>
            <w:vAlign w:val="bottom"/>
          </w:tcPr>
          <w:p>
            <w:pPr>
              <w:spacing w:after="0" w:line="125" w:lineRule="exact"/>
              <w:rPr>
                <w:sz w:val="20"/>
                <w:szCs w:val="20"/>
                <w:color w:val="auto"/>
              </w:rPr>
            </w:pPr>
            <w:r>
              <w:rPr>
                <w:rFonts w:ascii="Arial" w:cs="Arial" w:eastAsia="Arial" w:hAnsi="Arial"/>
                <w:sz w:val="14"/>
                <w:szCs w:val="14"/>
                <w:color w:val="auto"/>
              </w:rPr>
              <w:t>Foreign exchange</w:t>
            </w:r>
          </w:p>
        </w:tc>
        <w:tc>
          <w:tcPr>
            <w:tcW w:w="5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1"/>
        </w:trPr>
        <w:tc>
          <w:tcPr>
            <w:tcW w:w="1320" w:type="dxa"/>
            <w:vAlign w:val="bottom"/>
          </w:tcPr>
          <w:p>
            <w:pPr>
              <w:spacing w:after="0"/>
              <w:rPr>
                <w:sz w:val="20"/>
                <w:szCs w:val="20"/>
                <w:color w:val="auto"/>
              </w:rPr>
            </w:pPr>
            <w:r>
              <w:rPr>
                <w:rFonts w:ascii="Arial" w:cs="Arial" w:eastAsia="Arial" w:hAnsi="Arial"/>
                <w:sz w:val="14"/>
                <w:szCs w:val="14"/>
                <w:color w:val="auto"/>
              </w:rPr>
              <w:t>options</w:t>
            </w:r>
          </w:p>
        </w:tc>
        <w:tc>
          <w:tcPr>
            <w:tcW w:w="520" w:type="dxa"/>
            <w:vAlign w:val="bottom"/>
          </w:tcPr>
          <w:p>
            <w:pPr>
              <w:jc w:val="right"/>
              <w:spacing w:after="0"/>
              <w:rPr>
                <w:sz w:val="20"/>
                <w:szCs w:val="20"/>
                <w:color w:val="auto"/>
              </w:rPr>
            </w:pPr>
            <w:r>
              <w:rPr>
                <w:rFonts w:ascii="Arial" w:cs="Arial" w:eastAsia="Arial" w:hAnsi="Arial"/>
                <w:sz w:val="14"/>
                <w:szCs w:val="14"/>
                <w:color w:val="auto"/>
              </w:rPr>
              <w:t>547</w:t>
            </w:r>
          </w:p>
        </w:tc>
        <w:tc>
          <w:tcPr>
            <w:tcW w:w="160" w:type="dxa"/>
            <w:vAlign w:val="bottom"/>
          </w:tcPr>
          <w:p>
            <w:pPr>
              <w:spacing w:after="0"/>
              <w:rPr>
                <w:sz w:val="14"/>
                <w:szCs w:val="14"/>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433</w:t>
            </w: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00" w:type="dxa"/>
            <w:vAlign w:val="bottom"/>
            <w:gridSpan w:val="4"/>
          </w:tcPr>
          <w:p>
            <w:pPr>
              <w:jc w:val="right"/>
              <w:ind w:right="140"/>
              <w:spacing w:after="0"/>
              <w:rPr>
                <w:sz w:val="20"/>
                <w:szCs w:val="20"/>
                <w:color w:val="auto"/>
              </w:rPr>
            </w:pPr>
            <w:r>
              <w:rPr>
                <w:rFonts w:ascii="Arial" w:cs="Arial" w:eastAsia="Arial" w:hAnsi="Arial"/>
                <w:sz w:val="14"/>
                <w:szCs w:val="14"/>
                <w:color w:val="auto"/>
              </w:rPr>
              <w:t>980</w:t>
            </w:r>
          </w:p>
        </w:tc>
        <w:tc>
          <w:tcPr>
            <w:tcW w:w="1100" w:type="dxa"/>
            <w:vAlign w:val="bottom"/>
            <w:gridSpan w:val="4"/>
          </w:tcPr>
          <w:p>
            <w:pPr>
              <w:jc w:val="right"/>
              <w:ind w:right="160"/>
              <w:spacing w:after="0"/>
              <w:rPr>
                <w:sz w:val="20"/>
                <w:szCs w:val="20"/>
                <w:color w:val="auto"/>
              </w:rPr>
            </w:pPr>
            <w:r>
              <w:rPr>
                <w:rFonts w:ascii="Arial" w:cs="Arial" w:eastAsia="Arial" w:hAnsi="Arial"/>
                <w:sz w:val="14"/>
                <w:szCs w:val="14"/>
                <w:color w:val="auto"/>
              </w:rPr>
              <w:t>4,564</w:t>
            </w:r>
          </w:p>
        </w:tc>
        <w:tc>
          <w:tcPr>
            <w:tcW w:w="740" w:type="dxa"/>
            <w:vAlign w:val="bottom"/>
            <w:gridSpan w:val="3"/>
          </w:tcPr>
          <w:p>
            <w:pPr>
              <w:jc w:val="right"/>
              <w:spacing w:after="0"/>
              <w:rPr>
                <w:sz w:val="20"/>
                <w:szCs w:val="20"/>
                <w:color w:val="auto"/>
              </w:rPr>
            </w:pPr>
            <w:r>
              <w:rPr>
                <w:rFonts w:ascii="Arial" w:cs="Arial" w:eastAsia="Arial" w:hAnsi="Arial"/>
                <w:sz w:val="14"/>
                <w:szCs w:val="14"/>
                <w:color w:val="auto"/>
              </w:rPr>
              <w:t>12,638</w:t>
            </w:r>
          </w:p>
        </w:tc>
        <w:tc>
          <w:tcPr>
            <w:tcW w:w="1060" w:type="dxa"/>
            <w:vAlign w:val="bottom"/>
            <w:gridSpan w:val="5"/>
          </w:tcPr>
          <w:p>
            <w:pPr>
              <w:jc w:val="right"/>
              <w:ind w:right="160"/>
              <w:spacing w:after="0"/>
              <w:rPr>
                <w:sz w:val="20"/>
                <w:szCs w:val="20"/>
                <w:color w:val="auto"/>
              </w:rPr>
            </w:pPr>
            <w:r>
              <w:rPr>
                <w:rFonts w:ascii="Arial" w:cs="Arial" w:eastAsia="Arial" w:hAnsi="Arial"/>
                <w:sz w:val="14"/>
                <w:szCs w:val="14"/>
                <w:color w:val="auto"/>
              </w:rPr>
              <w:t>-</w:t>
            </w:r>
          </w:p>
        </w:tc>
        <w:tc>
          <w:tcPr>
            <w:tcW w:w="780" w:type="dxa"/>
            <w:vAlign w:val="bottom"/>
            <w:gridSpan w:val="4"/>
          </w:tcPr>
          <w:p>
            <w:pPr>
              <w:jc w:val="right"/>
              <w:ind w:right="160"/>
              <w:spacing w:after="0"/>
              <w:rPr>
                <w:sz w:val="20"/>
                <w:szCs w:val="20"/>
                <w:color w:val="auto"/>
              </w:rPr>
            </w:pPr>
            <w:r>
              <w:rPr>
                <w:rFonts w:ascii="Arial" w:cs="Arial" w:eastAsia="Arial" w:hAnsi="Arial"/>
                <w:sz w:val="14"/>
                <w:szCs w:val="14"/>
                <w:color w:val="auto"/>
              </w:rPr>
              <w:t>-</w:t>
            </w:r>
          </w:p>
        </w:tc>
        <w:tc>
          <w:tcPr>
            <w:tcW w:w="5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4"/>
                <w:szCs w:val="14"/>
                <w:color w:val="auto"/>
              </w:rPr>
              <w:t>17,202</w:t>
            </w:r>
          </w:p>
        </w:tc>
        <w:tc>
          <w:tcPr>
            <w:tcW w:w="0" w:type="dxa"/>
            <w:vAlign w:val="bottom"/>
          </w:tcPr>
          <w:p>
            <w:pPr>
              <w:spacing w:after="0"/>
              <w:rPr>
                <w:sz w:val="1"/>
                <w:szCs w:val="1"/>
                <w:color w:val="auto"/>
              </w:rPr>
            </w:pPr>
          </w:p>
        </w:tc>
      </w:tr>
      <w:tr>
        <w:trPr>
          <w:trHeight w:val="149"/>
        </w:trPr>
        <w:tc>
          <w:tcPr>
            <w:tcW w:w="1320" w:type="dxa"/>
            <w:vAlign w:val="bottom"/>
            <w:tcBorders>
              <w:top w:val="single" w:sz="8" w:color="CCEEFF"/>
              <w:bottom w:val="single" w:sz="8" w:color="CCEEFF"/>
            </w:tcBorders>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liabilities</w:t>
            </w:r>
          </w:p>
        </w:tc>
        <w:tc>
          <w:tcPr>
            <w:tcW w:w="52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69,733</w:t>
            </w: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60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59,087</w:t>
            </w: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72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196,327</w:t>
            </w: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70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34,074</w:t>
            </w: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54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142,645</w:t>
            </w: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540" w:type="dxa"/>
            <w:vAlign w:val="bottom"/>
            <w:tcBorders>
              <w:top w:val="single" w:sz="8" w:color="auto"/>
              <w:bottom w:val="single" w:sz="8" w:color="auto"/>
            </w:tcBorders>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501,866</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40" w:type="dxa"/>
            <w:vAlign w:val="bottom"/>
            <w:tcBorders>
              <w:top w:val="single" w:sz="8" w:color="CCEEFF"/>
              <w:bottom w:val="single" w:sz="8" w:color="CCEEFF"/>
            </w:tcBorders>
            <w:shd w:val="clear" w:color="auto" w:fill="CCEEFF"/>
          </w:tcPr>
          <w:p>
            <w:pPr>
              <w:spacing w:after="0"/>
              <w:rPr>
                <w:sz w:val="12"/>
                <w:szCs w:val="12"/>
                <w:color w:val="auto"/>
              </w:rPr>
            </w:pPr>
          </w:p>
        </w:tc>
        <w:tc>
          <w:tcPr>
            <w:tcW w:w="900" w:type="dxa"/>
            <w:vAlign w:val="bottom"/>
            <w:tcBorders>
              <w:top w:val="single" w:sz="8" w:color="auto"/>
              <w:bottom w:val="single" w:sz="8" w:color="auto"/>
            </w:tcBorders>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119,534</w:t>
            </w: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720" w:type="dxa"/>
            <w:vAlign w:val="bottom"/>
            <w:tcBorders>
              <w:top w:val="single" w:sz="8" w:color="auto"/>
              <w:bottom w:val="single" w:sz="8" w:color="auto"/>
            </w:tcBorders>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67,161</w:t>
            </w:r>
          </w:p>
        </w:tc>
        <w:tc>
          <w:tcPr>
            <w:tcW w:w="180" w:type="dxa"/>
            <w:vAlign w:val="bottom"/>
            <w:tcBorders>
              <w:top w:val="single" w:sz="8" w:color="CCEEFF"/>
              <w:bottom w:val="single" w:sz="8" w:color="CCEEFF"/>
            </w:tcBorders>
            <w:gridSpan w:val="2"/>
            <w:shd w:val="clear" w:color="auto" w:fill="CCEEFF"/>
          </w:tcPr>
          <w:p>
            <w:pPr>
              <w:spacing w:after="0"/>
              <w:rPr>
                <w:sz w:val="12"/>
                <w:szCs w:val="12"/>
                <w:color w:val="auto"/>
              </w:rPr>
            </w:pPr>
          </w:p>
        </w:tc>
        <w:tc>
          <w:tcPr>
            <w:tcW w:w="720" w:type="dxa"/>
            <w:vAlign w:val="bottom"/>
            <w:tcBorders>
              <w:top w:val="single" w:sz="8" w:color="auto"/>
              <w:bottom w:val="single" w:sz="8" w:color="auto"/>
            </w:tcBorders>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151,322</w:t>
            </w: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600" w:type="dxa"/>
            <w:vAlign w:val="bottom"/>
            <w:tcBorders>
              <w:top w:val="single" w:sz="8" w:color="auto"/>
              <w:bottom w:val="single" w:sz="8" w:color="auto"/>
            </w:tcBorders>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183,291</w:t>
            </w: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52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97,733</w:t>
            </w:r>
          </w:p>
        </w:tc>
        <w:tc>
          <w:tcPr>
            <w:tcW w:w="200" w:type="dxa"/>
            <w:vAlign w:val="bottom"/>
            <w:tcBorders>
              <w:top w:val="single" w:sz="8" w:color="CCEEFF"/>
              <w:bottom w:val="single" w:sz="8" w:color="CCEEFF"/>
            </w:tcBorders>
            <w:shd w:val="clear" w:color="auto" w:fill="CCEEFF"/>
          </w:tcPr>
          <w:p>
            <w:pPr>
              <w:spacing w:after="0"/>
              <w:rPr>
                <w:sz w:val="12"/>
                <w:szCs w:val="12"/>
                <w:color w:val="auto"/>
              </w:rPr>
            </w:pPr>
          </w:p>
        </w:tc>
        <w:tc>
          <w:tcPr>
            <w:tcW w:w="54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619,041</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3" w:lineRule="exact"/>
        <w:rPr>
          <w:sz w:val="20"/>
          <w:szCs w:val="20"/>
          <w:color w:val="auto"/>
        </w:rPr>
      </w:pPr>
    </w:p>
    <w:p>
      <w:pPr>
        <w:jc w:val="center"/>
        <w:ind w:right="-175"/>
        <w:spacing w:after="0"/>
        <w:rPr>
          <w:sz w:val="20"/>
          <w:szCs w:val="20"/>
          <w:color w:val="auto"/>
        </w:rPr>
      </w:pPr>
      <w:r>
        <w:rPr>
          <w:rFonts w:ascii="Arial" w:cs="Arial" w:eastAsia="Arial" w:hAnsi="Arial"/>
          <w:sz w:val="17"/>
          <w:szCs w:val="17"/>
          <w:color w:val="auto"/>
        </w:rPr>
        <w:t>- 73 -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15875</wp:posOffset>
            </wp:positionV>
            <wp:extent cx="725170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51700" cy="8255"/>
                    </a:xfrm>
                    <a:prstGeom prst="rect">
                      <a:avLst/>
                    </a:prstGeom>
                    <a:noFill/>
                  </pic:spPr>
                </pic:pic>
              </a:graphicData>
            </a:graphic>
          </wp:anchor>
        </w:drawing>
      </w:r>
    </w:p>
    <w:p>
      <w:pPr>
        <w:sectPr>
          <w:pgSz w:w="11900" w:h="16838" w:orient="portrait"/>
          <w:cols w:equalWidth="0" w:num="1">
            <w:col w:w="11256"/>
          </w:cols>
          <w:pgMar w:left="244" w:top="881" w:right="399" w:bottom="1440" w:gutter="0" w:footer="0" w:header="0"/>
        </w:sectPr>
      </w:pPr>
    </w:p>
    <w:bookmarkStart w:id="79" w:name="page80"/>
    <w:bookmarkEnd w:id="79"/>
    <w:p>
      <w:pPr>
        <w:ind w:left="316" w:right="40" w:hanging="316"/>
        <w:spacing w:after="0" w:line="285" w:lineRule="auto"/>
        <w:tabs>
          <w:tab w:leader="none" w:pos="316" w:val="left"/>
        </w:tabs>
        <w:numPr>
          <w:ilvl w:val="0"/>
          <w:numId w:val="89"/>
        </w:numPr>
        <w:rPr>
          <w:rFonts w:ascii="Arial" w:cs="Arial" w:eastAsia="Arial" w:hAnsi="Arial"/>
          <w:sz w:val="17"/>
          <w:szCs w:val="17"/>
          <w:color w:val="auto"/>
        </w:rPr>
      </w:pPr>
      <w:r>
        <w:rPr>
          <w:rFonts w:ascii="Arial" w:cs="Arial" w:eastAsia="Arial" w:hAnsi="Arial"/>
          <w:sz w:val="17"/>
          <w:szCs w:val="17"/>
          <w:color w:val="auto"/>
        </w:rPr>
        <w:t>The Group is exposed to variability in future cash flows on assets and liabilities in foreign currency and/or which bear interest at variable rates. The Group uses derivative financial instruments as cash flow hedges to cover these risks.</w:t>
      </w:r>
    </w:p>
    <w:p>
      <w:pPr>
        <w:spacing w:after="0" w:line="159" w:lineRule="exact"/>
        <w:rPr>
          <w:rFonts w:ascii="Arial" w:cs="Arial" w:eastAsia="Arial" w:hAnsi="Arial"/>
          <w:sz w:val="17"/>
          <w:szCs w:val="17"/>
          <w:color w:val="auto"/>
        </w:rPr>
      </w:pPr>
    </w:p>
    <w:p>
      <w:pPr>
        <w:ind w:left="316" w:right="380"/>
        <w:spacing w:after="0" w:line="285" w:lineRule="auto"/>
        <w:rPr>
          <w:rFonts w:ascii="Arial" w:cs="Arial" w:eastAsia="Arial" w:hAnsi="Arial"/>
          <w:sz w:val="17"/>
          <w:szCs w:val="17"/>
          <w:color w:val="auto"/>
        </w:rPr>
      </w:pPr>
      <w:r>
        <w:rPr>
          <w:rFonts w:ascii="Arial" w:cs="Arial" w:eastAsia="Arial" w:hAnsi="Arial"/>
          <w:sz w:val="17"/>
          <w:szCs w:val="17"/>
          <w:color w:val="auto"/>
        </w:rPr>
        <w:t>A schedule indicating the periods when the current cash flow hedges are expected to occur and affect the consolidated statement of income, net of deferred income tax is presented below:</w:t>
      </w:r>
    </w:p>
    <w:p>
      <w:pPr>
        <w:spacing w:after="0" w:line="166" w:lineRule="exact"/>
        <w:rPr>
          <w:sz w:val="20"/>
          <w:szCs w:val="20"/>
          <w:color w:val="auto"/>
        </w:rPr>
      </w:pPr>
    </w:p>
    <w:tbl>
      <w:tblPr>
        <w:tblLayout w:type="fixed"/>
        <w:tblInd w:w="316" w:type="dxa"/>
        <w:tblCellMar>
          <w:top w:w="0" w:type="dxa"/>
          <w:left w:w="0" w:type="dxa"/>
          <w:bottom w:w="0" w:type="dxa"/>
          <w:right w:w="0" w:type="dxa"/>
        </w:tblCellMar>
      </w:tblPr>
      <w:tr>
        <w:trPr>
          <w:trHeight w:val="226"/>
        </w:trPr>
        <w:tc>
          <w:tcPr>
            <w:tcW w:w="3960" w:type="dxa"/>
            <w:vAlign w:val="bottom"/>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820" w:type="dxa"/>
            <w:vAlign w:val="bottom"/>
            <w:tcBorders>
              <w:bottom w:val="single" w:sz="8" w:color="auto"/>
            </w:tcBorders>
            <w:gridSpan w:val="4"/>
          </w:tcPr>
          <w:p>
            <w:pPr>
              <w:jc w:val="center"/>
              <w:ind w:left="1053"/>
              <w:spacing w:after="0"/>
              <w:rPr>
                <w:sz w:val="20"/>
                <w:szCs w:val="20"/>
                <w:color w:val="auto"/>
              </w:rPr>
            </w:pPr>
            <w:r>
              <w:rPr>
                <w:rFonts w:ascii="Arial" w:cs="Arial" w:eastAsia="Arial" w:hAnsi="Arial"/>
                <w:sz w:val="17"/>
                <w:szCs w:val="17"/>
                <w:b w:val="1"/>
                <w:bCs w:val="1"/>
                <w:color w:val="auto"/>
                <w:w w:val="93"/>
              </w:rPr>
              <w:t>At December 31, 2017</w:t>
            </w:r>
          </w:p>
        </w:tc>
        <w:tc>
          <w:tcPr>
            <w:tcW w:w="12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182"/>
        </w:trPr>
        <w:tc>
          <w:tcPr>
            <w:tcW w:w="3960" w:type="dxa"/>
            <w:vAlign w:val="bottom"/>
          </w:tcPr>
          <w:p>
            <w:pPr>
              <w:spacing w:after="0"/>
              <w:rPr>
                <w:sz w:val="15"/>
                <w:szCs w:val="15"/>
                <w:color w:val="auto"/>
              </w:rPr>
            </w:pPr>
          </w:p>
        </w:tc>
        <w:tc>
          <w:tcPr>
            <w:tcW w:w="1460" w:type="dxa"/>
            <w:vAlign w:val="bottom"/>
            <w:gridSpan w:val="2"/>
          </w:tcPr>
          <w:p>
            <w:pPr>
              <w:jc w:val="right"/>
              <w:ind w:right="600"/>
              <w:spacing w:after="0" w:line="183" w:lineRule="exact"/>
              <w:rPr>
                <w:sz w:val="20"/>
                <w:szCs w:val="20"/>
                <w:color w:val="auto"/>
              </w:rPr>
            </w:pPr>
            <w:r>
              <w:rPr>
                <w:rFonts w:ascii="Arial" w:cs="Arial" w:eastAsia="Arial" w:hAnsi="Arial"/>
                <w:sz w:val="17"/>
                <w:szCs w:val="17"/>
                <w:b w:val="1"/>
                <w:bCs w:val="1"/>
                <w:color w:val="auto"/>
              </w:rPr>
              <w:t>Up to 1</w:t>
            </w:r>
          </w:p>
        </w:tc>
        <w:tc>
          <w:tcPr>
            <w:tcW w:w="1420" w:type="dxa"/>
            <w:vAlign w:val="bottom"/>
            <w:gridSpan w:val="2"/>
          </w:tcPr>
          <w:p>
            <w:pPr>
              <w:jc w:val="center"/>
              <w:ind w:right="240"/>
              <w:spacing w:after="0" w:line="183" w:lineRule="exact"/>
              <w:rPr>
                <w:sz w:val="20"/>
                <w:szCs w:val="20"/>
                <w:color w:val="auto"/>
              </w:rPr>
            </w:pPr>
            <w:r>
              <w:rPr>
                <w:rFonts w:ascii="Arial" w:cs="Arial" w:eastAsia="Arial" w:hAnsi="Arial"/>
                <w:sz w:val="17"/>
                <w:szCs w:val="17"/>
                <w:b w:val="1"/>
                <w:bCs w:val="1"/>
                <w:color w:val="auto"/>
                <w:w w:val="93"/>
              </w:rPr>
              <w:t>From 1 to 3</w:t>
            </w:r>
          </w:p>
        </w:tc>
        <w:tc>
          <w:tcPr>
            <w:tcW w:w="1400" w:type="dxa"/>
            <w:vAlign w:val="bottom"/>
            <w:gridSpan w:val="2"/>
          </w:tcPr>
          <w:p>
            <w:pPr>
              <w:jc w:val="center"/>
              <w:ind w:right="260"/>
              <w:spacing w:after="0" w:line="183" w:lineRule="exact"/>
              <w:rPr>
                <w:sz w:val="20"/>
                <w:szCs w:val="20"/>
                <w:color w:val="auto"/>
              </w:rPr>
            </w:pPr>
            <w:r>
              <w:rPr>
                <w:rFonts w:ascii="Arial" w:cs="Arial" w:eastAsia="Arial" w:hAnsi="Arial"/>
                <w:sz w:val="17"/>
                <w:szCs w:val="17"/>
                <w:b w:val="1"/>
                <w:bCs w:val="1"/>
                <w:color w:val="auto"/>
                <w:w w:val="93"/>
              </w:rPr>
              <w:t>From 3 to 5</w:t>
            </w:r>
          </w:p>
        </w:tc>
        <w:tc>
          <w:tcPr>
            <w:tcW w:w="1400" w:type="dxa"/>
            <w:vAlign w:val="bottom"/>
            <w:gridSpan w:val="2"/>
          </w:tcPr>
          <w:p>
            <w:pPr>
              <w:ind w:left="320"/>
              <w:spacing w:after="0" w:line="183" w:lineRule="exact"/>
              <w:rPr>
                <w:sz w:val="20"/>
                <w:szCs w:val="20"/>
                <w:color w:val="auto"/>
              </w:rPr>
            </w:pPr>
            <w:r>
              <w:rPr>
                <w:rFonts w:ascii="Arial" w:cs="Arial" w:eastAsia="Arial" w:hAnsi="Arial"/>
                <w:sz w:val="17"/>
                <w:szCs w:val="17"/>
                <w:b w:val="1"/>
                <w:bCs w:val="1"/>
                <w:color w:val="auto"/>
              </w:rPr>
              <w:t>Over 5</w:t>
            </w: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26"/>
        </w:trPr>
        <w:tc>
          <w:tcPr>
            <w:tcW w:w="3960" w:type="dxa"/>
            <w:vAlign w:val="bottom"/>
          </w:tcPr>
          <w:p>
            <w:pPr>
              <w:spacing w:after="0"/>
              <w:rPr>
                <w:sz w:val="19"/>
                <w:szCs w:val="19"/>
                <w:color w:val="auto"/>
              </w:rPr>
            </w:pPr>
          </w:p>
        </w:tc>
        <w:tc>
          <w:tcPr>
            <w:tcW w:w="1460" w:type="dxa"/>
            <w:vAlign w:val="bottom"/>
            <w:gridSpan w:val="2"/>
          </w:tcPr>
          <w:p>
            <w:pPr>
              <w:jc w:val="center"/>
              <w:ind w:right="240"/>
              <w:spacing w:after="0"/>
              <w:rPr>
                <w:sz w:val="20"/>
                <w:szCs w:val="20"/>
                <w:color w:val="auto"/>
              </w:rPr>
            </w:pPr>
            <w:r>
              <w:rPr>
                <w:rFonts w:ascii="Arial" w:cs="Arial" w:eastAsia="Arial" w:hAnsi="Arial"/>
                <w:sz w:val="17"/>
                <w:szCs w:val="17"/>
                <w:b w:val="1"/>
                <w:bCs w:val="1"/>
                <w:color w:val="auto"/>
                <w:w w:val="97"/>
              </w:rPr>
              <w:t>year</w:t>
            </w:r>
          </w:p>
        </w:tc>
        <w:tc>
          <w:tcPr>
            <w:tcW w:w="1420" w:type="dxa"/>
            <w:vAlign w:val="bottom"/>
            <w:gridSpan w:val="2"/>
          </w:tcPr>
          <w:p>
            <w:pPr>
              <w:jc w:val="right"/>
              <w:ind w:right="620"/>
              <w:spacing w:after="0"/>
              <w:rPr>
                <w:sz w:val="20"/>
                <w:szCs w:val="20"/>
                <w:color w:val="auto"/>
              </w:rPr>
            </w:pPr>
            <w:r>
              <w:rPr>
                <w:rFonts w:ascii="Arial" w:cs="Arial" w:eastAsia="Arial" w:hAnsi="Arial"/>
                <w:sz w:val="17"/>
                <w:szCs w:val="17"/>
                <w:b w:val="1"/>
                <w:bCs w:val="1"/>
                <w:color w:val="auto"/>
              </w:rPr>
              <w:t>years</w:t>
            </w:r>
          </w:p>
        </w:tc>
        <w:tc>
          <w:tcPr>
            <w:tcW w:w="1400" w:type="dxa"/>
            <w:vAlign w:val="bottom"/>
            <w:gridSpan w:val="2"/>
          </w:tcPr>
          <w:p>
            <w:pPr>
              <w:jc w:val="center"/>
              <w:ind w:right="200"/>
              <w:spacing w:after="0"/>
              <w:rPr>
                <w:sz w:val="20"/>
                <w:szCs w:val="20"/>
                <w:color w:val="auto"/>
              </w:rPr>
            </w:pPr>
            <w:r>
              <w:rPr>
                <w:rFonts w:ascii="Arial" w:cs="Arial" w:eastAsia="Arial" w:hAnsi="Arial"/>
                <w:sz w:val="17"/>
                <w:szCs w:val="17"/>
                <w:b w:val="1"/>
                <w:bCs w:val="1"/>
                <w:color w:val="auto"/>
                <w:w w:val="89"/>
              </w:rPr>
              <w:t>years</w:t>
            </w:r>
          </w:p>
        </w:tc>
        <w:tc>
          <w:tcPr>
            <w:tcW w:w="1400" w:type="dxa"/>
            <w:vAlign w:val="bottom"/>
            <w:gridSpan w:val="2"/>
          </w:tcPr>
          <w:p>
            <w:pPr>
              <w:ind w:left="400"/>
              <w:spacing w:after="0"/>
              <w:rPr>
                <w:sz w:val="20"/>
                <w:szCs w:val="20"/>
                <w:color w:val="auto"/>
              </w:rPr>
            </w:pPr>
            <w:r>
              <w:rPr>
                <w:rFonts w:ascii="Arial" w:cs="Arial" w:eastAsia="Arial" w:hAnsi="Arial"/>
                <w:sz w:val="17"/>
                <w:szCs w:val="17"/>
                <w:b w:val="1"/>
                <w:bCs w:val="1"/>
                <w:color w:val="auto"/>
              </w:rPr>
              <w:t>years</w:t>
            </w:r>
          </w:p>
        </w:tc>
        <w:tc>
          <w:tcPr>
            <w:tcW w:w="1300" w:type="dxa"/>
            <w:vAlign w:val="bottom"/>
            <w:gridSpan w:val="2"/>
          </w:tcPr>
          <w:p>
            <w:pPr>
              <w:jc w:val="center"/>
              <w:ind w:right="80"/>
              <w:spacing w:after="0"/>
              <w:rPr>
                <w:sz w:val="20"/>
                <w:szCs w:val="20"/>
                <w:color w:val="auto"/>
              </w:rPr>
            </w:pPr>
            <w:r>
              <w:rPr>
                <w:rFonts w:ascii="Arial" w:cs="Arial" w:eastAsia="Arial" w:hAnsi="Arial"/>
                <w:sz w:val="17"/>
                <w:szCs w:val="17"/>
                <w:b w:val="1"/>
                <w:bCs w:val="1"/>
                <w:color w:val="auto"/>
                <w:w w:val="93"/>
              </w:rPr>
              <w:t>Total</w:t>
            </w:r>
          </w:p>
        </w:tc>
      </w:tr>
      <w:tr>
        <w:trPr>
          <w:trHeight w:val="219"/>
        </w:trPr>
        <w:tc>
          <w:tcPr>
            <w:tcW w:w="3960" w:type="dxa"/>
            <w:vAlign w:val="bottom"/>
          </w:tcPr>
          <w:p>
            <w:pPr>
              <w:spacing w:after="0"/>
              <w:rPr>
                <w:sz w:val="19"/>
                <w:szCs w:val="19"/>
                <w:color w:val="auto"/>
              </w:rPr>
            </w:pPr>
          </w:p>
        </w:tc>
        <w:tc>
          <w:tcPr>
            <w:tcW w:w="1220" w:type="dxa"/>
            <w:vAlign w:val="bottom"/>
            <w:tcBorders>
              <w:top w:val="single" w:sz="8" w:color="auto"/>
            </w:tcBorders>
          </w:tcPr>
          <w:p>
            <w:pPr>
              <w:jc w:val="center"/>
              <w:spacing w:after="0"/>
              <w:rPr>
                <w:sz w:val="20"/>
                <w:szCs w:val="20"/>
                <w:color w:val="auto"/>
              </w:rPr>
            </w:pPr>
            <w:r>
              <w:rPr>
                <w:rFonts w:ascii="Arial" w:cs="Arial" w:eastAsia="Arial" w:hAnsi="Arial"/>
                <w:sz w:val="17"/>
                <w:szCs w:val="17"/>
                <w:b w:val="1"/>
                <w:bCs w:val="1"/>
                <w:color w:val="auto"/>
                <w:w w:val="93"/>
              </w:rPr>
              <w:t>S/(000)</w:t>
            </w:r>
          </w:p>
        </w:tc>
        <w:tc>
          <w:tcPr>
            <w:tcW w:w="240" w:type="dxa"/>
            <w:vAlign w:val="bottom"/>
          </w:tcPr>
          <w:p>
            <w:pPr>
              <w:spacing w:after="0"/>
              <w:rPr>
                <w:sz w:val="19"/>
                <w:szCs w:val="19"/>
                <w:color w:val="auto"/>
              </w:rPr>
            </w:pPr>
          </w:p>
        </w:tc>
        <w:tc>
          <w:tcPr>
            <w:tcW w:w="1220" w:type="dxa"/>
            <w:vAlign w:val="bottom"/>
            <w:tcBorders>
              <w:top w:val="single" w:sz="8" w:color="auto"/>
            </w:tcBorders>
          </w:tcPr>
          <w:p>
            <w:pPr>
              <w:jc w:val="center"/>
              <w:spacing w:after="0"/>
              <w:rPr>
                <w:sz w:val="20"/>
                <w:szCs w:val="20"/>
                <w:color w:val="auto"/>
              </w:rPr>
            </w:pPr>
            <w:r>
              <w:rPr>
                <w:rFonts w:ascii="Arial" w:cs="Arial" w:eastAsia="Arial" w:hAnsi="Arial"/>
                <w:sz w:val="17"/>
                <w:szCs w:val="17"/>
                <w:b w:val="1"/>
                <w:bCs w:val="1"/>
                <w:color w:val="auto"/>
                <w:w w:val="93"/>
              </w:rPr>
              <w:t>S/(000)</w:t>
            </w:r>
          </w:p>
        </w:tc>
        <w:tc>
          <w:tcPr>
            <w:tcW w:w="200" w:type="dxa"/>
            <w:vAlign w:val="bottom"/>
          </w:tcPr>
          <w:p>
            <w:pPr>
              <w:spacing w:after="0"/>
              <w:rPr>
                <w:sz w:val="19"/>
                <w:szCs w:val="19"/>
                <w:color w:val="auto"/>
              </w:rPr>
            </w:pPr>
          </w:p>
        </w:tc>
        <w:tc>
          <w:tcPr>
            <w:tcW w:w="1200" w:type="dxa"/>
            <w:vAlign w:val="bottom"/>
            <w:tcBorders>
              <w:top w:val="single" w:sz="8" w:color="auto"/>
            </w:tcBorders>
          </w:tcPr>
          <w:p>
            <w:pPr>
              <w:jc w:val="center"/>
              <w:spacing w:after="0"/>
              <w:rPr>
                <w:sz w:val="20"/>
                <w:szCs w:val="20"/>
                <w:color w:val="auto"/>
              </w:rPr>
            </w:pPr>
            <w:r>
              <w:rPr>
                <w:rFonts w:ascii="Arial" w:cs="Arial" w:eastAsia="Arial" w:hAnsi="Arial"/>
                <w:sz w:val="17"/>
                <w:szCs w:val="17"/>
                <w:b w:val="1"/>
                <w:bCs w:val="1"/>
                <w:color w:val="auto"/>
                <w:w w:val="93"/>
              </w:rPr>
              <w:t>S/(000)</w:t>
            </w:r>
          </w:p>
        </w:tc>
        <w:tc>
          <w:tcPr>
            <w:tcW w:w="200" w:type="dxa"/>
            <w:vAlign w:val="bottom"/>
          </w:tcPr>
          <w:p>
            <w:pPr>
              <w:spacing w:after="0"/>
              <w:rPr>
                <w:sz w:val="19"/>
                <w:szCs w:val="19"/>
                <w:color w:val="auto"/>
              </w:rPr>
            </w:pPr>
          </w:p>
        </w:tc>
        <w:tc>
          <w:tcPr>
            <w:tcW w:w="1200" w:type="dxa"/>
            <w:vAlign w:val="bottom"/>
            <w:tcBorders>
              <w:top w:val="single" w:sz="8" w:color="auto"/>
            </w:tcBorders>
          </w:tcPr>
          <w:p>
            <w:pPr>
              <w:ind w:left="340"/>
              <w:spacing w:after="0"/>
              <w:rPr>
                <w:sz w:val="20"/>
                <w:szCs w:val="20"/>
                <w:color w:val="auto"/>
              </w:rPr>
            </w:pPr>
            <w:r>
              <w:rPr>
                <w:rFonts w:ascii="Arial" w:cs="Arial" w:eastAsia="Arial" w:hAnsi="Arial"/>
                <w:sz w:val="17"/>
                <w:szCs w:val="17"/>
                <w:b w:val="1"/>
                <w:bCs w:val="1"/>
                <w:color w:val="auto"/>
              </w:rPr>
              <w:t>S/(000)</w:t>
            </w:r>
          </w:p>
        </w:tc>
        <w:tc>
          <w:tcPr>
            <w:tcW w:w="200" w:type="dxa"/>
            <w:vAlign w:val="bottom"/>
          </w:tcPr>
          <w:p>
            <w:pPr>
              <w:spacing w:after="0"/>
              <w:rPr>
                <w:sz w:val="19"/>
                <w:szCs w:val="19"/>
                <w:color w:val="auto"/>
              </w:rPr>
            </w:pPr>
          </w:p>
        </w:tc>
        <w:tc>
          <w:tcPr>
            <w:tcW w:w="1200" w:type="dxa"/>
            <w:vAlign w:val="bottom"/>
            <w:tcBorders>
              <w:top w:val="single" w:sz="8" w:color="auto"/>
            </w:tcBorders>
          </w:tcPr>
          <w:p>
            <w:pPr>
              <w:jc w:val="center"/>
              <w:spacing w:after="0"/>
              <w:rPr>
                <w:sz w:val="20"/>
                <w:szCs w:val="20"/>
                <w:color w:val="auto"/>
              </w:rPr>
            </w:pPr>
            <w:r>
              <w:rPr>
                <w:rFonts w:ascii="Arial" w:cs="Arial" w:eastAsia="Arial" w:hAnsi="Arial"/>
                <w:sz w:val="17"/>
                <w:szCs w:val="17"/>
                <w:b w:val="1"/>
                <w:bCs w:val="1"/>
                <w:color w:val="auto"/>
                <w:w w:val="93"/>
              </w:rPr>
              <w:t>S/(000)</w:t>
            </w:r>
          </w:p>
        </w:tc>
        <w:tc>
          <w:tcPr>
            <w:tcW w:w="100" w:type="dxa"/>
            <w:vAlign w:val="bottom"/>
          </w:tcPr>
          <w:p>
            <w:pPr>
              <w:spacing w:after="0"/>
              <w:rPr>
                <w:sz w:val="19"/>
                <w:szCs w:val="19"/>
                <w:color w:val="auto"/>
              </w:rPr>
            </w:pPr>
          </w:p>
        </w:tc>
      </w:tr>
      <w:tr>
        <w:trPr>
          <w:trHeight w:val="189"/>
        </w:trPr>
        <w:tc>
          <w:tcPr>
            <w:tcW w:w="39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08"/>
        </w:trPr>
        <w:tc>
          <w:tcPr>
            <w:tcW w:w="3960" w:type="dxa"/>
            <w:vAlign w:val="bottom"/>
            <w:shd w:val="clear" w:color="auto" w:fill="CCEEFF"/>
          </w:tcPr>
          <w:p>
            <w:pPr>
              <w:spacing w:after="0"/>
              <w:rPr>
                <w:sz w:val="20"/>
                <w:szCs w:val="20"/>
                <w:color w:val="auto"/>
              </w:rPr>
            </w:pPr>
            <w:r>
              <w:rPr>
                <w:rFonts w:ascii="Arial" w:cs="Arial" w:eastAsia="Arial" w:hAnsi="Arial"/>
                <w:sz w:val="17"/>
                <w:szCs w:val="17"/>
                <w:color w:val="auto"/>
              </w:rPr>
              <w:t>Cash inflows (assets)</w:t>
            </w: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962,966</w:t>
            </w:r>
          </w:p>
        </w:tc>
        <w:tc>
          <w:tcPr>
            <w:tcW w:w="2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3,432,756</w:t>
            </w: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100,247</w:t>
            </w: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283,896</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4,779,865</w:t>
            </w:r>
          </w:p>
        </w:tc>
        <w:tc>
          <w:tcPr>
            <w:tcW w:w="100" w:type="dxa"/>
            <w:vAlign w:val="bottom"/>
            <w:shd w:val="clear" w:color="auto" w:fill="CCEEFF"/>
          </w:tcPr>
          <w:p>
            <w:pPr>
              <w:spacing w:after="0"/>
              <w:rPr>
                <w:sz w:val="18"/>
                <w:szCs w:val="18"/>
                <w:color w:val="auto"/>
              </w:rPr>
            </w:pPr>
          </w:p>
        </w:tc>
      </w:tr>
      <w:tr>
        <w:trPr>
          <w:trHeight w:val="221"/>
        </w:trPr>
        <w:tc>
          <w:tcPr>
            <w:tcW w:w="3960" w:type="dxa"/>
            <w:vAlign w:val="bottom"/>
          </w:tcPr>
          <w:p>
            <w:pPr>
              <w:spacing w:after="0"/>
              <w:rPr>
                <w:sz w:val="20"/>
                <w:szCs w:val="20"/>
                <w:color w:val="auto"/>
              </w:rPr>
            </w:pPr>
            <w:r>
              <w:rPr>
                <w:rFonts w:ascii="Arial" w:cs="Arial" w:eastAsia="Arial" w:hAnsi="Arial"/>
                <w:sz w:val="17"/>
                <w:szCs w:val="17"/>
                <w:color w:val="auto"/>
              </w:rPr>
              <w:t>Cash outflows (liabilities)</w:t>
            </w:r>
          </w:p>
        </w:tc>
        <w:tc>
          <w:tcPr>
            <w:tcW w:w="1460" w:type="dxa"/>
            <w:vAlign w:val="bottom"/>
            <w:gridSpan w:val="2"/>
          </w:tcPr>
          <w:p>
            <w:pPr>
              <w:jc w:val="right"/>
              <w:ind w:right="180"/>
              <w:spacing w:after="0"/>
              <w:rPr>
                <w:sz w:val="20"/>
                <w:szCs w:val="20"/>
                <w:color w:val="auto"/>
              </w:rPr>
            </w:pPr>
            <w:r>
              <w:rPr>
                <w:rFonts w:ascii="Arial" w:cs="Arial" w:eastAsia="Arial" w:hAnsi="Arial"/>
                <w:sz w:val="17"/>
                <w:szCs w:val="17"/>
                <w:color w:val="auto"/>
              </w:rPr>
              <w:t>(1,016,748)</w:t>
            </w:r>
          </w:p>
        </w:tc>
        <w:tc>
          <w:tcPr>
            <w:tcW w:w="1420" w:type="dxa"/>
            <w:vAlign w:val="bottom"/>
            <w:gridSpan w:val="2"/>
          </w:tcPr>
          <w:p>
            <w:pPr>
              <w:jc w:val="right"/>
              <w:ind w:right="140"/>
              <w:spacing w:after="0"/>
              <w:rPr>
                <w:sz w:val="20"/>
                <w:szCs w:val="20"/>
                <w:color w:val="auto"/>
              </w:rPr>
            </w:pPr>
            <w:r>
              <w:rPr>
                <w:rFonts w:ascii="Arial" w:cs="Arial" w:eastAsia="Arial" w:hAnsi="Arial"/>
                <w:sz w:val="17"/>
                <w:szCs w:val="17"/>
                <w:color w:val="auto"/>
              </w:rPr>
              <w:t>(3,434,333)</w:t>
            </w:r>
          </w:p>
        </w:tc>
        <w:tc>
          <w:tcPr>
            <w:tcW w:w="1400" w:type="dxa"/>
            <w:vAlign w:val="bottom"/>
            <w:gridSpan w:val="2"/>
          </w:tcPr>
          <w:p>
            <w:pPr>
              <w:jc w:val="right"/>
              <w:ind w:right="140"/>
              <w:spacing w:after="0"/>
              <w:rPr>
                <w:sz w:val="20"/>
                <w:szCs w:val="20"/>
                <w:color w:val="auto"/>
              </w:rPr>
            </w:pPr>
            <w:r>
              <w:rPr>
                <w:rFonts w:ascii="Arial" w:cs="Arial" w:eastAsia="Arial" w:hAnsi="Arial"/>
                <w:sz w:val="17"/>
                <w:szCs w:val="17"/>
                <w:color w:val="auto"/>
              </w:rPr>
              <w:t>(110,355)</w:t>
            </w:r>
          </w:p>
        </w:tc>
        <w:tc>
          <w:tcPr>
            <w:tcW w:w="1400" w:type="dxa"/>
            <w:vAlign w:val="bottom"/>
            <w:gridSpan w:val="2"/>
          </w:tcPr>
          <w:p>
            <w:pPr>
              <w:jc w:val="right"/>
              <w:ind w:right="140"/>
              <w:spacing w:after="0"/>
              <w:rPr>
                <w:sz w:val="20"/>
                <w:szCs w:val="20"/>
                <w:color w:val="auto"/>
              </w:rPr>
            </w:pPr>
            <w:r>
              <w:rPr>
                <w:rFonts w:ascii="Arial" w:cs="Arial" w:eastAsia="Arial" w:hAnsi="Arial"/>
                <w:sz w:val="17"/>
                <w:szCs w:val="17"/>
                <w:color w:val="auto"/>
              </w:rPr>
              <w:t>(265,716)</w:t>
            </w:r>
          </w:p>
        </w:tc>
        <w:tc>
          <w:tcPr>
            <w:tcW w:w="1300" w:type="dxa"/>
            <w:vAlign w:val="bottom"/>
            <w:gridSpan w:val="2"/>
          </w:tcPr>
          <w:p>
            <w:pPr>
              <w:jc w:val="right"/>
              <w:ind w:right="40"/>
              <w:spacing w:after="0"/>
              <w:rPr>
                <w:sz w:val="20"/>
                <w:szCs w:val="20"/>
                <w:color w:val="auto"/>
              </w:rPr>
            </w:pPr>
            <w:r>
              <w:rPr>
                <w:rFonts w:ascii="Arial" w:cs="Arial" w:eastAsia="Arial" w:hAnsi="Arial"/>
                <w:sz w:val="17"/>
                <w:szCs w:val="17"/>
                <w:color w:val="auto"/>
              </w:rPr>
              <w:t>(4,827,152)</w:t>
            </w:r>
          </w:p>
        </w:tc>
      </w:tr>
      <w:tr>
        <w:trPr>
          <w:trHeight w:val="201"/>
        </w:trPr>
        <w:tc>
          <w:tcPr>
            <w:tcW w:w="39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Consolidated statement of income</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(1,043)</w:t>
            </w:r>
          </w:p>
        </w:tc>
        <w:tc>
          <w:tcPr>
            <w:tcW w:w="240" w:type="dxa"/>
            <w:vAlign w:val="bottom"/>
            <w:tcBorders>
              <w:top w:val="single" w:sz="8" w:color="CCEEFF"/>
              <w:bottom w:val="single" w:sz="8" w:color="CCEEFF"/>
            </w:tcBorders>
            <w:shd w:val="clear" w:color="auto" w:fill="CCEEFF"/>
          </w:tcPr>
          <w:p>
            <w:pPr>
              <w:spacing w:after="0"/>
              <w:rPr>
                <w:sz w:val="17"/>
                <w:szCs w:val="17"/>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(26,534)</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1,749</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(7,348)</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(33,176)</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r>
      <w:tr>
        <w:trPr>
          <w:trHeight w:val="20"/>
        </w:trPr>
        <w:tc>
          <w:tcPr>
            <w:tcW w:w="396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08"/>
        </w:trPr>
        <w:tc>
          <w:tcPr>
            <w:tcW w:w="3960" w:type="dxa"/>
            <w:vAlign w:val="bottom"/>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gridSpan w:val="4"/>
          </w:tcPr>
          <w:p>
            <w:pPr>
              <w:jc w:val="center"/>
              <w:ind w:left="1053"/>
              <w:spacing w:after="0"/>
              <w:rPr>
                <w:sz w:val="20"/>
                <w:szCs w:val="20"/>
                <w:color w:val="auto"/>
              </w:rPr>
            </w:pPr>
            <w:r>
              <w:rPr>
                <w:rFonts w:ascii="Arial" w:cs="Arial" w:eastAsia="Arial" w:hAnsi="Arial"/>
                <w:sz w:val="17"/>
                <w:szCs w:val="17"/>
                <w:b w:val="1"/>
                <w:bCs w:val="1"/>
                <w:color w:val="auto"/>
                <w:w w:val="93"/>
              </w:rPr>
              <w:t>At December 31, 2016</w:t>
            </w:r>
          </w:p>
        </w:tc>
        <w:tc>
          <w:tcPr>
            <w:tcW w:w="12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82"/>
        </w:trPr>
        <w:tc>
          <w:tcPr>
            <w:tcW w:w="3960" w:type="dxa"/>
            <w:vAlign w:val="bottom"/>
          </w:tcPr>
          <w:p>
            <w:pPr>
              <w:spacing w:after="0"/>
              <w:rPr>
                <w:sz w:val="15"/>
                <w:szCs w:val="15"/>
                <w:color w:val="auto"/>
              </w:rPr>
            </w:pPr>
          </w:p>
        </w:tc>
        <w:tc>
          <w:tcPr>
            <w:tcW w:w="1460" w:type="dxa"/>
            <w:vAlign w:val="bottom"/>
            <w:gridSpan w:val="2"/>
          </w:tcPr>
          <w:p>
            <w:pPr>
              <w:jc w:val="right"/>
              <w:ind w:right="600"/>
              <w:spacing w:after="0" w:line="183" w:lineRule="exact"/>
              <w:rPr>
                <w:sz w:val="20"/>
                <w:szCs w:val="20"/>
                <w:color w:val="auto"/>
              </w:rPr>
            </w:pPr>
            <w:r>
              <w:rPr>
                <w:rFonts w:ascii="Arial" w:cs="Arial" w:eastAsia="Arial" w:hAnsi="Arial"/>
                <w:sz w:val="17"/>
                <w:szCs w:val="17"/>
                <w:b w:val="1"/>
                <w:bCs w:val="1"/>
                <w:color w:val="auto"/>
              </w:rPr>
              <w:t>Up to 1</w:t>
            </w:r>
          </w:p>
        </w:tc>
        <w:tc>
          <w:tcPr>
            <w:tcW w:w="1420" w:type="dxa"/>
            <w:vAlign w:val="bottom"/>
            <w:gridSpan w:val="2"/>
          </w:tcPr>
          <w:p>
            <w:pPr>
              <w:jc w:val="center"/>
              <w:ind w:right="240"/>
              <w:spacing w:after="0" w:line="183" w:lineRule="exact"/>
              <w:rPr>
                <w:sz w:val="20"/>
                <w:szCs w:val="20"/>
                <w:color w:val="auto"/>
              </w:rPr>
            </w:pPr>
            <w:r>
              <w:rPr>
                <w:rFonts w:ascii="Arial" w:cs="Arial" w:eastAsia="Arial" w:hAnsi="Arial"/>
                <w:sz w:val="17"/>
                <w:szCs w:val="17"/>
                <w:b w:val="1"/>
                <w:bCs w:val="1"/>
                <w:color w:val="auto"/>
                <w:w w:val="93"/>
              </w:rPr>
              <w:t>From 1 to 3</w:t>
            </w:r>
          </w:p>
        </w:tc>
        <w:tc>
          <w:tcPr>
            <w:tcW w:w="1400" w:type="dxa"/>
            <w:vAlign w:val="bottom"/>
            <w:gridSpan w:val="2"/>
          </w:tcPr>
          <w:p>
            <w:pPr>
              <w:jc w:val="center"/>
              <w:ind w:right="260"/>
              <w:spacing w:after="0" w:line="183" w:lineRule="exact"/>
              <w:rPr>
                <w:sz w:val="20"/>
                <w:szCs w:val="20"/>
                <w:color w:val="auto"/>
              </w:rPr>
            </w:pPr>
            <w:r>
              <w:rPr>
                <w:rFonts w:ascii="Arial" w:cs="Arial" w:eastAsia="Arial" w:hAnsi="Arial"/>
                <w:sz w:val="17"/>
                <w:szCs w:val="17"/>
                <w:b w:val="1"/>
                <w:bCs w:val="1"/>
                <w:color w:val="auto"/>
                <w:w w:val="93"/>
              </w:rPr>
              <w:t>From 3 to 5</w:t>
            </w:r>
          </w:p>
        </w:tc>
        <w:tc>
          <w:tcPr>
            <w:tcW w:w="1400" w:type="dxa"/>
            <w:vAlign w:val="bottom"/>
            <w:gridSpan w:val="2"/>
          </w:tcPr>
          <w:p>
            <w:pPr>
              <w:ind w:left="320"/>
              <w:spacing w:after="0" w:line="183" w:lineRule="exact"/>
              <w:rPr>
                <w:sz w:val="20"/>
                <w:szCs w:val="20"/>
                <w:color w:val="auto"/>
              </w:rPr>
            </w:pPr>
            <w:r>
              <w:rPr>
                <w:rFonts w:ascii="Arial" w:cs="Arial" w:eastAsia="Arial" w:hAnsi="Arial"/>
                <w:sz w:val="17"/>
                <w:szCs w:val="17"/>
                <w:b w:val="1"/>
                <w:bCs w:val="1"/>
                <w:color w:val="auto"/>
              </w:rPr>
              <w:t>Over 5</w:t>
            </w: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26"/>
        </w:trPr>
        <w:tc>
          <w:tcPr>
            <w:tcW w:w="3960" w:type="dxa"/>
            <w:vAlign w:val="bottom"/>
          </w:tcPr>
          <w:p>
            <w:pPr>
              <w:spacing w:after="0"/>
              <w:rPr>
                <w:sz w:val="19"/>
                <w:szCs w:val="19"/>
                <w:color w:val="auto"/>
              </w:rPr>
            </w:pPr>
          </w:p>
        </w:tc>
        <w:tc>
          <w:tcPr>
            <w:tcW w:w="1460" w:type="dxa"/>
            <w:vAlign w:val="bottom"/>
            <w:gridSpan w:val="2"/>
          </w:tcPr>
          <w:p>
            <w:pPr>
              <w:jc w:val="center"/>
              <w:ind w:right="240"/>
              <w:spacing w:after="0"/>
              <w:rPr>
                <w:sz w:val="20"/>
                <w:szCs w:val="20"/>
                <w:color w:val="auto"/>
              </w:rPr>
            </w:pPr>
            <w:r>
              <w:rPr>
                <w:rFonts w:ascii="Arial" w:cs="Arial" w:eastAsia="Arial" w:hAnsi="Arial"/>
                <w:sz w:val="17"/>
                <w:szCs w:val="17"/>
                <w:b w:val="1"/>
                <w:bCs w:val="1"/>
                <w:color w:val="auto"/>
                <w:w w:val="97"/>
              </w:rPr>
              <w:t>year</w:t>
            </w:r>
          </w:p>
        </w:tc>
        <w:tc>
          <w:tcPr>
            <w:tcW w:w="1420" w:type="dxa"/>
            <w:vAlign w:val="bottom"/>
            <w:gridSpan w:val="2"/>
          </w:tcPr>
          <w:p>
            <w:pPr>
              <w:jc w:val="right"/>
              <w:ind w:right="620"/>
              <w:spacing w:after="0"/>
              <w:rPr>
                <w:sz w:val="20"/>
                <w:szCs w:val="20"/>
                <w:color w:val="auto"/>
              </w:rPr>
            </w:pPr>
            <w:r>
              <w:rPr>
                <w:rFonts w:ascii="Arial" w:cs="Arial" w:eastAsia="Arial" w:hAnsi="Arial"/>
                <w:sz w:val="17"/>
                <w:szCs w:val="17"/>
                <w:b w:val="1"/>
                <w:bCs w:val="1"/>
                <w:color w:val="auto"/>
              </w:rPr>
              <w:t>years</w:t>
            </w:r>
          </w:p>
        </w:tc>
        <w:tc>
          <w:tcPr>
            <w:tcW w:w="1400" w:type="dxa"/>
            <w:vAlign w:val="bottom"/>
            <w:gridSpan w:val="2"/>
          </w:tcPr>
          <w:p>
            <w:pPr>
              <w:jc w:val="center"/>
              <w:ind w:right="200"/>
              <w:spacing w:after="0"/>
              <w:rPr>
                <w:sz w:val="20"/>
                <w:szCs w:val="20"/>
                <w:color w:val="auto"/>
              </w:rPr>
            </w:pPr>
            <w:r>
              <w:rPr>
                <w:rFonts w:ascii="Arial" w:cs="Arial" w:eastAsia="Arial" w:hAnsi="Arial"/>
                <w:sz w:val="17"/>
                <w:szCs w:val="17"/>
                <w:b w:val="1"/>
                <w:bCs w:val="1"/>
                <w:color w:val="auto"/>
                <w:w w:val="89"/>
              </w:rPr>
              <w:t>years</w:t>
            </w:r>
          </w:p>
        </w:tc>
        <w:tc>
          <w:tcPr>
            <w:tcW w:w="1400" w:type="dxa"/>
            <w:vAlign w:val="bottom"/>
            <w:gridSpan w:val="2"/>
          </w:tcPr>
          <w:p>
            <w:pPr>
              <w:ind w:left="400"/>
              <w:spacing w:after="0"/>
              <w:rPr>
                <w:sz w:val="20"/>
                <w:szCs w:val="20"/>
                <w:color w:val="auto"/>
              </w:rPr>
            </w:pPr>
            <w:r>
              <w:rPr>
                <w:rFonts w:ascii="Arial" w:cs="Arial" w:eastAsia="Arial" w:hAnsi="Arial"/>
                <w:sz w:val="17"/>
                <w:szCs w:val="17"/>
                <w:b w:val="1"/>
                <w:bCs w:val="1"/>
                <w:color w:val="auto"/>
              </w:rPr>
              <w:t>years</w:t>
            </w:r>
          </w:p>
        </w:tc>
        <w:tc>
          <w:tcPr>
            <w:tcW w:w="1300" w:type="dxa"/>
            <w:vAlign w:val="bottom"/>
            <w:gridSpan w:val="2"/>
          </w:tcPr>
          <w:p>
            <w:pPr>
              <w:jc w:val="center"/>
              <w:ind w:right="80"/>
              <w:spacing w:after="0"/>
              <w:rPr>
                <w:sz w:val="20"/>
                <w:szCs w:val="20"/>
                <w:color w:val="auto"/>
              </w:rPr>
            </w:pPr>
            <w:r>
              <w:rPr>
                <w:rFonts w:ascii="Arial" w:cs="Arial" w:eastAsia="Arial" w:hAnsi="Arial"/>
                <w:sz w:val="17"/>
                <w:szCs w:val="17"/>
                <w:b w:val="1"/>
                <w:bCs w:val="1"/>
                <w:color w:val="auto"/>
                <w:w w:val="93"/>
              </w:rPr>
              <w:t>Total</w:t>
            </w:r>
          </w:p>
        </w:tc>
      </w:tr>
      <w:tr>
        <w:trPr>
          <w:trHeight w:val="219"/>
        </w:trPr>
        <w:tc>
          <w:tcPr>
            <w:tcW w:w="3960" w:type="dxa"/>
            <w:vAlign w:val="bottom"/>
          </w:tcPr>
          <w:p>
            <w:pPr>
              <w:spacing w:after="0"/>
              <w:rPr>
                <w:sz w:val="19"/>
                <w:szCs w:val="19"/>
                <w:color w:val="auto"/>
              </w:rPr>
            </w:pPr>
          </w:p>
        </w:tc>
        <w:tc>
          <w:tcPr>
            <w:tcW w:w="1220" w:type="dxa"/>
            <w:vAlign w:val="bottom"/>
            <w:tcBorders>
              <w:top w:val="single" w:sz="8" w:color="auto"/>
            </w:tcBorders>
          </w:tcPr>
          <w:p>
            <w:pPr>
              <w:jc w:val="center"/>
              <w:spacing w:after="0"/>
              <w:rPr>
                <w:sz w:val="20"/>
                <w:szCs w:val="20"/>
                <w:color w:val="auto"/>
              </w:rPr>
            </w:pPr>
            <w:r>
              <w:rPr>
                <w:rFonts w:ascii="Arial" w:cs="Arial" w:eastAsia="Arial" w:hAnsi="Arial"/>
                <w:sz w:val="17"/>
                <w:szCs w:val="17"/>
                <w:b w:val="1"/>
                <w:bCs w:val="1"/>
                <w:color w:val="auto"/>
                <w:w w:val="93"/>
              </w:rPr>
              <w:t>S/(000)</w:t>
            </w:r>
          </w:p>
        </w:tc>
        <w:tc>
          <w:tcPr>
            <w:tcW w:w="240" w:type="dxa"/>
            <w:vAlign w:val="bottom"/>
          </w:tcPr>
          <w:p>
            <w:pPr>
              <w:spacing w:after="0"/>
              <w:rPr>
                <w:sz w:val="19"/>
                <w:szCs w:val="19"/>
                <w:color w:val="auto"/>
              </w:rPr>
            </w:pPr>
          </w:p>
        </w:tc>
        <w:tc>
          <w:tcPr>
            <w:tcW w:w="1220" w:type="dxa"/>
            <w:vAlign w:val="bottom"/>
            <w:tcBorders>
              <w:top w:val="single" w:sz="8" w:color="auto"/>
            </w:tcBorders>
          </w:tcPr>
          <w:p>
            <w:pPr>
              <w:jc w:val="center"/>
              <w:spacing w:after="0"/>
              <w:rPr>
                <w:sz w:val="20"/>
                <w:szCs w:val="20"/>
                <w:color w:val="auto"/>
              </w:rPr>
            </w:pPr>
            <w:r>
              <w:rPr>
                <w:rFonts w:ascii="Arial" w:cs="Arial" w:eastAsia="Arial" w:hAnsi="Arial"/>
                <w:sz w:val="17"/>
                <w:szCs w:val="17"/>
                <w:b w:val="1"/>
                <w:bCs w:val="1"/>
                <w:color w:val="auto"/>
                <w:w w:val="93"/>
              </w:rPr>
              <w:t>S/(000)</w:t>
            </w:r>
          </w:p>
        </w:tc>
        <w:tc>
          <w:tcPr>
            <w:tcW w:w="200" w:type="dxa"/>
            <w:vAlign w:val="bottom"/>
          </w:tcPr>
          <w:p>
            <w:pPr>
              <w:spacing w:after="0"/>
              <w:rPr>
                <w:sz w:val="19"/>
                <w:szCs w:val="19"/>
                <w:color w:val="auto"/>
              </w:rPr>
            </w:pPr>
          </w:p>
        </w:tc>
        <w:tc>
          <w:tcPr>
            <w:tcW w:w="1200" w:type="dxa"/>
            <w:vAlign w:val="bottom"/>
            <w:tcBorders>
              <w:top w:val="single" w:sz="8" w:color="auto"/>
            </w:tcBorders>
          </w:tcPr>
          <w:p>
            <w:pPr>
              <w:jc w:val="center"/>
              <w:spacing w:after="0"/>
              <w:rPr>
                <w:sz w:val="20"/>
                <w:szCs w:val="20"/>
                <w:color w:val="auto"/>
              </w:rPr>
            </w:pPr>
            <w:r>
              <w:rPr>
                <w:rFonts w:ascii="Arial" w:cs="Arial" w:eastAsia="Arial" w:hAnsi="Arial"/>
                <w:sz w:val="17"/>
                <w:szCs w:val="17"/>
                <w:b w:val="1"/>
                <w:bCs w:val="1"/>
                <w:color w:val="auto"/>
                <w:w w:val="93"/>
              </w:rPr>
              <w:t>S/(000)</w:t>
            </w:r>
          </w:p>
        </w:tc>
        <w:tc>
          <w:tcPr>
            <w:tcW w:w="200" w:type="dxa"/>
            <w:vAlign w:val="bottom"/>
          </w:tcPr>
          <w:p>
            <w:pPr>
              <w:spacing w:after="0"/>
              <w:rPr>
                <w:sz w:val="19"/>
                <w:szCs w:val="19"/>
                <w:color w:val="auto"/>
              </w:rPr>
            </w:pPr>
          </w:p>
        </w:tc>
        <w:tc>
          <w:tcPr>
            <w:tcW w:w="1200" w:type="dxa"/>
            <w:vAlign w:val="bottom"/>
            <w:tcBorders>
              <w:top w:val="single" w:sz="8" w:color="auto"/>
            </w:tcBorders>
          </w:tcPr>
          <w:p>
            <w:pPr>
              <w:ind w:left="340"/>
              <w:spacing w:after="0"/>
              <w:rPr>
                <w:sz w:val="20"/>
                <w:szCs w:val="20"/>
                <w:color w:val="auto"/>
              </w:rPr>
            </w:pPr>
            <w:r>
              <w:rPr>
                <w:rFonts w:ascii="Arial" w:cs="Arial" w:eastAsia="Arial" w:hAnsi="Arial"/>
                <w:sz w:val="17"/>
                <w:szCs w:val="17"/>
                <w:b w:val="1"/>
                <w:bCs w:val="1"/>
                <w:color w:val="auto"/>
              </w:rPr>
              <w:t>S/(000)</w:t>
            </w:r>
          </w:p>
        </w:tc>
        <w:tc>
          <w:tcPr>
            <w:tcW w:w="200" w:type="dxa"/>
            <w:vAlign w:val="bottom"/>
          </w:tcPr>
          <w:p>
            <w:pPr>
              <w:spacing w:after="0"/>
              <w:rPr>
                <w:sz w:val="19"/>
                <w:szCs w:val="19"/>
                <w:color w:val="auto"/>
              </w:rPr>
            </w:pPr>
          </w:p>
        </w:tc>
        <w:tc>
          <w:tcPr>
            <w:tcW w:w="1200" w:type="dxa"/>
            <w:vAlign w:val="bottom"/>
            <w:tcBorders>
              <w:top w:val="single" w:sz="8" w:color="auto"/>
            </w:tcBorders>
          </w:tcPr>
          <w:p>
            <w:pPr>
              <w:jc w:val="center"/>
              <w:spacing w:after="0"/>
              <w:rPr>
                <w:sz w:val="20"/>
                <w:szCs w:val="20"/>
                <w:color w:val="auto"/>
              </w:rPr>
            </w:pPr>
            <w:r>
              <w:rPr>
                <w:rFonts w:ascii="Arial" w:cs="Arial" w:eastAsia="Arial" w:hAnsi="Arial"/>
                <w:sz w:val="17"/>
                <w:szCs w:val="17"/>
                <w:b w:val="1"/>
                <w:bCs w:val="1"/>
                <w:color w:val="auto"/>
                <w:w w:val="93"/>
              </w:rPr>
              <w:t>S/(000)</w:t>
            </w:r>
          </w:p>
        </w:tc>
        <w:tc>
          <w:tcPr>
            <w:tcW w:w="100" w:type="dxa"/>
            <w:vAlign w:val="bottom"/>
          </w:tcPr>
          <w:p>
            <w:pPr>
              <w:spacing w:after="0"/>
              <w:rPr>
                <w:sz w:val="19"/>
                <w:szCs w:val="19"/>
                <w:color w:val="auto"/>
              </w:rPr>
            </w:pPr>
          </w:p>
        </w:tc>
      </w:tr>
      <w:tr>
        <w:trPr>
          <w:trHeight w:val="189"/>
        </w:trPr>
        <w:tc>
          <w:tcPr>
            <w:tcW w:w="39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20" w:type="dxa"/>
            <w:vAlign w:val="bottom"/>
            <w:gridSpan w:val="2"/>
          </w:tcPr>
          <w:p>
            <w:pPr>
              <w:spacing w:after="0"/>
              <w:rPr>
                <w:sz w:val="16"/>
                <w:szCs w:val="16"/>
                <w:color w:val="auto"/>
              </w:rPr>
            </w:pPr>
          </w:p>
        </w:tc>
        <w:tc>
          <w:tcPr>
            <w:tcW w:w="1400" w:type="dxa"/>
            <w:vAlign w:val="bottom"/>
            <w:gridSpan w:val="2"/>
          </w:tcPr>
          <w:p>
            <w:pPr>
              <w:spacing w:after="0"/>
              <w:rPr>
                <w:sz w:val="16"/>
                <w:szCs w:val="16"/>
                <w:color w:val="auto"/>
              </w:rPr>
            </w:pPr>
          </w:p>
        </w:tc>
        <w:tc>
          <w:tcPr>
            <w:tcW w:w="1400" w:type="dxa"/>
            <w:vAlign w:val="bottom"/>
            <w:gridSpan w:val="2"/>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08"/>
        </w:trPr>
        <w:tc>
          <w:tcPr>
            <w:tcW w:w="3960" w:type="dxa"/>
            <w:vAlign w:val="bottom"/>
            <w:shd w:val="clear" w:color="auto" w:fill="CCEEFF"/>
          </w:tcPr>
          <w:p>
            <w:pPr>
              <w:spacing w:after="0"/>
              <w:rPr>
                <w:sz w:val="20"/>
                <w:szCs w:val="20"/>
                <w:color w:val="auto"/>
              </w:rPr>
            </w:pPr>
            <w:r>
              <w:rPr>
                <w:rFonts w:ascii="Arial" w:cs="Arial" w:eastAsia="Arial" w:hAnsi="Arial"/>
                <w:sz w:val="17"/>
                <w:szCs w:val="17"/>
                <w:color w:val="auto"/>
              </w:rPr>
              <w:t>Cash inflows (assets)</w:t>
            </w: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524,775</w:t>
            </w:r>
          </w:p>
        </w:tc>
        <w:tc>
          <w:tcPr>
            <w:tcW w:w="2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2,549,873</w:t>
            </w: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836,116</w:t>
            </w: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294,889</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4,205,653</w:t>
            </w:r>
          </w:p>
        </w:tc>
        <w:tc>
          <w:tcPr>
            <w:tcW w:w="100" w:type="dxa"/>
            <w:vAlign w:val="bottom"/>
            <w:shd w:val="clear" w:color="auto" w:fill="CCEEFF"/>
          </w:tcPr>
          <w:p>
            <w:pPr>
              <w:spacing w:after="0"/>
              <w:rPr>
                <w:sz w:val="18"/>
                <w:szCs w:val="18"/>
                <w:color w:val="auto"/>
              </w:rPr>
            </w:pPr>
          </w:p>
        </w:tc>
      </w:tr>
      <w:tr>
        <w:trPr>
          <w:trHeight w:val="221"/>
        </w:trPr>
        <w:tc>
          <w:tcPr>
            <w:tcW w:w="3960" w:type="dxa"/>
            <w:vAlign w:val="bottom"/>
          </w:tcPr>
          <w:p>
            <w:pPr>
              <w:spacing w:after="0"/>
              <w:rPr>
                <w:sz w:val="20"/>
                <w:szCs w:val="20"/>
                <w:color w:val="auto"/>
              </w:rPr>
            </w:pPr>
            <w:r>
              <w:rPr>
                <w:rFonts w:ascii="Arial" w:cs="Arial" w:eastAsia="Arial" w:hAnsi="Arial"/>
                <w:sz w:val="17"/>
                <w:szCs w:val="17"/>
                <w:color w:val="auto"/>
              </w:rPr>
              <w:t>Cash outflows (liabilities)</w:t>
            </w:r>
          </w:p>
        </w:tc>
        <w:tc>
          <w:tcPr>
            <w:tcW w:w="1460" w:type="dxa"/>
            <w:vAlign w:val="bottom"/>
            <w:gridSpan w:val="2"/>
          </w:tcPr>
          <w:p>
            <w:pPr>
              <w:jc w:val="right"/>
              <w:ind w:right="180"/>
              <w:spacing w:after="0"/>
              <w:rPr>
                <w:sz w:val="20"/>
                <w:szCs w:val="20"/>
                <w:color w:val="auto"/>
              </w:rPr>
            </w:pPr>
            <w:r>
              <w:rPr>
                <w:rFonts w:ascii="Arial" w:cs="Arial" w:eastAsia="Arial" w:hAnsi="Arial"/>
                <w:sz w:val="17"/>
                <w:szCs w:val="17"/>
                <w:color w:val="auto"/>
              </w:rPr>
              <w:t>(578,526)</w:t>
            </w:r>
          </w:p>
        </w:tc>
        <w:tc>
          <w:tcPr>
            <w:tcW w:w="1420" w:type="dxa"/>
            <w:vAlign w:val="bottom"/>
            <w:gridSpan w:val="2"/>
          </w:tcPr>
          <w:p>
            <w:pPr>
              <w:jc w:val="right"/>
              <w:ind w:right="140"/>
              <w:spacing w:after="0"/>
              <w:rPr>
                <w:sz w:val="20"/>
                <w:szCs w:val="20"/>
                <w:color w:val="auto"/>
              </w:rPr>
            </w:pPr>
            <w:r>
              <w:rPr>
                <w:rFonts w:ascii="Arial" w:cs="Arial" w:eastAsia="Arial" w:hAnsi="Arial"/>
                <w:sz w:val="17"/>
                <w:szCs w:val="17"/>
                <w:color w:val="auto"/>
              </w:rPr>
              <w:t>(2,575,723)</w:t>
            </w:r>
          </w:p>
        </w:tc>
        <w:tc>
          <w:tcPr>
            <w:tcW w:w="1400" w:type="dxa"/>
            <w:vAlign w:val="bottom"/>
            <w:gridSpan w:val="2"/>
          </w:tcPr>
          <w:p>
            <w:pPr>
              <w:jc w:val="right"/>
              <w:ind w:right="140"/>
              <w:spacing w:after="0"/>
              <w:rPr>
                <w:sz w:val="20"/>
                <w:szCs w:val="20"/>
                <w:color w:val="auto"/>
              </w:rPr>
            </w:pPr>
            <w:r>
              <w:rPr>
                <w:rFonts w:ascii="Arial" w:cs="Arial" w:eastAsia="Arial" w:hAnsi="Arial"/>
                <w:sz w:val="17"/>
                <w:szCs w:val="17"/>
                <w:color w:val="auto"/>
              </w:rPr>
              <w:t>(732,108)</w:t>
            </w:r>
          </w:p>
        </w:tc>
        <w:tc>
          <w:tcPr>
            <w:tcW w:w="1400" w:type="dxa"/>
            <w:vAlign w:val="bottom"/>
            <w:gridSpan w:val="2"/>
          </w:tcPr>
          <w:p>
            <w:pPr>
              <w:jc w:val="right"/>
              <w:ind w:right="140"/>
              <w:spacing w:after="0"/>
              <w:rPr>
                <w:sz w:val="20"/>
                <w:szCs w:val="20"/>
                <w:color w:val="auto"/>
              </w:rPr>
            </w:pPr>
            <w:r>
              <w:rPr>
                <w:rFonts w:ascii="Arial" w:cs="Arial" w:eastAsia="Arial" w:hAnsi="Arial"/>
                <w:sz w:val="17"/>
                <w:szCs w:val="17"/>
                <w:color w:val="auto"/>
              </w:rPr>
              <w:t>(255,205)</w:t>
            </w:r>
          </w:p>
        </w:tc>
        <w:tc>
          <w:tcPr>
            <w:tcW w:w="1300" w:type="dxa"/>
            <w:vAlign w:val="bottom"/>
            <w:gridSpan w:val="2"/>
          </w:tcPr>
          <w:p>
            <w:pPr>
              <w:jc w:val="right"/>
              <w:ind w:right="40"/>
              <w:spacing w:after="0"/>
              <w:rPr>
                <w:sz w:val="20"/>
                <w:szCs w:val="20"/>
                <w:color w:val="auto"/>
              </w:rPr>
            </w:pPr>
            <w:r>
              <w:rPr>
                <w:rFonts w:ascii="Arial" w:cs="Arial" w:eastAsia="Arial" w:hAnsi="Arial"/>
                <w:sz w:val="17"/>
                <w:szCs w:val="17"/>
                <w:color w:val="auto"/>
              </w:rPr>
              <w:t>(4,141,562)</w:t>
            </w:r>
          </w:p>
        </w:tc>
      </w:tr>
      <w:tr>
        <w:trPr>
          <w:trHeight w:val="201"/>
        </w:trPr>
        <w:tc>
          <w:tcPr>
            <w:tcW w:w="39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Consolidated statement of income</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(1,437)</w:t>
            </w:r>
          </w:p>
        </w:tc>
        <w:tc>
          <w:tcPr>
            <w:tcW w:w="240" w:type="dxa"/>
            <w:vAlign w:val="bottom"/>
            <w:tcBorders>
              <w:top w:val="single" w:sz="8" w:color="CCEEFF"/>
              <w:bottom w:val="single" w:sz="8" w:color="CCEEFF"/>
            </w:tcBorders>
            <w:shd w:val="clear" w:color="auto" w:fill="CCEEFF"/>
          </w:tcPr>
          <w:p>
            <w:pPr>
              <w:spacing w:after="0"/>
              <w:rPr>
                <w:sz w:val="17"/>
                <w:szCs w:val="17"/>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4,863</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6,704</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1,383</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11,513</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r>
      <w:tr>
        <w:trPr>
          <w:trHeight w:val="20"/>
        </w:trPr>
        <w:tc>
          <w:tcPr>
            <w:tcW w:w="396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5" w:lineRule="exact"/>
        <w:rPr>
          <w:sz w:val="20"/>
          <w:szCs w:val="20"/>
          <w:color w:val="auto"/>
        </w:rPr>
      </w:pPr>
    </w:p>
    <w:p>
      <w:pPr>
        <w:ind w:left="316" w:right="60"/>
        <w:spacing w:after="0" w:line="305" w:lineRule="auto"/>
        <w:rPr>
          <w:sz w:val="20"/>
          <w:szCs w:val="20"/>
          <w:color w:val="auto"/>
        </w:rPr>
      </w:pPr>
      <w:r>
        <w:rPr>
          <w:rFonts w:ascii="Arial" w:cs="Arial" w:eastAsia="Arial" w:hAnsi="Arial"/>
          <w:sz w:val="15"/>
          <w:szCs w:val="15"/>
          <w:color w:val="auto"/>
        </w:rPr>
        <w:t>At December 31, 2017, the accumulated balance of the net unrealized loss from the cash flow hedges is included as other comprehensive income in “Cash flow hedge reserves” and results from the current hedges, which have an unrealized profit for approximately S/33.2 million, and from the revoked hedges, which have an unrealized profit for approximately S/7.4 million (unrealized profit for approximately S/11.5 million and S/13.1 million from current and revoked hedges, respectively at December 31, 2016), which is being recognized in the consolidated statement of income over the remaining term of the underlying financial instrument. Also, the transfer of the unrealized loss on cash flow hedges to the consolidated statement of income is shown in Note 17(c).</w:t>
      </w:r>
    </w:p>
    <w:p>
      <w:pPr>
        <w:spacing w:after="0" w:line="151" w:lineRule="exact"/>
        <w:rPr>
          <w:sz w:val="20"/>
          <w:szCs w:val="20"/>
          <w:color w:val="auto"/>
        </w:rPr>
      </w:pPr>
    </w:p>
    <w:p>
      <w:pPr>
        <w:jc w:val="both"/>
        <w:ind w:left="316" w:hanging="316"/>
        <w:spacing w:after="0" w:line="270" w:lineRule="auto"/>
        <w:tabs>
          <w:tab w:leader="none" w:pos="316" w:val="left"/>
        </w:tabs>
        <w:numPr>
          <w:ilvl w:val="0"/>
          <w:numId w:val="90"/>
        </w:numPr>
        <w:rPr>
          <w:rFonts w:ascii="Arial" w:cs="Arial" w:eastAsia="Arial" w:hAnsi="Arial"/>
          <w:sz w:val="17"/>
          <w:szCs w:val="17"/>
          <w:color w:val="auto"/>
        </w:rPr>
      </w:pPr>
      <w:r>
        <w:rPr>
          <w:rFonts w:ascii="Arial" w:cs="Arial" w:eastAsia="Arial" w:hAnsi="Arial"/>
          <w:sz w:val="17"/>
          <w:szCs w:val="17"/>
          <w:color w:val="auto"/>
        </w:rPr>
        <w:t>Operations in process include deposits received, loans disbursed, loans collected, funds transferred and other similar types of transactions, which are made in the final days of the month and not reclassified to their final accounts in the consolidated statement of financial position until the first days of the following month. These transactions do not affect the Group’s consolidated net income.</w:t>
      </w:r>
    </w:p>
    <w:p>
      <w:pPr>
        <w:spacing w:after="0" w:line="379" w:lineRule="exact"/>
        <w:rPr>
          <w:rFonts w:ascii="Arial" w:cs="Arial" w:eastAsia="Arial" w:hAnsi="Arial"/>
          <w:sz w:val="17"/>
          <w:szCs w:val="17"/>
          <w:color w:val="auto"/>
        </w:rPr>
      </w:pPr>
    </w:p>
    <w:p>
      <w:pPr>
        <w:ind w:left="5636" w:hanging="107"/>
        <w:spacing w:after="0"/>
        <w:tabs>
          <w:tab w:leader="none" w:pos="5636" w:val="left"/>
        </w:tabs>
        <w:numPr>
          <w:ilvl w:val="1"/>
          <w:numId w:val="90"/>
        </w:numPr>
        <w:rPr>
          <w:rFonts w:ascii="Arial" w:cs="Arial" w:eastAsia="Arial" w:hAnsi="Arial"/>
          <w:sz w:val="17"/>
          <w:szCs w:val="17"/>
          <w:color w:val="auto"/>
        </w:rPr>
      </w:pPr>
      <w:r>
        <w:rPr>
          <w:rFonts w:ascii="Arial" w:cs="Arial" w:eastAsia="Arial" w:hAnsi="Arial"/>
          <w:sz w:val="17"/>
          <w:szCs w:val="17"/>
          <w:color w:val="auto"/>
        </w:rPr>
        <w:t>74 -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15875</wp:posOffset>
            </wp:positionV>
            <wp:extent cx="725170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51700" cy="8255"/>
                    </a:xfrm>
                    <a:prstGeom prst="rect">
                      <a:avLst/>
                    </a:prstGeom>
                    <a:noFill/>
                  </pic:spPr>
                </pic:pic>
              </a:graphicData>
            </a:graphic>
          </wp:anchor>
        </w:drawing>
      </w:r>
    </w:p>
    <w:p>
      <w:pPr>
        <w:sectPr>
          <w:pgSz w:w="11900" w:h="16838" w:orient="portrait"/>
          <w:cols w:equalWidth="0" w:num="1">
            <w:col w:w="11416"/>
          </w:cols>
          <w:pgMar w:left="244" w:top="881" w:right="239" w:bottom="1440" w:gutter="0" w:footer="0" w:header="0"/>
        </w:sectPr>
      </w:pPr>
    </w:p>
    <w:bookmarkStart w:id="80" w:name="page81"/>
    <w:bookmarkEnd w:id="80"/>
    <w:p>
      <w:pPr>
        <w:spacing w:after="0"/>
        <w:tabs>
          <w:tab w:leader="none" w:pos="300" w:val="left"/>
        </w:tabs>
        <w:rPr>
          <w:sz w:val="20"/>
          <w:szCs w:val="20"/>
          <w:color w:val="auto"/>
        </w:rPr>
      </w:pPr>
      <w:r>
        <w:rPr>
          <w:rFonts w:ascii="Arial" w:cs="Arial" w:eastAsia="Arial" w:hAnsi="Arial"/>
          <w:sz w:val="17"/>
          <w:szCs w:val="17"/>
          <w:color w:val="auto"/>
        </w:rPr>
        <w:t>d)</w:t>
      </w:r>
      <w:r>
        <w:rPr>
          <w:sz w:val="20"/>
          <w:szCs w:val="20"/>
          <w:color w:val="auto"/>
        </w:rPr>
        <w:tab/>
      </w:r>
      <w:r>
        <w:rPr>
          <w:rFonts w:ascii="Arial" w:cs="Arial" w:eastAsia="Arial" w:hAnsi="Arial"/>
          <w:sz w:val="15"/>
          <w:szCs w:val="15"/>
          <w:color w:val="auto"/>
        </w:rPr>
        <w:t>The movement of the provision for sundry risks for the years ended December 31, 2017, 2016 and 2015 was as follows:</w:t>
      </w:r>
    </w:p>
    <w:p>
      <w:pPr>
        <w:spacing w:after="0" w:line="227" w:lineRule="exact"/>
        <w:rPr>
          <w:sz w:val="20"/>
          <w:szCs w:val="20"/>
          <w:color w:val="auto"/>
        </w:rPr>
      </w:pPr>
    </w:p>
    <w:tbl>
      <w:tblPr>
        <w:tblLayout w:type="fixed"/>
        <w:tblInd w:w="320" w:type="dxa"/>
        <w:tblCellMar>
          <w:top w:w="0" w:type="dxa"/>
          <w:left w:w="0" w:type="dxa"/>
          <w:bottom w:w="0" w:type="dxa"/>
          <w:right w:w="0" w:type="dxa"/>
        </w:tblCellMar>
      </w:tblPr>
      <w:tr>
        <w:trPr>
          <w:trHeight w:val="226"/>
        </w:trPr>
        <w:tc>
          <w:tcPr>
            <w:tcW w:w="6800" w:type="dxa"/>
            <w:vAlign w:val="bottom"/>
          </w:tcPr>
          <w:p>
            <w:pPr>
              <w:spacing w:after="0"/>
              <w:rPr>
                <w:sz w:val="19"/>
                <w:szCs w:val="19"/>
                <w:color w:val="auto"/>
              </w:rPr>
            </w:pPr>
          </w:p>
        </w:tc>
        <w:tc>
          <w:tcPr>
            <w:tcW w:w="1220" w:type="dxa"/>
            <w:vAlign w:val="bottom"/>
            <w:tcBorders>
              <w:bottom w:val="single" w:sz="8" w:color="auto"/>
            </w:tcBorders>
          </w:tcPr>
          <w:p>
            <w:pPr>
              <w:jc w:val="right"/>
              <w:ind w:right="353"/>
              <w:spacing w:after="0"/>
              <w:rPr>
                <w:sz w:val="20"/>
                <w:szCs w:val="20"/>
                <w:color w:val="auto"/>
              </w:rPr>
            </w:pPr>
            <w:r>
              <w:rPr>
                <w:rFonts w:ascii="Arial" w:cs="Arial" w:eastAsia="Arial" w:hAnsi="Arial"/>
                <w:sz w:val="17"/>
                <w:szCs w:val="17"/>
                <w:b w:val="1"/>
                <w:bCs w:val="1"/>
                <w:color w:val="auto"/>
              </w:rPr>
              <w:t>2017</w:t>
            </w:r>
          </w:p>
        </w:tc>
        <w:tc>
          <w:tcPr>
            <w:tcW w:w="220" w:type="dxa"/>
            <w:vAlign w:val="bottom"/>
          </w:tcPr>
          <w:p>
            <w:pPr>
              <w:spacing w:after="0"/>
              <w:rPr>
                <w:sz w:val="19"/>
                <w:szCs w:val="19"/>
                <w:color w:val="auto"/>
              </w:rPr>
            </w:pPr>
          </w:p>
        </w:tc>
        <w:tc>
          <w:tcPr>
            <w:tcW w:w="1200" w:type="dxa"/>
            <w:vAlign w:val="bottom"/>
            <w:tcBorders>
              <w:bottom w:val="single" w:sz="8" w:color="auto"/>
            </w:tcBorders>
          </w:tcPr>
          <w:p>
            <w:pPr>
              <w:jc w:val="right"/>
              <w:ind w:right="333"/>
              <w:spacing w:after="0"/>
              <w:rPr>
                <w:sz w:val="20"/>
                <w:szCs w:val="20"/>
                <w:color w:val="auto"/>
              </w:rPr>
            </w:pPr>
            <w:r>
              <w:rPr>
                <w:rFonts w:ascii="Arial" w:cs="Arial" w:eastAsia="Arial" w:hAnsi="Arial"/>
                <w:sz w:val="17"/>
                <w:szCs w:val="17"/>
                <w:b w:val="1"/>
                <w:bCs w:val="1"/>
                <w:color w:val="auto"/>
              </w:rPr>
              <w:t>2016</w:t>
            </w:r>
          </w:p>
        </w:tc>
        <w:tc>
          <w:tcPr>
            <w:tcW w:w="200" w:type="dxa"/>
            <w:vAlign w:val="bottom"/>
          </w:tcPr>
          <w:p>
            <w:pPr>
              <w:spacing w:after="0"/>
              <w:rPr>
                <w:sz w:val="19"/>
                <w:szCs w:val="19"/>
                <w:color w:val="auto"/>
              </w:rPr>
            </w:pPr>
          </w:p>
        </w:tc>
        <w:tc>
          <w:tcPr>
            <w:tcW w:w="1200" w:type="dxa"/>
            <w:vAlign w:val="bottom"/>
            <w:tcBorders>
              <w:bottom w:val="single" w:sz="8" w:color="auto"/>
            </w:tcBorders>
          </w:tcPr>
          <w:p>
            <w:pPr>
              <w:jc w:val="right"/>
              <w:ind w:right="333"/>
              <w:spacing w:after="0"/>
              <w:rPr>
                <w:sz w:val="20"/>
                <w:szCs w:val="20"/>
                <w:color w:val="auto"/>
              </w:rPr>
            </w:pPr>
            <w:r>
              <w:rPr>
                <w:rFonts w:ascii="Arial" w:cs="Arial" w:eastAsia="Arial" w:hAnsi="Arial"/>
                <w:sz w:val="17"/>
                <w:szCs w:val="17"/>
                <w:b w:val="1"/>
                <w:bCs w:val="1"/>
                <w:color w:val="auto"/>
              </w:rPr>
              <w:t>2015</w:t>
            </w:r>
          </w:p>
        </w:tc>
        <w:tc>
          <w:tcPr>
            <w:tcW w:w="100" w:type="dxa"/>
            <w:vAlign w:val="bottom"/>
          </w:tcPr>
          <w:p>
            <w:pPr>
              <w:spacing w:after="0"/>
              <w:rPr>
                <w:sz w:val="19"/>
                <w:szCs w:val="19"/>
                <w:color w:val="auto"/>
              </w:rPr>
            </w:pPr>
          </w:p>
        </w:tc>
      </w:tr>
      <w:tr>
        <w:trPr>
          <w:trHeight w:val="219"/>
        </w:trPr>
        <w:tc>
          <w:tcPr>
            <w:tcW w:w="6800" w:type="dxa"/>
            <w:vAlign w:val="bottom"/>
          </w:tcPr>
          <w:p>
            <w:pPr>
              <w:spacing w:after="0"/>
              <w:rPr>
                <w:sz w:val="19"/>
                <w:szCs w:val="19"/>
                <w:color w:val="auto"/>
              </w:rPr>
            </w:pPr>
          </w:p>
        </w:tc>
        <w:tc>
          <w:tcPr>
            <w:tcW w:w="1220" w:type="dxa"/>
            <w:vAlign w:val="bottom"/>
          </w:tcPr>
          <w:p>
            <w:pPr>
              <w:jc w:val="center"/>
              <w:spacing w:after="0"/>
              <w:rPr>
                <w:sz w:val="20"/>
                <w:szCs w:val="20"/>
                <w:color w:val="auto"/>
              </w:rPr>
            </w:pPr>
            <w:r>
              <w:rPr>
                <w:rFonts w:ascii="Arial" w:cs="Arial" w:eastAsia="Arial" w:hAnsi="Arial"/>
                <w:sz w:val="17"/>
                <w:szCs w:val="17"/>
                <w:b w:val="1"/>
                <w:bCs w:val="1"/>
                <w:color w:val="auto"/>
                <w:w w:val="93"/>
              </w:rPr>
              <w:t>S/(000)</w:t>
            </w:r>
          </w:p>
        </w:tc>
        <w:tc>
          <w:tcPr>
            <w:tcW w:w="220" w:type="dxa"/>
            <w:vAlign w:val="bottom"/>
          </w:tcPr>
          <w:p>
            <w:pPr>
              <w:spacing w:after="0"/>
              <w:rPr>
                <w:sz w:val="19"/>
                <w:szCs w:val="19"/>
                <w:color w:val="auto"/>
              </w:rPr>
            </w:pPr>
          </w:p>
        </w:tc>
        <w:tc>
          <w:tcPr>
            <w:tcW w:w="1200" w:type="dxa"/>
            <w:vAlign w:val="bottom"/>
          </w:tcPr>
          <w:p>
            <w:pPr>
              <w:jc w:val="center"/>
              <w:spacing w:after="0"/>
              <w:rPr>
                <w:sz w:val="20"/>
                <w:szCs w:val="20"/>
                <w:color w:val="auto"/>
              </w:rPr>
            </w:pPr>
            <w:r>
              <w:rPr>
                <w:rFonts w:ascii="Arial" w:cs="Arial" w:eastAsia="Arial" w:hAnsi="Arial"/>
                <w:sz w:val="17"/>
                <w:szCs w:val="17"/>
                <w:b w:val="1"/>
                <w:bCs w:val="1"/>
                <w:color w:val="auto"/>
                <w:w w:val="93"/>
              </w:rPr>
              <w:t>S/(000)</w:t>
            </w:r>
          </w:p>
        </w:tc>
        <w:tc>
          <w:tcPr>
            <w:tcW w:w="200" w:type="dxa"/>
            <w:vAlign w:val="bottom"/>
          </w:tcPr>
          <w:p>
            <w:pPr>
              <w:spacing w:after="0"/>
              <w:rPr>
                <w:sz w:val="19"/>
                <w:szCs w:val="19"/>
                <w:color w:val="auto"/>
              </w:rPr>
            </w:pPr>
          </w:p>
        </w:tc>
        <w:tc>
          <w:tcPr>
            <w:tcW w:w="1200" w:type="dxa"/>
            <w:vAlign w:val="bottom"/>
          </w:tcPr>
          <w:p>
            <w:pPr>
              <w:jc w:val="center"/>
              <w:spacing w:after="0"/>
              <w:rPr>
                <w:sz w:val="20"/>
                <w:szCs w:val="20"/>
                <w:color w:val="auto"/>
              </w:rPr>
            </w:pPr>
            <w:r>
              <w:rPr>
                <w:rFonts w:ascii="Arial" w:cs="Arial" w:eastAsia="Arial" w:hAnsi="Arial"/>
                <w:sz w:val="17"/>
                <w:szCs w:val="17"/>
                <w:b w:val="1"/>
                <w:bCs w:val="1"/>
                <w:color w:val="auto"/>
                <w:w w:val="93"/>
              </w:rPr>
              <w:t>S/(000)</w:t>
            </w:r>
          </w:p>
        </w:tc>
        <w:tc>
          <w:tcPr>
            <w:tcW w:w="100" w:type="dxa"/>
            <w:vAlign w:val="bottom"/>
          </w:tcPr>
          <w:p>
            <w:pPr>
              <w:spacing w:after="0"/>
              <w:rPr>
                <w:sz w:val="19"/>
                <w:szCs w:val="19"/>
                <w:color w:val="auto"/>
              </w:rPr>
            </w:pPr>
          </w:p>
        </w:tc>
      </w:tr>
      <w:tr>
        <w:trPr>
          <w:trHeight w:val="189"/>
        </w:trPr>
        <w:tc>
          <w:tcPr>
            <w:tcW w:w="68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08"/>
        </w:trPr>
        <w:tc>
          <w:tcPr>
            <w:tcW w:w="680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Balance at the beginning of the year</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296,339</w:t>
            </w: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196,261</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158,013</w:t>
            </w:r>
          </w:p>
        </w:tc>
        <w:tc>
          <w:tcPr>
            <w:tcW w:w="100" w:type="dxa"/>
            <w:vAlign w:val="bottom"/>
            <w:shd w:val="clear" w:color="auto" w:fill="CCEEFF"/>
          </w:tcPr>
          <w:p>
            <w:pPr>
              <w:spacing w:after="0"/>
              <w:rPr>
                <w:sz w:val="18"/>
                <w:szCs w:val="18"/>
                <w:color w:val="auto"/>
              </w:rPr>
            </w:pPr>
          </w:p>
        </w:tc>
      </w:tr>
      <w:tr>
        <w:trPr>
          <w:trHeight w:val="208"/>
        </w:trPr>
        <w:tc>
          <w:tcPr>
            <w:tcW w:w="6800" w:type="dxa"/>
            <w:vAlign w:val="bottom"/>
          </w:tcPr>
          <w:p>
            <w:pPr>
              <w:spacing w:after="0"/>
              <w:rPr>
                <w:sz w:val="20"/>
                <w:szCs w:val="20"/>
                <w:color w:val="auto"/>
              </w:rPr>
            </w:pPr>
            <w:r>
              <w:rPr>
                <w:rFonts w:ascii="Arial" w:cs="Arial" w:eastAsia="Arial" w:hAnsi="Arial"/>
                <w:sz w:val="17"/>
                <w:szCs w:val="17"/>
                <w:color w:val="auto"/>
              </w:rPr>
              <w:t>Provision, Note 27</w:t>
            </w:r>
          </w:p>
        </w:tc>
        <w:tc>
          <w:tcPr>
            <w:tcW w:w="1440" w:type="dxa"/>
            <w:vAlign w:val="bottom"/>
            <w:gridSpan w:val="2"/>
          </w:tcPr>
          <w:p>
            <w:pPr>
              <w:jc w:val="right"/>
              <w:ind w:right="220"/>
              <w:spacing w:after="0"/>
              <w:rPr>
                <w:sz w:val="20"/>
                <w:szCs w:val="20"/>
                <w:color w:val="auto"/>
              </w:rPr>
            </w:pPr>
            <w:r>
              <w:rPr>
                <w:rFonts w:ascii="Arial" w:cs="Arial" w:eastAsia="Arial" w:hAnsi="Arial"/>
                <w:sz w:val="17"/>
                <w:szCs w:val="17"/>
                <w:color w:val="auto"/>
              </w:rPr>
              <w:t>29,023</w:t>
            </w:r>
          </w:p>
        </w:tc>
        <w:tc>
          <w:tcPr>
            <w:tcW w:w="1400" w:type="dxa"/>
            <w:vAlign w:val="bottom"/>
            <w:gridSpan w:val="2"/>
          </w:tcPr>
          <w:p>
            <w:pPr>
              <w:jc w:val="right"/>
              <w:ind w:right="200"/>
              <w:spacing w:after="0"/>
              <w:rPr>
                <w:sz w:val="20"/>
                <w:szCs w:val="20"/>
                <w:color w:val="auto"/>
              </w:rPr>
            </w:pPr>
            <w:r>
              <w:rPr>
                <w:rFonts w:ascii="Arial" w:cs="Arial" w:eastAsia="Arial" w:hAnsi="Arial"/>
                <w:sz w:val="17"/>
                <w:szCs w:val="17"/>
                <w:color w:val="auto"/>
              </w:rPr>
              <w:t>28,093</w:t>
            </w:r>
          </w:p>
        </w:tc>
        <w:tc>
          <w:tcPr>
            <w:tcW w:w="1300" w:type="dxa"/>
            <w:vAlign w:val="bottom"/>
            <w:gridSpan w:val="2"/>
          </w:tcPr>
          <w:p>
            <w:pPr>
              <w:jc w:val="right"/>
              <w:ind w:right="100"/>
              <w:spacing w:after="0"/>
              <w:rPr>
                <w:sz w:val="20"/>
                <w:szCs w:val="20"/>
                <w:color w:val="auto"/>
              </w:rPr>
            </w:pPr>
            <w:r>
              <w:rPr>
                <w:rFonts w:ascii="Arial" w:cs="Arial" w:eastAsia="Arial" w:hAnsi="Arial"/>
                <w:sz w:val="17"/>
                <w:szCs w:val="17"/>
                <w:color w:val="auto"/>
              </w:rPr>
              <w:t>38,248</w:t>
            </w:r>
          </w:p>
        </w:tc>
      </w:tr>
      <w:tr>
        <w:trPr>
          <w:trHeight w:val="221"/>
        </w:trPr>
        <w:tc>
          <w:tcPr>
            <w:tcW w:w="6800" w:type="dxa"/>
            <w:vAlign w:val="bottom"/>
            <w:shd w:val="clear" w:color="auto" w:fill="CCEEFF"/>
          </w:tcPr>
          <w:p>
            <w:pPr>
              <w:spacing w:after="0"/>
              <w:rPr>
                <w:sz w:val="20"/>
                <w:szCs w:val="20"/>
                <w:color w:val="auto"/>
              </w:rPr>
            </w:pPr>
            <w:r>
              <w:rPr>
                <w:rFonts w:ascii="Arial" w:cs="Arial" w:eastAsia="Arial" w:hAnsi="Arial"/>
                <w:sz w:val="17"/>
                <w:szCs w:val="17"/>
                <w:color w:val="auto"/>
              </w:rPr>
              <w:t>Increase (decrease), net</w:t>
            </w: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(49,521)</w:t>
            </w: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71,985</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9"/>
                <w:szCs w:val="19"/>
                <w:color w:val="auto"/>
              </w:rPr>
            </w:pPr>
          </w:p>
        </w:tc>
      </w:tr>
      <w:tr>
        <w:trPr>
          <w:trHeight w:val="201"/>
        </w:trPr>
        <w:tc>
          <w:tcPr>
            <w:tcW w:w="6800" w:type="dxa"/>
            <w:vAlign w:val="bottom"/>
          </w:tcPr>
          <w:p>
            <w:pPr>
              <w:spacing w:after="0"/>
              <w:rPr>
                <w:sz w:val="20"/>
                <w:szCs w:val="20"/>
                <w:color w:val="auto"/>
              </w:rPr>
            </w:pPr>
            <w:r>
              <w:rPr>
                <w:rFonts w:ascii="Arial" w:cs="Arial" w:eastAsia="Arial" w:hAnsi="Arial"/>
                <w:sz w:val="17"/>
                <w:szCs w:val="17"/>
                <w:b w:val="1"/>
                <w:bCs w:val="1"/>
                <w:color w:val="auto"/>
              </w:rPr>
              <w:t>Balances</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275,841</w:t>
            </w:r>
          </w:p>
        </w:tc>
        <w:tc>
          <w:tcPr>
            <w:tcW w:w="220" w:type="dxa"/>
            <w:vAlign w:val="bottom"/>
          </w:tcPr>
          <w:p>
            <w:pPr>
              <w:spacing w:after="0"/>
              <w:rPr>
                <w:sz w:val="17"/>
                <w:szCs w:val="17"/>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296,339</w:t>
            </w:r>
          </w:p>
        </w:tc>
        <w:tc>
          <w:tcPr>
            <w:tcW w:w="200" w:type="dxa"/>
            <w:vAlign w:val="bottom"/>
          </w:tcPr>
          <w:p>
            <w:pPr>
              <w:spacing w:after="0"/>
              <w:rPr>
                <w:sz w:val="17"/>
                <w:szCs w:val="17"/>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196,261</w:t>
            </w:r>
          </w:p>
        </w:tc>
        <w:tc>
          <w:tcPr>
            <w:tcW w:w="100" w:type="dxa"/>
            <w:vAlign w:val="bottom"/>
          </w:tcPr>
          <w:p>
            <w:pPr>
              <w:spacing w:after="0"/>
              <w:rPr>
                <w:sz w:val="17"/>
                <w:szCs w:val="17"/>
                <w:color w:val="auto"/>
              </w:rPr>
            </w:pPr>
          </w:p>
        </w:tc>
      </w:tr>
      <w:tr>
        <w:trPr>
          <w:trHeight w:val="20"/>
        </w:trPr>
        <w:tc>
          <w:tcPr>
            <w:tcW w:w="68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5" w:lineRule="exact"/>
        <w:rPr>
          <w:sz w:val="20"/>
          <w:szCs w:val="20"/>
          <w:color w:val="auto"/>
        </w:rPr>
      </w:pPr>
    </w:p>
    <w:p>
      <w:pPr>
        <w:ind w:left="320" w:right="100"/>
        <w:spacing w:after="0" w:line="265" w:lineRule="auto"/>
        <w:rPr>
          <w:sz w:val="20"/>
          <w:szCs w:val="20"/>
          <w:color w:val="auto"/>
        </w:rPr>
      </w:pPr>
      <w:r>
        <w:rPr>
          <w:rFonts w:ascii="Arial" w:cs="Arial" w:eastAsia="Arial" w:hAnsi="Arial"/>
          <w:sz w:val="17"/>
          <w:szCs w:val="17"/>
          <w:color w:val="auto"/>
        </w:rPr>
        <w:t>Due to the nature of its business, the Group has some pending legal claims for which it records a provision when, in the opinion of Management and its in-house legal advisors, they will result in an additional liability and such amount can be reliably estimated. Regarding legal claims against the Group which have not been provided for, in the opinion of Management and its in-house legal advisors, they will not have a material effect on the Group’s consolidated financial statements.</w:t>
      </w:r>
    </w:p>
    <w:p>
      <w:pPr>
        <w:spacing w:after="0" w:line="176" w:lineRule="exact"/>
        <w:rPr>
          <w:sz w:val="20"/>
          <w:szCs w:val="20"/>
          <w:color w:val="auto"/>
        </w:rPr>
      </w:pPr>
    </w:p>
    <w:p>
      <w:pPr>
        <w:ind w:left="320" w:hanging="316"/>
        <w:spacing w:after="0" w:line="285" w:lineRule="auto"/>
        <w:tabs>
          <w:tab w:leader="none" w:pos="320" w:val="left"/>
        </w:tabs>
        <w:numPr>
          <w:ilvl w:val="0"/>
          <w:numId w:val="91"/>
        </w:numPr>
        <w:rPr>
          <w:rFonts w:ascii="Arial" w:cs="Arial" w:eastAsia="Arial" w:hAnsi="Arial"/>
          <w:sz w:val="17"/>
          <w:szCs w:val="17"/>
          <w:color w:val="auto"/>
        </w:rPr>
      </w:pPr>
      <w:r>
        <w:rPr>
          <w:rFonts w:ascii="Arial" w:cs="Arial" w:eastAsia="Arial" w:hAnsi="Arial"/>
          <w:sz w:val="17"/>
          <w:szCs w:val="17"/>
          <w:color w:val="auto"/>
        </w:rPr>
        <w:t>Credicorp’s principal associates are Pacífico EPS and Carlyle Peru, the balances of which amount to S/510.9 million and S/144.1 million, at December 31, 2017, respectively (S/490.1 million and S/145.8 million at December 31, 2016, respectively).</w:t>
      </w:r>
    </w:p>
    <w:p>
      <w:pPr>
        <w:spacing w:after="0" w:line="159" w:lineRule="exact"/>
        <w:rPr>
          <w:rFonts w:ascii="Arial" w:cs="Arial" w:eastAsia="Arial" w:hAnsi="Arial"/>
          <w:sz w:val="17"/>
          <w:szCs w:val="17"/>
          <w:color w:val="auto"/>
        </w:rPr>
      </w:pPr>
    </w:p>
    <w:p>
      <w:pPr>
        <w:ind w:left="320" w:hanging="316"/>
        <w:spacing w:after="0"/>
        <w:tabs>
          <w:tab w:leader="none" w:pos="320" w:val="left"/>
        </w:tabs>
        <w:numPr>
          <w:ilvl w:val="0"/>
          <w:numId w:val="91"/>
        </w:numPr>
        <w:rPr>
          <w:rFonts w:ascii="Arial" w:cs="Arial" w:eastAsia="Arial" w:hAnsi="Arial"/>
          <w:sz w:val="17"/>
          <w:szCs w:val="17"/>
          <w:color w:val="auto"/>
        </w:rPr>
      </w:pPr>
      <w:r>
        <w:rPr>
          <w:rFonts w:ascii="Arial" w:cs="Arial" w:eastAsia="Arial" w:hAnsi="Arial"/>
          <w:sz w:val="17"/>
          <w:szCs w:val="17"/>
          <w:color w:val="auto"/>
        </w:rPr>
        <w:t>Investment properties -</w:t>
      </w:r>
    </w:p>
    <w:p>
      <w:pPr>
        <w:spacing w:after="0" w:line="220" w:lineRule="exact"/>
        <w:rPr>
          <w:rFonts w:ascii="Arial" w:cs="Arial" w:eastAsia="Arial" w:hAnsi="Arial"/>
          <w:sz w:val="17"/>
          <w:szCs w:val="17"/>
          <w:color w:val="auto"/>
        </w:rPr>
      </w:pPr>
    </w:p>
    <w:p>
      <w:pPr>
        <w:ind w:left="320"/>
        <w:spacing w:after="0"/>
        <w:rPr>
          <w:rFonts w:ascii="Arial" w:cs="Arial" w:eastAsia="Arial" w:hAnsi="Arial"/>
          <w:sz w:val="17"/>
          <w:szCs w:val="17"/>
          <w:color w:val="auto"/>
        </w:rPr>
      </w:pPr>
      <w:r>
        <w:rPr>
          <w:rFonts w:ascii="Arial" w:cs="Arial" w:eastAsia="Arial" w:hAnsi="Arial"/>
          <w:sz w:val="17"/>
          <w:szCs w:val="17"/>
          <w:color w:val="auto"/>
        </w:rPr>
        <w:t>The movement of cost and accumulated depreciation of investment properties is as follows:</w:t>
      </w:r>
    </w:p>
    <w:p>
      <w:pPr>
        <w:spacing w:after="0" w:line="227" w:lineRule="exact"/>
        <w:rPr>
          <w:sz w:val="20"/>
          <w:szCs w:val="20"/>
          <w:color w:val="auto"/>
        </w:rPr>
      </w:pPr>
    </w:p>
    <w:tbl>
      <w:tblPr>
        <w:tblLayout w:type="fixed"/>
        <w:tblInd w:w="320" w:type="dxa"/>
        <w:tblCellMar>
          <w:top w:w="0" w:type="dxa"/>
          <w:left w:w="0" w:type="dxa"/>
          <w:bottom w:w="0" w:type="dxa"/>
          <w:right w:w="0" w:type="dxa"/>
        </w:tblCellMar>
      </w:tblPr>
      <w:tr>
        <w:trPr>
          <w:trHeight w:val="226"/>
        </w:trPr>
        <w:tc>
          <w:tcPr>
            <w:tcW w:w="5380" w:type="dxa"/>
            <w:vAlign w:val="bottom"/>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73"/>
              <w:spacing w:after="0"/>
              <w:rPr>
                <w:sz w:val="20"/>
                <w:szCs w:val="20"/>
                <w:color w:val="auto"/>
              </w:rPr>
            </w:pPr>
            <w:r>
              <w:rPr>
                <w:rFonts w:ascii="Arial" w:cs="Arial" w:eastAsia="Arial" w:hAnsi="Arial"/>
                <w:sz w:val="17"/>
                <w:szCs w:val="17"/>
                <w:b w:val="1"/>
                <w:bCs w:val="1"/>
                <w:color w:val="auto"/>
              </w:rPr>
              <w:t>2017</w:t>
            </w: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Borders>
              <w:bottom w:val="single" w:sz="8" w:color="auto"/>
            </w:tcBorders>
          </w:tcPr>
          <w:p>
            <w:pPr>
              <w:jc w:val="right"/>
              <w:ind w:right="333"/>
              <w:spacing w:after="0"/>
              <w:rPr>
                <w:sz w:val="20"/>
                <w:szCs w:val="20"/>
                <w:color w:val="auto"/>
              </w:rPr>
            </w:pPr>
            <w:r>
              <w:rPr>
                <w:rFonts w:ascii="Arial" w:cs="Arial" w:eastAsia="Arial" w:hAnsi="Arial"/>
                <w:sz w:val="17"/>
                <w:szCs w:val="17"/>
                <w:b w:val="1"/>
                <w:bCs w:val="1"/>
                <w:color w:val="auto"/>
              </w:rPr>
              <w:t>2016</w:t>
            </w:r>
          </w:p>
        </w:tc>
        <w:tc>
          <w:tcPr>
            <w:tcW w:w="100" w:type="dxa"/>
            <w:vAlign w:val="bottom"/>
          </w:tcPr>
          <w:p>
            <w:pPr>
              <w:spacing w:after="0"/>
              <w:rPr>
                <w:sz w:val="19"/>
                <w:szCs w:val="19"/>
                <w:color w:val="auto"/>
              </w:rPr>
            </w:pPr>
          </w:p>
        </w:tc>
      </w:tr>
      <w:tr>
        <w:trPr>
          <w:trHeight w:val="214"/>
        </w:trPr>
        <w:tc>
          <w:tcPr>
            <w:tcW w:w="5380" w:type="dxa"/>
            <w:vAlign w:val="bottom"/>
          </w:tcPr>
          <w:p>
            <w:pPr>
              <w:spacing w:after="0"/>
              <w:rPr>
                <w:sz w:val="18"/>
                <w:szCs w:val="18"/>
                <w:color w:val="auto"/>
              </w:rPr>
            </w:pPr>
          </w:p>
        </w:tc>
        <w:tc>
          <w:tcPr>
            <w:tcW w:w="1740" w:type="dxa"/>
            <w:vAlign w:val="bottom"/>
            <w:tcBorders>
              <w:bottom w:val="single" w:sz="8" w:color="auto"/>
            </w:tcBorders>
            <w:gridSpan w:val="3"/>
          </w:tcPr>
          <w:p>
            <w:pPr>
              <w:ind w:left="920"/>
              <w:spacing w:after="0"/>
              <w:rPr>
                <w:sz w:val="20"/>
                <w:szCs w:val="20"/>
                <w:color w:val="auto"/>
              </w:rPr>
            </w:pPr>
            <w:r>
              <w:rPr>
                <w:rFonts w:ascii="Arial" w:cs="Arial" w:eastAsia="Arial" w:hAnsi="Arial"/>
                <w:sz w:val="17"/>
                <w:szCs w:val="17"/>
                <w:b w:val="1"/>
                <w:bCs w:val="1"/>
                <w:color w:val="auto"/>
                <w:w w:val="84"/>
              </w:rPr>
              <w:t>Own assets</w:t>
            </w:r>
          </w:p>
        </w:tc>
        <w:tc>
          <w:tcPr>
            <w:tcW w:w="92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4"/>
        </w:trPr>
        <w:tc>
          <w:tcPr>
            <w:tcW w:w="5380" w:type="dxa"/>
            <w:vAlign w:val="bottom"/>
          </w:tcPr>
          <w:p>
            <w:pPr>
              <w:spacing w:after="0"/>
              <w:rPr>
                <w:sz w:val="18"/>
                <w:szCs w:val="18"/>
                <w:color w:val="auto"/>
              </w:rPr>
            </w:pPr>
          </w:p>
        </w:tc>
        <w:tc>
          <w:tcPr>
            <w:tcW w:w="1740" w:type="dxa"/>
            <w:vAlign w:val="bottom"/>
            <w:gridSpan w:val="3"/>
          </w:tcPr>
          <w:p>
            <w:pPr>
              <w:ind w:left="400"/>
              <w:spacing w:after="0"/>
              <w:rPr>
                <w:sz w:val="20"/>
                <w:szCs w:val="20"/>
                <w:color w:val="auto"/>
              </w:rPr>
            </w:pPr>
            <w:r>
              <w:rPr>
                <w:rFonts w:ascii="Arial" w:cs="Arial" w:eastAsia="Arial" w:hAnsi="Arial"/>
                <w:sz w:val="17"/>
                <w:szCs w:val="17"/>
                <w:b w:val="1"/>
                <w:bCs w:val="1"/>
                <w:color w:val="auto"/>
              </w:rPr>
              <w:t>Land</w:t>
            </w:r>
          </w:p>
        </w:tc>
        <w:tc>
          <w:tcPr>
            <w:tcW w:w="920" w:type="dxa"/>
            <w:vAlign w:val="bottom"/>
          </w:tcPr>
          <w:p>
            <w:pPr>
              <w:jc w:val="right"/>
              <w:ind w:right="193"/>
              <w:spacing w:after="0"/>
              <w:rPr>
                <w:sz w:val="20"/>
                <w:szCs w:val="20"/>
                <w:color w:val="auto"/>
              </w:rPr>
            </w:pPr>
            <w:r>
              <w:rPr>
                <w:rFonts w:ascii="Arial" w:cs="Arial" w:eastAsia="Arial" w:hAnsi="Arial"/>
                <w:sz w:val="17"/>
                <w:szCs w:val="17"/>
                <w:b w:val="1"/>
                <w:bCs w:val="1"/>
                <w:color w:val="auto"/>
                <w:w w:val="91"/>
              </w:rPr>
              <w:t>Building</w:t>
            </w:r>
          </w:p>
        </w:tc>
        <w:tc>
          <w:tcPr>
            <w:tcW w:w="200" w:type="dxa"/>
            <w:vAlign w:val="bottom"/>
          </w:tcPr>
          <w:p>
            <w:pPr>
              <w:spacing w:after="0"/>
              <w:rPr>
                <w:sz w:val="18"/>
                <w:szCs w:val="18"/>
                <w:color w:val="auto"/>
              </w:rPr>
            </w:pPr>
          </w:p>
        </w:tc>
        <w:tc>
          <w:tcPr>
            <w:tcW w:w="1400" w:type="dxa"/>
            <w:vAlign w:val="bottom"/>
            <w:gridSpan w:val="2"/>
          </w:tcPr>
          <w:p>
            <w:pPr>
              <w:jc w:val="right"/>
              <w:ind w:right="600"/>
              <w:spacing w:after="0"/>
              <w:rPr>
                <w:sz w:val="20"/>
                <w:szCs w:val="20"/>
                <w:color w:val="auto"/>
              </w:rPr>
            </w:pPr>
            <w:r>
              <w:rPr>
                <w:rFonts w:ascii="Arial" w:cs="Arial" w:eastAsia="Arial" w:hAnsi="Arial"/>
                <w:sz w:val="17"/>
                <w:szCs w:val="17"/>
                <w:b w:val="1"/>
                <w:bCs w:val="1"/>
                <w:color w:val="auto"/>
              </w:rPr>
              <w:t>Total</w:t>
            </w:r>
          </w:p>
        </w:tc>
        <w:tc>
          <w:tcPr>
            <w:tcW w:w="1300" w:type="dxa"/>
            <w:vAlign w:val="bottom"/>
            <w:gridSpan w:val="2"/>
          </w:tcPr>
          <w:p>
            <w:pPr>
              <w:jc w:val="right"/>
              <w:ind w:right="500"/>
              <w:spacing w:after="0"/>
              <w:rPr>
                <w:sz w:val="20"/>
                <w:szCs w:val="20"/>
                <w:color w:val="auto"/>
              </w:rPr>
            </w:pPr>
            <w:r>
              <w:rPr>
                <w:rFonts w:ascii="Arial" w:cs="Arial" w:eastAsia="Arial" w:hAnsi="Arial"/>
                <w:sz w:val="17"/>
                <w:szCs w:val="17"/>
                <w:b w:val="1"/>
                <w:bCs w:val="1"/>
                <w:color w:val="auto"/>
              </w:rPr>
              <w:t>Total</w:t>
            </w:r>
          </w:p>
        </w:tc>
      </w:tr>
      <w:tr>
        <w:trPr>
          <w:trHeight w:val="201"/>
        </w:trPr>
        <w:tc>
          <w:tcPr>
            <w:tcW w:w="5380" w:type="dxa"/>
            <w:vAlign w:val="bottom"/>
          </w:tcPr>
          <w:p>
            <w:pPr>
              <w:spacing w:after="0"/>
              <w:rPr>
                <w:sz w:val="17"/>
                <w:szCs w:val="17"/>
                <w:color w:val="auto"/>
              </w:rPr>
            </w:pPr>
          </w:p>
        </w:tc>
        <w:tc>
          <w:tcPr>
            <w:tcW w:w="1220" w:type="dxa"/>
            <w:vAlign w:val="bottom"/>
            <w:tcBorders>
              <w:top w:val="single" w:sz="8" w:color="auto"/>
            </w:tcBorders>
          </w:tcPr>
          <w:p>
            <w:pPr>
              <w:jc w:val="right"/>
              <w:ind w:right="273"/>
              <w:spacing w:after="0"/>
              <w:rPr>
                <w:sz w:val="20"/>
                <w:szCs w:val="20"/>
                <w:color w:val="auto"/>
              </w:rPr>
            </w:pPr>
            <w:r>
              <w:rPr>
                <w:rFonts w:ascii="Arial" w:cs="Arial" w:eastAsia="Arial" w:hAnsi="Arial"/>
                <w:sz w:val="17"/>
                <w:szCs w:val="17"/>
                <w:b w:val="1"/>
                <w:bCs w:val="1"/>
                <w:color w:val="auto"/>
              </w:rPr>
              <w:t>S/(000)</w:t>
            </w:r>
          </w:p>
        </w:tc>
        <w:tc>
          <w:tcPr>
            <w:tcW w:w="22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ind w:right="253"/>
              <w:spacing w:after="0"/>
              <w:rPr>
                <w:sz w:val="20"/>
                <w:szCs w:val="20"/>
                <w:color w:val="auto"/>
              </w:rPr>
            </w:pPr>
            <w:r>
              <w:rPr>
                <w:rFonts w:ascii="Arial" w:cs="Arial" w:eastAsia="Arial" w:hAnsi="Arial"/>
                <w:sz w:val="17"/>
                <w:szCs w:val="17"/>
                <w:b w:val="1"/>
                <w:bCs w:val="1"/>
                <w:color w:val="auto"/>
              </w:rPr>
              <w:t>S/(000)</w:t>
            </w:r>
          </w:p>
        </w:tc>
        <w:tc>
          <w:tcPr>
            <w:tcW w:w="200" w:type="dxa"/>
            <w:vAlign w:val="bottom"/>
          </w:tcPr>
          <w:p>
            <w:pPr>
              <w:spacing w:after="0"/>
              <w:rPr>
                <w:sz w:val="17"/>
                <w:szCs w:val="17"/>
                <w:color w:val="auto"/>
              </w:rPr>
            </w:pPr>
          </w:p>
        </w:tc>
        <w:tc>
          <w:tcPr>
            <w:tcW w:w="1200" w:type="dxa"/>
            <w:vAlign w:val="bottom"/>
            <w:tcBorders>
              <w:top w:val="single" w:sz="8" w:color="auto"/>
            </w:tcBorders>
          </w:tcPr>
          <w:p>
            <w:pPr>
              <w:jc w:val="right"/>
              <w:ind w:right="253"/>
              <w:spacing w:after="0"/>
              <w:rPr>
                <w:sz w:val="20"/>
                <w:szCs w:val="20"/>
                <w:color w:val="auto"/>
              </w:rPr>
            </w:pPr>
            <w:r>
              <w:rPr>
                <w:rFonts w:ascii="Arial" w:cs="Arial" w:eastAsia="Arial" w:hAnsi="Arial"/>
                <w:sz w:val="17"/>
                <w:szCs w:val="17"/>
                <w:b w:val="1"/>
                <w:bCs w:val="1"/>
                <w:color w:val="auto"/>
              </w:rPr>
              <w:t>S/(000)</w:t>
            </w:r>
          </w:p>
        </w:tc>
        <w:tc>
          <w:tcPr>
            <w:tcW w:w="200" w:type="dxa"/>
            <w:vAlign w:val="bottom"/>
          </w:tcPr>
          <w:p>
            <w:pPr>
              <w:spacing w:after="0"/>
              <w:rPr>
                <w:sz w:val="17"/>
                <w:szCs w:val="17"/>
                <w:color w:val="auto"/>
              </w:rPr>
            </w:pPr>
          </w:p>
        </w:tc>
        <w:tc>
          <w:tcPr>
            <w:tcW w:w="1200" w:type="dxa"/>
            <w:vAlign w:val="bottom"/>
            <w:tcBorders>
              <w:top w:val="single" w:sz="8" w:color="auto"/>
            </w:tcBorders>
          </w:tcPr>
          <w:p>
            <w:pPr>
              <w:jc w:val="center"/>
              <w:spacing w:after="0"/>
              <w:rPr>
                <w:sz w:val="20"/>
                <w:szCs w:val="20"/>
                <w:color w:val="auto"/>
              </w:rPr>
            </w:pPr>
            <w:r>
              <w:rPr>
                <w:rFonts w:ascii="Arial" w:cs="Arial" w:eastAsia="Arial" w:hAnsi="Arial"/>
                <w:sz w:val="17"/>
                <w:szCs w:val="17"/>
                <w:b w:val="1"/>
                <w:bCs w:val="1"/>
                <w:color w:val="auto"/>
                <w:w w:val="93"/>
              </w:rPr>
              <w:t>S/(000)</w:t>
            </w:r>
          </w:p>
        </w:tc>
        <w:tc>
          <w:tcPr>
            <w:tcW w:w="100" w:type="dxa"/>
            <w:vAlign w:val="bottom"/>
          </w:tcPr>
          <w:p>
            <w:pPr>
              <w:spacing w:after="0"/>
              <w:rPr>
                <w:sz w:val="17"/>
                <w:szCs w:val="17"/>
                <w:color w:val="auto"/>
              </w:rPr>
            </w:pPr>
          </w:p>
        </w:tc>
      </w:tr>
      <w:tr>
        <w:trPr>
          <w:trHeight w:val="208"/>
        </w:trPr>
        <w:tc>
          <w:tcPr>
            <w:tcW w:w="538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Cost</w:t>
            </w: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8"/>
        </w:trPr>
        <w:tc>
          <w:tcPr>
            <w:tcW w:w="5380" w:type="dxa"/>
            <w:vAlign w:val="bottom"/>
          </w:tcPr>
          <w:p>
            <w:pPr>
              <w:spacing w:after="0"/>
              <w:rPr>
                <w:sz w:val="20"/>
                <w:szCs w:val="20"/>
                <w:color w:val="auto"/>
              </w:rPr>
            </w:pPr>
            <w:r>
              <w:rPr>
                <w:rFonts w:ascii="Arial" w:cs="Arial" w:eastAsia="Arial" w:hAnsi="Arial"/>
                <w:sz w:val="17"/>
                <w:szCs w:val="17"/>
                <w:color w:val="auto"/>
              </w:rPr>
              <w:t>Balance at January 1</w:t>
            </w:r>
          </w:p>
        </w:tc>
        <w:tc>
          <w:tcPr>
            <w:tcW w:w="1440" w:type="dxa"/>
            <w:vAlign w:val="bottom"/>
            <w:gridSpan w:val="2"/>
          </w:tcPr>
          <w:p>
            <w:pPr>
              <w:jc w:val="right"/>
              <w:ind w:right="220"/>
              <w:spacing w:after="0"/>
              <w:rPr>
                <w:sz w:val="20"/>
                <w:szCs w:val="20"/>
                <w:color w:val="auto"/>
              </w:rPr>
            </w:pPr>
            <w:r>
              <w:rPr>
                <w:rFonts w:ascii="Arial" w:cs="Arial" w:eastAsia="Arial" w:hAnsi="Arial"/>
                <w:sz w:val="17"/>
                <w:szCs w:val="17"/>
                <w:color w:val="auto"/>
              </w:rPr>
              <w:t>289,432</w:t>
            </w:r>
          </w:p>
        </w:tc>
        <w:tc>
          <w:tcPr>
            <w:tcW w:w="30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7"/>
                <w:szCs w:val="17"/>
                <w:color w:val="auto"/>
              </w:rPr>
              <w:t>261,174</w:t>
            </w:r>
          </w:p>
        </w:tc>
        <w:tc>
          <w:tcPr>
            <w:tcW w:w="1400" w:type="dxa"/>
            <w:vAlign w:val="bottom"/>
            <w:gridSpan w:val="2"/>
          </w:tcPr>
          <w:p>
            <w:pPr>
              <w:jc w:val="right"/>
              <w:ind w:right="200"/>
              <w:spacing w:after="0"/>
              <w:rPr>
                <w:sz w:val="20"/>
                <w:szCs w:val="20"/>
                <w:color w:val="auto"/>
              </w:rPr>
            </w:pPr>
            <w:r>
              <w:rPr>
                <w:rFonts w:ascii="Arial" w:cs="Arial" w:eastAsia="Arial" w:hAnsi="Arial"/>
                <w:sz w:val="17"/>
                <w:szCs w:val="17"/>
                <w:color w:val="auto"/>
              </w:rPr>
              <w:t>550,606</w:t>
            </w:r>
          </w:p>
        </w:tc>
        <w:tc>
          <w:tcPr>
            <w:tcW w:w="1200" w:type="dxa"/>
            <w:vAlign w:val="bottom"/>
          </w:tcPr>
          <w:p>
            <w:pPr>
              <w:jc w:val="right"/>
              <w:spacing w:after="0"/>
              <w:rPr>
                <w:sz w:val="20"/>
                <w:szCs w:val="20"/>
                <w:color w:val="auto"/>
              </w:rPr>
            </w:pPr>
            <w:r>
              <w:rPr>
                <w:rFonts w:ascii="Arial" w:cs="Arial" w:eastAsia="Arial" w:hAnsi="Arial"/>
                <w:sz w:val="17"/>
                <w:szCs w:val="17"/>
                <w:color w:val="auto"/>
              </w:rPr>
              <w:t>462,440</w:t>
            </w:r>
          </w:p>
        </w:tc>
        <w:tc>
          <w:tcPr>
            <w:tcW w:w="100" w:type="dxa"/>
            <w:vAlign w:val="bottom"/>
          </w:tcPr>
          <w:p>
            <w:pPr>
              <w:spacing w:after="0"/>
              <w:rPr>
                <w:sz w:val="18"/>
                <w:szCs w:val="18"/>
                <w:color w:val="auto"/>
              </w:rPr>
            </w:pPr>
          </w:p>
        </w:tc>
      </w:tr>
      <w:tr>
        <w:trPr>
          <w:trHeight w:val="208"/>
        </w:trPr>
        <w:tc>
          <w:tcPr>
            <w:tcW w:w="5380" w:type="dxa"/>
            <w:vAlign w:val="bottom"/>
            <w:shd w:val="clear" w:color="auto" w:fill="CCEEFF"/>
          </w:tcPr>
          <w:p>
            <w:pPr>
              <w:spacing w:after="0"/>
              <w:rPr>
                <w:sz w:val="20"/>
                <w:szCs w:val="20"/>
                <w:color w:val="auto"/>
              </w:rPr>
            </w:pPr>
            <w:r>
              <w:rPr>
                <w:rFonts w:ascii="Arial" w:cs="Arial" w:eastAsia="Arial" w:hAnsi="Arial"/>
                <w:sz w:val="17"/>
                <w:szCs w:val="17"/>
                <w:color w:val="auto"/>
              </w:rPr>
              <w:t>Additions (i)</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4,637</w:t>
            </w:r>
          </w:p>
        </w:tc>
        <w:tc>
          <w:tcPr>
            <w:tcW w:w="3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4,580</w:t>
            </w: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9,217</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88,186</w:t>
            </w:r>
          </w:p>
        </w:tc>
      </w:tr>
      <w:tr>
        <w:trPr>
          <w:trHeight w:val="208"/>
        </w:trPr>
        <w:tc>
          <w:tcPr>
            <w:tcW w:w="5380" w:type="dxa"/>
            <w:vAlign w:val="bottom"/>
          </w:tcPr>
          <w:p>
            <w:pPr>
              <w:spacing w:after="0"/>
              <w:rPr>
                <w:sz w:val="20"/>
                <w:szCs w:val="20"/>
                <w:color w:val="auto"/>
              </w:rPr>
            </w:pPr>
            <w:r>
              <w:rPr>
                <w:rFonts w:ascii="Arial" w:cs="Arial" w:eastAsia="Arial" w:hAnsi="Arial"/>
                <w:sz w:val="17"/>
                <w:szCs w:val="17"/>
                <w:color w:val="auto"/>
              </w:rPr>
              <w:t>Transfers (ii)</w:t>
            </w:r>
          </w:p>
        </w:tc>
        <w:tc>
          <w:tcPr>
            <w:tcW w:w="144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7"/>
                <w:szCs w:val="17"/>
                <w:color w:val="auto"/>
              </w:rPr>
              <w:t>66,856</w:t>
            </w:r>
          </w:p>
        </w:tc>
        <w:tc>
          <w:tcPr>
            <w:tcW w:w="1400" w:type="dxa"/>
            <w:vAlign w:val="bottom"/>
            <w:gridSpan w:val="2"/>
          </w:tcPr>
          <w:p>
            <w:pPr>
              <w:jc w:val="right"/>
              <w:ind w:right="200"/>
              <w:spacing w:after="0"/>
              <w:rPr>
                <w:sz w:val="20"/>
                <w:szCs w:val="20"/>
                <w:color w:val="auto"/>
              </w:rPr>
            </w:pPr>
            <w:r>
              <w:rPr>
                <w:rFonts w:ascii="Arial" w:cs="Arial" w:eastAsia="Arial" w:hAnsi="Arial"/>
                <w:sz w:val="17"/>
                <w:szCs w:val="17"/>
                <w:color w:val="auto"/>
              </w:rPr>
              <w:t>66,856</w:t>
            </w:r>
          </w:p>
        </w:tc>
        <w:tc>
          <w:tcPr>
            <w:tcW w:w="120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r>
      <w:tr>
        <w:trPr>
          <w:trHeight w:val="208"/>
        </w:trPr>
        <w:tc>
          <w:tcPr>
            <w:tcW w:w="5380" w:type="dxa"/>
            <w:vAlign w:val="bottom"/>
            <w:shd w:val="clear" w:color="auto" w:fill="CCEEFF"/>
          </w:tcPr>
          <w:p>
            <w:pPr>
              <w:spacing w:after="0"/>
              <w:rPr>
                <w:sz w:val="20"/>
                <w:szCs w:val="20"/>
                <w:color w:val="auto"/>
              </w:rPr>
            </w:pPr>
            <w:r>
              <w:rPr>
                <w:rFonts w:ascii="Arial" w:cs="Arial" w:eastAsia="Arial" w:hAnsi="Arial"/>
                <w:sz w:val="17"/>
                <w:szCs w:val="17"/>
                <w:color w:val="auto"/>
              </w:rPr>
              <w:t>Sales (iii)</w:t>
            </w: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(47,987)</w:t>
            </w:r>
          </w:p>
        </w:tc>
        <w:tc>
          <w:tcPr>
            <w:tcW w:w="3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(41,910)</w:t>
            </w:r>
          </w:p>
        </w:tc>
        <w:tc>
          <w:tcPr>
            <w:tcW w:w="14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(89,897)</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r>
      <w:tr>
        <w:trPr>
          <w:trHeight w:val="221"/>
        </w:trPr>
        <w:tc>
          <w:tcPr>
            <w:tcW w:w="5380" w:type="dxa"/>
            <w:vAlign w:val="bottom"/>
          </w:tcPr>
          <w:p>
            <w:pPr>
              <w:spacing w:after="0"/>
              <w:rPr>
                <w:sz w:val="20"/>
                <w:szCs w:val="20"/>
                <w:color w:val="auto"/>
              </w:rPr>
            </w:pPr>
            <w:r>
              <w:rPr>
                <w:rFonts w:ascii="Arial" w:cs="Arial" w:eastAsia="Arial" w:hAnsi="Arial"/>
                <w:sz w:val="17"/>
                <w:szCs w:val="17"/>
                <w:color w:val="auto"/>
              </w:rPr>
              <w:t>Disposals and others</w:t>
            </w:r>
          </w:p>
        </w:tc>
        <w:tc>
          <w:tcPr>
            <w:tcW w:w="1440" w:type="dxa"/>
            <w:vAlign w:val="bottom"/>
            <w:gridSpan w:val="2"/>
          </w:tcPr>
          <w:p>
            <w:pPr>
              <w:jc w:val="right"/>
              <w:ind w:right="160"/>
              <w:spacing w:after="0"/>
              <w:rPr>
                <w:sz w:val="20"/>
                <w:szCs w:val="20"/>
                <w:color w:val="auto"/>
              </w:rPr>
            </w:pPr>
            <w:r>
              <w:rPr>
                <w:rFonts w:ascii="Arial" w:cs="Arial" w:eastAsia="Arial" w:hAnsi="Arial"/>
                <w:sz w:val="17"/>
                <w:szCs w:val="17"/>
                <w:color w:val="auto"/>
              </w:rPr>
              <w:t>(27,419)</w:t>
            </w:r>
          </w:p>
        </w:tc>
        <w:tc>
          <w:tcPr>
            <w:tcW w:w="300" w:type="dxa"/>
            <w:vAlign w:val="bottom"/>
          </w:tcPr>
          <w:p>
            <w:pPr>
              <w:spacing w:after="0"/>
              <w:rPr>
                <w:sz w:val="19"/>
                <w:szCs w:val="19"/>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7"/>
                <w:szCs w:val="17"/>
                <w:color w:val="auto"/>
              </w:rPr>
              <w:t>(10,738)</w:t>
            </w:r>
          </w:p>
        </w:tc>
        <w:tc>
          <w:tcPr>
            <w:tcW w:w="1400" w:type="dxa"/>
            <w:vAlign w:val="bottom"/>
            <w:gridSpan w:val="2"/>
          </w:tcPr>
          <w:p>
            <w:pPr>
              <w:jc w:val="right"/>
              <w:ind w:right="140"/>
              <w:spacing w:after="0"/>
              <w:rPr>
                <w:sz w:val="20"/>
                <w:szCs w:val="20"/>
                <w:color w:val="auto"/>
              </w:rPr>
            </w:pPr>
            <w:r>
              <w:rPr>
                <w:rFonts w:ascii="Arial" w:cs="Arial" w:eastAsia="Arial" w:hAnsi="Arial"/>
                <w:sz w:val="17"/>
                <w:szCs w:val="17"/>
                <w:color w:val="auto"/>
              </w:rPr>
              <w:t>(38,157)</w:t>
            </w:r>
          </w:p>
        </w:tc>
        <w:tc>
          <w:tcPr>
            <w:tcW w:w="1300" w:type="dxa"/>
            <w:vAlign w:val="bottom"/>
            <w:gridSpan w:val="2"/>
          </w:tcPr>
          <w:p>
            <w:pPr>
              <w:jc w:val="right"/>
              <w:ind w:right="40"/>
              <w:spacing w:after="0"/>
              <w:rPr>
                <w:sz w:val="20"/>
                <w:szCs w:val="20"/>
                <w:color w:val="auto"/>
              </w:rPr>
            </w:pPr>
            <w:r>
              <w:rPr>
                <w:rFonts w:ascii="Arial" w:cs="Arial" w:eastAsia="Arial" w:hAnsi="Arial"/>
                <w:sz w:val="17"/>
                <w:szCs w:val="17"/>
                <w:color w:val="auto"/>
              </w:rPr>
              <w:t>(20)</w:t>
            </w:r>
          </w:p>
        </w:tc>
      </w:tr>
      <w:tr>
        <w:trPr>
          <w:trHeight w:val="201"/>
        </w:trPr>
        <w:tc>
          <w:tcPr>
            <w:tcW w:w="53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b w:val="1"/>
                <w:bCs w:val="1"/>
                <w:color w:val="auto"/>
              </w:rPr>
              <w:t>Balance at December 31</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218,663</w:t>
            </w:r>
          </w:p>
        </w:tc>
        <w:tc>
          <w:tcPr>
            <w:tcW w:w="2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bottom w:val="single" w:sz="8" w:color="auto"/>
            </w:tcBorders>
            <w:shd w:val="clear" w:color="auto" w:fill="CCEEFF"/>
          </w:tcPr>
          <w:p>
            <w:pPr>
              <w:spacing w:after="0"/>
              <w:rPr>
                <w:sz w:val="17"/>
                <w:szCs w:val="17"/>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279,962</w:t>
            </w:r>
          </w:p>
        </w:tc>
        <w:tc>
          <w:tcPr>
            <w:tcW w:w="200" w:type="dxa"/>
            <w:vAlign w:val="bottom"/>
            <w:tcBorders>
              <w:top w:val="single" w:sz="8" w:color="CCEEFF"/>
            </w:tcBorders>
            <w:shd w:val="clear" w:color="auto" w:fill="CCEEFF"/>
          </w:tcPr>
          <w:p>
            <w:pPr>
              <w:spacing w:after="0"/>
              <w:rPr>
                <w:sz w:val="17"/>
                <w:szCs w:val="17"/>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498,625</w:t>
            </w:r>
          </w:p>
        </w:tc>
        <w:tc>
          <w:tcPr>
            <w:tcW w:w="200" w:type="dxa"/>
            <w:vAlign w:val="bottom"/>
            <w:tcBorders>
              <w:top w:val="single" w:sz="8" w:color="CCEEFF"/>
            </w:tcBorders>
            <w:shd w:val="clear" w:color="auto" w:fill="CCEEFF"/>
          </w:tcPr>
          <w:p>
            <w:pPr>
              <w:spacing w:after="0"/>
              <w:rPr>
                <w:sz w:val="17"/>
                <w:szCs w:val="17"/>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550,606</w:t>
            </w:r>
          </w:p>
        </w:tc>
        <w:tc>
          <w:tcPr>
            <w:tcW w:w="100" w:type="dxa"/>
            <w:vAlign w:val="bottom"/>
            <w:tcBorders>
              <w:top w:val="single" w:sz="8" w:color="CCEEFF"/>
            </w:tcBorders>
            <w:shd w:val="clear" w:color="auto" w:fill="CCEEFF"/>
          </w:tcPr>
          <w:p>
            <w:pPr>
              <w:spacing w:after="0"/>
              <w:rPr>
                <w:sz w:val="17"/>
                <w:szCs w:val="17"/>
                <w:color w:val="auto"/>
              </w:rPr>
            </w:pPr>
          </w:p>
        </w:tc>
      </w:tr>
      <w:tr>
        <w:trPr>
          <w:trHeight w:val="201"/>
        </w:trPr>
        <w:tc>
          <w:tcPr>
            <w:tcW w:w="53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8"/>
        </w:trPr>
        <w:tc>
          <w:tcPr>
            <w:tcW w:w="538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Accumulated depreciation</w:t>
            </w: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8"/>
        </w:trPr>
        <w:tc>
          <w:tcPr>
            <w:tcW w:w="5380" w:type="dxa"/>
            <w:vAlign w:val="bottom"/>
          </w:tcPr>
          <w:p>
            <w:pPr>
              <w:spacing w:after="0"/>
              <w:rPr>
                <w:sz w:val="20"/>
                <w:szCs w:val="20"/>
                <w:color w:val="auto"/>
              </w:rPr>
            </w:pPr>
            <w:r>
              <w:rPr>
                <w:rFonts w:ascii="Arial" w:cs="Arial" w:eastAsia="Arial" w:hAnsi="Arial"/>
                <w:sz w:val="17"/>
                <w:szCs w:val="17"/>
                <w:color w:val="auto"/>
              </w:rPr>
              <w:t>Balance at January 1</w:t>
            </w:r>
          </w:p>
        </w:tc>
        <w:tc>
          <w:tcPr>
            <w:tcW w:w="144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7"/>
                <w:szCs w:val="17"/>
                <w:color w:val="auto"/>
              </w:rPr>
              <w:t>45,679</w:t>
            </w:r>
          </w:p>
        </w:tc>
        <w:tc>
          <w:tcPr>
            <w:tcW w:w="1400" w:type="dxa"/>
            <w:vAlign w:val="bottom"/>
            <w:gridSpan w:val="2"/>
          </w:tcPr>
          <w:p>
            <w:pPr>
              <w:jc w:val="right"/>
              <w:ind w:right="200"/>
              <w:spacing w:after="0"/>
              <w:rPr>
                <w:sz w:val="20"/>
                <w:szCs w:val="20"/>
                <w:color w:val="auto"/>
              </w:rPr>
            </w:pPr>
            <w:r>
              <w:rPr>
                <w:rFonts w:ascii="Arial" w:cs="Arial" w:eastAsia="Arial" w:hAnsi="Arial"/>
                <w:sz w:val="17"/>
                <w:szCs w:val="17"/>
                <w:color w:val="auto"/>
              </w:rPr>
              <w:t>45,679</w:t>
            </w:r>
          </w:p>
        </w:tc>
        <w:tc>
          <w:tcPr>
            <w:tcW w:w="1300" w:type="dxa"/>
            <w:vAlign w:val="bottom"/>
            <w:gridSpan w:val="2"/>
          </w:tcPr>
          <w:p>
            <w:pPr>
              <w:jc w:val="right"/>
              <w:ind w:right="100"/>
              <w:spacing w:after="0"/>
              <w:rPr>
                <w:sz w:val="20"/>
                <w:szCs w:val="20"/>
                <w:color w:val="auto"/>
              </w:rPr>
            </w:pPr>
            <w:r>
              <w:rPr>
                <w:rFonts w:ascii="Arial" w:cs="Arial" w:eastAsia="Arial" w:hAnsi="Arial"/>
                <w:sz w:val="17"/>
                <w:szCs w:val="17"/>
                <w:color w:val="auto"/>
              </w:rPr>
              <w:t>41,307</w:t>
            </w:r>
          </w:p>
        </w:tc>
      </w:tr>
      <w:tr>
        <w:trPr>
          <w:trHeight w:val="208"/>
        </w:trPr>
        <w:tc>
          <w:tcPr>
            <w:tcW w:w="5380" w:type="dxa"/>
            <w:vAlign w:val="bottom"/>
            <w:shd w:val="clear" w:color="auto" w:fill="CCEEFF"/>
          </w:tcPr>
          <w:p>
            <w:pPr>
              <w:spacing w:after="0"/>
              <w:rPr>
                <w:sz w:val="20"/>
                <w:szCs w:val="20"/>
                <w:color w:val="auto"/>
              </w:rPr>
            </w:pPr>
            <w:r>
              <w:rPr>
                <w:rFonts w:ascii="Arial" w:cs="Arial" w:eastAsia="Arial" w:hAnsi="Arial"/>
                <w:sz w:val="17"/>
                <w:szCs w:val="17"/>
                <w:color w:val="auto"/>
              </w:rPr>
              <w:t>Depreciation for the year</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6,440</w:t>
            </w: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6,440</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4,369</w:t>
            </w:r>
          </w:p>
        </w:tc>
        <w:tc>
          <w:tcPr>
            <w:tcW w:w="100" w:type="dxa"/>
            <w:vAlign w:val="bottom"/>
            <w:shd w:val="clear" w:color="auto" w:fill="CCEEFF"/>
          </w:tcPr>
          <w:p>
            <w:pPr>
              <w:spacing w:after="0"/>
              <w:rPr>
                <w:sz w:val="18"/>
                <w:szCs w:val="18"/>
                <w:color w:val="auto"/>
              </w:rPr>
            </w:pPr>
          </w:p>
        </w:tc>
      </w:tr>
      <w:tr>
        <w:trPr>
          <w:trHeight w:val="208"/>
        </w:trPr>
        <w:tc>
          <w:tcPr>
            <w:tcW w:w="5380" w:type="dxa"/>
            <w:vAlign w:val="bottom"/>
          </w:tcPr>
          <w:p>
            <w:pPr>
              <w:spacing w:after="0"/>
              <w:rPr>
                <w:sz w:val="20"/>
                <w:szCs w:val="20"/>
                <w:color w:val="auto"/>
              </w:rPr>
            </w:pPr>
            <w:r>
              <w:rPr>
                <w:rFonts w:ascii="Arial" w:cs="Arial" w:eastAsia="Arial" w:hAnsi="Arial"/>
                <w:sz w:val="17"/>
                <w:szCs w:val="17"/>
                <w:color w:val="auto"/>
              </w:rPr>
              <w:t>Sales (iii)</w:t>
            </w:r>
          </w:p>
        </w:tc>
        <w:tc>
          <w:tcPr>
            <w:tcW w:w="144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7"/>
                <w:szCs w:val="17"/>
                <w:color w:val="auto"/>
              </w:rPr>
              <w:t>(6,277)</w:t>
            </w:r>
          </w:p>
        </w:tc>
        <w:tc>
          <w:tcPr>
            <w:tcW w:w="1400" w:type="dxa"/>
            <w:vAlign w:val="bottom"/>
            <w:gridSpan w:val="2"/>
          </w:tcPr>
          <w:p>
            <w:pPr>
              <w:jc w:val="right"/>
              <w:ind w:right="140"/>
              <w:spacing w:after="0"/>
              <w:rPr>
                <w:sz w:val="20"/>
                <w:szCs w:val="20"/>
                <w:color w:val="auto"/>
              </w:rPr>
            </w:pPr>
            <w:r>
              <w:rPr>
                <w:rFonts w:ascii="Arial" w:cs="Arial" w:eastAsia="Arial" w:hAnsi="Arial"/>
                <w:sz w:val="17"/>
                <w:szCs w:val="17"/>
                <w:color w:val="auto"/>
              </w:rPr>
              <w:t>(6,277)</w:t>
            </w:r>
          </w:p>
        </w:tc>
        <w:tc>
          <w:tcPr>
            <w:tcW w:w="120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r>
      <w:tr>
        <w:trPr>
          <w:trHeight w:val="221"/>
        </w:trPr>
        <w:tc>
          <w:tcPr>
            <w:tcW w:w="5380" w:type="dxa"/>
            <w:vAlign w:val="bottom"/>
            <w:shd w:val="clear" w:color="auto" w:fill="CCEEFF"/>
          </w:tcPr>
          <w:p>
            <w:pPr>
              <w:spacing w:after="0"/>
              <w:rPr>
                <w:sz w:val="20"/>
                <w:szCs w:val="20"/>
                <w:color w:val="auto"/>
              </w:rPr>
            </w:pPr>
            <w:r>
              <w:rPr>
                <w:rFonts w:ascii="Arial" w:cs="Arial" w:eastAsia="Arial" w:hAnsi="Arial"/>
                <w:sz w:val="17"/>
                <w:szCs w:val="17"/>
                <w:color w:val="auto"/>
              </w:rPr>
              <w:t>Disposals and others</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(6,072)</w:t>
            </w:r>
          </w:p>
        </w:tc>
        <w:tc>
          <w:tcPr>
            <w:tcW w:w="14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(6,072)</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w:t>
            </w:r>
          </w:p>
        </w:tc>
      </w:tr>
      <w:tr>
        <w:trPr>
          <w:trHeight w:val="201"/>
        </w:trPr>
        <w:tc>
          <w:tcPr>
            <w:tcW w:w="5380" w:type="dxa"/>
            <w:vAlign w:val="bottom"/>
            <w:tcBorders>
              <w:bottom w:val="single" w:sz="8" w:color="CCEEFF"/>
            </w:tcBorders>
          </w:tcPr>
          <w:p>
            <w:pPr>
              <w:spacing w:after="0"/>
              <w:rPr>
                <w:sz w:val="20"/>
                <w:szCs w:val="20"/>
                <w:color w:val="auto"/>
              </w:rPr>
            </w:pPr>
            <w:r>
              <w:rPr>
                <w:rFonts w:ascii="Arial" w:cs="Arial" w:eastAsia="Arial" w:hAnsi="Arial"/>
                <w:sz w:val="17"/>
                <w:szCs w:val="17"/>
                <w:b w:val="1"/>
                <w:bCs w:val="1"/>
                <w:color w:val="auto"/>
              </w:rPr>
              <w:t>Balance at December 31</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220" w:type="dxa"/>
            <w:vAlign w:val="bottom"/>
            <w:tcBorders>
              <w:bottom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39,770</w:t>
            </w:r>
          </w:p>
        </w:tc>
        <w:tc>
          <w:tcPr>
            <w:tcW w:w="200" w:type="dxa"/>
            <w:vAlign w:val="bottom"/>
            <w:tcBorders>
              <w:bottom w:val="single" w:sz="8" w:color="CCEEFF"/>
            </w:tcBorders>
          </w:tcPr>
          <w:p>
            <w:pPr>
              <w:spacing w:after="0"/>
              <w:rPr>
                <w:sz w:val="17"/>
                <w:szCs w:val="17"/>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39,770</w:t>
            </w:r>
          </w:p>
        </w:tc>
        <w:tc>
          <w:tcPr>
            <w:tcW w:w="200" w:type="dxa"/>
            <w:vAlign w:val="bottom"/>
            <w:tcBorders>
              <w:bottom w:val="single" w:sz="8" w:color="CCEEFF"/>
            </w:tcBorders>
          </w:tcPr>
          <w:p>
            <w:pPr>
              <w:spacing w:after="0"/>
              <w:rPr>
                <w:sz w:val="17"/>
                <w:szCs w:val="17"/>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45,679</w:t>
            </w:r>
          </w:p>
        </w:tc>
        <w:tc>
          <w:tcPr>
            <w:tcW w:w="100" w:type="dxa"/>
            <w:vAlign w:val="bottom"/>
            <w:tcBorders>
              <w:bottom w:val="single" w:sz="8" w:color="CCEEFF"/>
            </w:tcBorders>
          </w:tcPr>
          <w:p>
            <w:pPr>
              <w:spacing w:after="0"/>
              <w:rPr>
                <w:sz w:val="17"/>
                <w:szCs w:val="17"/>
                <w:color w:val="auto"/>
              </w:rPr>
            </w:pPr>
          </w:p>
        </w:tc>
      </w:tr>
      <w:tr>
        <w:trPr>
          <w:trHeight w:val="201"/>
        </w:trPr>
        <w:tc>
          <w:tcPr>
            <w:tcW w:w="53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b w:val="1"/>
                <w:bCs w:val="1"/>
                <w:color w:val="auto"/>
              </w:rPr>
              <w:t>Net carrying amount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218,663</w:t>
            </w:r>
          </w:p>
        </w:tc>
        <w:tc>
          <w:tcPr>
            <w:tcW w:w="22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240,192</w:t>
            </w:r>
          </w:p>
        </w:tc>
        <w:tc>
          <w:tcPr>
            <w:tcW w:w="20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458,855</w:t>
            </w:r>
          </w:p>
        </w:tc>
        <w:tc>
          <w:tcPr>
            <w:tcW w:w="20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504,927</w:t>
            </w:r>
          </w:p>
        </w:tc>
        <w:tc>
          <w:tcPr>
            <w:tcW w:w="100" w:type="dxa"/>
            <w:vAlign w:val="bottom"/>
            <w:tcBorders>
              <w:bottom w:val="single" w:sz="8" w:color="CCEEFF"/>
            </w:tcBorders>
            <w:shd w:val="clear" w:color="auto" w:fill="CCEEFF"/>
          </w:tcPr>
          <w:p>
            <w:pPr>
              <w:spacing w:after="0"/>
              <w:rPr>
                <w:sz w:val="17"/>
                <w:szCs w:val="17"/>
                <w:color w:val="auto"/>
              </w:rPr>
            </w:pPr>
          </w:p>
        </w:tc>
      </w:tr>
      <w:tr>
        <w:trPr>
          <w:trHeight w:val="20"/>
        </w:trPr>
        <w:tc>
          <w:tcPr>
            <w:tcW w:w="538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5" w:lineRule="exact"/>
        <w:rPr>
          <w:sz w:val="20"/>
          <w:szCs w:val="20"/>
          <w:color w:val="auto"/>
        </w:rPr>
      </w:pPr>
    </w:p>
    <w:p>
      <w:pPr>
        <w:ind w:left="320"/>
        <w:spacing w:after="0"/>
        <w:rPr>
          <w:sz w:val="20"/>
          <w:szCs w:val="20"/>
          <w:color w:val="auto"/>
        </w:rPr>
      </w:pPr>
      <w:r>
        <w:rPr>
          <w:rFonts w:ascii="Arial" w:cs="Arial" w:eastAsia="Arial" w:hAnsi="Arial"/>
          <w:sz w:val="17"/>
          <w:szCs w:val="17"/>
          <w:color w:val="auto"/>
        </w:rPr>
        <w:t>Land and buildings are mainly used for rental of offices, which are free of all encumbrances.</w:t>
      </w:r>
    </w:p>
    <w:p>
      <w:pPr>
        <w:spacing w:after="0" w:line="220" w:lineRule="exact"/>
        <w:rPr>
          <w:sz w:val="20"/>
          <w:szCs w:val="20"/>
          <w:color w:val="auto"/>
        </w:rPr>
      </w:pPr>
    </w:p>
    <w:p>
      <w:pPr>
        <w:jc w:val="both"/>
        <w:ind w:left="620" w:right="100" w:hanging="304"/>
        <w:spacing w:after="0" w:line="270" w:lineRule="auto"/>
        <w:tabs>
          <w:tab w:leader="none" w:pos="620" w:val="left"/>
        </w:tabs>
        <w:numPr>
          <w:ilvl w:val="0"/>
          <w:numId w:val="92"/>
        </w:numPr>
        <w:rPr>
          <w:rFonts w:ascii="Arial" w:cs="Arial" w:eastAsia="Arial" w:hAnsi="Arial"/>
          <w:sz w:val="17"/>
          <w:szCs w:val="17"/>
          <w:color w:val="auto"/>
        </w:rPr>
      </w:pPr>
      <w:r>
        <w:rPr>
          <w:rFonts w:ascii="Arial" w:cs="Arial" w:eastAsia="Arial" w:hAnsi="Arial"/>
          <w:sz w:val="17"/>
          <w:szCs w:val="17"/>
          <w:color w:val="auto"/>
        </w:rPr>
        <w:t>During the period 2016, subsidiary Pacífico Seguros carried out constructions and acquired a plot of land located at Nicolas Dueñas Avenue 475, Cercado de Lima for an amount of approximately S/21.9 million and another located in Ex-Fundo Marquez, in the vicinity of KM 14.6 of Coronel Nestor Gambeta Avenue, Callao for an amount of approximately S/60.9 million.</w:t>
      </w:r>
    </w:p>
    <w:p>
      <w:pPr>
        <w:spacing w:after="0" w:line="379" w:lineRule="exact"/>
        <w:rPr>
          <w:rFonts w:ascii="Arial" w:cs="Arial" w:eastAsia="Arial" w:hAnsi="Arial"/>
          <w:sz w:val="17"/>
          <w:szCs w:val="17"/>
          <w:color w:val="auto"/>
        </w:rPr>
      </w:pPr>
    </w:p>
    <w:p>
      <w:pPr>
        <w:ind w:left="5640" w:hanging="107"/>
        <w:spacing w:after="0"/>
        <w:tabs>
          <w:tab w:leader="none" w:pos="5640" w:val="left"/>
        </w:tabs>
        <w:numPr>
          <w:ilvl w:val="1"/>
          <w:numId w:val="92"/>
        </w:numPr>
        <w:rPr>
          <w:rFonts w:ascii="Arial" w:cs="Arial" w:eastAsia="Arial" w:hAnsi="Arial"/>
          <w:sz w:val="17"/>
          <w:szCs w:val="17"/>
          <w:color w:val="auto"/>
        </w:rPr>
      </w:pPr>
      <w:r>
        <w:rPr>
          <w:rFonts w:ascii="Arial" w:cs="Arial" w:eastAsia="Arial" w:hAnsi="Arial"/>
          <w:sz w:val="17"/>
          <w:szCs w:val="17"/>
          <w:color w:val="auto"/>
        </w:rPr>
        <w:t>75 -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15875</wp:posOffset>
            </wp:positionV>
            <wp:extent cx="725170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51700" cy="8255"/>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81" w:name="page82"/>
    <w:bookmarkEnd w:id="81"/>
    <w:p>
      <w:pPr>
        <w:ind w:left="620" w:right="300" w:hanging="304"/>
        <w:spacing w:after="0" w:line="285" w:lineRule="auto"/>
        <w:tabs>
          <w:tab w:leader="none" w:pos="620" w:val="left"/>
        </w:tabs>
        <w:numPr>
          <w:ilvl w:val="0"/>
          <w:numId w:val="93"/>
        </w:numPr>
        <w:rPr>
          <w:rFonts w:ascii="Arial" w:cs="Arial" w:eastAsia="Arial" w:hAnsi="Arial"/>
          <w:sz w:val="17"/>
          <w:szCs w:val="17"/>
          <w:color w:val="auto"/>
        </w:rPr>
      </w:pPr>
      <w:r>
        <w:rPr>
          <w:rFonts w:ascii="Arial" w:cs="Arial" w:eastAsia="Arial" w:hAnsi="Arial"/>
          <w:sz w:val="17"/>
          <w:szCs w:val="17"/>
          <w:color w:val="auto"/>
        </w:rPr>
        <w:t>In order to consolidate the real estate projects, mainly of offices, during the year 2017, Pacífico Seguros liquidated the trust of the “Panorama” building located at Av. Juan de Arona N° 830 for a total amount of S/66.9 million.</w:t>
      </w:r>
    </w:p>
    <w:p>
      <w:pPr>
        <w:spacing w:after="0" w:line="159" w:lineRule="exact"/>
        <w:rPr>
          <w:rFonts w:ascii="Arial" w:cs="Arial" w:eastAsia="Arial" w:hAnsi="Arial"/>
          <w:sz w:val="17"/>
          <w:szCs w:val="17"/>
          <w:color w:val="auto"/>
        </w:rPr>
      </w:pPr>
    </w:p>
    <w:p>
      <w:pPr>
        <w:jc w:val="both"/>
        <w:ind w:left="620" w:right="220" w:hanging="304"/>
        <w:spacing w:after="0" w:line="270" w:lineRule="auto"/>
        <w:tabs>
          <w:tab w:leader="none" w:pos="620" w:val="left"/>
        </w:tabs>
        <w:numPr>
          <w:ilvl w:val="0"/>
          <w:numId w:val="93"/>
        </w:numPr>
        <w:rPr>
          <w:rFonts w:ascii="Arial" w:cs="Arial" w:eastAsia="Arial" w:hAnsi="Arial"/>
          <w:sz w:val="17"/>
          <w:szCs w:val="17"/>
          <w:color w:val="auto"/>
        </w:rPr>
      </w:pPr>
      <w:r>
        <w:rPr>
          <w:rFonts w:ascii="Arial" w:cs="Arial" w:eastAsia="Arial" w:hAnsi="Arial"/>
          <w:sz w:val="17"/>
          <w:szCs w:val="17"/>
          <w:color w:val="auto"/>
        </w:rPr>
        <w:t>The balance of sales for the year 2017 mainly comprises the transfer by Pacífico Seguros of the building located at Av. Guardia Civil 337 – Urb. Corpac, San Borja, which was sold for S/95.7 million. The total net cost of the building amounting to S/68.5 million comprises S/34.5 million in land and S/34.0 million in building (cost of S/38.5 million and depreciation of S/4.5 million).</w:t>
      </w:r>
    </w:p>
    <w:p>
      <w:pPr>
        <w:spacing w:after="0" w:line="172"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Group’s Management has determined that the recoverable value of it investment properties is greater than their net carrying amount.</w:t>
      </w:r>
    </w:p>
    <w:p>
      <w:pPr>
        <w:spacing w:after="0" w:line="214" w:lineRule="exact"/>
        <w:rPr>
          <w:sz w:val="20"/>
          <w:szCs w:val="20"/>
          <w:color w:val="auto"/>
        </w:rPr>
      </w:pPr>
    </w:p>
    <w:p>
      <w:pPr>
        <w:spacing w:after="0"/>
        <w:tabs>
          <w:tab w:leader="none" w:pos="300" w:val="left"/>
        </w:tabs>
        <w:rPr>
          <w:sz w:val="20"/>
          <w:szCs w:val="20"/>
          <w:color w:val="auto"/>
        </w:rPr>
      </w:pPr>
      <w:r>
        <w:rPr>
          <w:rFonts w:ascii="Arial" w:cs="Arial" w:eastAsia="Arial" w:hAnsi="Arial"/>
          <w:sz w:val="17"/>
          <w:szCs w:val="17"/>
          <w:b w:val="1"/>
          <w:bCs w:val="1"/>
          <w:color w:val="auto"/>
        </w:rPr>
        <w:t>13</w:t>
        <w:tab/>
        <w:t>DEPOSITS AND OBLIGATIONS</w:t>
      </w:r>
    </w:p>
    <w:p>
      <w:pPr>
        <w:spacing w:after="0" w:line="226" w:lineRule="exact"/>
        <w:rPr>
          <w:sz w:val="20"/>
          <w:szCs w:val="20"/>
          <w:color w:val="auto"/>
        </w:rPr>
      </w:pPr>
    </w:p>
    <w:p>
      <w:pPr>
        <w:ind w:left="320" w:hanging="316"/>
        <w:spacing w:after="0"/>
        <w:tabs>
          <w:tab w:leader="none" w:pos="320" w:val="left"/>
        </w:tabs>
        <w:numPr>
          <w:ilvl w:val="0"/>
          <w:numId w:val="94"/>
        </w:numPr>
        <w:rPr>
          <w:rFonts w:ascii="Arial" w:cs="Arial" w:eastAsia="Arial" w:hAnsi="Arial"/>
          <w:sz w:val="17"/>
          <w:szCs w:val="17"/>
          <w:color w:val="auto"/>
        </w:rPr>
      </w:pPr>
      <w:r>
        <w:rPr>
          <w:rFonts w:ascii="Arial" w:cs="Arial" w:eastAsia="Arial" w:hAnsi="Arial"/>
          <w:sz w:val="17"/>
          <w:szCs w:val="17"/>
          <w:color w:val="auto"/>
        </w:rPr>
        <w:t>This item consists of the following:</w:t>
      </w:r>
    </w:p>
    <w:p>
      <w:pPr>
        <w:spacing w:after="0" w:line="227" w:lineRule="exact"/>
        <w:rPr>
          <w:sz w:val="20"/>
          <w:szCs w:val="20"/>
          <w:color w:val="auto"/>
        </w:rPr>
      </w:pPr>
    </w:p>
    <w:tbl>
      <w:tblPr>
        <w:tblLayout w:type="fixed"/>
        <w:tblInd w:w="320" w:type="dxa"/>
        <w:tblCellMar>
          <w:top w:w="0" w:type="dxa"/>
          <w:left w:w="0" w:type="dxa"/>
          <w:bottom w:w="0" w:type="dxa"/>
          <w:right w:w="0" w:type="dxa"/>
        </w:tblCellMar>
      </w:tblPr>
      <w:tr>
        <w:trPr>
          <w:trHeight w:val="226"/>
        </w:trPr>
        <w:tc>
          <w:tcPr>
            <w:tcW w:w="8220" w:type="dxa"/>
            <w:vAlign w:val="bottom"/>
          </w:tcPr>
          <w:p>
            <w:pPr>
              <w:spacing w:after="0"/>
              <w:rPr>
                <w:sz w:val="19"/>
                <w:szCs w:val="19"/>
                <w:color w:val="auto"/>
              </w:rPr>
            </w:pPr>
          </w:p>
        </w:tc>
        <w:tc>
          <w:tcPr>
            <w:tcW w:w="1220" w:type="dxa"/>
            <w:vAlign w:val="bottom"/>
            <w:tcBorders>
              <w:bottom w:val="single" w:sz="8" w:color="auto"/>
            </w:tcBorders>
          </w:tcPr>
          <w:p>
            <w:pPr>
              <w:jc w:val="right"/>
              <w:ind w:right="353"/>
              <w:spacing w:after="0"/>
              <w:rPr>
                <w:sz w:val="20"/>
                <w:szCs w:val="20"/>
                <w:color w:val="auto"/>
              </w:rPr>
            </w:pPr>
            <w:r>
              <w:rPr>
                <w:rFonts w:ascii="Arial" w:cs="Arial" w:eastAsia="Arial" w:hAnsi="Arial"/>
                <w:sz w:val="17"/>
                <w:szCs w:val="17"/>
                <w:b w:val="1"/>
                <w:bCs w:val="1"/>
                <w:color w:val="auto"/>
              </w:rPr>
              <w:t>2017</w:t>
            </w:r>
          </w:p>
        </w:tc>
        <w:tc>
          <w:tcPr>
            <w:tcW w:w="200" w:type="dxa"/>
            <w:vAlign w:val="bottom"/>
          </w:tcPr>
          <w:p>
            <w:pPr>
              <w:spacing w:after="0"/>
              <w:rPr>
                <w:sz w:val="19"/>
                <w:szCs w:val="19"/>
                <w:color w:val="auto"/>
              </w:rPr>
            </w:pPr>
          </w:p>
        </w:tc>
        <w:tc>
          <w:tcPr>
            <w:tcW w:w="1200" w:type="dxa"/>
            <w:vAlign w:val="bottom"/>
            <w:tcBorders>
              <w:bottom w:val="single" w:sz="8" w:color="auto"/>
            </w:tcBorders>
          </w:tcPr>
          <w:p>
            <w:pPr>
              <w:jc w:val="right"/>
              <w:ind w:right="333"/>
              <w:spacing w:after="0"/>
              <w:rPr>
                <w:sz w:val="20"/>
                <w:szCs w:val="20"/>
                <w:color w:val="auto"/>
              </w:rPr>
            </w:pPr>
            <w:r>
              <w:rPr>
                <w:rFonts w:ascii="Arial" w:cs="Arial" w:eastAsia="Arial" w:hAnsi="Arial"/>
                <w:sz w:val="17"/>
                <w:szCs w:val="17"/>
                <w:b w:val="1"/>
                <w:bCs w:val="1"/>
                <w:color w:val="auto"/>
              </w:rPr>
              <w:t>2016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19"/>
        </w:trPr>
        <w:tc>
          <w:tcPr>
            <w:tcW w:w="8220" w:type="dxa"/>
            <w:vAlign w:val="bottom"/>
          </w:tcPr>
          <w:p>
            <w:pPr>
              <w:spacing w:after="0"/>
              <w:rPr>
                <w:sz w:val="19"/>
                <w:szCs w:val="19"/>
                <w:color w:val="auto"/>
              </w:rPr>
            </w:pPr>
          </w:p>
        </w:tc>
        <w:tc>
          <w:tcPr>
            <w:tcW w:w="1220" w:type="dxa"/>
            <w:vAlign w:val="bottom"/>
          </w:tcPr>
          <w:p>
            <w:pPr>
              <w:jc w:val="center"/>
              <w:spacing w:after="0"/>
              <w:rPr>
                <w:sz w:val="20"/>
                <w:szCs w:val="20"/>
                <w:color w:val="auto"/>
              </w:rPr>
            </w:pPr>
            <w:r>
              <w:rPr>
                <w:rFonts w:ascii="Arial" w:cs="Arial" w:eastAsia="Arial" w:hAnsi="Arial"/>
                <w:sz w:val="17"/>
                <w:szCs w:val="17"/>
                <w:b w:val="1"/>
                <w:bCs w:val="1"/>
                <w:color w:val="auto"/>
                <w:w w:val="93"/>
              </w:rPr>
              <w:t>S/(000)</w:t>
            </w:r>
          </w:p>
        </w:tc>
        <w:tc>
          <w:tcPr>
            <w:tcW w:w="200" w:type="dxa"/>
            <w:vAlign w:val="bottom"/>
          </w:tcPr>
          <w:p>
            <w:pPr>
              <w:spacing w:after="0"/>
              <w:rPr>
                <w:sz w:val="19"/>
                <w:szCs w:val="19"/>
                <w:color w:val="auto"/>
              </w:rPr>
            </w:pPr>
          </w:p>
        </w:tc>
        <w:tc>
          <w:tcPr>
            <w:tcW w:w="1200" w:type="dxa"/>
            <w:vAlign w:val="bottom"/>
          </w:tcPr>
          <w:p>
            <w:pPr>
              <w:jc w:val="center"/>
              <w:spacing w:after="0"/>
              <w:rPr>
                <w:sz w:val="20"/>
                <w:szCs w:val="20"/>
                <w:color w:val="auto"/>
              </w:rPr>
            </w:pPr>
            <w:r>
              <w:rPr>
                <w:rFonts w:ascii="Arial" w:cs="Arial" w:eastAsia="Arial" w:hAnsi="Arial"/>
                <w:sz w:val="17"/>
                <w:szCs w:val="17"/>
                <w:b w:val="1"/>
                <w:bCs w:val="1"/>
                <w:color w:val="auto"/>
                <w:w w:val="93"/>
              </w:rPr>
              <w:t>S/(000)</w:t>
            </w:r>
          </w:p>
        </w:tc>
        <w:tc>
          <w:tcPr>
            <w:tcW w:w="100" w:type="dxa"/>
            <w:vAlign w:val="bottom"/>
            <w:gridSpan w:val="2"/>
          </w:tcPr>
          <w:p>
            <w:pPr>
              <w:spacing w:after="0"/>
              <w:rPr>
                <w:sz w:val="19"/>
                <w:szCs w:val="19"/>
                <w:color w:val="auto"/>
              </w:rPr>
            </w:pPr>
          </w:p>
        </w:tc>
      </w:tr>
      <w:tr>
        <w:trPr>
          <w:trHeight w:val="189"/>
        </w:trPr>
        <w:tc>
          <w:tcPr>
            <w:tcW w:w="82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08"/>
        </w:trPr>
        <w:tc>
          <w:tcPr>
            <w:tcW w:w="8220" w:type="dxa"/>
            <w:vAlign w:val="bottom"/>
            <w:shd w:val="clear" w:color="auto" w:fill="CCEEFF"/>
          </w:tcPr>
          <w:p>
            <w:pPr>
              <w:spacing w:after="0"/>
              <w:rPr>
                <w:sz w:val="20"/>
                <w:szCs w:val="20"/>
                <w:color w:val="auto"/>
              </w:rPr>
            </w:pPr>
            <w:r>
              <w:rPr>
                <w:rFonts w:ascii="Arial" w:cs="Arial" w:eastAsia="Arial" w:hAnsi="Arial"/>
                <w:sz w:val="17"/>
                <w:szCs w:val="17"/>
                <w:color w:val="auto"/>
              </w:rPr>
              <w:t>Current accounts</w:t>
            </w: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29,770,276</w:t>
            </w:r>
          </w:p>
        </w:tc>
        <w:tc>
          <w:tcPr>
            <w:tcW w:w="12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28,506,270</w:t>
            </w:r>
          </w:p>
        </w:tc>
        <w:tc>
          <w:tcPr>
            <w:tcW w:w="80" w:type="dxa"/>
            <w:vAlign w:val="bottom"/>
            <w:shd w:val="clear" w:color="auto" w:fill="CCEEFF"/>
          </w:tcPr>
          <w:p>
            <w:pPr>
              <w:spacing w:after="0"/>
              <w:rPr>
                <w:sz w:val="18"/>
                <w:szCs w:val="18"/>
                <w:color w:val="auto"/>
              </w:rPr>
            </w:pPr>
          </w:p>
        </w:tc>
      </w:tr>
      <w:tr>
        <w:trPr>
          <w:trHeight w:val="208"/>
        </w:trPr>
        <w:tc>
          <w:tcPr>
            <w:tcW w:w="8220" w:type="dxa"/>
            <w:vAlign w:val="bottom"/>
          </w:tcPr>
          <w:p>
            <w:pPr>
              <w:spacing w:after="0"/>
              <w:rPr>
                <w:sz w:val="20"/>
                <w:szCs w:val="20"/>
                <w:color w:val="auto"/>
              </w:rPr>
            </w:pPr>
            <w:r>
              <w:rPr>
                <w:rFonts w:ascii="Arial" w:cs="Arial" w:eastAsia="Arial" w:hAnsi="Arial"/>
                <w:sz w:val="17"/>
                <w:szCs w:val="17"/>
                <w:color w:val="auto"/>
              </w:rPr>
              <w:t>Time deposits (c)</w:t>
            </w:r>
          </w:p>
        </w:tc>
        <w:tc>
          <w:tcPr>
            <w:tcW w:w="1420" w:type="dxa"/>
            <w:vAlign w:val="bottom"/>
            <w:gridSpan w:val="2"/>
          </w:tcPr>
          <w:p>
            <w:pPr>
              <w:jc w:val="right"/>
              <w:ind w:right="200"/>
              <w:spacing w:after="0"/>
              <w:rPr>
                <w:sz w:val="20"/>
                <w:szCs w:val="20"/>
                <w:color w:val="auto"/>
              </w:rPr>
            </w:pPr>
            <w:r>
              <w:rPr>
                <w:rFonts w:ascii="Arial" w:cs="Arial" w:eastAsia="Arial" w:hAnsi="Arial"/>
                <w:sz w:val="17"/>
                <w:szCs w:val="17"/>
                <w:color w:val="auto"/>
              </w:rPr>
              <w:t>30,184,314</w:t>
            </w:r>
          </w:p>
        </w:tc>
        <w:tc>
          <w:tcPr>
            <w:tcW w:w="1220" w:type="dxa"/>
            <w:vAlign w:val="bottom"/>
            <w:gridSpan w:val="2"/>
          </w:tcPr>
          <w:p>
            <w:pPr>
              <w:jc w:val="right"/>
              <w:ind w:right="20"/>
              <w:spacing w:after="0"/>
              <w:rPr>
                <w:sz w:val="20"/>
                <w:szCs w:val="20"/>
                <w:color w:val="auto"/>
              </w:rPr>
            </w:pPr>
            <w:r>
              <w:rPr>
                <w:rFonts w:ascii="Arial" w:cs="Arial" w:eastAsia="Arial" w:hAnsi="Arial"/>
                <w:sz w:val="17"/>
                <w:szCs w:val="17"/>
                <w:color w:val="auto"/>
              </w:rPr>
              <w:t>22,531,305</w:t>
            </w:r>
          </w:p>
        </w:tc>
        <w:tc>
          <w:tcPr>
            <w:tcW w:w="80" w:type="dxa"/>
            <w:vAlign w:val="bottom"/>
          </w:tcPr>
          <w:p>
            <w:pPr>
              <w:spacing w:after="0"/>
              <w:rPr>
                <w:sz w:val="18"/>
                <w:szCs w:val="18"/>
                <w:color w:val="auto"/>
              </w:rPr>
            </w:pPr>
          </w:p>
        </w:tc>
      </w:tr>
      <w:tr>
        <w:trPr>
          <w:trHeight w:val="208"/>
        </w:trPr>
        <w:tc>
          <w:tcPr>
            <w:tcW w:w="8220" w:type="dxa"/>
            <w:vAlign w:val="bottom"/>
            <w:shd w:val="clear" w:color="auto" w:fill="CCEEFF"/>
          </w:tcPr>
          <w:p>
            <w:pPr>
              <w:spacing w:after="0"/>
              <w:rPr>
                <w:sz w:val="20"/>
                <w:szCs w:val="20"/>
                <w:color w:val="auto"/>
              </w:rPr>
            </w:pPr>
            <w:r>
              <w:rPr>
                <w:rFonts w:ascii="Arial" w:cs="Arial" w:eastAsia="Arial" w:hAnsi="Arial"/>
                <w:sz w:val="17"/>
                <w:szCs w:val="17"/>
                <w:color w:val="auto"/>
              </w:rPr>
              <w:t>Saving accounts</w:t>
            </w: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28,633,099</w:t>
            </w:r>
          </w:p>
        </w:tc>
        <w:tc>
          <w:tcPr>
            <w:tcW w:w="12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26,684,134</w:t>
            </w:r>
          </w:p>
        </w:tc>
        <w:tc>
          <w:tcPr>
            <w:tcW w:w="80" w:type="dxa"/>
            <w:vAlign w:val="bottom"/>
            <w:shd w:val="clear" w:color="auto" w:fill="CCEEFF"/>
          </w:tcPr>
          <w:p>
            <w:pPr>
              <w:spacing w:after="0"/>
              <w:rPr>
                <w:sz w:val="18"/>
                <w:szCs w:val="18"/>
                <w:color w:val="auto"/>
              </w:rPr>
            </w:pPr>
          </w:p>
        </w:tc>
      </w:tr>
      <w:tr>
        <w:trPr>
          <w:trHeight w:val="208"/>
        </w:trPr>
        <w:tc>
          <w:tcPr>
            <w:tcW w:w="8220" w:type="dxa"/>
            <w:vAlign w:val="bottom"/>
          </w:tcPr>
          <w:p>
            <w:pPr>
              <w:spacing w:after="0"/>
              <w:rPr>
                <w:sz w:val="20"/>
                <w:szCs w:val="20"/>
                <w:color w:val="auto"/>
              </w:rPr>
            </w:pPr>
            <w:r>
              <w:rPr>
                <w:rFonts w:ascii="Arial" w:cs="Arial" w:eastAsia="Arial" w:hAnsi="Arial"/>
                <w:sz w:val="17"/>
                <w:szCs w:val="17"/>
                <w:color w:val="auto"/>
              </w:rPr>
              <w:t>Severance indemnity deposits</w:t>
            </w:r>
          </w:p>
        </w:tc>
        <w:tc>
          <w:tcPr>
            <w:tcW w:w="1220" w:type="dxa"/>
            <w:vAlign w:val="bottom"/>
          </w:tcPr>
          <w:p>
            <w:pPr>
              <w:jc w:val="right"/>
              <w:spacing w:after="0"/>
              <w:rPr>
                <w:sz w:val="20"/>
                <w:szCs w:val="20"/>
                <w:color w:val="auto"/>
              </w:rPr>
            </w:pPr>
            <w:r>
              <w:rPr>
                <w:rFonts w:ascii="Arial" w:cs="Arial" w:eastAsia="Arial" w:hAnsi="Arial"/>
                <w:sz w:val="17"/>
                <w:szCs w:val="17"/>
                <w:color w:val="auto"/>
              </w:rPr>
              <w:t>7,170,934</w:t>
            </w: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7,117,685</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21"/>
        </w:trPr>
        <w:tc>
          <w:tcPr>
            <w:tcW w:w="8220" w:type="dxa"/>
            <w:vAlign w:val="bottom"/>
            <w:shd w:val="clear" w:color="auto" w:fill="CCEEFF"/>
          </w:tcPr>
          <w:p>
            <w:pPr>
              <w:spacing w:after="0"/>
              <w:rPr>
                <w:sz w:val="20"/>
                <w:szCs w:val="20"/>
                <w:color w:val="auto"/>
              </w:rPr>
            </w:pPr>
            <w:r>
              <w:rPr>
                <w:rFonts w:ascii="Arial" w:cs="Arial" w:eastAsia="Arial" w:hAnsi="Arial"/>
                <w:sz w:val="17"/>
                <w:szCs w:val="17"/>
                <w:color w:val="auto"/>
              </w:rPr>
              <w:t>Negotiable bank certificates</w:t>
            </w: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959,051</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743,726</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r>
      <w:tr>
        <w:trPr>
          <w:trHeight w:val="201"/>
        </w:trPr>
        <w:tc>
          <w:tcPr>
            <w:tcW w:w="8220" w:type="dxa"/>
            <w:vAlign w:val="bottom"/>
          </w:tcPr>
          <w:p>
            <w:pPr>
              <w:spacing w:after="0"/>
              <w:rPr>
                <w:sz w:val="20"/>
                <w:szCs w:val="20"/>
                <w:color w:val="auto"/>
              </w:rPr>
            </w:pPr>
            <w:r>
              <w:rPr>
                <w:rFonts w:ascii="Arial" w:cs="Arial" w:eastAsia="Arial" w:hAnsi="Arial"/>
                <w:sz w:val="17"/>
                <w:szCs w:val="17"/>
                <w:b w:val="1"/>
                <w:bCs w:val="1"/>
                <w:color w:val="auto"/>
              </w:rPr>
              <w:t>Total</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96,717,674</w:t>
            </w:r>
          </w:p>
        </w:tc>
        <w:tc>
          <w:tcPr>
            <w:tcW w:w="200" w:type="dxa"/>
            <w:vAlign w:val="bottom"/>
          </w:tcPr>
          <w:p>
            <w:pPr>
              <w:spacing w:after="0"/>
              <w:rPr>
                <w:sz w:val="17"/>
                <w:szCs w:val="17"/>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85,583,120</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21"/>
        </w:trPr>
        <w:tc>
          <w:tcPr>
            <w:tcW w:w="8220" w:type="dxa"/>
            <w:vAlign w:val="bottom"/>
            <w:shd w:val="clear" w:color="auto" w:fill="CCEEFF"/>
          </w:tcPr>
          <w:p>
            <w:pPr>
              <w:spacing w:after="0"/>
              <w:rPr>
                <w:sz w:val="20"/>
                <w:szCs w:val="20"/>
                <w:color w:val="auto"/>
              </w:rPr>
            </w:pPr>
            <w:r>
              <w:rPr>
                <w:rFonts w:ascii="Arial" w:cs="Arial" w:eastAsia="Arial" w:hAnsi="Arial"/>
                <w:sz w:val="17"/>
                <w:szCs w:val="17"/>
                <w:color w:val="auto"/>
              </w:rPr>
              <w:t>Interest payable</w:t>
            </w: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452,737</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333,267</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r>
      <w:tr>
        <w:trPr>
          <w:trHeight w:val="201"/>
        </w:trPr>
        <w:tc>
          <w:tcPr>
            <w:tcW w:w="8220" w:type="dxa"/>
            <w:vAlign w:val="bottom"/>
          </w:tcPr>
          <w:p>
            <w:pPr>
              <w:spacing w:after="0"/>
              <w:rPr>
                <w:sz w:val="20"/>
                <w:szCs w:val="20"/>
                <w:color w:val="auto"/>
              </w:rPr>
            </w:pPr>
            <w:r>
              <w:rPr>
                <w:rFonts w:ascii="Arial" w:cs="Arial" w:eastAsia="Arial" w:hAnsi="Arial"/>
                <w:sz w:val="17"/>
                <w:szCs w:val="17"/>
                <w:b w:val="1"/>
                <w:bCs w:val="1"/>
                <w:color w:val="auto"/>
              </w:rPr>
              <w:t>Total</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97,170,411</w:t>
            </w:r>
          </w:p>
        </w:tc>
        <w:tc>
          <w:tcPr>
            <w:tcW w:w="200" w:type="dxa"/>
            <w:vAlign w:val="bottom"/>
          </w:tcPr>
          <w:p>
            <w:pPr>
              <w:spacing w:after="0"/>
              <w:rPr>
                <w:sz w:val="17"/>
                <w:szCs w:val="17"/>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85,916,387</w:t>
            </w:r>
          </w:p>
        </w:tc>
        <w:tc>
          <w:tcPr>
            <w:tcW w:w="2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r>
      <w:tr>
        <w:trPr>
          <w:trHeight w:val="20"/>
        </w:trPr>
        <w:tc>
          <w:tcPr>
            <w:tcW w:w="82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5" w:lineRule="exact"/>
        <w:rPr>
          <w:sz w:val="20"/>
          <w:szCs w:val="20"/>
          <w:color w:val="auto"/>
        </w:rPr>
      </w:pPr>
    </w:p>
    <w:p>
      <w:pPr>
        <w:ind w:left="320" w:right="280"/>
        <w:spacing w:after="0" w:line="270" w:lineRule="auto"/>
        <w:rPr>
          <w:sz w:val="20"/>
          <w:szCs w:val="20"/>
          <w:color w:val="auto"/>
        </w:rPr>
      </w:pPr>
      <w:r>
        <w:rPr>
          <w:rFonts w:ascii="Arial" w:cs="Arial" w:eastAsia="Arial" w:hAnsi="Arial"/>
          <w:sz w:val="17"/>
          <w:szCs w:val="17"/>
          <w:color w:val="auto"/>
        </w:rPr>
        <w:t>The Group has established a policy to remunerate demand deposits and savings accounts according to an interest rate scale, based on the average balance maintained in those accounts; on the other hand, according to its policy, balances that are lower than a specified amount for each type of account do not bear interest. Also, time deposits earn interest at market rates.</w:t>
      </w:r>
    </w:p>
    <w:p>
      <w:pPr>
        <w:spacing w:after="0" w:line="172" w:lineRule="exact"/>
        <w:rPr>
          <w:sz w:val="20"/>
          <w:szCs w:val="20"/>
          <w:color w:val="auto"/>
        </w:rPr>
      </w:pPr>
    </w:p>
    <w:p>
      <w:pPr>
        <w:ind w:left="320"/>
        <w:spacing w:after="0"/>
        <w:rPr>
          <w:sz w:val="20"/>
          <w:szCs w:val="20"/>
          <w:color w:val="auto"/>
        </w:rPr>
      </w:pPr>
      <w:r>
        <w:rPr>
          <w:rFonts w:ascii="Arial" w:cs="Arial" w:eastAsia="Arial" w:hAnsi="Arial"/>
          <w:sz w:val="16"/>
          <w:szCs w:val="16"/>
          <w:color w:val="auto"/>
        </w:rPr>
        <w:t>Interest rates are determined by the Group considering the interest rates prevailing in the market in which each of the Group’s subsidiaries operates.</w:t>
      </w:r>
    </w:p>
    <w:p>
      <w:pPr>
        <w:spacing w:after="0" w:line="232" w:lineRule="exact"/>
        <w:rPr>
          <w:sz w:val="20"/>
          <w:szCs w:val="20"/>
          <w:color w:val="auto"/>
        </w:rPr>
      </w:pPr>
    </w:p>
    <w:p>
      <w:pPr>
        <w:spacing w:after="0"/>
        <w:tabs>
          <w:tab w:leader="none" w:pos="300" w:val="left"/>
        </w:tabs>
        <w:rPr>
          <w:sz w:val="20"/>
          <w:szCs w:val="20"/>
          <w:color w:val="auto"/>
        </w:rPr>
      </w:pPr>
      <w:r>
        <w:rPr>
          <w:rFonts w:ascii="Arial" w:cs="Arial" w:eastAsia="Arial" w:hAnsi="Arial"/>
          <w:sz w:val="17"/>
          <w:szCs w:val="17"/>
          <w:color w:val="auto"/>
        </w:rPr>
        <w:t>b)</w:t>
      </w:r>
      <w:r>
        <w:rPr>
          <w:sz w:val="20"/>
          <w:szCs w:val="20"/>
          <w:color w:val="auto"/>
        </w:rPr>
        <w:tab/>
      </w:r>
      <w:r>
        <w:rPr>
          <w:rFonts w:ascii="Arial" w:cs="Arial" w:eastAsia="Arial" w:hAnsi="Arial"/>
          <w:sz w:val="15"/>
          <w:szCs w:val="15"/>
          <w:color w:val="auto"/>
        </w:rPr>
        <w:t>The amounts of non-interest-bearing and interest-bearing deposits and obligations are presented below:</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320" w:type="dxa"/>
            <w:vAlign w:val="bottom"/>
          </w:tcPr>
          <w:p>
            <w:pPr>
              <w:spacing w:after="0"/>
              <w:rPr>
                <w:sz w:val="19"/>
                <w:szCs w:val="19"/>
                <w:color w:val="auto"/>
              </w:rPr>
            </w:pPr>
          </w:p>
        </w:tc>
        <w:tc>
          <w:tcPr>
            <w:tcW w:w="3420" w:type="dxa"/>
            <w:vAlign w:val="bottom"/>
          </w:tcPr>
          <w:p>
            <w:pPr>
              <w:spacing w:after="0"/>
              <w:rPr>
                <w:sz w:val="19"/>
                <w:szCs w:val="19"/>
                <w:color w:val="auto"/>
              </w:rPr>
            </w:pPr>
          </w:p>
        </w:tc>
        <w:tc>
          <w:tcPr>
            <w:tcW w:w="6020" w:type="dxa"/>
            <w:vAlign w:val="bottom"/>
            <w:gridSpan w:val="2"/>
          </w:tcPr>
          <w:p>
            <w:pPr>
              <w:jc w:val="right"/>
              <w:ind w:right="353"/>
              <w:spacing w:after="0"/>
              <w:rPr>
                <w:sz w:val="20"/>
                <w:szCs w:val="20"/>
                <w:color w:val="auto"/>
              </w:rPr>
            </w:pPr>
            <w:r>
              <w:rPr>
                <w:rFonts w:ascii="Arial" w:cs="Arial" w:eastAsia="Arial" w:hAnsi="Arial"/>
                <w:sz w:val="17"/>
                <w:szCs w:val="17"/>
                <w:b w:val="1"/>
                <w:bCs w:val="1"/>
                <w:color w:val="auto"/>
              </w:rPr>
              <w:t>2017</w:t>
            </w:r>
          </w:p>
        </w:tc>
        <w:tc>
          <w:tcPr>
            <w:tcW w:w="200" w:type="dxa"/>
            <w:vAlign w:val="bottom"/>
          </w:tcPr>
          <w:p>
            <w:pPr>
              <w:spacing w:after="0"/>
              <w:rPr>
                <w:sz w:val="19"/>
                <w:szCs w:val="19"/>
                <w:color w:val="auto"/>
              </w:rPr>
            </w:pPr>
          </w:p>
        </w:tc>
        <w:tc>
          <w:tcPr>
            <w:tcW w:w="1200" w:type="dxa"/>
            <w:vAlign w:val="bottom"/>
          </w:tcPr>
          <w:p>
            <w:pPr>
              <w:jc w:val="right"/>
              <w:ind w:right="333"/>
              <w:spacing w:after="0"/>
              <w:rPr>
                <w:sz w:val="20"/>
                <w:szCs w:val="20"/>
                <w:color w:val="auto"/>
              </w:rPr>
            </w:pPr>
            <w:r>
              <w:rPr>
                <w:rFonts w:ascii="Arial" w:cs="Arial" w:eastAsia="Arial" w:hAnsi="Arial"/>
                <w:sz w:val="17"/>
                <w:szCs w:val="17"/>
                <w:b w:val="1"/>
                <w:bCs w:val="1"/>
                <w:color w:val="auto"/>
              </w:rPr>
              <w:t>2016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20" w:type="dxa"/>
            <w:vAlign w:val="bottom"/>
          </w:tcPr>
          <w:p>
            <w:pPr>
              <w:spacing w:after="0"/>
              <w:rPr>
                <w:sz w:val="19"/>
                <w:szCs w:val="19"/>
                <w:color w:val="auto"/>
              </w:rPr>
            </w:pPr>
          </w:p>
        </w:tc>
        <w:tc>
          <w:tcPr>
            <w:tcW w:w="3420" w:type="dxa"/>
            <w:vAlign w:val="bottom"/>
          </w:tcPr>
          <w:p>
            <w:pPr>
              <w:spacing w:after="0"/>
              <w:rPr>
                <w:sz w:val="19"/>
                <w:szCs w:val="19"/>
                <w:color w:val="auto"/>
              </w:rPr>
            </w:pPr>
          </w:p>
        </w:tc>
        <w:tc>
          <w:tcPr>
            <w:tcW w:w="4800" w:type="dxa"/>
            <w:vAlign w:val="bottom"/>
          </w:tcPr>
          <w:p>
            <w:pPr>
              <w:spacing w:after="0"/>
              <w:rPr>
                <w:sz w:val="19"/>
                <w:szCs w:val="19"/>
                <w:color w:val="auto"/>
              </w:rPr>
            </w:pPr>
          </w:p>
        </w:tc>
        <w:tc>
          <w:tcPr>
            <w:tcW w:w="1220" w:type="dxa"/>
            <w:vAlign w:val="bottom"/>
            <w:tcBorders>
              <w:top w:val="single" w:sz="8" w:color="auto"/>
            </w:tcBorders>
          </w:tcPr>
          <w:p>
            <w:pPr>
              <w:jc w:val="center"/>
              <w:spacing w:after="0"/>
              <w:rPr>
                <w:sz w:val="20"/>
                <w:szCs w:val="20"/>
                <w:color w:val="auto"/>
              </w:rPr>
            </w:pPr>
            <w:r>
              <w:rPr>
                <w:rFonts w:ascii="Arial" w:cs="Arial" w:eastAsia="Arial" w:hAnsi="Arial"/>
                <w:sz w:val="17"/>
                <w:szCs w:val="17"/>
                <w:b w:val="1"/>
                <w:bCs w:val="1"/>
                <w:color w:val="auto"/>
                <w:w w:val="93"/>
              </w:rPr>
              <w:t>S/(000)</w:t>
            </w:r>
          </w:p>
        </w:tc>
        <w:tc>
          <w:tcPr>
            <w:tcW w:w="200" w:type="dxa"/>
            <w:vAlign w:val="bottom"/>
          </w:tcPr>
          <w:p>
            <w:pPr>
              <w:spacing w:after="0"/>
              <w:rPr>
                <w:sz w:val="19"/>
                <w:szCs w:val="19"/>
                <w:color w:val="auto"/>
              </w:rPr>
            </w:pPr>
          </w:p>
        </w:tc>
        <w:tc>
          <w:tcPr>
            <w:tcW w:w="1200" w:type="dxa"/>
            <w:vAlign w:val="bottom"/>
            <w:tcBorders>
              <w:top w:val="single" w:sz="8" w:color="auto"/>
            </w:tcBorders>
          </w:tcPr>
          <w:p>
            <w:pPr>
              <w:jc w:val="center"/>
              <w:spacing w:after="0"/>
              <w:rPr>
                <w:sz w:val="20"/>
                <w:szCs w:val="20"/>
                <w:color w:val="auto"/>
              </w:rPr>
            </w:pPr>
            <w:r>
              <w:rPr>
                <w:rFonts w:ascii="Arial" w:cs="Arial" w:eastAsia="Arial" w:hAnsi="Arial"/>
                <w:sz w:val="17"/>
                <w:szCs w:val="17"/>
                <w:b w:val="1"/>
                <w:bCs w:val="1"/>
                <w:color w:val="auto"/>
                <w:w w:val="93"/>
              </w:rPr>
              <w:t>S/(000)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320" w:type="dxa"/>
            <w:vAlign w:val="bottom"/>
          </w:tcPr>
          <w:p>
            <w:pPr>
              <w:spacing w:after="0"/>
              <w:rPr>
                <w:sz w:val="16"/>
                <w:szCs w:val="16"/>
                <w:color w:val="auto"/>
              </w:rPr>
            </w:pPr>
          </w:p>
        </w:tc>
        <w:tc>
          <w:tcPr>
            <w:tcW w:w="3420" w:type="dxa"/>
            <w:vAlign w:val="bottom"/>
          </w:tcPr>
          <w:p>
            <w:pPr>
              <w:spacing w:after="0"/>
              <w:rPr>
                <w:sz w:val="16"/>
                <w:szCs w:val="16"/>
                <w:color w:val="auto"/>
              </w:rPr>
            </w:pPr>
          </w:p>
        </w:tc>
        <w:tc>
          <w:tcPr>
            <w:tcW w:w="48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320" w:type="dxa"/>
            <w:vAlign w:val="bottom"/>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Non-interest-bearing -</w:t>
            </w:r>
          </w:p>
        </w:tc>
        <w:tc>
          <w:tcPr>
            <w:tcW w:w="48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2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7"/>
                <w:szCs w:val="17"/>
                <w:color w:val="auto"/>
              </w:rPr>
              <w:t>In Peru</w:t>
            </w:r>
          </w:p>
        </w:tc>
        <w:tc>
          <w:tcPr>
            <w:tcW w:w="6220" w:type="dxa"/>
            <w:vAlign w:val="bottom"/>
            <w:gridSpan w:val="3"/>
          </w:tcPr>
          <w:p>
            <w:pPr>
              <w:jc w:val="right"/>
              <w:ind w:right="200"/>
              <w:spacing w:after="0"/>
              <w:rPr>
                <w:sz w:val="20"/>
                <w:szCs w:val="20"/>
                <w:color w:val="auto"/>
              </w:rPr>
            </w:pPr>
            <w:r>
              <w:rPr>
                <w:rFonts w:ascii="Arial" w:cs="Arial" w:eastAsia="Arial" w:hAnsi="Arial"/>
                <w:sz w:val="17"/>
                <w:szCs w:val="17"/>
                <w:color w:val="auto"/>
              </w:rPr>
              <w:t>26,786,474</w:t>
            </w:r>
          </w:p>
        </w:tc>
        <w:tc>
          <w:tcPr>
            <w:tcW w:w="1300" w:type="dxa"/>
            <w:vAlign w:val="bottom"/>
            <w:gridSpan w:val="2"/>
          </w:tcPr>
          <w:p>
            <w:pPr>
              <w:jc w:val="right"/>
              <w:ind w:right="100"/>
              <w:spacing w:after="0"/>
              <w:rPr>
                <w:sz w:val="20"/>
                <w:szCs w:val="20"/>
                <w:color w:val="auto"/>
              </w:rPr>
            </w:pPr>
            <w:r>
              <w:rPr>
                <w:rFonts w:ascii="Arial" w:cs="Arial" w:eastAsia="Arial" w:hAnsi="Arial"/>
                <w:sz w:val="17"/>
                <w:szCs w:val="17"/>
                <w:color w:val="auto"/>
              </w:rPr>
              <w:t>24,718,582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320" w:type="dxa"/>
            <w:vAlign w:val="bottom"/>
          </w:tcPr>
          <w:p>
            <w:pPr>
              <w:spacing w:after="0"/>
              <w:rPr>
                <w:sz w:val="19"/>
                <w:szCs w:val="19"/>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7"/>
                <w:szCs w:val="17"/>
                <w:color w:val="auto"/>
              </w:rPr>
              <w:t>In other countries</w:t>
            </w:r>
          </w:p>
        </w:tc>
        <w:tc>
          <w:tcPr>
            <w:tcW w:w="60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2,596,435</w:t>
            </w: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3,366,109</w:t>
            </w:r>
          </w:p>
        </w:tc>
        <w:tc>
          <w:tcPr>
            <w:tcW w:w="100" w:type="dxa"/>
            <w:vAlign w:val="bottom"/>
            <w:shd w:val="clear" w:color="auto" w:fill="CCEEFF"/>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1"/>
        </w:trPr>
        <w:tc>
          <w:tcPr>
            <w:tcW w:w="320" w:type="dxa"/>
            <w:vAlign w:val="bottom"/>
          </w:tcPr>
          <w:p>
            <w:pPr>
              <w:spacing w:after="0"/>
              <w:rPr>
                <w:sz w:val="17"/>
                <w:szCs w:val="17"/>
                <w:color w:val="auto"/>
              </w:rPr>
            </w:pPr>
          </w:p>
        </w:tc>
        <w:tc>
          <w:tcPr>
            <w:tcW w:w="3420" w:type="dxa"/>
            <w:vAlign w:val="bottom"/>
            <w:tcBorders>
              <w:bottom w:val="single" w:sz="8" w:color="CCEEFF"/>
            </w:tcBorders>
          </w:tcPr>
          <w:p>
            <w:pPr>
              <w:spacing w:after="0"/>
              <w:rPr>
                <w:sz w:val="17"/>
                <w:szCs w:val="17"/>
                <w:color w:val="auto"/>
              </w:rPr>
            </w:pPr>
          </w:p>
        </w:tc>
        <w:tc>
          <w:tcPr>
            <w:tcW w:w="4800" w:type="dxa"/>
            <w:vAlign w:val="bottom"/>
            <w:tcBorders>
              <w:bottom w:val="single" w:sz="8" w:color="CCEEFF"/>
            </w:tcBorders>
          </w:tcPr>
          <w:p>
            <w:pPr>
              <w:spacing w:after="0"/>
              <w:rPr>
                <w:sz w:val="17"/>
                <w:szCs w:val="17"/>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29,382,909</w:t>
            </w:r>
          </w:p>
        </w:tc>
        <w:tc>
          <w:tcPr>
            <w:tcW w:w="200" w:type="dxa"/>
            <w:vAlign w:val="bottom"/>
            <w:tcBorders>
              <w:bottom w:val="single" w:sz="8" w:color="CCEEFF"/>
            </w:tcBorders>
          </w:tcPr>
          <w:p>
            <w:pPr>
              <w:spacing w:after="0"/>
              <w:rPr>
                <w:sz w:val="17"/>
                <w:szCs w:val="17"/>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28,084,691</w:t>
            </w:r>
          </w:p>
        </w:tc>
        <w:tc>
          <w:tcPr>
            <w:tcW w:w="100" w:type="dxa"/>
            <w:vAlign w:val="bottom"/>
            <w:tcBorders>
              <w:bottom w:val="single" w:sz="8" w:color="CCEEFF"/>
            </w:tcBorders>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320" w:type="dxa"/>
            <w:vAlign w:val="bottom"/>
          </w:tcPr>
          <w:p>
            <w:pPr>
              <w:spacing w:after="0"/>
              <w:rPr>
                <w:sz w:val="17"/>
                <w:szCs w:val="17"/>
                <w:color w:val="auto"/>
              </w:rPr>
            </w:pPr>
          </w:p>
        </w:tc>
        <w:tc>
          <w:tcPr>
            <w:tcW w:w="3420" w:type="dxa"/>
            <w:vAlign w:val="bottom"/>
            <w:shd w:val="clear" w:color="auto" w:fill="CCEEFF"/>
          </w:tcPr>
          <w:p>
            <w:pPr>
              <w:spacing w:after="0"/>
              <w:rPr>
                <w:sz w:val="17"/>
                <w:szCs w:val="17"/>
                <w:color w:val="auto"/>
              </w:rPr>
            </w:pPr>
          </w:p>
        </w:tc>
        <w:tc>
          <w:tcPr>
            <w:tcW w:w="48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32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7"/>
                <w:szCs w:val="17"/>
                <w:b w:val="1"/>
                <w:bCs w:val="1"/>
                <w:color w:val="auto"/>
              </w:rPr>
              <w:t>Interest-bearing -</w:t>
            </w:r>
          </w:p>
        </w:tc>
        <w:tc>
          <w:tcPr>
            <w:tcW w:w="48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20" w:type="dxa"/>
            <w:vAlign w:val="bottom"/>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7"/>
                <w:szCs w:val="17"/>
                <w:color w:val="auto"/>
              </w:rPr>
              <w:t>In Peru</w:t>
            </w:r>
          </w:p>
        </w:tc>
        <w:tc>
          <w:tcPr>
            <w:tcW w:w="6220" w:type="dxa"/>
            <w:vAlign w:val="bottom"/>
            <w:gridSpan w:val="3"/>
            <w:shd w:val="clear" w:color="auto" w:fill="CCEEFF"/>
          </w:tcPr>
          <w:p>
            <w:pPr>
              <w:jc w:val="right"/>
              <w:ind w:right="200"/>
              <w:spacing w:after="0"/>
              <w:rPr>
                <w:sz w:val="20"/>
                <w:szCs w:val="20"/>
                <w:color w:val="auto"/>
              </w:rPr>
            </w:pPr>
            <w:r>
              <w:rPr>
                <w:rFonts w:ascii="Arial" w:cs="Arial" w:eastAsia="Arial" w:hAnsi="Arial"/>
                <w:sz w:val="17"/>
                <w:szCs w:val="17"/>
                <w:color w:val="auto"/>
              </w:rPr>
              <w:t>60,372,602</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52,472,191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320" w:type="dxa"/>
            <w:vAlign w:val="bottom"/>
          </w:tcPr>
          <w:p>
            <w:pPr>
              <w:spacing w:after="0"/>
              <w:rPr>
                <w:sz w:val="19"/>
                <w:szCs w:val="19"/>
                <w:color w:val="auto"/>
              </w:rPr>
            </w:pPr>
          </w:p>
        </w:tc>
        <w:tc>
          <w:tcPr>
            <w:tcW w:w="3420" w:type="dxa"/>
            <w:vAlign w:val="bottom"/>
          </w:tcPr>
          <w:p>
            <w:pPr>
              <w:spacing w:after="0"/>
              <w:rPr>
                <w:sz w:val="20"/>
                <w:szCs w:val="20"/>
                <w:color w:val="auto"/>
              </w:rPr>
            </w:pPr>
            <w:r>
              <w:rPr>
                <w:rFonts w:ascii="Arial" w:cs="Arial" w:eastAsia="Arial" w:hAnsi="Arial"/>
                <w:sz w:val="17"/>
                <w:szCs w:val="17"/>
                <w:color w:val="auto"/>
              </w:rPr>
              <w:t>In other countries</w:t>
            </w:r>
          </w:p>
        </w:tc>
        <w:tc>
          <w:tcPr>
            <w:tcW w:w="6020" w:type="dxa"/>
            <w:vAlign w:val="bottom"/>
            <w:gridSpan w:val="2"/>
          </w:tcPr>
          <w:p>
            <w:pPr>
              <w:jc w:val="right"/>
              <w:spacing w:after="0"/>
              <w:rPr>
                <w:sz w:val="20"/>
                <w:szCs w:val="20"/>
                <w:color w:val="auto"/>
              </w:rPr>
            </w:pPr>
            <w:r>
              <w:rPr>
                <w:rFonts w:ascii="Arial" w:cs="Arial" w:eastAsia="Arial" w:hAnsi="Arial"/>
                <w:sz w:val="17"/>
                <w:szCs w:val="17"/>
                <w:color w:val="auto"/>
              </w:rPr>
              <w:t>6,962,163</w:t>
            </w: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5,026,238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1"/>
        </w:trPr>
        <w:tc>
          <w:tcPr>
            <w:tcW w:w="320" w:type="dxa"/>
            <w:vAlign w:val="bottom"/>
          </w:tcPr>
          <w:p>
            <w:pPr>
              <w:spacing w:after="0"/>
              <w:rPr>
                <w:sz w:val="17"/>
                <w:szCs w:val="17"/>
                <w:color w:val="auto"/>
              </w:rPr>
            </w:pPr>
          </w:p>
        </w:tc>
        <w:tc>
          <w:tcPr>
            <w:tcW w:w="3420" w:type="dxa"/>
            <w:vAlign w:val="bottom"/>
            <w:tcBorders>
              <w:top w:val="single" w:sz="8" w:color="CCEEFF"/>
            </w:tcBorders>
            <w:shd w:val="clear" w:color="auto" w:fill="CCEEFF"/>
          </w:tcPr>
          <w:p>
            <w:pPr>
              <w:spacing w:after="0"/>
              <w:rPr>
                <w:sz w:val="17"/>
                <w:szCs w:val="17"/>
                <w:color w:val="auto"/>
              </w:rPr>
            </w:pPr>
          </w:p>
        </w:tc>
        <w:tc>
          <w:tcPr>
            <w:tcW w:w="4800" w:type="dxa"/>
            <w:vAlign w:val="bottom"/>
            <w:tcBorders>
              <w:top w:val="single" w:sz="8" w:color="CCEEFF"/>
            </w:tcBorders>
            <w:shd w:val="clear" w:color="auto" w:fill="CCEEFF"/>
          </w:tcPr>
          <w:p>
            <w:pPr>
              <w:spacing w:after="0"/>
              <w:rPr>
                <w:sz w:val="17"/>
                <w:szCs w:val="17"/>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67,334,765</w:t>
            </w:r>
          </w:p>
        </w:tc>
        <w:tc>
          <w:tcPr>
            <w:tcW w:w="200" w:type="dxa"/>
            <w:vAlign w:val="bottom"/>
            <w:tcBorders>
              <w:top w:val="single" w:sz="8" w:color="CCEEFF"/>
            </w:tcBorders>
            <w:shd w:val="clear" w:color="auto" w:fill="CCEEFF"/>
          </w:tcPr>
          <w:p>
            <w:pPr>
              <w:spacing w:after="0"/>
              <w:rPr>
                <w:sz w:val="17"/>
                <w:szCs w:val="17"/>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57,498,429</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3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48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320" w:type="dxa"/>
            <w:vAlign w:val="bottom"/>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Total</w:t>
            </w:r>
          </w:p>
        </w:tc>
        <w:tc>
          <w:tcPr>
            <w:tcW w:w="6220" w:type="dxa"/>
            <w:vAlign w:val="bottom"/>
            <w:gridSpan w:val="3"/>
            <w:shd w:val="clear" w:color="auto" w:fill="CCEEFF"/>
          </w:tcPr>
          <w:p>
            <w:pPr>
              <w:jc w:val="right"/>
              <w:ind w:right="200"/>
              <w:spacing w:after="0"/>
              <w:rPr>
                <w:sz w:val="20"/>
                <w:szCs w:val="20"/>
                <w:color w:val="auto"/>
              </w:rPr>
            </w:pPr>
            <w:r>
              <w:rPr>
                <w:rFonts w:ascii="Arial" w:cs="Arial" w:eastAsia="Arial" w:hAnsi="Arial"/>
                <w:sz w:val="17"/>
                <w:szCs w:val="17"/>
                <w:color w:val="auto"/>
              </w:rPr>
              <w:t>96,717,674</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85,583,120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3420" w:type="dxa"/>
            <w:vAlign w:val="bottom"/>
            <w:tcBorders>
              <w:top w:val="single" w:sz="8" w:color="CCEEFF"/>
            </w:tcBorders>
          </w:tcPr>
          <w:p>
            <w:pPr>
              <w:spacing w:after="0" w:line="20" w:lineRule="exact"/>
              <w:rPr>
                <w:sz w:val="1"/>
                <w:szCs w:val="1"/>
                <w:color w:val="auto"/>
              </w:rPr>
            </w:pPr>
          </w:p>
        </w:tc>
        <w:tc>
          <w:tcPr>
            <w:tcW w:w="4800" w:type="dxa"/>
            <w:vAlign w:val="bottom"/>
            <w:tcBorders>
              <w:top w:val="single" w:sz="8" w:color="CCEEFF"/>
              <w:bottom w:val="single" w:sz="8" w:color="CCEEFF"/>
            </w:tcBorders>
            <w:vMerge w:val="restart"/>
          </w:tcPr>
          <w:p>
            <w:pPr>
              <w:jc w:val="right"/>
              <w:ind w:right="2553"/>
              <w:spacing w:after="0"/>
              <w:rPr>
                <w:sz w:val="20"/>
                <w:szCs w:val="20"/>
                <w:color w:val="auto"/>
              </w:rPr>
            </w:pPr>
            <w:r>
              <w:rPr>
                <w:rFonts w:ascii="Arial" w:cs="Arial" w:eastAsia="Arial" w:hAnsi="Arial"/>
                <w:sz w:val="17"/>
                <w:szCs w:val="17"/>
                <w:color w:val="auto"/>
              </w:rPr>
              <w:t>- 76 -</w:t>
            </w: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3"/>
        </w:trPr>
        <w:tc>
          <w:tcPr>
            <w:tcW w:w="320" w:type="dxa"/>
            <w:vAlign w:val="bottom"/>
            <w:tcBorders>
              <w:bottom w:val="single" w:sz="8" w:color="auto"/>
            </w:tcBorders>
          </w:tcPr>
          <w:p>
            <w:pPr>
              <w:spacing w:after="0"/>
              <w:rPr>
                <w:sz w:val="24"/>
                <w:szCs w:val="24"/>
                <w:color w:val="auto"/>
              </w:rPr>
            </w:pPr>
          </w:p>
        </w:tc>
        <w:tc>
          <w:tcPr>
            <w:tcW w:w="3420" w:type="dxa"/>
            <w:vAlign w:val="bottom"/>
            <w:tcBorders>
              <w:bottom w:val="single" w:sz="8" w:color="auto"/>
            </w:tcBorders>
          </w:tcPr>
          <w:p>
            <w:pPr>
              <w:spacing w:after="0"/>
              <w:rPr>
                <w:sz w:val="24"/>
                <w:szCs w:val="24"/>
                <w:color w:val="auto"/>
              </w:rPr>
            </w:pPr>
          </w:p>
        </w:tc>
        <w:tc>
          <w:tcPr>
            <w:tcW w:w="4800" w:type="dxa"/>
            <w:vAlign w:val="bottom"/>
            <w:tcBorders>
              <w:bottom w:val="single" w:sz="8" w:color="auto"/>
            </w:tcBorders>
            <w:vMerge w:val="continue"/>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81" w:right="239" w:bottom="1440" w:gutter="0" w:footer="0" w:header="0"/>
        </w:sectPr>
      </w:pPr>
    </w:p>
    <w:bookmarkStart w:id="82" w:name="page83"/>
    <w:bookmarkEnd w:id="82"/>
    <w:p>
      <w:pPr>
        <w:ind w:left="320" w:hanging="316"/>
        <w:spacing w:after="0"/>
        <w:tabs>
          <w:tab w:leader="none" w:pos="320" w:val="left"/>
        </w:tabs>
        <w:numPr>
          <w:ilvl w:val="0"/>
          <w:numId w:val="95"/>
        </w:numPr>
        <w:rPr>
          <w:rFonts w:ascii="Arial" w:cs="Arial" w:eastAsia="Arial" w:hAnsi="Arial"/>
          <w:sz w:val="17"/>
          <w:szCs w:val="17"/>
          <w:color w:val="auto"/>
        </w:rPr>
      </w:pPr>
      <w:r>
        <w:rPr>
          <w:rFonts w:ascii="Arial" w:cs="Arial" w:eastAsia="Arial" w:hAnsi="Arial"/>
          <w:sz w:val="17"/>
          <w:szCs w:val="17"/>
          <w:color w:val="auto"/>
        </w:rPr>
        <w:t>The balance of time deposits classified by maturity is as follows:</w:t>
      </w:r>
    </w:p>
    <w:p>
      <w:pPr>
        <w:spacing w:after="0" w:line="227" w:lineRule="exact"/>
        <w:rPr>
          <w:sz w:val="20"/>
          <w:szCs w:val="20"/>
          <w:color w:val="auto"/>
        </w:rPr>
      </w:pPr>
    </w:p>
    <w:tbl>
      <w:tblPr>
        <w:tblLayout w:type="fixed"/>
        <w:tblInd w:w="320" w:type="dxa"/>
        <w:tblCellMar>
          <w:top w:w="0" w:type="dxa"/>
          <w:left w:w="0" w:type="dxa"/>
          <w:bottom w:w="0" w:type="dxa"/>
          <w:right w:w="0" w:type="dxa"/>
        </w:tblCellMar>
      </w:tblPr>
      <w:tr>
        <w:trPr>
          <w:trHeight w:val="226"/>
        </w:trPr>
        <w:tc>
          <w:tcPr>
            <w:tcW w:w="8220" w:type="dxa"/>
            <w:vAlign w:val="bottom"/>
          </w:tcPr>
          <w:p>
            <w:pPr>
              <w:spacing w:after="0"/>
              <w:rPr>
                <w:sz w:val="19"/>
                <w:szCs w:val="19"/>
                <w:color w:val="auto"/>
              </w:rPr>
            </w:pPr>
          </w:p>
        </w:tc>
        <w:tc>
          <w:tcPr>
            <w:tcW w:w="1220" w:type="dxa"/>
            <w:vAlign w:val="bottom"/>
            <w:tcBorders>
              <w:bottom w:val="single" w:sz="8" w:color="auto"/>
            </w:tcBorders>
          </w:tcPr>
          <w:p>
            <w:pPr>
              <w:jc w:val="right"/>
              <w:ind w:right="353"/>
              <w:spacing w:after="0"/>
              <w:rPr>
                <w:sz w:val="20"/>
                <w:szCs w:val="20"/>
                <w:color w:val="auto"/>
              </w:rPr>
            </w:pPr>
            <w:r>
              <w:rPr>
                <w:rFonts w:ascii="Arial" w:cs="Arial" w:eastAsia="Arial" w:hAnsi="Arial"/>
                <w:sz w:val="17"/>
                <w:szCs w:val="17"/>
                <w:b w:val="1"/>
                <w:bCs w:val="1"/>
                <w:color w:val="auto"/>
              </w:rPr>
              <w:t>2017</w:t>
            </w:r>
          </w:p>
        </w:tc>
        <w:tc>
          <w:tcPr>
            <w:tcW w:w="200" w:type="dxa"/>
            <w:vAlign w:val="bottom"/>
          </w:tcPr>
          <w:p>
            <w:pPr>
              <w:spacing w:after="0"/>
              <w:rPr>
                <w:sz w:val="19"/>
                <w:szCs w:val="19"/>
                <w:color w:val="auto"/>
              </w:rPr>
            </w:pPr>
          </w:p>
        </w:tc>
        <w:tc>
          <w:tcPr>
            <w:tcW w:w="1200" w:type="dxa"/>
            <w:vAlign w:val="bottom"/>
            <w:tcBorders>
              <w:bottom w:val="single" w:sz="8" w:color="auto"/>
            </w:tcBorders>
          </w:tcPr>
          <w:p>
            <w:pPr>
              <w:jc w:val="right"/>
              <w:ind w:right="333"/>
              <w:spacing w:after="0"/>
              <w:rPr>
                <w:sz w:val="20"/>
                <w:szCs w:val="20"/>
                <w:color w:val="auto"/>
              </w:rPr>
            </w:pPr>
            <w:r>
              <w:rPr>
                <w:rFonts w:ascii="Arial" w:cs="Arial" w:eastAsia="Arial" w:hAnsi="Arial"/>
                <w:sz w:val="17"/>
                <w:szCs w:val="17"/>
                <w:b w:val="1"/>
                <w:bCs w:val="1"/>
                <w:color w:val="auto"/>
              </w:rPr>
              <w:t>2016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19"/>
        </w:trPr>
        <w:tc>
          <w:tcPr>
            <w:tcW w:w="8220" w:type="dxa"/>
            <w:vAlign w:val="bottom"/>
          </w:tcPr>
          <w:p>
            <w:pPr>
              <w:spacing w:after="0"/>
              <w:rPr>
                <w:sz w:val="19"/>
                <w:szCs w:val="19"/>
                <w:color w:val="auto"/>
              </w:rPr>
            </w:pPr>
          </w:p>
        </w:tc>
        <w:tc>
          <w:tcPr>
            <w:tcW w:w="1220" w:type="dxa"/>
            <w:vAlign w:val="bottom"/>
          </w:tcPr>
          <w:p>
            <w:pPr>
              <w:jc w:val="center"/>
              <w:spacing w:after="0"/>
              <w:rPr>
                <w:sz w:val="20"/>
                <w:szCs w:val="20"/>
                <w:color w:val="auto"/>
              </w:rPr>
            </w:pPr>
            <w:r>
              <w:rPr>
                <w:rFonts w:ascii="Arial" w:cs="Arial" w:eastAsia="Arial" w:hAnsi="Arial"/>
                <w:sz w:val="17"/>
                <w:szCs w:val="17"/>
                <w:b w:val="1"/>
                <w:bCs w:val="1"/>
                <w:color w:val="auto"/>
                <w:w w:val="93"/>
              </w:rPr>
              <w:t>S/(000)</w:t>
            </w:r>
          </w:p>
        </w:tc>
        <w:tc>
          <w:tcPr>
            <w:tcW w:w="200" w:type="dxa"/>
            <w:vAlign w:val="bottom"/>
          </w:tcPr>
          <w:p>
            <w:pPr>
              <w:spacing w:after="0"/>
              <w:rPr>
                <w:sz w:val="19"/>
                <w:szCs w:val="19"/>
                <w:color w:val="auto"/>
              </w:rPr>
            </w:pPr>
          </w:p>
        </w:tc>
        <w:tc>
          <w:tcPr>
            <w:tcW w:w="1200" w:type="dxa"/>
            <w:vAlign w:val="bottom"/>
          </w:tcPr>
          <w:p>
            <w:pPr>
              <w:jc w:val="center"/>
              <w:spacing w:after="0"/>
              <w:rPr>
                <w:sz w:val="20"/>
                <w:szCs w:val="20"/>
                <w:color w:val="auto"/>
              </w:rPr>
            </w:pPr>
            <w:r>
              <w:rPr>
                <w:rFonts w:ascii="Arial" w:cs="Arial" w:eastAsia="Arial" w:hAnsi="Arial"/>
                <w:sz w:val="17"/>
                <w:szCs w:val="17"/>
                <w:b w:val="1"/>
                <w:bCs w:val="1"/>
                <w:color w:val="auto"/>
                <w:w w:val="93"/>
              </w:rPr>
              <w:t>S/(000)</w:t>
            </w:r>
          </w:p>
        </w:tc>
        <w:tc>
          <w:tcPr>
            <w:tcW w:w="100" w:type="dxa"/>
            <w:vAlign w:val="bottom"/>
            <w:gridSpan w:val="2"/>
          </w:tcPr>
          <w:p>
            <w:pPr>
              <w:spacing w:after="0"/>
              <w:rPr>
                <w:sz w:val="19"/>
                <w:szCs w:val="19"/>
                <w:color w:val="auto"/>
              </w:rPr>
            </w:pPr>
          </w:p>
        </w:tc>
      </w:tr>
      <w:tr>
        <w:trPr>
          <w:trHeight w:val="189"/>
        </w:trPr>
        <w:tc>
          <w:tcPr>
            <w:tcW w:w="82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08"/>
        </w:trPr>
        <w:tc>
          <w:tcPr>
            <w:tcW w:w="8220" w:type="dxa"/>
            <w:vAlign w:val="bottom"/>
            <w:shd w:val="clear" w:color="auto" w:fill="CCEEFF"/>
          </w:tcPr>
          <w:p>
            <w:pPr>
              <w:spacing w:after="0"/>
              <w:rPr>
                <w:sz w:val="20"/>
                <w:szCs w:val="20"/>
                <w:color w:val="auto"/>
              </w:rPr>
            </w:pPr>
            <w:r>
              <w:rPr>
                <w:rFonts w:ascii="Arial" w:cs="Arial" w:eastAsia="Arial" w:hAnsi="Arial"/>
                <w:sz w:val="17"/>
                <w:szCs w:val="17"/>
                <w:color w:val="auto"/>
              </w:rPr>
              <w:t>Up to 3 months</w:t>
            </w: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15,152,619</w:t>
            </w:r>
          </w:p>
        </w:tc>
        <w:tc>
          <w:tcPr>
            <w:tcW w:w="12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11,017,649</w:t>
            </w:r>
          </w:p>
        </w:tc>
        <w:tc>
          <w:tcPr>
            <w:tcW w:w="80" w:type="dxa"/>
            <w:vAlign w:val="bottom"/>
            <w:shd w:val="clear" w:color="auto" w:fill="CCEEFF"/>
          </w:tcPr>
          <w:p>
            <w:pPr>
              <w:spacing w:after="0"/>
              <w:rPr>
                <w:sz w:val="18"/>
                <w:szCs w:val="18"/>
                <w:color w:val="auto"/>
              </w:rPr>
            </w:pPr>
          </w:p>
        </w:tc>
      </w:tr>
      <w:tr>
        <w:trPr>
          <w:trHeight w:val="208"/>
        </w:trPr>
        <w:tc>
          <w:tcPr>
            <w:tcW w:w="8220" w:type="dxa"/>
            <w:vAlign w:val="bottom"/>
          </w:tcPr>
          <w:p>
            <w:pPr>
              <w:spacing w:after="0"/>
              <w:rPr>
                <w:sz w:val="20"/>
                <w:szCs w:val="20"/>
                <w:color w:val="auto"/>
              </w:rPr>
            </w:pPr>
            <w:r>
              <w:rPr>
                <w:rFonts w:ascii="Arial" w:cs="Arial" w:eastAsia="Arial" w:hAnsi="Arial"/>
                <w:sz w:val="17"/>
                <w:szCs w:val="17"/>
                <w:color w:val="auto"/>
              </w:rPr>
              <w:t>From 3 months to 1 year</w:t>
            </w:r>
          </w:p>
        </w:tc>
        <w:tc>
          <w:tcPr>
            <w:tcW w:w="1220" w:type="dxa"/>
            <w:vAlign w:val="bottom"/>
          </w:tcPr>
          <w:p>
            <w:pPr>
              <w:jc w:val="right"/>
              <w:spacing w:after="0"/>
              <w:rPr>
                <w:sz w:val="20"/>
                <w:szCs w:val="20"/>
                <w:color w:val="auto"/>
              </w:rPr>
            </w:pPr>
            <w:r>
              <w:rPr>
                <w:rFonts w:ascii="Arial" w:cs="Arial" w:eastAsia="Arial" w:hAnsi="Arial"/>
                <w:sz w:val="17"/>
                <w:szCs w:val="17"/>
                <w:color w:val="auto"/>
              </w:rPr>
              <w:t>8,735,918</w:t>
            </w: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6,614,180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08"/>
        </w:trPr>
        <w:tc>
          <w:tcPr>
            <w:tcW w:w="8220" w:type="dxa"/>
            <w:vAlign w:val="bottom"/>
            <w:shd w:val="clear" w:color="auto" w:fill="CCEEFF"/>
          </w:tcPr>
          <w:p>
            <w:pPr>
              <w:spacing w:after="0"/>
              <w:rPr>
                <w:sz w:val="20"/>
                <w:szCs w:val="20"/>
                <w:color w:val="auto"/>
              </w:rPr>
            </w:pPr>
            <w:r>
              <w:rPr>
                <w:rFonts w:ascii="Arial" w:cs="Arial" w:eastAsia="Arial" w:hAnsi="Arial"/>
                <w:sz w:val="17"/>
                <w:szCs w:val="17"/>
                <w:color w:val="auto"/>
              </w:rPr>
              <w:t>From 1 to 3 years</w:t>
            </w: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3,478,314</w:t>
            </w: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2,770,452</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08"/>
        </w:trPr>
        <w:tc>
          <w:tcPr>
            <w:tcW w:w="8220" w:type="dxa"/>
            <w:vAlign w:val="bottom"/>
          </w:tcPr>
          <w:p>
            <w:pPr>
              <w:spacing w:after="0"/>
              <w:rPr>
                <w:sz w:val="20"/>
                <w:szCs w:val="20"/>
                <w:color w:val="auto"/>
              </w:rPr>
            </w:pPr>
            <w:r>
              <w:rPr>
                <w:rFonts w:ascii="Arial" w:cs="Arial" w:eastAsia="Arial" w:hAnsi="Arial"/>
                <w:sz w:val="17"/>
                <w:szCs w:val="17"/>
                <w:color w:val="auto"/>
              </w:rPr>
              <w:t>From 3 to 5 years</w:t>
            </w:r>
          </w:p>
        </w:tc>
        <w:tc>
          <w:tcPr>
            <w:tcW w:w="1420" w:type="dxa"/>
            <w:vAlign w:val="bottom"/>
            <w:gridSpan w:val="2"/>
          </w:tcPr>
          <w:p>
            <w:pPr>
              <w:jc w:val="right"/>
              <w:ind w:right="200"/>
              <w:spacing w:after="0"/>
              <w:rPr>
                <w:sz w:val="20"/>
                <w:szCs w:val="20"/>
                <w:color w:val="auto"/>
              </w:rPr>
            </w:pPr>
            <w:r>
              <w:rPr>
                <w:rFonts w:ascii="Arial" w:cs="Arial" w:eastAsia="Arial" w:hAnsi="Arial"/>
                <w:sz w:val="17"/>
                <w:szCs w:val="17"/>
                <w:color w:val="auto"/>
              </w:rPr>
              <w:t>702,962</w:t>
            </w:r>
          </w:p>
        </w:tc>
        <w:tc>
          <w:tcPr>
            <w:tcW w:w="1200" w:type="dxa"/>
            <w:vAlign w:val="bottom"/>
          </w:tcPr>
          <w:p>
            <w:pPr>
              <w:jc w:val="right"/>
              <w:spacing w:after="0"/>
              <w:rPr>
                <w:sz w:val="20"/>
                <w:szCs w:val="20"/>
                <w:color w:val="auto"/>
              </w:rPr>
            </w:pPr>
            <w:r>
              <w:rPr>
                <w:rFonts w:ascii="Arial" w:cs="Arial" w:eastAsia="Arial" w:hAnsi="Arial"/>
                <w:sz w:val="17"/>
                <w:szCs w:val="17"/>
                <w:color w:val="auto"/>
              </w:rPr>
              <w:t>777,729</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21"/>
        </w:trPr>
        <w:tc>
          <w:tcPr>
            <w:tcW w:w="8220" w:type="dxa"/>
            <w:vAlign w:val="bottom"/>
            <w:shd w:val="clear" w:color="auto" w:fill="CCEEFF"/>
          </w:tcPr>
          <w:p>
            <w:pPr>
              <w:spacing w:after="0"/>
              <w:rPr>
                <w:sz w:val="20"/>
                <w:szCs w:val="20"/>
                <w:color w:val="auto"/>
              </w:rPr>
            </w:pPr>
            <w:r>
              <w:rPr>
                <w:rFonts w:ascii="Arial" w:cs="Arial" w:eastAsia="Arial" w:hAnsi="Arial"/>
                <w:sz w:val="17"/>
                <w:szCs w:val="17"/>
                <w:color w:val="auto"/>
              </w:rPr>
              <w:t>Over 5 years</w:t>
            </w: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2,114,501</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1,351,295</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r>
      <w:tr>
        <w:trPr>
          <w:trHeight w:val="201"/>
        </w:trPr>
        <w:tc>
          <w:tcPr>
            <w:tcW w:w="8220" w:type="dxa"/>
            <w:vAlign w:val="bottom"/>
          </w:tcPr>
          <w:p>
            <w:pPr>
              <w:spacing w:after="0"/>
              <w:rPr>
                <w:sz w:val="20"/>
                <w:szCs w:val="20"/>
                <w:color w:val="auto"/>
              </w:rPr>
            </w:pPr>
            <w:r>
              <w:rPr>
                <w:rFonts w:ascii="Arial" w:cs="Arial" w:eastAsia="Arial" w:hAnsi="Arial"/>
                <w:sz w:val="17"/>
                <w:szCs w:val="17"/>
                <w:b w:val="1"/>
                <w:bCs w:val="1"/>
                <w:color w:val="auto"/>
              </w:rPr>
              <w:t>Total</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30,184,314</w:t>
            </w:r>
          </w:p>
        </w:tc>
        <w:tc>
          <w:tcPr>
            <w:tcW w:w="200" w:type="dxa"/>
            <w:vAlign w:val="bottom"/>
          </w:tcPr>
          <w:p>
            <w:pPr>
              <w:spacing w:after="0"/>
              <w:rPr>
                <w:sz w:val="17"/>
                <w:szCs w:val="17"/>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22,531,305</w:t>
            </w:r>
          </w:p>
        </w:tc>
        <w:tc>
          <w:tcPr>
            <w:tcW w:w="2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r>
      <w:tr>
        <w:trPr>
          <w:trHeight w:val="20"/>
        </w:trPr>
        <w:tc>
          <w:tcPr>
            <w:tcW w:w="82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5" w:lineRule="exact"/>
        <w:rPr>
          <w:sz w:val="20"/>
          <w:szCs w:val="20"/>
          <w:color w:val="auto"/>
        </w:rPr>
      </w:pPr>
    </w:p>
    <w:p>
      <w:pPr>
        <w:ind w:left="320"/>
        <w:spacing w:after="0"/>
        <w:rPr>
          <w:sz w:val="20"/>
          <w:szCs w:val="20"/>
          <w:color w:val="auto"/>
        </w:rPr>
      </w:pPr>
      <w:r>
        <w:rPr>
          <w:rFonts w:ascii="Arial" w:cs="Arial" w:eastAsia="Arial" w:hAnsi="Arial"/>
          <w:sz w:val="17"/>
          <w:szCs w:val="17"/>
          <w:color w:val="auto"/>
        </w:rPr>
        <w:t>As of December 31, 2017 and 2016, Management considers the Group’s deposits and obligations are diversified with no significant concentrations.</w:t>
      </w:r>
    </w:p>
    <w:p>
      <w:pPr>
        <w:spacing w:after="0" w:line="220" w:lineRule="exact"/>
        <w:rPr>
          <w:sz w:val="20"/>
          <w:szCs w:val="20"/>
          <w:color w:val="auto"/>
        </w:rPr>
      </w:pPr>
    </w:p>
    <w:p>
      <w:pPr>
        <w:jc w:val="both"/>
        <w:ind w:left="320" w:right="100"/>
        <w:spacing w:after="0" w:line="270" w:lineRule="auto"/>
        <w:rPr>
          <w:sz w:val="20"/>
          <w:szCs w:val="20"/>
          <w:color w:val="auto"/>
        </w:rPr>
      </w:pPr>
      <w:r>
        <w:rPr>
          <w:rFonts w:ascii="Arial" w:cs="Arial" w:eastAsia="Arial" w:hAnsi="Arial"/>
          <w:sz w:val="17"/>
          <w:szCs w:val="17"/>
          <w:color w:val="auto"/>
        </w:rPr>
        <w:t>At December 31, 2017 and 2016, of the total balance of deposits and obligations in Peru, approximately S/30,064.8 million and S/28,239.3 million are secured by the Peruvian “Fondo de Seguro de Depósitos” (Deposit Insurance Fund). At said dates, maximum coverage recognized by “Fondo de Seguro de Depósitos” totaled S/97,529 and S/97,644, respectively.</w:t>
      </w:r>
    </w:p>
    <w:p>
      <w:pPr>
        <w:spacing w:after="0" w:line="166" w:lineRule="exact"/>
        <w:rPr>
          <w:sz w:val="20"/>
          <w:szCs w:val="20"/>
          <w:color w:val="auto"/>
        </w:rPr>
      </w:pPr>
    </w:p>
    <w:p>
      <w:pPr>
        <w:spacing w:after="0"/>
        <w:tabs>
          <w:tab w:leader="none" w:pos="300" w:val="left"/>
        </w:tabs>
        <w:rPr>
          <w:sz w:val="20"/>
          <w:szCs w:val="20"/>
          <w:color w:val="auto"/>
        </w:rPr>
      </w:pPr>
      <w:r>
        <w:rPr>
          <w:rFonts w:ascii="Arial" w:cs="Arial" w:eastAsia="Arial" w:hAnsi="Arial"/>
          <w:sz w:val="17"/>
          <w:szCs w:val="17"/>
          <w:b w:val="1"/>
          <w:bCs w:val="1"/>
          <w:color w:val="auto"/>
        </w:rPr>
        <w:t>14</w:t>
      </w:r>
      <w:r>
        <w:rPr>
          <w:sz w:val="20"/>
          <w:szCs w:val="20"/>
          <w:color w:val="auto"/>
        </w:rPr>
        <w:tab/>
      </w:r>
      <w:r>
        <w:rPr>
          <w:rFonts w:ascii="Arial" w:cs="Arial" w:eastAsia="Arial" w:hAnsi="Arial"/>
          <w:sz w:val="16"/>
          <w:szCs w:val="16"/>
          <w:b w:val="1"/>
          <w:bCs w:val="1"/>
          <w:color w:val="auto"/>
        </w:rPr>
        <w:t>DUE TO BANKS AND CORRESPONDENTS</w:t>
      </w:r>
    </w:p>
    <w:p>
      <w:pPr>
        <w:spacing w:after="0" w:line="226" w:lineRule="exact"/>
        <w:rPr>
          <w:sz w:val="20"/>
          <w:szCs w:val="20"/>
          <w:color w:val="auto"/>
        </w:rPr>
      </w:pPr>
    </w:p>
    <w:p>
      <w:pPr>
        <w:ind w:left="320" w:hanging="316"/>
        <w:spacing w:after="0"/>
        <w:tabs>
          <w:tab w:leader="none" w:pos="320" w:val="left"/>
        </w:tabs>
        <w:numPr>
          <w:ilvl w:val="0"/>
          <w:numId w:val="96"/>
        </w:numPr>
        <w:rPr>
          <w:rFonts w:ascii="Arial" w:cs="Arial" w:eastAsia="Arial" w:hAnsi="Arial"/>
          <w:sz w:val="17"/>
          <w:szCs w:val="17"/>
          <w:color w:val="auto"/>
        </w:rPr>
      </w:pPr>
      <w:r>
        <w:rPr>
          <w:rFonts w:ascii="Arial" w:cs="Arial" w:eastAsia="Arial" w:hAnsi="Arial"/>
          <w:sz w:val="17"/>
          <w:szCs w:val="17"/>
          <w:color w:val="auto"/>
        </w:rPr>
        <w:t>This item consists of the following:</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320" w:type="dxa"/>
            <w:vAlign w:val="bottom"/>
          </w:tcPr>
          <w:p>
            <w:pPr>
              <w:spacing w:after="0"/>
              <w:rPr>
                <w:sz w:val="19"/>
                <w:szCs w:val="19"/>
                <w:color w:val="auto"/>
              </w:rPr>
            </w:pPr>
          </w:p>
        </w:tc>
        <w:tc>
          <w:tcPr>
            <w:tcW w:w="3760" w:type="dxa"/>
            <w:vAlign w:val="bottom"/>
          </w:tcPr>
          <w:p>
            <w:pPr>
              <w:spacing w:after="0"/>
              <w:rPr>
                <w:sz w:val="19"/>
                <w:szCs w:val="19"/>
                <w:color w:val="auto"/>
              </w:rPr>
            </w:pPr>
          </w:p>
        </w:tc>
        <w:tc>
          <w:tcPr>
            <w:tcW w:w="5680" w:type="dxa"/>
            <w:vAlign w:val="bottom"/>
            <w:gridSpan w:val="2"/>
          </w:tcPr>
          <w:p>
            <w:pPr>
              <w:jc w:val="right"/>
              <w:ind w:right="353"/>
              <w:spacing w:after="0"/>
              <w:rPr>
                <w:sz w:val="20"/>
                <w:szCs w:val="20"/>
                <w:color w:val="auto"/>
              </w:rPr>
            </w:pPr>
            <w:r>
              <w:rPr>
                <w:rFonts w:ascii="Arial" w:cs="Arial" w:eastAsia="Arial" w:hAnsi="Arial"/>
                <w:sz w:val="17"/>
                <w:szCs w:val="17"/>
                <w:b w:val="1"/>
                <w:bCs w:val="1"/>
                <w:color w:val="auto"/>
              </w:rPr>
              <w:t>2017</w:t>
            </w:r>
          </w:p>
        </w:tc>
        <w:tc>
          <w:tcPr>
            <w:tcW w:w="200" w:type="dxa"/>
            <w:vAlign w:val="bottom"/>
          </w:tcPr>
          <w:p>
            <w:pPr>
              <w:spacing w:after="0"/>
              <w:rPr>
                <w:sz w:val="19"/>
                <w:szCs w:val="19"/>
                <w:color w:val="auto"/>
              </w:rPr>
            </w:pPr>
          </w:p>
        </w:tc>
        <w:tc>
          <w:tcPr>
            <w:tcW w:w="1200" w:type="dxa"/>
            <w:vAlign w:val="bottom"/>
          </w:tcPr>
          <w:p>
            <w:pPr>
              <w:jc w:val="right"/>
              <w:ind w:right="333"/>
              <w:spacing w:after="0"/>
              <w:rPr>
                <w:sz w:val="20"/>
                <w:szCs w:val="20"/>
                <w:color w:val="auto"/>
              </w:rPr>
            </w:pPr>
            <w:r>
              <w:rPr>
                <w:rFonts w:ascii="Arial" w:cs="Arial" w:eastAsia="Arial" w:hAnsi="Arial"/>
                <w:sz w:val="17"/>
                <w:szCs w:val="17"/>
                <w:b w:val="1"/>
                <w:bCs w:val="1"/>
                <w:color w:val="auto"/>
              </w:rPr>
              <w:t>2016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20" w:type="dxa"/>
            <w:vAlign w:val="bottom"/>
          </w:tcPr>
          <w:p>
            <w:pPr>
              <w:spacing w:after="0"/>
              <w:rPr>
                <w:sz w:val="19"/>
                <w:szCs w:val="19"/>
                <w:color w:val="auto"/>
              </w:rPr>
            </w:pPr>
          </w:p>
        </w:tc>
        <w:tc>
          <w:tcPr>
            <w:tcW w:w="3760" w:type="dxa"/>
            <w:vAlign w:val="bottom"/>
          </w:tcPr>
          <w:p>
            <w:pPr>
              <w:spacing w:after="0"/>
              <w:rPr>
                <w:sz w:val="19"/>
                <w:szCs w:val="19"/>
                <w:color w:val="auto"/>
              </w:rPr>
            </w:pPr>
          </w:p>
        </w:tc>
        <w:tc>
          <w:tcPr>
            <w:tcW w:w="4460" w:type="dxa"/>
            <w:vAlign w:val="bottom"/>
          </w:tcPr>
          <w:p>
            <w:pPr>
              <w:spacing w:after="0"/>
              <w:rPr>
                <w:sz w:val="19"/>
                <w:szCs w:val="19"/>
                <w:color w:val="auto"/>
              </w:rPr>
            </w:pPr>
          </w:p>
        </w:tc>
        <w:tc>
          <w:tcPr>
            <w:tcW w:w="1220" w:type="dxa"/>
            <w:vAlign w:val="bottom"/>
            <w:tcBorders>
              <w:top w:val="single" w:sz="8" w:color="auto"/>
            </w:tcBorders>
          </w:tcPr>
          <w:p>
            <w:pPr>
              <w:jc w:val="center"/>
              <w:spacing w:after="0"/>
              <w:rPr>
                <w:sz w:val="20"/>
                <w:szCs w:val="20"/>
                <w:color w:val="auto"/>
              </w:rPr>
            </w:pPr>
            <w:r>
              <w:rPr>
                <w:rFonts w:ascii="Arial" w:cs="Arial" w:eastAsia="Arial" w:hAnsi="Arial"/>
                <w:sz w:val="17"/>
                <w:szCs w:val="17"/>
                <w:b w:val="1"/>
                <w:bCs w:val="1"/>
                <w:color w:val="auto"/>
                <w:w w:val="93"/>
              </w:rPr>
              <w:t>S/(000)</w:t>
            </w:r>
          </w:p>
        </w:tc>
        <w:tc>
          <w:tcPr>
            <w:tcW w:w="200" w:type="dxa"/>
            <w:vAlign w:val="bottom"/>
          </w:tcPr>
          <w:p>
            <w:pPr>
              <w:spacing w:after="0"/>
              <w:rPr>
                <w:sz w:val="19"/>
                <w:szCs w:val="19"/>
                <w:color w:val="auto"/>
              </w:rPr>
            </w:pPr>
          </w:p>
        </w:tc>
        <w:tc>
          <w:tcPr>
            <w:tcW w:w="1200" w:type="dxa"/>
            <w:vAlign w:val="bottom"/>
            <w:tcBorders>
              <w:top w:val="single" w:sz="8" w:color="auto"/>
            </w:tcBorders>
          </w:tcPr>
          <w:p>
            <w:pPr>
              <w:jc w:val="center"/>
              <w:spacing w:after="0"/>
              <w:rPr>
                <w:sz w:val="20"/>
                <w:szCs w:val="20"/>
                <w:color w:val="auto"/>
              </w:rPr>
            </w:pPr>
            <w:r>
              <w:rPr>
                <w:rFonts w:ascii="Arial" w:cs="Arial" w:eastAsia="Arial" w:hAnsi="Arial"/>
                <w:sz w:val="17"/>
                <w:szCs w:val="17"/>
                <w:b w:val="1"/>
                <w:bCs w:val="1"/>
                <w:color w:val="auto"/>
                <w:w w:val="93"/>
              </w:rPr>
              <w:t>S/(000)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320" w:type="dxa"/>
            <w:vAlign w:val="bottom"/>
          </w:tcPr>
          <w:p>
            <w:pPr>
              <w:spacing w:after="0"/>
              <w:rPr>
                <w:sz w:val="16"/>
                <w:szCs w:val="16"/>
                <w:color w:val="auto"/>
              </w:rPr>
            </w:pPr>
          </w:p>
        </w:tc>
        <w:tc>
          <w:tcPr>
            <w:tcW w:w="3760" w:type="dxa"/>
            <w:vAlign w:val="bottom"/>
          </w:tcPr>
          <w:p>
            <w:pPr>
              <w:spacing w:after="0"/>
              <w:rPr>
                <w:sz w:val="16"/>
                <w:szCs w:val="16"/>
                <w:color w:val="auto"/>
              </w:rPr>
            </w:pPr>
          </w:p>
        </w:tc>
        <w:tc>
          <w:tcPr>
            <w:tcW w:w="44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320" w:type="dxa"/>
            <w:vAlign w:val="bottom"/>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7"/>
                <w:szCs w:val="17"/>
                <w:color w:val="auto"/>
              </w:rPr>
              <w:t>International funds and others (b)</w:t>
            </w:r>
          </w:p>
        </w:tc>
        <w:tc>
          <w:tcPr>
            <w:tcW w:w="56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5,264,545</w:t>
            </w: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5,253,826</w:t>
            </w:r>
          </w:p>
        </w:tc>
        <w:tc>
          <w:tcPr>
            <w:tcW w:w="100" w:type="dxa"/>
            <w:vAlign w:val="bottom"/>
            <w:shd w:val="clear" w:color="auto" w:fill="CCEEFF"/>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2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Arial" w:cs="Arial" w:eastAsia="Arial" w:hAnsi="Arial"/>
                <w:sz w:val="17"/>
                <w:szCs w:val="17"/>
                <w:color w:val="auto"/>
              </w:rPr>
              <w:t>Promotional credit lines (c)</w:t>
            </w:r>
          </w:p>
        </w:tc>
        <w:tc>
          <w:tcPr>
            <w:tcW w:w="5680" w:type="dxa"/>
            <w:vAlign w:val="bottom"/>
            <w:gridSpan w:val="2"/>
          </w:tcPr>
          <w:p>
            <w:pPr>
              <w:jc w:val="right"/>
              <w:spacing w:after="0"/>
              <w:rPr>
                <w:sz w:val="20"/>
                <w:szCs w:val="20"/>
                <w:color w:val="auto"/>
              </w:rPr>
            </w:pPr>
            <w:r>
              <w:rPr>
                <w:rFonts w:ascii="Arial" w:cs="Arial" w:eastAsia="Arial" w:hAnsi="Arial"/>
                <w:sz w:val="17"/>
                <w:szCs w:val="17"/>
                <w:color w:val="auto"/>
              </w:rPr>
              <w:t>2,029,989</w:t>
            </w: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1,793,205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320" w:type="dxa"/>
            <w:vAlign w:val="bottom"/>
          </w:tcPr>
          <w:p>
            <w:pPr>
              <w:spacing w:after="0"/>
              <w:rPr>
                <w:sz w:val="19"/>
                <w:szCs w:val="19"/>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7"/>
                <w:szCs w:val="17"/>
                <w:color w:val="auto"/>
              </w:rPr>
              <w:t>Inter-bank funds</w:t>
            </w:r>
          </w:p>
        </w:tc>
        <w:tc>
          <w:tcPr>
            <w:tcW w:w="5880" w:type="dxa"/>
            <w:vAlign w:val="bottom"/>
            <w:gridSpan w:val="3"/>
            <w:shd w:val="clear" w:color="auto" w:fill="CCEEFF"/>
          </w:tcPr>
          <w:p>
            <w:pPr>
              <w:jc w:val="right"/>
              <w:ind w:right="200"/>
              <w:spacing w:after="0"/>
              <w:rPr>
                <w:sz w:val="20"/>
                <w:szCs w:val="20"/>
                <w:color w:val="auto"/>
              </w:rPr>
            </w:pPr>
            <w:r>
              <w:rPr>
                <w:rFonts w:ascii="Arial" w:cs="Arial" w:eastAsia="Arial" w:hAnsi="Arial"/>
                <w:sz w:val="17"/>
                <w:szCs w:val="17"/>
                <w:color w:val="auto"/>
              </w:rPr>
              <w:t>659,737</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408,153</w:t>
            </w:r>
          </w:p>
        </w:tc>
        <w:tc>
          <w:tcPr>
            <w:tcW w:w="100" w:type="dxa"/>
            <w:vAlign w:val="bottom"/>
            <w:shd w:val="clear" w:color="auto" w:fill="CCEEFF"/>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1"/>
        </w:trPr>
        <w:tc>
          <w:tcPr>
            <w:tcW w:w="320" w:type="dxa"/>
            <w:vAlign w:val="bottom"/>
          </w:tcPr>
          <w:p>
            <w:pPr>
              <w:spacing w:after="0"/>
              <w:rPr>
                <w:sz w:val="17"/>
                <w:szCs w:val="17"/>
                <w:color w:val="auto"/>
              </w:rPr>
            </w:pPr>
          </w:p>
        </w:tc>
        <w:tc>
          <w:tcPr>
            <w:tcW w:w="3760" w:type="dxa"/>
            <w:vAlign w:val="bottom"/>
          </w:tcPr>
          <w:p>
            <w:pPr>
              <w:spacing w:after="0"/>
              <w:rPr>
                <w:sz w:val="17"/>
                <w:szCs w:val="17"/>
                <w:color w:val="auto"/>
              </w:rPr>
            </w:pPr>
          </w:p>
        </w:tc>
        <w:tc>
          <w:tcPr>
            <w:tcW w:w="4460" w:type="dxa"/>
            <w:vAlign w:val="bottom"/>
          </w:tcPr>
          <w:p>
            <w:pPr>
              <w:spacing w:after="0"/>
              <w:rPr>
                <w:sz w:val="17"/>
                <w:szCs w:val="17"/>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7,954,271</w:t>
            </w:r>
          </w:p>
        </w:tc>
        <w:tc>
          <w:tcPr>
            <w:tcW w:w="200" w:type="dxa"/>
            <w:vAlign w:val="bottom"/>
          </w:tcPr>
          <w:p>
            <w:pPr>
              <w:spacing w:after="0"/>
              <w:rPr>
                <w:sz w:val="17"/>
                <w:szCs w:val="17"/>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7,455,184</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320" w:type="dxa"/>
            <w:vAlign w:val="bottom"/>
          </w:tcPr>
          <w:p>
            <w:pPr>
              <w:spacing w:after="0"/>
              <w:rPr>
                <w:sz w:val="19"/>
                <w:szCs w:val="19"/>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7"/>
                <w:szCs w:val="17"/>
                <w:color w:val="auto"/>
              </w:rPr>
              <w:t>Interest payable</w:t>
            </w:r>
          </w:p>
        </w:tc>
        <w:tc>
          <w:tcPr>
            <w:tcW w:w="446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42,618</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38,732</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32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Arial" w:cs="Arial" w:eastAsia="Arial" w:hAnsi="Arial"/>
                <w:sz w:val="17"/>
                <w:szCs w:val="17"/>
                <w:b w:val="1"/>
                <w:bCs w:val="1"/>
                <w:color w:val="auto"/>
              </w:rPr>
              <w:t>Total</w:t>
            </w:r>
          </w:p>
        </w:tc>
        <w:tc>
          <w:tcPr>
            <w:tcW w:w="4460" w:type="dxa"/>
            <w:vAlign w:val="bottom"/>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7,996,889</w:t>
            </w:r>
          </w:p>
        </w:tc>
        <w:tc>
          <w:tcPr>
            <w:tcW w:w="200" w:type="dxa"/>
            <w:vAlign w:val="bottom"/>
          </w:tcPr>
          <w:p>
            <w:pPr>
              <w:spacing w:after="0"/>
              <w:rPr>
                <w:sz w:val="18"/>
                <w:szCs w:val="18"/>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7,493,916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4460" w:type="dxa"/>
            <w:vAlign w:val="bottom"/>
            <w:vMerge w:val="restart"/>
          </w:tcPr>
          <w:p>
            <w:pPr>
              <w:jc w:val="right"/>
              <w:ind w:right="2553"/>
              <w:spacing w:after="0"/>
              <w:rPr>
                <w:sz w:val="20"/>
                <w:szCs w:val="20"/>
                <w:color w:val="auto"/>
              </w:rPr>
            </w:pPr>
            <w:r>
              <w:rPr>
                <w:rFonts w:ascii="Arial" w:cs="Arial" w:eastAsia="Arial" w:hAnsi="Arial"/>
                <w:sz w:val="17"/>
                <w:szCs w:val="17"/>
                <w:color w:val="auto"/>
              </w:rPr>
              <w:t>- 77 -</w:t>
            </w:r>
          </w:p>
        </w:tc>
        <w:tc>
          <w:tcPr>
            <w:tcW w:w="12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3"/>
        </w:trPr>
        <w:tc>
          <w:tcPr>
            <w:tcW w:w="320" w:type="dxa"/>
            <w:vAlign w:val="bottom"/>
            <w:tcBorders>
              <w:bottom w:val="single" w:sz="8" w:color="auto"/>
            </w:tcBorders>
          </w:tcPr>
          <w:p>
            <w:pPr>
              <w:spacing w:after="0"/>
              <w:rPr>
                <w:sz w:val="24"/>
                <w:szCs w:val="24"/>
                <w:color w:val="auto"/>
              </w:rPr>
            </w:pPr>
          </w:p>
        </w:tc>
        <w:tc>
          <w:tcPr>
            <w:tcW w:w="3760" w:type="dxa"/>
            <w:vAlign w:val="bottom"/>
            <w:tcBorders>
              <w:bottom w:val="single" w:sz="8" w:color="auto"/>
            </w:tcBorders>
          </w:tcPr>
          <w:p>
            <w:pPr>
              <w:spacing w:after="0"/>
              <w:rPr>
                <w:sz w:val="24"/>
                <w:szCs w:val="24"/>
                <w:color w:val="auto"/>
              </w:rPr>
            </w:pPr>
          </w:p>
        </w:tc>
        <w:tc>
          <w:tcPr>
            <w:tcW w:w="4460" w:type="dxa"/>
            <w:vAlign w:val="bottom"/>
            <w:tcBorders>
              <w:bottom w:val="single" w:sz="8" w:color="auto"/>
            </w:tcBorders>
            <w:vMerge w:val="continue"/>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81" w:right="239" w:bottom="1440" w:gutter="0" w:footer="0" w:header="0"/>
        </w:sectPr>
      </w:pPr>
    </w:p>
    <w:bookmarkStart w:id="83" w:name="page84"/>
    <w:bookmarkEnd w:id="8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8540" w:type="dxa"/>
            <w:vAlign w:val="bottom"/>
            <w:gridSpan w:val="2"/>
          </w:tcPr>
          <w:p>
            <w:pPr>
              <w:spacing w:after="0"/>
              <w:rPr>
                <w:sz w:val="20"/>
                <w:szCs w:val="20"/>
                <w:color w:val="auto"/>
              </w:rPr>
            </w:pPr>
            <w:r>
              <w:rPr>
                <w:rFonts w:ascii="Arial" w:cs="Arial" w:eastAsia="Arial" w:hAnsi="Arial"/>
                <w:sz w:val="17"/>
                <w:szCs w:val="17"/>
                <w:color w:val="auto"/>
              </w:rPr>
              <w:t>b)  This item consists of the following:</w:t>
            </w:r>
          </w:p>
        </w:tc>
        <w:tc>
          <w:tcPr>
            <w:tcW w:w="1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429"/>
        </w:trPr>
        <w:tc>
          <w:tcPr>
            <w:tcW w:w="320" w:type="dxa"/>
            <w:vAlign w:val="bottom"/>
          </w:tcPr>
          <w:p>
            <w:pPr>
              <w:spacing w:after="0"/>
              <w:rPr>
                <w:sz w:val="24"/>
                <w:szCs w:val="24"/>
                <w:color w:val="auto"/>
              </w:rPr>
            </w:pPr>
          </w:p>
        </w:tc>
        <w:tc>
          <w:tcPr>
            <w:tcW w:w="8220" w:type="dxa"/>
            <w:vAlign w:val="bottom"/>
          </w:tcPr>
          <w:p>
            <w:pPr>
              <w:spacing w:after="0"/>
              <w:rPr>
                <w:sz w:val="24"/>
                <w:szCs w:val="24"/>
                <w:color w:val="auto"/>
              </w:rPr>
            </w:pPr>
          </w:p>
        </w:tc>
        <w:tc>
          <w:tcPr>
            <w:tcW w:w="1220" w:type="dxa"/>
            <w:vAlign w:val="bottom"/>
            <w:tcBorders>
              <w:bottom w:val="single" w:sz="8" w:color="auto"/>
            </w:tcBorders>
          </w:tcPr>
          <w:p>
            <w:pPr>
              <w:jc w:val="right"/>
              <w:ind w:right="353"/>
              <w:spacing w:after="0"/>
              <w:rPr>
                <w:sz w:val="20"/>
                <w:szCs w:val="20"/>
                <w:color w:val="auto"/>
              </w:rPr>
            </w:pPr>
            <w:r>
              <w:rPr>
                <w:rFonts w:ascii="Arial" w:cs="Arial" w:eastAsia="Arial" w:hAnsi="Arial"/>
                <w:sz w:val="17"/>
                <w:szCs w:val="17"/>
                <w:b w:val="1"/>
                <w:bCs w:val="1"/>
                <w:color w:val="auto"/>
              </w:rPr>
              <w:t>2017</w:t>
            </w:r>
          </w:p>
        </w:tc>
        <w:tc>
          <w:tcPr>
            <w:tcW w:w="200" w:type="dxa"/>
            <w:vAlign w:val="bottom"/>
          </w:tcPr>
          <w:p>
            <w:pPr>
              <w:spacing w:after="0"/>
              <w:rPr>
                <w:sz w:val="24"/>
                <w:szCs w:val="24"/>
                <w:color w:val="auto"/>
              </w:rPr>
            </w:pPr>
          </w:p>
        </w:tc>
        <w:tc>
          <w:tcPr>
            <w:tcW w:w="1200" w:type="dxa"/>
            <w:vAlign w:val="bottom"/>
            <w:tcBorders>
              <w:bottom w:val="single" w:sz="8" w:color="auto"/>
            </w:tcBorders>
          </w:tcPr>
          <w:p>
            <w:pPr>
              <w:jc w:val="right"/>
              <w:ind w:right="333"/>
              <w:spacing w:after="0"/>
              <w:rPr>
                <w:sz w:val="20"/>
                <w:szCs w:val="20"/>
                <w:color w:val="auto"/>
              </w:rPr>
            </w:pPr>
            <w:r>
              <w:rPr>
                <w:rFonts w:ascii="Arial" w:cs="Arial" w:eastAsia="Arial" w:hAnsi="Arial"/>
                <w:sz w:val="17"/>
                <w:szCs w:val="17"/>
                <w:b w:val="1"/>
                <w:bCs w:val="1"/>
                <w:color w:val="auto"/>
              </w:rPr>
              <w:t>2016</w:t>
            </w:r>
          </w:p>
        </w:tc>
        <w:tc>
          <w:tcPr>
            <w:tcW w:w="100" w:type="dxa"/>
            <w:vAlign w:val="bottom"/>
          </w:tcPr>
          <w:p>
            <w:pPr>
              <w:spacing w:after="0"/>
              <w:rPr>
                <w:sz w:val="24"/>
                <w:szCs w:val="24"/>
                <w:color w:val="auto"/>
              </w:rPr>
            </w:pPr>
          </w:p>
        </w:tc>
      </w:tr>
      <w:tr>
        <w:trPr>
          <w:trHeight w:val="219"/>
        </w:trPr>
        <w:tc>
          <w:tcPr>
            <w:tcW w:w="320" w:type="dxa"/>
            <w:vAlign w:val="bottom"/>
          </w:tcPr>
          <w:p>
            <w:pPr>
              <w:spacing w:after="0"/>
              <w:rPr>
                <w:sz w:val="19"/>
                <w:szCs w:val="19"/>
                <w:color w:val="auto"/>
              </w:rPr>
            </w:pPr>
          </w:p>
        </w:tc>
        <w:tc>
          <w:tcPr>
            <w:tcW w:w="8220" w:type="dxa"/>
            <w:vAlign w:val="bottom"/>
          </w:tcPr>
          <w:p>
            <w:pPr>
              <w:spacing w:after="0"/>
              <w:rPr>
                <w:sz w:val="19"/>
                <w:szCs w:val="19"/>
                <w:color w:val="auto"/>
              </w:rPr>
            </w:pPr>
          </w:p>
        </w:tc>
        <w:tc>
          <w:tcPr>
            <w:tcW w:w="1220" w:type="dxa"/>
            <w:vAlign w:val="bottom"/>
          </w:tcPr>
          <w:p>
            <w:pPr>
              <w:jc w:val="center"/>
              <w:spacing w:after="0"/>
              <w:rPr>
                <w:sz w:val="20"/>
                <w:szCs w:val="20"/>
                <w:color w:val="auto"/>
              </w:rPr>
            </w:pPr>
            <w:r>
              <w:rPr>
                <w:rFonts w:ascii="Arial" w:cs="Arial" w:eastAsia="Arial" w:hAnsi="Arial"/>
                <w:sz w:val="17"/>
                <w:szCs w:val="17"/>
                <w:b w:val="1"/>
                <w:bCs w:val="1"/>
                <w:color w:val="auto"/>
                <w:w w:val="93"/>
              </w:rPr>
              <w:t>S/(000)</w:t>
            </w:r>
          </w:p>
        </w:tc>
        <w:tc>
          <w:tcPr>
            <w:tcW w:w="200" w:type="dxa"/>
            <w:vAlign w:val="bottom"/>
          </w:tcPr>
          <w:p>
            <w:pPr>
              <w:spacing w:after="0"/>
              <w:rPr>
                <w:sz w:val="19"/>
                <w:szCs w:val="19"/>
                <w:color w:val="auto"/>
              </w:rPr>
            </w:pPr>
          </w:p>
        </w:tc>
        <w:tc>
          <w:tcPr>
            <w:tcW w:w="1200" w:type="dxa"/>
            <w:vAlign w:val="bottom"/>
          </w:tcPr>
          <w:p>
            <w:pPr>
              <w:jc w:val="center"/>
              <w:spacing w:after="0"/>
              <w:rPr>
                <w:sz w:val="20"/>
                <w:szCs w:val="20"/>
                <w:color w:val="auto"/>
              </w:rPr>
            </w:pPr>
            <w:r>
              <w:rPr>
                <w:rFonts w:ascii="Arial" w:cs="Arial" w:eastAsia="Arial" w:hAnsi="Arial"/>
                <w:sz w:val="17"/>
                <w:szCs w:val="17"/>
                <w:b w:val="1"/>
                <w:bCs w:val="1"/>
                <w:color w:val="auto"/>
                <w:w w:val="93"/>
              </w:rPr>
              <w:t>S/(000)</w:t>
            </w:r>
          </w:p>
        </w:tc>
        <w:tc>
          <w:tcPr>
            <w:tcW w:w="100" w:type="dxa"/>
            <w:vAlign w:val="bottom"/>
          </w:tcPr>
          <w:p>
            <w:pPr>
              <w:spacing w:after="0"/>
              <w:rPr>
                <w:sz w:val="19"/>
                <w:szCs w:val="19"/>
                <w:color w:val="auto"/>
              </w:rPr>
            </w:pPr>
          </w:p>
        </w:tc>
      </w:tr>
      <w:tr>
        <w:trPr>
          <w:trHeight w:val="189"/>
        </w:trPr>
        <w:tc>
          <w:tcPr>
            <w:tcW w:w="320" w:type="dxa"/>
            <w:vAlign w:val="bottom"/>
          </w:tcPr>
          <w:p>
            <w:pPr>
              <w:spacing w:after="0"/>
              <w:rPr>
                <w:sz w:val="16"/>
                <w:szCs w:val="16"/>
                <w:color w:val="auto"/>
              </w:rPr>
            </w:pPr>
          </w:p>
        </w:tc>
        <w:tc>
          <w:tcPr>
            <w:tcW w:w="82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08"/>
        </w:trPr>
        <w:tc>
          <w:tcPr>
            <w:tcW w:w="320" w:type="dxa"/>
            <w:vAlign w:val="bottom"/>
          </w:tcPr>
          <w:p>
            <w:pPr>
              <w:spacing w:after="0"/>
              <w:rPr>
                <w:sz w:val="18"/>
                <w:szCs w:val="18"/>
                <w:color w:val="auto"/>
              </w:rPr>
            </w:pPr>
          </w:p>
        </w:tc>
        <w:tc>
          <w:tcPr>
            <w:tcW w:w="8220" w:type="dxa"/>
            <w:vAlign w:val="bottom"/>
            <w:shd w:val="clear" w:color="auto" w:fill="CCEEFF"/>
          </w:tcPr>
          <w:p>
            <w:pPr>
              <w:spacing w:after="0"/>
              <w:rPr>
                <w:sz w:val="20"/>
                <w:szCs w:val="20"/>
                <w:color w:val="auto"/>
              </w:rPr>
            </w:pPr>
            <w:r>
              <w:rPr>
                <w:rFonts w:ascii="Arial" w:cs="Arial" w:eastAsia="Arial" w:hAnsi="Arial"/>
                <w:sz w:val="17"/>
                <w:szCs w:val="17"/>
                <w:color w:val="auto"/>
              </w:rPr>
              <w:t>Citibank N.A. (i)</w:t>
            </w: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1,166,760</w:t>
            </w: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385,940</w:t>
            </w:r>
          </w:p>
        </w:tc>
        <w:tc>
          <w:tcPr>
            <w:tcW w:w="100" w:type="dxa"/>
            <w:vAlign w:val="bottom"/>
            <w:shd w:val="clear" w:color="auto" w:fill="CCEEFF"/>
          </w:tcPr>
          <w:p>
            <w:pPr>
              <w:spacing w:after="0"/>
              <w:rPr>
                <w:sz w:val="18"/>
                <w:szCs w:val="18"/>
                <w:color w:val="auto"/>
              </w:rPr>
            </w:pPr>
          </w:p>
        </w:tc>
      </w:tr>
      <w:tr>
        <w:trPr>
          <w:trHeight w:val="208"/>
        </w:trPr>
        <w:tc>
          <w:tcPr>
            <w:tcW w:w="320" w:type="dxa"/>
            <w:vAlign w:val="bottom"/>
          </w:tcPr>
          <w:p>
            <w:pPr>
              <w:spacing w:after="0"/>
              <w:rPr>
                <w:sz w:val="18"/>
                <w:szCs w:val="18"/>
                <w:color w:val="auto"/>
              </w:rPr>
            </w:pPr>
          </w:p>
        </w:tc>
        <w:tc>
          <w:tcPr>
            <w:tcW w:w="8220" w:type="dxa"/>
            <w:vAlign w:val="bottom"/>
          </w:tcPr>
          <w:p>
            <w:pPr>
              <w:spacing w:after="0"/>
              <w:rPr>
                <w:sz w:val="20"/>
                <w:szCs w:val="20"/>
                <w:color w:val="auto"/>
              </w:rPr>
            </w:pPr>
            <w:r>
              <w:rPr>
                <w:rFonts w:ascii="Arial" w:cs="Arial" w:eastAsia="Arial" w:hAnsi="Arial"/>
                <w:sz w:val="17"/>
                <w:szCs w:val="17"/>
                <w:color w:val="auto"/>
              </w:rPr>
              <w:t>Wells Fargo Bank (ii)</w:t>
            </w:r>
          </w:p>
        </w:tc>
        <w:tc>
          <w:tcPr>
            <w:tcW w:w="1420" w:type="dxa"/>
            <w:vAlign w:val="bottom"/>
            <w:gridSpan w:val="2"/>
          </w:tcPr>
          <w:p>
            <w:pPr>
              <w:jc w:val="right"/>
              <w:ind w:right="200"/>
              <w:spacing w:after="0"/>
              <w:rPr>
                <w:sz w:val="20"/>
                <w:szCs w:val="20"/>
                <w:color w:val="auto"/>
              </w:rPr>
            </w:pPr>
            <w:r>
              <w:rPr>
                <w:rFonts w:ascii="Arial" w:cs="Arial" w:eastAsia="Arial" w:hAnsi="Arial"/>
                <w:sz w:val="17"/>
                <w:szCs w:val="17"/>
                <w:color w:val="auto"/>
              </w:rPr>
              <w:t>810,250</w:t>
            </w:r>
          </w:p>
        </w:tc>
        <w:tc>
          <w:tcPr>
            <w:tcW w:w="1200" w:type="dxa"/>
            <w:vAlign w:val="bottom"/>
          </w:tcPr>
          <w:p>
            <w:pPr>
              <w:jc w:val="right"/>
              <w:spacing w:after="0"/>
              <w:rPr>
                <w:sz w:val="20"/>
                <w:szCs w:val="20"/>
                <w:color w:val="auto"/>
              </w:rPr>
            </w:pPr>
            <w:r>
              <w:rPr>
                <w:rFonts w:ascii="Arial" w:cs="Arial" w:eastAsia="Arial" w:hAnsi="Arial"/>
                <w:sz w:val="17"/>
                <w:szCs w:val="17"/>
                <w:color w:val="auto"/>
              </w:rPr>
              <w:t>788,660</w:t>
            </w:r>
          </w:p>
        </w:tc>
        <w:tc>
          <w:tcPr>
            <w:tcW w:w="100" w:type="dxa"/>
            <w:vAlign w:val="bottom"/>
          </w:tcPr>
          <w:p>
            <w:pPr>
              <w:spacing w:after="0"/>
              <w:rPr>
                <w:sz w:val="18"/>
                <w:szCs w:val="18"/>
                <w:color w:val="auto"/>
              </w:rPr>
            </w:pPr>
          </w:p>
        </w:tc>
      </w:tr>
      <w:tr>
        <w:trPr>
          <w:trHeight w:val="208"/>
        </w:trPr>
        <w:tc>
          <w:tcPr>
            <w:tcW w:w="320" w:type="dxa"/>
            <w:vAlign w:val="bottom"/>
          </w:tcPr>
          <w:p>
            <w:pPr>
              <w:spacing w:after="0"/>
              <w:rPr>
                <w:sz w:val="18"/>
                <w:szCs w:val="18"/>
                <w:color w:val="auto"/>
              </w:rPr>
            </w:pPr>
          </w:p>
        </w:tc>
        <w:tc>
          <w:tcPr>
            <w:tcW w:w="8220" w:type="dxa"/>
            <w:vAlign w:val="bottom"/>
            <w:shd w:val="clear" w:color="auto" w:fill="CCEEFF"/>
          </w:tcPr>
          <w:p>
            <w:pPr>
              <w:spacing w:after="0"/>
              <w:rPr>
                <w:sz w:val="20"/>
                <w:szCs w:val="20"/>
                <w:color w:val="auto"/>
              </w:rPr>
            </w:pPr>
            <w:r>
              <w:rPr>
                <w:rFonts w:ascii="Arial" w:cs="Arial" w:eastAsia="Arial" w:hAnsi="Arial"/>
                <w:sz w:val="17"/>
                <w:szCs w:val="17"/>
                <w:color w:val="auto"/>
              </w:rPr>
              <w:t>Corporación Financiera de Desarrollo (COFIDE)</w:t>
            </w: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600,871</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456,246</w:t>
            </w:r>
          </w:p>
        </w:tc>
        <w:tc>
          <w:tcPr>
            <w:tcW w:w="100" w:type="dxa"/>
            <w:vAlign w:val="bottom"/>
            <w:shd w:val="clear" w:color="auto" w:fill="CCEEFF"/>
          </w:tcPr>
          <w:p>
            <w:pPr>
              <w:spacing w:after="0"/>
              <w:rPr>
                <w:sz w:val="18"/>
                <w:szCs w:val="18"/>
                <w:color w:val="auto"/>
              </w:rPr>
            </w:pPr>
          </w:p>
        </w:tc>
      </w:tr>
      <w:tr>
        <w:trPr>
          <w:trHeight w:val="208"/>
        </w:trPr>
        <w:tc>
          <w:tcPr>
            <w:tcW w:w="320" w:type="dxa"/>
            <w:vAlign w:val="bottom"/>
          </w:tcPr>
          <w:p>
            <w:pPr>
              <w:spacing w:after="0"/>
              <w:rPr>
                <w:sz w:val="18"/>
                <w:szCs w:val="18"/>
                <w:color w:val="auto"/>
              </w:rPr>
            </w:pPr>
          </w:p>
        </w:tc>
        <w:tc>
          <w:tcPr>
            <w:tcW w:w="8220" w:type="dxa"/>
            <w:vAlign w:val="bottom"/>
          </w:tcPr>
          <w:p>
            <w:pPr>
              <w:spacing w:after="0"/>
              <w:rPr>
                <w:sz w:val="20"/>
                <w:szCs w:val="20"/>
                <w:color w:val="auto"/>
              </w:rPr>
            </w:pPr>
            <w:r>
              <w:rPr>
                <w:rFonts w:ascii="Arial" w:cs="Arial" w:eastAsia="Arial" w:hAnsi="Arial"/>
                <w:sz w:val="17"/>
                <w:szCs w:val="17"/>
                <w:color w:val="auto"/>
              </w:rPr>
              <w:t>Comunidad Andina de Fomento – (CAF) (iii)</w:t>
            </w:r>
          </w:p>
        </w:tc>
        <w:tc>
          <w:tcPr>
            <w:tcW w:w="1420" w:type="dxa"/>
            <w:vAlign w:val="bottom"/>
            <w:gridSpan w:val="2"/>
          </w:tcPr>
          <w:p>
            <w:pPr>
              <w:jc w:val="right"/>
              <w:ind w:right="200"/>
              <w:spacing w:after="0"/>
              <w:rPr>
                <w:sz w:val="20"/>
                <w:szCs w:val="20"/>
                <w:color w:val="auto"/>
              </w:rPr>
            </w:pPr>
            <w:r>
              <w:rPr>
                <w:rFonts w:ascii="Arial" w:cs="Arial" w:eastAsia="Arial" w:hAnsi="Arial"/>
                <w:sz w:val="17"/>
                <w:szCs w:val="17"/>
                <w:color w:val="auto"/>
              </w:rPr>
              <w:t>324,100</w:t>
            </w:r>
          </w:p>
        </w:tc>
        <w:tc>
          <w:tcPr>
            <w:tcW w:w="1200" w:type="dxa"/>
            <w:vAlign w:val="bottom"/>
          </w:tcPr>
          <w:p>
            <w:pPr>
              <w:jc w:val="right"/>
              <w:spacing w:after="0"/>
              <w:rPr>
                <w:sz w:val="20"/>
                <w:szCs w:val="20"/>
                <w:color w:val="auto"/>
              </w:rPr>
            </w:pPr>
            <w:r>
              <w:rPr>
                <w:rFonts w:ascii="Arial" w:cs="Arial" w:eastAsia="Arial" w:hAnsi="Arial"/>
                <w:sz w:val="17"/>
                <w:szCs w:val="17"/>
                <w:color w:val="auto"/>
              </w:rPr>
              <w:t>247,013</w:t>
            </w:r>
          </w:p>
        </w:tc>
        <w:tc>
          <w:tcPr>
            <w:tcW w:w="100" w:type="dxa"/>
            <w:vAlign w:val="bottom"/>
          </w:tcPr>
          <w:p>
            <w:pPr>
              <w:spacing w:after="0"/>
              <w:rPr>
                <w:sz w:val="18"/>
                <w:szCs w:val="18"/>
                <w:color w:val="auto"/>
              </w:rPr>
            </w:pPr>
          </w:p>
        </w:tc>
      </w:tr>
      <w:tr>
        <w:trPr>
          <w:trHeight w:val="208"/>
        </w:trPr>
        <w:tc>
          <w:tcPr>
            <w:tcW w:w="320" w:type="dxa"/>
            <w:vAlign w:val="bottom"/>
          </w:tcPr>
          <w:p>
            <w:pPr>
              <w:spacing w:after="0"/>
              <w:rPr>
                <w:sz w:val="18"/>
                <w:szCs w:val="18"/>
                <w:color w:val="auto"/>
              </w:rPr>
            </w:pPr>
          </w:p>
        </w:tc>
        <w:tc>
          <w:tcPr>
            <w:tcW w:w="8220" w:type="dxa"/>
            <w:vAlign w:val="bottom"/>
            <w:shd w:val="clear" w:color="auto" w:fill="CCEEFF"/>
          </w:tcPr>
          <w:p>
            <w:pPr>
              <w:spacing w:after="0"/>
              <w:rPr>
                <w:sz w:val="20"/>
                <w:szCs w:val="20"/>
                <w:color w:val="auto"/>
              </w:rPr>
            </w:pPr>
            <w:r>
              <w:rPr>
                <w:rFonts w:ascii="Arial" w:cs="Arial" w:eastAsia="Arial" w:hAnsi="Arial"/>
                <w:sz w:val="17"/>
                <w:szCs w:val="17"/>
                <w:color w:val="auto"/>
              </w:rPr>
              <w:t>Bank of America (iv)</w:t>
            </w: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324,088</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335,426</w:t>
            </w:r>
          </w:p>
        </w:tc>
        <w:tc>
          <w:tcPr>
            <w:tcW w:w="100" w:type="dxa"/>
            <w:vAlign w:val="bottom"/>
            <w:shd w:val="clear" w:color="auto" w:fill="CCEEFF"/>
          </w:tcPr>
          <w:p>
            <w:pPr>
              <w:spacing w:after="0"/>
              <w:rPr>
                <w:sz w:val="18"/>
                <w:szCs w:val="18"/>
                <w:color w:val="auto"/>
              </w:rPr>
            </w:pPr>
          </w:p>
        </w:tc>
      </w:tr>
      <w:tr>
        <w:trPr>
          <w:trHeight w:val="208"/>
        </w:trPr>
        <w:tc>
          <w:tcPr>
            <w:tcW w:w="320" w:type="dxa"/>
            <w:vAlign w:val="bottom"/>
          </w:tcPr>
          <w:p>
            <w:pPr>
              <w:spacing w:after="0"/>
              <w:rPr>
                <w:sz w:val="18"/>
                <w:szCs w:val="18"/>
                <w:color w:val="auto"/>
              </w:rPr>
            </w:pPr>
          </w:p>
        </w:tc>
        <w:tc>
          <w:tcPr>
            <w:tcW w:w="8220" w:type="dxa"/>
            <w:vAlign w:val="bottom"/>
          </w:tcPr>
          <w:p>
            <w:pPr>
              <w:spacing w:after="0"/>
              <w:rPr>
                <w:sz w:val="20"/>
                <w:szCs w:val="20"/>
                <w:color w:val="auto"/>
              </w:rPr>
            </w:pPr>
            <w:r>
              <w:rPr>
                <w:rFonts w:ascii="Arial" w:cs="Arial" w:eastAsia="Arial" w:hAnsi="Arial"/>
                <w:sz w:val="17"/>
                <w:szCs w:val="17"/>
                <w:color w:val="auto"/>
              </w:rPr>
              <w:t>JP Morgan Chase Bank, National Association (v)</w:t>
            </w:r>
          </w:p>
        </w:tc>
        <w:tc>
          <w:tcPr>
            <w:tcW w:w="1420" w:type="dxa"/>
            <w:vAlign w:val="bottom"/>
            <w:gridSpan w:val="2"/>
          </w:tcPr>
          <w:p>
            <w:pPr>
              <w:jc w:val="right"/>
              <w:ind w:right="200"/>
              <w:spacing w:after="0"/>
              <w:rPr>
                <w:sz w:val="20"/>
                <w:szCs w:val="20"/>
                <w:color w:val="auto"/>
              </w:rPr>
            </w:pPr>
            <w:r>
              <w:rPr>
                <w:rFonts w:ascii="Arial" w:cs="Arial" w:eastAsia="Arial" w:hAnsi="Arial"/>
                <w:sz w:val="17"/>
                <w:szCs w:val="17"/>
                <w:color w:val="auto"/>
              </w:rPr>
              <w:t>324,030</w:t>
            </w:r>
          </w:p>
        </w:tc>
        <w:tc>
          <w:tcPr>
            <w:tcW w:w="1200" w:type="dxa"/>
            <w:vAlign w:val="bottom"/>
          </w:tcPr>
          <w:p>
            <w:pPr>
              <w:jc w:val="right"/>
              <w:spacing w:after="0"/>
              <w:rPr>
                <w:sz w:val="20"/>
                <w:szCs w:val="20"/>
                <w:color w:val="auto"/>
              </w:rPr>
            </w:pPr>
            <w:r>
              <w:rPr>
                <w:rFonts w:ascii="Arial" w:cs="Arial" w:eastAsia="Arial" w:hAnsi="Arial"/>
                <w:sz w:val="17"/>
                <w:szCs w:val="17"/>
                <w:color w:val="auto"/>
              </w:rPr>
              <w:t>335,204</w:t>
            </w:r>
          </w:p>
        </w:tc>
        <w:tc>
          <w:tcPr>
            <w:tcW w:w="100" w:type="dxa"/>
            <w:vAlign w:val="bottom"/>
          </w:tcPr>
          <w:p>
            <w:pPr>
              <w:spacing w:after="0"/>
              <w:rPr>
                <w:sz w:val="18"/>
                <w:szCs w:val="18"/>
                <w:color w:val="auto"/>
              </w:rPr>
            </w:pPr>
          </w:p>
        </w:tc>
      </w:tr>
      <w:tr>
        <w:trPr>
          <w:trHeight w:val="208"/>
        </w:trPr>
        <w:tc>
          <w:tcPr>
            <w:tcW w:w="320" w:type="dxa"/>
            <w:vAlign w:val="bottom"/>
          </w:tcPr>
          <w:p>
            <w:pPr>
              <w:spacing w:after="0"/>
              <w:rPr>
                <w:sz w:val="18"/>
                <w:szCs w:val="18"/>
                <w:color w:val="auto"/>
              </w:rPr>
            </w:pPr>
          </w:p>
        </w:tc>
        <w:tc>
          <w:tcPr>
            <w:tcW w:w="8220" w:type="dxa"/>
            <w:vAlign w:val="bottom"/>
            <w:shd w:val="clear" w:color="auto" w:fill="CCEEFF"/>
          </w:tcPr>
          <w:p>
            <w:pPr>
              <w:spacing w:after="0"/>
              <w:rPr>
                <w:sz w:val="20"/>
                <w:szCs w:val="20"/>
                <w:color w:val="auto"/>
              </w:rPr>
            </w:pPr>
            <w:r>
              <w:rPr>
                <w:rFonts w:ascii="Arial" w:cs="Arial" w:eastAsia="Arial" w:hAnsi="Arial"/>
                <w:sz w:val="17"/>
                <w:szCs w:val="17"/>
                <w:color w:val="auto"/>
              </w:rPr>
              <w:t>Toronto Dominion Bank</w:t>
            </w: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259,280</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r>
      <w:tr>
        <w:trPr>
          <w:trHeight w:val="208"/>
        </w:trPr>
        <w:tc>
          <w:tcPr>
            <w:tcW w:w="320" w:type="dxa"/>
            <w:vAlign w:val="bottom"/>
          </w:tcPr>
          <w:p>
            <w:pPr>
              <w:spacing w:after="0"/>
              <w:rPr>
                <w:sz w:val="18"/>
                <w:szCs w:val="18"/>
                <w:color w:val="auto"/>
              </w:rPr>
            </w:pPr>
          </w:p>
        </w:tc>
        <w:tc>
          <w:tcPr>
            <w:tcW w:w="8220" w:type="dxa"/>
            <w:vAlign w:val="bottom"/>
          </w:tcPr>
          <w:p>
            <w:pPr>
              <w:spacing w:after="0"/>
              <w:rPr>
                <w:sz w:val="20"/>
                <w:szCs w:val="20"/>
                <w:color w:val="auto"/>
              </w:rPr>
            </w:pPr>
            <w:r>
              <w:rPr>
                <w:rFonts w:ascii="Arial" w:cs="Arial" w:eastAsia="Arial" w:hAnsi="Arial"/>
                <w:sz w:val="17"/>
                <w:szCs w:val="17"/>
                <w:color w:val="auto"/>
              </w:rPr>
              <w:t>Standard Chartered Bank</w:t>
            </w:r>
          </w:p>
        </w:tc>
        <w:tc>
          <w:tcPr>
            <w:tcW w:w="1420" w:type="dxa"/>
            <w:vAlign w:val="bottom"/>
            <w:gridSpan w:val="2"/>
          </w:tcPr>
          <w:p>
            <w:pPr>
              <w:jc w:val="right"/>
              <w:ind w:right="200"/>
              <w:spacing w:after="0"/>
              <w:rPr>
                <w:sz w:val="20"/>
                <w:szCs w:val="20"/>
                <w:color w:val="auto"/>
              </w:rPr>
            </w:pPr>
            <w:r>
              <w:rPr>
                <w:rFonts w:ascii="Arial" w:cs="Arial" w:eastAsia="Arial" w:hAnsi="Arial"/>
                <w:sz w:val="17"/>
                <w:szCs w:val="17"/>
                <w:color w:val="auto"/>
              </w:rPr>
              <w:t>194,460</w:t>
            </w:r>
          </w:p>
        </w:tc>
        <w:tc>
          <w:tcPr>
            <w:tcW w:w="120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r>
      <w:tr>
        <w:trPr>
          <w:trHeight w:val="208"/>
        </w:trPr>
        <w:tc>
          <w:tcPr>
            <w:tcW w:w="320" w:type="dxa"/>
            <w:vAlign w:val="bottom"/>
          </w:tcPr>
          <w:p>
            <w:pPr>
              <w:spacing w:after="0"/>
              <w:rPr>
                <w:sz w:val="18"/>
                <w:szCs w:val="18"/>
                <w:color w:val="auto"/>
              </w:rPr>
            </w:pPr>
          </w:p>
        </w:tc>
        <w:tc>
          <w:tcPr>
            <w:tcW w:w="8220" w:type="dxa"/>
            <w:vAlign w:val="bottom"/>
            <w:shd w:val="clear" w:color="auto" w:fill="CCEEFF"/>
          </w:tcPr>
          <w:p>
            <w:pPr>
              <w:spacing w:after="0"/>
              <w:rPr>
                <w:sz w:val="20"/>
                <w:szCs w:val="20"/>
                <w:color w:val="auto"/>
              </w:rPr>
            </w:pPr>
            <w:r>
              <w:rPr>
                <w:rFonts w:ascii="Arial" w:cs="Arial" w:eastAsia="Arial" w:hAnsi="Arial"/>
                <w:sz w:val="17"/>
                <w:szCs w:val="17"/>
                <w:color w:val="auto"/>
              </w:rPr>
              <w:t>International Finance Corporation (IFC)</w:t>
            </w: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190,337</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214,600</w:t>
            </w:r>
          </w:p>
        </w:tc>
        <w:tc>
          <w:tcPr>
            <w:tcW w:w="100" w:type="dxa"/>
            <w:vAlign w:val="bottom"/>
            <w:shd w:val="clear" w:color="auto" w:fill="CCEEFF"/>
          </w:tcPr>
          <w:p>
            <w:pPr>
              <w:spacing w:after="0"/>
              <w:rPr>
                <w:sz w:val="18"/>
                <w:szCs w:val="18"/>
                <w:color w:val="auto"/>
              </w:rPr>
            </w:pPr>
          </w:p>
        </w:tc>
      </w:tr>
      <w:tr>
        <w:trPr>
          <w:trHeight w:val="208"/>
        </w:trPr>
        <w:tc>
          <w:tcPr>
            <w:tcW w:w="320" w:type="dxa"/>
            <w:vAlign w:val="bottom"/>
          </w:tcPr>
          <w:p>
            <w:pPr>
              <w:spacing w:after="0"/>
              <w:rPr>
                <w:sz w:val="18"/>
                <w:szCs w:val="18"/>
                <w:color w:val="auto"/>
              </w:rPr>
            </w:pPr>
          </w:p>
        </w:tc>
        <w:tc>
          <w:tcPr>
            <w:tcW w:w="8220" w:type="dxa"/>
            <w:vAlign w:val="bottom"/>
          </w:tcPr>
          <w:p>
            <w:pPr>
              <w:spacing w:after="0"/>
              <w:rPr>
                <w:sz w:val="20"/>
                <w:szCs w:val="20"/>
                <w:color w:val="auto"/>
              </w:rPr>
            </w:pPr>
            <w:r>
              <w:rPr>
                <w:rFonts w:ascii="Arial" w:cs="Arial" w:eastAsia="Arial" w:hAnsi="Arial"/>
                <w:sz w:val="17"/>
                <w:szCs w:val="17"/>
                <w:color w:val="auto"/>
              </w:rPr>
              <w:t>Banco del Estado de Chile</w:t>
            </w:r>
          </w:p>
        </w:tc>
        <w:tc>
          <w:tcPr>
            <w:tcW w:w="1420" w:type="dxa"/>
            <w:vAlign w:val="bottom"/>
            <w:gridSpan w:val="2"/>
          </w:tcPr>
          <w:p>
            <w:pPr>
              <w:jc w:val="right"/>
              <w:ind w:right="200"/>
              <w:spacing w:after="0"/>
              <w:rPr>
                <w:sz w:val="20"/>
                <w:szCs w:val="20"/>
                <w:color w:val="auto"/>
              </w:rPr>
            </w:pPr>
            <w:r>
              <w:rPr>
                <w:rFonts w:ascii="Arial" w:cs="Arial" w:eastAsia="Arial" w:hAnsi="Arial"/>
                <w:sz w:val="17"/>
                <w:szCs w:val="17"/>
                <w:color w:val="auto"/>
              </w:rPr>
              <w:t>162,195</w:t>
            </w:r>
          </w:p>
        </w:tc>
        <w:tc>
          <w:tcPr>
            <w:tcW w:w="120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r>
      <w:tr>
        <w:trPr>
          <w:trHeight w:val="208"/>
        </w:trPr>
        <w:tc>
          <w:tcPr>
            <w:tcW w:w="320" w:type="dxa"/>
            <w:vAlign w:val="bottom"/>
          </w:tcPr>
          <w:p>
            <w:pPr>
              <w:spacing w:after="0"/>
              <w:rPr>
                <w:sz w:val="18"/>
                <w:szCs w:val="18"/>
                <w:color w:val="auto"/>
              </w:rPr>
            </w:pPr>
          </w:p>
        </w:tc>
        <w:tc>
          <w:tcPr>
            <w:tcW w:w="8220" w:type="dxa"/>
            <w:vAlign w:val="bottom"/>
            <w:shd w:val="clear" w:color="auto" w:fill="CCEEFF"/>
          </w:tcPr>
          <w:p>
            <w:pPr>
              <w:spacing w:after="0"/>
              <w:rPr>
                <w:sz w:val="20"/>
                <w:szCs w:val="20"/>
                <w:color w:val="auto"/>
              </w:rPr>
            </w:pPr>
            <w:r>
              <w:rPr>
                <w:rFonts w:ascii="Arial" w:cs="Arial" w:eastAsia="Arial" w:hAnsi="Arial"/>
                <w:sz w:val="17"/>
                <w:szCs w:val="17"/>
                <w:color w:val="auto"/>
              </w:rPr>
              <w:t>Bank of Montreal</w:t>
            </w: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162,050</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805,440</w:t>
            </w:r>
          </w:p>
        </w:tc>
        <w:tc>
          <w:tcPr>
            <w:tcW w:w="100" w:type="dxa"/>
            <w:vAlign w:val="bottom"/>
            <w:shd w:val="clear" w:color="auto" w:fill="CCEEFF"/>
          </w:tcPr>
          <w:p>
            <w:pPr>
              <w:spacing w:after="0"/>
              <w:rPr>
                <w:sz w:val="18"/>
                <w:szCs w:val="18"/>
                <w:color w:val="auto"/>
              </w:rPr>
            </w:pPr>
          </w:p>
        </w:tc>
      </w:tr>
      <w:tr>
        <w:trPr>
          <w:trHeight w:val="208"/>
        </w:trPr>
        <w:tc>
          <w:tcPr>
            <w:tcW w:w="320" w:type="dxa"/>
            <w:vAlign w:val="bottom"/>
          </w:tcPr>
          <w:p>
            <w:pPr>
              <w:spacing w:after="0"/>
              <w:rPr>
                <w:sz w:val="18"/>
                <w:szCs w:val="18"/>
                <w:color w:val="auto"/>
              </w:rPr>
            </w:pPr>
          </w:p>
        </w:tc>
        <w:tc>
          <w:tcPr>
            <w:tcW w:w="8220" w:type="dxa"/>
            <w:vAlign w:val="bottom"/>
          </w:tcPr>
          <w:p>
            <w:pPr>
              <w:spacing w:after="0"/>
              <w:rPr>
                <w:sz w:val="20"/>
                <w:szCs w:val="20"/>
                <w:color w:val="auto"/>
              </w:rPr>
            </w:pPr>
            <w:r>
              <w:rPr>
                <w:rFonts w:ascii="Arial" w:cs="Arial" w:eastAsia="Arial" w:hAnsi="Arial"/>
                <w:sz w:val="17"/>
                <w:szCs w:val="17"/>
                <w:color w:val="auto"/>
              </w:rPr>
              <w:t>Banco de la Nación</w:t>
            </w:r>
          </w:p>
        </w:tc>
        <w:tc>
          <w:tcPr>
            <w:tcW w:w="1420" w:type="dxa"/>
            <w:vAlign w:val="bottom"/>
            <w:gridSpan w:val="2"/>
          </w:tcPr>
          <w:p>
            <w:pPr>
              <w:jc w:val="right"/>
              <w:ind w:right="200"/>
              <w:spacing w:after="0"/>
              <w:rPr>
                <w:sz w:val="20"/>
                <w:szCs w:val="20"/>
                <w:color w:val="auto"/>
              </w:rPr>
            </w:pPr>
            <w:r>
              <w:rPr>
                <w:rFonts w:ascii="Arial" w:cs="Arial" w:eastAsia="Arial" w:hAnsi="Arial"/>
                <w:sz w:val="17"/>
                <w:szCs w:val="17"/>
                <w:color w:val="auto"/>
              </w:rPr>
              <w:t>125,000</w:t>
            </w:r>
          </w:p>
        </w:tc>
        <w:tc>
          <w:tcPr>
            <w:tcW w:w="120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r>
      <w:tr>
        <w:trPr>
          <w:trHeight w:val="208"/>
        </w:trPr>
        <w:tc>
          <w:tcPr>
            <w:tcW w:w="320" w:type="dxa"/>
            <w:vAlign w:val="bottom"/>
          </w:tcPr>
          <w:p>
            <w:pPr>
              <w:spacing w:after="0"/>
              <w:rPr>
                <w:sz w:val="18"/>
                <w:szCs w:val="18"/>
                <w:color w:val="auto"/>
              </w:rPr>
            </w:pPr>
          </w:p>
        </w:tc>
        <w:tc>
          <w:tcPr>
            <w:tcW w:w="8220" w:type="dxa"/>
            <w:vAlign w:val="bottom"/>
            <w:shd w:val="clear" w:color="auto" w:fill="CCEEFF"/>
          </w:tcPr>
          <w:p>
            <w:pPr>
              <w:spacing w:after="0"/>
              <w:rPr>
                <w:sz w:val="20"/>
                <w:szCs w:val="20"/>
                <w:color w:val="auto"/>
              </w:rPr>
            </w:pPr>
            <w:r>
              <w:rPr>
                <w:rFonts w:ascii="Arial" w:cs="Arial" w:eastAsia="Arial" w:hAnsi="Arial"/>
                <w:sz w:val="17"/>
                <w:szCs w:val="17"/>
                <w:color w:val="auto"/>
              </w:rPr>
              <w:t>Scotiabank Perú S.A.A</w:t>
            </w: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100,000</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80,722</w:t>
            </w:r>
          </w:p>
        </w:tc>
      </w:tr>
      <w:tr>
        <w:trPr>
          <w:trHeight w:val="208"/>
        </w:trPr>
        <w:tc>
          <w:tcPr>
            <w:tcW w:w="320" w:type="dxa"/>
            <w:vAlign w:val="bottom"/>
          </w:tcPr>
          <w:p>
            <w:pPr>
              <w:spacing w:after="0"/>
              <w:rPr>
                <w:sz w:val="18"/>
                <w:szCs w:val="18"/>
                <w:color w:val="auto"/>
              </w:rPr>
            </w:pPr>
          </w:p>
        </w:tc>
        <w:tc>
          <w:tcPr>
            <w:tcW w:w="8220" w:type="dxa"/>
            <w:vAlign w:val="bottom"/>
          </w:tcPr>
          <w:p>
            <w:pPr>
              <w:spacing w:after="0"/>
              <w:rPr>
                <w:sz w:val="20"/>
                <w:szCs w:val="20"/>
                <w:color w:val="auto"/>
              </w:rPr>
            </w:pPr>
            <w:r>
              <w:rPr>
                <w:rFonts w:ascii="Arial" w:cs="Arial" w:eastAsia="Arial" w:hAnsi="Arial"/>
                <w:sz w:val="17"/>
                <w:szCs w:val="17"/>
                <w:color w:val="auto"/>
              </w:rPr>
              <w:t>Banco Consorcio</w:t>
            </w:r>
          </w:p>
        </w:tc>
        <w:tc>
          <w:tcPr>
            <w:tcW w:w="1420" w:type="dxa"/>
            <w:vAlign w:val="bottom"/>
            <w:gridSpan w:val="2"/>
          </w:tcPr>
          <w:p>
            <w:pPr>
              <w:jc w:val="right"/>
              <w:ind w:right="200"/>
              <w:spacing w:after="0"/>
              <w:rPr>
                <w:sz w:val="20"/>
                <w:szCs w:val="20"/>
                <w:color w:val="auto"/>
              </w:rPr>
            </w:pPr>
            <w:r>
              <w:rPr>
                <w:rFonts w:ascii="Arial" w:cs="Arial" w:eastAsia="Arial" w:hAnsi="Arial"/>
                <w:sz w:val="17"/>
                <w:szCs w:val="17"/>
                <w:color w:val="auto"/>
              </w:rPr>
              <w:t>94,157</w:t>
            </w:r>
          </w:p>
        </w:tc>
        <w:tc>
          <w:tcPr>
            <w:tcW w:w="1200" w:type="dxa"/>
            <w:vAlign w:val="bottom"/>
          </w:tcPr>
          <w:p>
            <w:pPr>
              <w:jc w:val="right"/>
              <w:spacing w:after="0"/>
              <w:rPr>
                <w:sz w:val="20"/>
                <w:szCs w:val="20"/>
                <w:color w:val="auto"/>
              </w:rPr>
            </w:pPr>
            <w:r>
              <w:rPr>
                <w:rFonts w:ascii="Arial" w:cs="Arial" w:eastAsia="Arial" w:hAnsi="Arial"/>
                <w:sz w:val="17"/>
                <w:szCs w:val="17"/>
                <w:color w:val="auto"/>
              </w:rPr>
              <w:t>103,969</w:t>
            </w:r>
          </w:p>
        </w:tc>
        <w:tc>
          <w:tcPr>
            <w:tcW w:w="100" w:type="dxa"/>
            <w:vAlign w:val="bottom"/>
          </w:tcPr>
          <w:p>
            <w:pPr>
              <w:spacing w:after="0"/>
              <w:rPr>
                <w:sz w:val="18"/>
                <w:szCs w:val="18"/>
                <w:color w:val="auto"/>
              </w:rPr>
            </w:pPr>
          </w:p>
        </w:tc>
      </w:tr>
      <w:tr>
        <w:trPr>
          <w:trHeight w:val="208"/>
        </w:trPr>
        <w:tc>
          <w:tcPr>
            <w:tcW w:w="320" w:type="dxa"/>
            <w:vAlign w:val="bottom"/>
          </w:tcPr>
          <w:p>
            <w:pPr>
              <w:spacing w:after="0"/>
              <w:rPr>
                <w:sz w:val="18"/>
                <w:szCs w:val="18"/>
                <w:color w:val="auto"/>
              </w:rPr>
            </w:pPr>
          </w:p>
        </w:tc>
        <w:tc>
          <w:tcPr>
            <w:tcW w:w="8220" w:type="dxa"/>
            <w:vAlign w:val="bottom"/>
            <w:shd w:val="clear" w:color="auto" w:fill="CCEEFF"/>
          </w:tcPr>
          <w:p>
            <w:pPr>
              <w:spacing w:after="0"/>
              <w:rPr>
                <w:sz w:val="20"/>
                <w:szCs w:val="20"/>
                <w:color w:val="auto"/>
              </w:rPr>
            </w:pPr>
            <w:r>
              <w:rPr>
                <w:rFonts w:ascii="Arial" w:cs="Arial" w:eastAsia="Arial" w:hAnsi="Arial"/>
                <w:sz w:val="17"/>
                <w:szCs w:val="17"/>
                <w:color w:val="auto"/>
              </w:rPr>
              <w:t>Deutsche Bank</w:t>
            </w: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581</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83,900</w:t>
            </w:r>
          </w:p>
        </w:tc>
      </w:tr>
      <w:tr>
        <w:trPr>
          <w:trHeight w:val="208"/>
        </w:trPr>
        <w:tc>
          <w:tcPr>
            <w:tcW w:w="320" w:type="dxa"/>
            <w:vAlign w:val="bottom"/>
          </w:tcPr>
          <w:p>
            <w:pPr>
              <w:spacing w:after="0"/>
              <w:rPr>
                <w:sz w:val="18"/>
                <w:szCs w:val="18"/>
                <w:color w:val="auto"/>
              </w:rPr>
            </w:pPr>
          </w:p>
        </w:tc>
        <w:tc>
          <w:tcPr>
            <w:tcW w:w="8220" w:type="dxa"/>
            <w:vAlign w:val="bottom"/>
          </w:tcPr>
          <w:p>
            <w:pPr>
              <w:spacing w:after="0"/>
              <w:rPr>
                <w:sz w:val="20"/>
                <w:szCs w:val="20"/>
                <w:color w:val="auto"/>
              </w:rPr>
            </w:pPr>
            <w:r>
              <w:rPr>
                <w:rFonts w:ascii="Arial" w:cs="Arial" w:eastAsia="Arial" w:hAnsi="Arial"/>
                <w:sz w:val="17"/>
                <w:szCs w:val="17"/>
                <w:color w:val="auto"/>
              </w:rPr>
              <w:t>HSBC Bank PLC</w:t>
            </w:r>
          </w:p>
        </w:tc>
        <w:tc>
          <w:tcPr>
            <w:tcW w:w="1220" w:type="dxa"/>
            <w:vAlign w:val="bottom"/>
          </w:tcPr>
          <w:p>
            <w:pPr>
              <w:jc w:val="right"/>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295,328</w:t>
            </w:r>
          </w:p>
        </w:tc>
        <w:tc>
          <w:tcPr>
            <w:tcW w:w="100" w:type="dxa"/>
            <w:vAlign w:val="bottom"/>
          </w:tcPr>
          <w:p>
            <w:pPr>
              <w:spacing w:after="0"/>
              <w:rPr>
                <w:sz w:val="18"/>
                <w:szCs w:val="18"/>
                <w:color w:val="auto"/>
              </w:rPr>
            </w:pPr>
          </w:p>
        </w:tc>
      </w:tr>
      <w:tr>
        <w:trPr>
          <w:trHeight w:val="208"/>
        </w:trPr>
        <w:tc>
          <w:tcPr>
            <w:tcW w:w="320" w:type="dxa"/>
            <w:vAlign w:val="bottom"/>
          </w:tcPr>
          <w:p>
            <w:pPr>
              <w:spacing w:after="0"/>
              <w:rPr>
                <w:sz w:val="18"/>
                <w:szCs w:val="18"/>
                <w:color w:val="auto"/>
              </w:rPr>
            </w:pPr>
          </w:p>
        </w:tc>
        <w:tc>
          <w:tcPr>
            <w:tcW w:w="8220" w:type="dxa"/>
            <w:vAlign w:val="bottom"/>
            <w:shd w:val="clear" w:color="auto" w:fill="CCEEFF"/>
          </w:tcPr>
          <w:p>
            <w:pPr>
              <w:spacing w:after="0"/>
              <w:rPr>
                <w:sz w:val="20"/>
                <w:szCs w:val="20"/>
                <w:color w:val="auto"/>
              </w:rPr>
            </w:pPr>
            <w:r>
              <w:rPr>
                <w:rFonts w:ascii="Arial" w:cs="Arial" w:eastAsia="Arial" w:hAnsi="Arial"/>
                <w:sz w:val="17"/>
                <w:szCs w:val="17"/>
                <w:color w:val="auto"/>
              </w:rPr>
              <w:t>Bank of New York Mellon</w:t>
            </w: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335,600</w:t>
            </w:r>
          </w:p>
        </w:tc>
        <w:tc>
          <w:tcPr>
            <w:tcW w:w="100" w:type="dxa"/>
            <w:vAlign w:val="bottom"/>
            <w:shd w:val="clear" w:color="auto" w:fill="CCEEFF"/>
          </w:tcPr>
          <w:p>
            <w:pPr>
              <w:spacing w:after="0"/>
              <w:rPr>
                <w:sz w:val="18"/>
                <w:szCs w:val="18"/>
                <w:color w:val="auto"/>
              </w:rPr>
            </w:pPr>
          </w:p>
        </w:tc>
      </w:tr>
      <w:tr>
        <w:trPr>
          <w:trHeight w:val="208"/>
        </w:trPr>
        <w:tc>
          <w:tcPr>
            <w:tcW w:w="320" w:type="dxa"/>
            <w:vAlign w:val="bottom"/>
          </w:tcPr>
          <w:p>
            <w:pPr>
              <w:spacing w:after="0"/>
              <w:rPr>
                <w:sz w:val="18"/>
                <w:szCs w:val="18"/>
                <w:color w:val="auto"/>
              </w:rPr>
            </w:pPr>
          </w:p>
        </w:tc>
        <w:tc>
          <w:tcPr>
            <w:tcW w:w="8220" w:type="dxa"/>
            <w:vAlign w:val="bottom"/>
          </w:tcPr>
          <w:p>
            <w:pPr>
              <w:spacing w:after="0"/>
              <w:rPr>
                <w:sz w:val="20"/>
                <w:szCs w:val="20"/>
                <w:color w:val="auto"/>
              </w:rPr>
            </w:pPr>
            <w:r>
              <w:rPr>
                <w:rFonts w:ascii="Arial" w:cs="Arial" w:eastAsia="Arial" w:hAnsi="Arial"/>
                <w:sz w:val="17"/>
                <w:szCs w:val="17"/>
                <w:color w:val="auto"/>
              </w:rPr>
              <w:t>Canadian Imperial Bank of Commerce Toronto</w:t>
            </w:r>
          </w:p>
        </w:tc>
        <w:tc>
          <w:tcPr>
            <w:tcW w:w="1220" w:type="dxa"/>
            <w:vAlign w:val="bottom"/>
          </w:tcPr>
          <w:p>
            <w:pPr>
              <w:jc w:val="right"/>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335,600</w:t>
            </w:r>
          </w:p>
        </w:tc>
        <w:tc>
          <w:tcPr>
            <w:tcW w:w="100" w:type="dxa"/>
            <w:vAlign w:val="bottom"/>
          </w:tcPr>
          <w:p>
            <w:pPr>
              <w:spacing w:after="0"/>
              <w:rPr>
                <w:sz w:val="18"/>
                <w:szCs w:val="18"/>
                <w:color w:val="auto"/>
              </w:rPr>
            </w:pPr>
          </w:p>
        </w:tc>
      </w:tr>
      <w:tr>
        <w:trPr>
          <w:trHeight w:val="221"/>
        </w:trPr>
        <w:tc>
          <w:tcPr>
            <w:tcW w:w="320" w:type="dxa"/>
            <w:vAlign w:val="bottom"/>
          </w:tcPr>
          <w:p>
            <w:pPr>
              <w:spacing w:after="0"/>
              <w:rPr>
                <w:sz w:val="19"/>
                <w:szCs w:val="19"/>
                <w:color w:val="auto"/>
              </w:rPr>
            </w:pPr>
          </w:p>
        </w:tc>
        <w:tc>
          <w:tcPr>
            <w:tcW w:w="8220" w:type="dxa"/>
            <w:vAlign w:val="bottom"/>
            <w:shd w:val="clear" w:color="auto" w:fill="CCEEFF"/>
          </w:tcPr>
          <w:p>
            <w:pPr>
              <w:spacing w:after="0"/>
              <w:rPr>
                <w:sz w:val="20"/>
                <w:szCs w:val="20"/>
                <w:color w:val="auto"/>
              </w:rPr>
            </w:pPr>
            <w:r>
              <w:rPr>
                <w:rFonts w:ascii="Arial" w:cs="Arial" w:eastAsia="Arial" w:hAnsi="Arial"/>
                <w:sz w:val="17"/>
                <w:szCs w:val="17"/>
                <w:color w:val="auto"/>
              </w:rPr>
              <w:t>Others below S/80 million</w:t>
            </w: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426,386</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450,178</w:t>
            </w:r>
          </w:p>
        </w:tc>
        <w:tc>
          <w:tcPr>
            <w:tcW w:w="100" w:type="dxa"/>
            <w:vAlign w:val="bottom"/>
            <w:shd w:val="clear" w:color="auto" w:fill="CCEEFF"/>
          </w:tcPr>
          <w:p>
            <w:pPr>
              <w:spacing w:after="0"/>
              <w:rPr>
                <w:sz w:val="19"/>
                <w:szCs w:val="19"/>
                <w:color w:val="auto"/>
              </w:rPr>
            </w:pPr>
          </w:p>
        </w:tc>
      </w:tr>
      <w:tr>
        <w:trPr>
          <w:trHeight w:val="201"/>
        </w:trPr>
        <w:tc>
          <w:tcPr>
            <w:tcW w:w="320" w:type="dxa"/>
            <w:vAlign w:val="bottom"/>
          </w:tcPr>
          <w:p>
            <w:pPr>
              <w:spacing w:after="0"/>
              <w:rPr>
                <w:sz w:val="17"/>
                <w:szCs w:val="17"/>
                <w:color w:val="auto"/>
              </w:rPr>
            </w:pPr>
          </w:p>
        </w:tc>
        <w:tc>
          <w:tcPr>
            <w:tcW w:w="8220" w:type="dxa"/>
            <w:vAlign w:val="bottom"/>
          </w:tcPr>
          <w:p>
            <w:pPr>
              <w:spacing w:after="0"/>
              <w:rPr>
                <w:sz w:val="20"/>
                <w:szCs w:val="20"/>
                <w:color w:val="auto"/>
              </w:rPr>
            </w:pPr>
            <w:r>
              <w:rPr>
                <w:rFonts w:ascii="Arial" w:cs="Arial" w:eastAsia="Arial" w:hAnsi="Arial"/>
                <w:sz w:val="17"/>
                <w:szCs w:val="17"/>
                <w:color w:val="auto"/>
              </w:rPr>
              <w:t>Total</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5,264,545</w:t>
            </w:r>
          </w:p>
        </w:tc>
        <w:tc>
          <w:tcPr>
            <w:tcW w:w="200" w:type="dxa"/>
            <w:vAlign w:val="bottom"/>
          </w:tcPr>
          <w:p>
            <w:pPr>
              <w:spacing w:after="0"/>
              <w:rPr>
                <w:sz w:val="17"/>
                <w:szCs w:val="17"/>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5,253,826</w:t>
            </w:r>
          </w:p>
        </w:tc>
        <w:tc>
          <w:tcPr>
            <w:tcW w:w="100" w:type="dxa"/>
            <w:vAlign w:val="bottom"/>
          </w:tcPr>
          <w:p>
            <w:pPr>
              <w:spacing w:after="0"/>
              <w:rPr>
                <w:sz w:val="17"/>
                <w:szCs w:val="17"/>
                <w:color w:val="auto"/>
              </w:rPr>
            </w:pPr>
          </w:p>
        </w:tc>
      </w:tr>
      <w:tr>
        <w:trPr>
          <w:trHeight w:val="20"/>
        </w:trPr>
        <w:tc>
          <w:tcPr>
            <w:tcW w:w="320" w:type="dxa"/>
            <w:vAlign w:val="bottom"/>
          </w:tcPr>
          <w:p>
            <w:pPr>
              <w:spacing w:after="0" w:line="20" w:lineRule="exact"/>
              <w:rPr>
                <w:sz w:val="1"/>
                <w:szCs w:val="1"/>
                <w:color w:val="auto"/>
              </w:rPr>
            </w:pPr>
          </w:p>
        </w:tc>
        <w:tc>
          <w:tcPr>
            <w:tcW w:w="82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5" w:lineRule="exact"/>
        <w:rPr>
          <w:sz w:val="20"/>
          <w:szCs w:val="20"/>
          <w:color w:val="auto"/>
        </w:rPr>
      </w:pPr>
    </w:p>
    <w:p>
      <w:pPr>
        <w:ind w:left="320" w:right="100"/>
        <w:spacing w:after="0" w:line="318" w:lineRule="auto"/>
        <w:rPr>
          <w:sz w:val="20"/>
          <w:szCs w:val="20"/>
          <w:color w:val="auto"/>
        </w:rPr>
      </w:pPr>
      <w:r>
        <w:rPr>
          <w:rFonts w:ascii="Arial" w:cs="Arial" w:eastAsia="Arial" w:hAnsi="Arial"/>
          <w:sz w:val="16"/>
          <w:szCs w:val="16"/>
          <w:color w:val="auto"/>
        </w:rPr>
        <w:t>At December 31, 2017, the loans have maturities between January 2018 and March 2032 (between January 2017 and December 2031 at December 31, 2016) and earn interest at rates that fluctuate between 0.5 percent and 9.04 percent (between 0.44 percent and 11.43 percent at December 31, 2016).</w:t>
      </w:r>
    </w:p>
    <w:p>
      <w:pPr>
        <w:spacing w:after="0" w:line="136" w:lineRule="exact"/>
        <w:rPr>
          <w:sz w:val="20"/>
          <w:szCs w:val="20"/>
          <w:color w:val="auto"/>
        </w:rPr>
      </w:pPr>
    </w:p>
    <w:p>
      <w:pPr>
        <w:ind w:left="740" w:right="20" w:hanging="424"/>
        <w:spacing w:after="0" w:line="270" w:lineRule="auto"/>
        <w:tabs>
          <w:tab w:leader="none" w:pos="740" w:val="left"/>
        </w:tabs>
        <w:numPr>
          <w:ilvl w:val="0"/>
          <w:numId w:val="97"/>
        </w:numPr>
        <w:rPr>
          <w:rFonts w:ascii="Arial" w:cs="Arial" w:eastAsia="Arial" w:hAnsi="Arial"/>
          <w:sz w:val="17"/>
          <w:szCs w:val="17"/>
          <w:color w:val="auto"/>
        </w:rPr>
      </w:pPr>
      <w:r>
        <w:rPr>
          <w:rFonts w:ascii="Arial" w:cs="Arial" w:eastAsia="Arial" w:hAnsi="Arial"/>
          <w:sz w:val="17"/>
          <w:szCs w:val="17"/>
          <w:color w:val="auto"/>
        </w:rPr>
        <w:t>At December 31, 2017, the balance includes two variable rate loans obtained in July of 2017, for a total of US$150.0 million, equivalent to S/486.2 million, the amounts of which are hedged by two IRS for a nominal amount with equal principal and maturity, See Note 12(b). By means of the IRS, the two loans were economically converted to a fixed rate loan.</w:t>
      </w:r>
    </w:p>
    <w:p>
      <w:pPr>
        <w:spacing w:after="0" w:line="171" w:lineRule="exact"/>
        <w:rPr>
          <w:rFonts w:ascii="Arial" w:cs="Arial" w:eastAsia="Arial" w:hAnsi="Arial"/>
          <w:sz w:val="17"/>
          <w:szCs w:val="17"/>
          <w:color w:val="auto"/>
        </w:rPr>
      </w:pPr>
    </w:p>
    <w:p>
      <w:pPr>
        <w:ind w:left="740" w:hanging="424"/>
        <w:spacing w:after="0" w:line="265" w:lineRule="auto"/>
        <w:tabs>
          <w:tab w:leader="none" w:pos="740" w:val="left"/>
        </w:tabs>
        <w:numPr>
          <w:ilvl w:val="0"/>
          <w:numId w:val="97"/>
        </w:numPr>
        <w:rPr>
          <w:rFonts w:ascii="Arial" w:cs="Arial" w:eastAsia="Arial" w:hAnsi="Arial"/>
          <w:sz w:val="17"/>
          <w:szCs w:val="17"/>
          <w:color w:val="auto"/>
        </w:rPr>
      </w:pPr>
      <w:r>
        <w:rPr>
          <w:rFonts w:ascii="Arial" w:cs="Arial" w:eastAsia="Arial" w:hAnsi="Arial"/>
          <w:sz w:val="17"/>
          <w:szCs w:val="17"/>
          <w:color w:val="auto"/>
        </w:rPr>
        <w:t>At December 31, 2017, the balance includes two variable rate loans obtained in June of 2016, and October of 2017 for a total of US$150.0 million, equivalent to S/486.2 million (two variable rate loans obtained in April and June of 2016 for a total of US$95.0 million, equivalent to S/318.8 million, at December 31, 2016) hedged with two interest rate swaps (IRS) for a nominal amount equal principal and the same maturity date, See Note12(b). By means of the IRS, said loans were economically converted to a fixed rate loan.</w:t>
      </w:r>
    </w:p>
    <w:p>
      <w:pPr>
        <w:spacing w:after="0" w:line="176" w:lineRule="exact"/>
        <w:rPr>
          <w:rFonts w:ascii="Arial" w:cs="Arial" w:eastAsia="Arial" w:hAnsi="Arial"/>
          <w:sz w:val="17"/>
          <w:szCs w:val="17"/>
          <w:color w:val="auto"/>
        </w:rPr>
      </w:pPr>
    </w:p>
    <w:p>
      <w:pPr>
        <w:ind w:left="740"/>
        <w:spacing w:after="0"/>
        <w:rPr>
          <w:rFonts w:ascii="Arial" w:cs="Arial" w:eastAsia="Arial" w:hAnsi="Arial"/>
          <w:sz w:val="17"/>
          <w:szCs w:val="17"/>
          <w:color w:val="auto"/>
        </w:rPr>
      </w:pPr>
      <w:r>
        <w:rPr>
          <w:rFonts w:ascii="Arial" w:cs="Arial" w:eastAsia="Arial" w:hAnsi="Arial"/>
          <w:sz w:val="17"/>
          <w:szCs w:val="17"/>
          <w:color w:val="auto"/>
        </w:rPr>
        <w:t>The variable rate loan obtained in April 2016 for US$45.0 million, equivalent to S/151.0 million, matured in April 2017.</w:t>
      </w:r>
    </w:p>
    <w:p>
      <w:pPr>
        <w:spacing w:after="0" w:line="200" w:lineRule="exact"/>
        <w:rPr>
          <w:rFonts w:ascii="Arial" w:cs="Arial" w:eastAsia="Arial" w:hAnsi="Arial"/>
          <w:sz w:val="17"/>
          <w:szCs w:val="17"/>
          <w:color w:val="auto"/>
        </w:rPr>
      </w:pPr>
    </w:p>
    <w:p>
      <w:pPr>
        <w:spacing w:after="0" w:line="228" w:lineRule="exact"/>
        <w:rPr>
          <w:rFonts w:ascii="Arial" w:cs="Arial" w:eastAsia="Arial" w:hAnsi="Arial"/>
          <w:sz w:val="17"/>
          <w:szCs w:val="17"/>
          <w:color w:val="auto"/>
        </w:rPr>
      </w:pPr>
    </w:p>
    <w:p>
      <w:pPr>
        <w:ind w:left="5640" w:hanging="107"/>
        <w:spacing w:after="0"/>
        <w:tabs>
          <w:tab w:leader="none" w:pos="5640" w:val="left"/>
        </w:tabs>
        <w:numPr>
          <w:ilvl w:val="1"/>
          <w:numId w:val="97"/>
        </w:numPr>
        <w:rPr>
          <w:rFonts w:ascii="Arial" w:cs="Arial" w:eastAsia="Arial" w:hAnsi="Arial"/>
          <w:sz w:val="17"/>
          <w:szCs w:val="17"/>
          <w:color w:val="auto"/>
        </w:rPr>
      </w:pPr>
      <w:r>
        <w:rPr>
          <w:rFonts w:ascii="Arial" w:cs="Arial" w:eastAsia="Arial" w:hAnsi="Arial"/>
          <w:sz w:val="17"/>
          <w:szCs w:val="17"/>
          <w:color w:val="auto"/>
        </w:rPr>
        <w:t>78 -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15875</wp:posOffset>
            </wp:positionV>
            <wp:extent cx="725170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51700" cy="8255"/>
                    </a:xfrm>
                    <a:prstGeom prst="rect">
                      <a:avLst/>
                    </a:prstGeom>
                    <a:noFill/>
                  </pic:spPr>
                </pic:pic>
              </a:graphicData>
            </a:graphic>
          </wp:anchor>
        </w:drawing>
      </w:r>
    </w:p>
    <w:p>
      <w:pPr>
        <w:sectPr>
          <w:pgSz w:w="11900" w:h="16838" w:orient="portrait"/>
          <w:cols w:equalWidth="0" w:num="1">
            <w:col w:w="11300"/>
          </w:cols>
          <w:pgMar w:left="240" w:top="881" w:right="359" w:bottom="1440" w:gutter="0" w:footer="0" w:header="0"/>
        </w:sectPr>
      </w:pPr>
    </w:p>
    <w:bookmarkStart w:id="84" w:name="page85"/>
    <w:bookmarkEnd w:id="84"/>
    <w:p>
      <w:pPr>
        <w:jc w:val="both"/>
        <w:ind w:left="736" w:right="20" w:hanging="424"/>
        <w:spacing w:after="0" w:line="270" w:lineRule="auto"/>
        <w:tabs>
          <w:tab w:leader="none" w:pos="736" w:val="left"/>
        </w:tabs>
        <w:numPr>
          <w:ilvl w:val="1"/>
          <w:numId w:val="98"/>
        </w:numPr>
        <w:rPr>
          <w:rFonts w:ascii="Arial" w:cs="Arial" w:eastAsia="Arial" w:hAnsi="Arial"/>
          <w:sz w:val="17"/>
          <w:szCs w:val="17"/>
          <w:color w:val="auto"/>
        </w:rPr>
      </w:pPr>
      <w:r>
        <w:rPr>
          <w:rFonts w:ascii="Arial" w:cs="Arial" w:eastAsia="Arial" w:hAnsi="Arial"/>
          <w:sz w:val="17"/>
          <w:szCs w:val="17"/>
          <w:color w:val="auto"/>
        </w:rPr>
        <w:t>At December 31, 2017, the balance corresponds to a variable rate loan in U.S. Dollars, obtained in December of 2017 for US$100.0 million, equivalent to S/324.1 million, the amount of which is hedged with a CCS for a nominal amount equal to the principal and the same maturity, See Note 12(b). By means of the CCS, said loan was economically converted to a fixed rate loan in soles.</w:t>
      </w:r>
    </w:p>
    <w:p>
      <w:pPr>
        <w:spacing w:after="0" w:line="171" w:lineRule="exact"/>
        <w:rPr>
          <w:rFonts w:ascii="Arial" w:cs="Arial" w:eastAsia="Arial" w:hAnsi="Arial"/>
          <w:sz w:val="17"/>
          <w:szCs w:val="17"/>
          <w:color w:val="auto"/>
        </w:rPr>
      </w:pPr>
    </w:p>
    <w:p>
      <w:pPr>
        <w:ind w:left="736" w:right="180" w:hanging="424"/>
        <w:spacing w:after="0" w:line="294" w:lineRule="auto"/>
        <w:tabs>
          <w:tab w:leader="none" w:pos="736" w:val="left"/>
        </w:tabs>
        <w:numPr>
          <w:ilvl w:val="1"/>
          <w:numId w:val="98"/>
        </w:numPr>
        <w:rPr>
          <w:rFonts w:ascii="Arial" w:cs="Arial" w:eastAsia="Arial" w:hAnsi="Arial"/>
          <w:sz w:val="16"/>
          <w:szCs w:val="16"/>
          <w:color w:val="auto"/>
        </w:rPr>
      </w:pPr>
      <w:r>
        <w:rPr>
          <w:rFonts w:ascii="Arial" w:cs="Arial" w:eastAsia="Arial" w:hAnsi="Arial"/>
          <w:sz w:val="16"/>
          <w:szCs w:val="16"/>
          <w:color w:val="auto"/>
        </w:rPr>
        <w:t>At December 31, 2017, the balance corresponds to a variable rate loan obtained in December 2015 for US$100.0 million, equivalent to S/324.1 million; which is hedged with an IRS for a nominal amount equal to the principal and same maturity date (US$100.0 million equivalent to S/335.6 million at December 31, 2016), See Note 12(b). By means of the IRS, said loan was economically converted to a fixed rate loan.</w:t>
      </w:r>
    </w:p>
    <w:p>
      <w:pPr>
        <w:spacing w:after="0" w:line="155" w:lineRule="exact"/>
        <w:rPr>
          <w:rFonts w:ascii="Arial" w:cs="Arial" w:eastAsia="Arial" w:hAnsi="Arial"/>
          <w:sz w:val="16"/>
          <w:szCs w:val="16"/>
          <w:color w:val="auto"/>
        </w:rPr>
      </w:pPr>
    </w:p>
    <w:p>
      <w:pPr>
        <w:ind w:left="736" w:right="260" w:hanging="424"/>
        <w:spacing w:after="0" w:line="294" w:lineRule="auto"/>
        <w:tabs>
          <w:tab w:leader="none" w:pos="736" w:val="left"/>
        </w:tabs>
        <w:numPr>
          <w:ilvl w:val="1"/>
          <w:numId w:val="98"/>
        </w:numPr>
        <w:rPr>
          <w:rFonts w:ascii="Arial" w:cs="Arial" w:eastAsia="Arial" w:hAnsi="Arial"/>
          <w:sz w:val="16"/>
          <w:szCs w:val="16"/>
          <w:color w:val="auto"/>
        </w:rPr>
      </w:pPr>
      <w:r>
        <w:rPr>
          <w:rFonts w:ascii="Arial" w:cs="Arial" w:eastAsia="Arial" w:hAnsi="Arial"/>
          <w:sz w:val="16"/>
          <w:szCs w:val="16"/>
          <w:color w:val="auto"/>
        </w:rPr>
        <w:t>At December 31, 2017, the balance corresponds to a variable rate loan obtained in February 2016 for US$100.0 million, equivalent to S/324.1 million, hedged by an IRS for a nominal amount equal to the principal and with the same maturity date (US$100.0 million, equivalent to S/335.6 million, at December 31, 2016), See Note 12(b). By means of the IRS, said loan was economically converted to a fixed rate.</w:t>
      </w:r>
    </w:p>
    <w:p>
      <w:pPr>
        <w:spacing w:after="0" w:line="155" w:lineRule="exact"/>
        <w:rPr>
          <w:rFonts w:ascii="Arial" w:cs="Arial" w:eastAsia="Arial" w:hAnsi="Arial"/>
          <w:sz w:val="16"/>
          <w:szCs w:val="16"/>
          <w:color w:val="auto"/>
        </w:rPr>
      </w:pPr>
    </w:p>
    <w:p>
      <w:pPr>
        <w:jc w:val="both"/>
        <w:ind w:left="316" w:right="220" w:hanging="316"/>
        <w:spacing w:after="0" w:line="262" w:lineRule="auto"/>
        <w:tabs>
          <w:tab w:leader="none" w:pos="316" w:val="left"/>
        </w:tabs>
        <w:numPr>
          <w:ilvl w:val="0"/>
          <w:numId w:val="99"/>
        </w:numPr>
        <w:rPr>
          <w:rFonts w:ascii="Arial" w:cs="Arial" w:eastAsia="Arial" w:hAnsi="Arial"/>
          <w:sz w:val="17"/>
          <w:szCs w:val="17"/>
          <w:color w:val="auto"/>
        </w:rPr>
      </w:pPr>
      <w:r>
        <w:rPr>
          <w:rFonts w:ascii="Arial" w:cs="Arial" w:eastAsia="Arial" w:hAnsi="Arial"/>
          <w:sz w:val="17"/>
          <w:szCs w:val="17"/>
          <w:color w:val="auto"/>
        </w:rPr>
        <w:t>Promotional credit lines represent loans granted by Corporación Financiera de Desarrollo and Fondo de Cooperación para el Desarrollo Social (COFIDE and FONCODES for their Spanish acronyms, respectively) to promote the development of Peru, they have maturities between January 2018 and January 2023 at annual interest rates varying between 6.00 percent and 7.75 percent at December 31, 2017 (between January 2017 and January 2022 and with annual interest rates ranging between 6.00 percent and 7.75 percent at December 31, 2016). These credit lines are secured by a loan portfolio totaling S/2,030.0 million and S/1,793.2 million at December 31, 2017 and December 31, 2016, respectively.</w:t>
      </w:r>
    </w:p>
    <w:p>
      <w:pPr>
        <w:spacing w:after="0" w:line="180" w:lineRule="exact"/>
        <w:rPr>
          <w:rFonts w:ascii="Arial" w:cs="Arial" w:eastAsia="Arial" w:hAnsi="Arial"/>
          <w:sz w:val="17"/>
          <w:szCs w:val="17"/>
          <w:color w:val="auto"/>
        </w:rPr>
      </w:pPr>
    </w:p>
    <w:p>
      <w:pPr>
        <w:ind w:left="316" w:hanging="316"/>
        <w:spacing w:after="0"/>
        <w:tabs>
          <w:tab w:leader="none" w:pos="316" w:val="left"/>
        </w:tabs>
        <w:numPr>
          <w:ilvl w:val="0"/>
          <w:numId w:val="99"/>
        </w:numPr>
        <w:rPr>
          <w:rFonts w:ascii="Arial" w:cs="Arial" w:eastAsia="Arial" w:hAnsi="Arial"/>
          <w:sz w:val="16"/>
          <w:szCs w:val="16"/>
          <w:color w:val="auto"/>
        </w:rPr>
      </w:pPr>
      <w:r>
        <w:rPr>
          <w:rFonts w:ascii="Arial" w:cs="Arial" w:eastAsia="Arial" w:hAnsi="Arial"/>
          <w:sz w:val="16"/>
          <w:szCs w:val="16"/>
          <w:color w:val="auto"/>
        </w:rPr>
        <w:t>The table below shows maturities of due to banks and correspondents at December 31, 2017 and 2016 based on the remaining period to the maturity date:</w:t>
      </w:r>
    </w:p>
    <w:p>
      <w:pPr>
        <w:spacing w:after="0" w:line="239" w:lineRule="exact"/>
        <w:rPr>
          <w:sz w:val="20"/>
          <w:szCs w:val="20"/>
          <w:color w:val="auto"/>
        </w:rPr>
      </w:pPr>
    </w:p>
    <w:tbl>
      <w:tblPr>
        <w:tblLayout w:type="fixed"/>
        <w:tblInd w:w="316" w:type="dxa"/>
        <w:tblCellMar>
          <w:top w:w="0" w:type="dxa"/>
          <w:left w:w="0" w:type="dxa"/>
          <w:bottom w:w="0" w:type="dxa"/>
          <w:right w:w="0" w:type="dxa"/>
        </w:tblCellMar>
      </w:tblPr>
      <w:tr>
        <w:trPr>
          <w:trHeight w:val="226"/>
        </w:trPr>
        <w:tc>
          <w:tcPr>
            <w:tcW w:w="8220" w:type="dxa"/>
            <w:vAlign w:val="bottom"/>
          </w:tcPr>
          <w:p>
            <w:pPr>
              <w:spacing w:after="0"/>
              <w:rPr>
                <w:sz w:val="19"/>
                <w:szCs w:val="19"/>
                <w:color w:val="auto"/>
              </w:rPr>
            </w:pPr>
          </w:p>
        </w:tc>
        <w:tc>
          <w:tcPr>
            <w:tcW w:w="1220" w:type="dxa"/>
            <w:vAlign w:val="bottom"/>
            <w:tcBorders>
              <w:bottom w:val="single" w:sz="8" w:color="auto"/>
            </w:tcBorders>
          </w:tcPr>
          <w:p>
            <w:pPr>
              <w:jc w:val="right"/>
              <w:ind w:right="353"/>
              <w:spacing w:after="0"/>
              <w:rPr>
                <w:sz w:val="20"/>
                <w:szCs w:val="20"/>
                <w:color w:val="auto"/>
              </w:rPr>
            </w:pPr>
            <w:r>
              <w:rPr>
                <w:rFonts w:ascii="Arial" w:cs="Arial" w:eastAsia="Arial" w:hAnsi="Arial"/>
                <w:sz w:val="17"/>
                <w:szCs w:val="17"/>
                <w:b w:val="1"/>
                <w:bCs w:val="1"/>
                <w:color w:val="auto"/>
              </w:rPr>
              <w:t>2017</w:t>
            </w:r>
          </w:p>
        </w:tc>
        <w:tc>
          <w:tcPr>
            <w:tcW w:w="200" w:type="dxa"/>
            <w:vAlign w:val="bottom"/>
          </w:tcPr>
          <w:p>
            <w:pPr>
              <w:spacing w:after="0"/>
              <w:rPr>
                <w:sz w:val="19"/>
                <w:szCs w:val="19"/>
                <w:color w:val="auto"/>
              </w:rPr>
            </w:pPr>
          </w:p>
        </w:tc>
        <w:tc>
          <w:tcPr>
            <w:tcW w:w="1200" w:type="dxa"/>
            <w:vAlign w:val="bottom"/>
            <w:tcBorders>
              <w:bottom w:val="single" w:sz="8" w:color="auto"/>
            </w:tcBorders>
          </w:tcPr>
          <w:p>
            <w:pPr>
              <w:jc w:val="right"/>
              <w:ind w:right="333"/>
              <w:spacing w:after="0"/>
              <w:rPr>
                <w:sz w:val="20"/>
                <w:szCs w:val="20"/>
                <w:color w:val="auto"/>
              </w:rPr>
            </w:pPr>
            <w:r>
              <w:rPr>
                <w:rFonts w:ascii="Arial" w:cs="Arial" w:eastAsia="Arial" w:hAnsi="Arial"/>
                <w:sz w:val="17"/>
                <w:szCs w:val="17"/>
                <w:b w:val="1"/>
                <w:bCs w:val="1"/>
                <w:color w:val="auto"/>
              </w:rPr>
              <w:t>2016</w:t>
            </w:r>
          </w:p>
        </w:tc>
        <w:tc>
          <w:tcPr>
            <w:tcW w:w="100" w:type="dxa"/>
            <w:vAlign w:val="bottom"/>
          </w:tcPr>
          <w:p>
            <w:pPr>
              <w:spacing w:after="0"/>
              <w:rPr>
                <w:sz w:val="19"/>
                <w:szCs w:val="19"/>
                <w:color w:val="auto"/>
              </w:rPr>
            </w:pPr>
          </w:p>
        </w:tc>
      </w:tr>
      <w:tr>
        <w:trPr>
          <w:trHeight w:val="219"/>
        </w:trPr>
        <w:tc>
          <w:tcPr>
            <w:tcW w:w="8220" w:type="dxa"/>
            <w:vAlign w:val="bottom"/>
          </w:tcPr>
          <w:p>
            <w:pPr>
              <w:spacing w:after="0"/>
              <w:rPr>
                <w:sz w:val="19"/>
                <w:szCs w:val="19"/>
                <w:color w:val="auto"/>
              </w:rPr>
            </w:pPr>
          </w:p>
        </w:tc>
        <w:tc>
          <w:tcPr>
            <w:tcW w:w="1220" w:type="dxa"/>
            <w:vAlign w:val="bottom"/>
          </w:tcPr>
          <w:p>
            <w:pPr>
              <w:jc w:val="center"/>
              <w:spacing w:after="0"/>
              <w:rPr>
                <w:sz w:val="20"/>
                <w:szCs w:val="20"/>
                <w:color w:val="auto"/>
              </w:rPr>
            </w:pPr>
            <w:r>
              <w:rPr>
                <w:rFonts w:ascii="Arial" w:cs="Arial" w:eastAsia="Arial" w:hAnsi="Arial"/>
                <w:sz w:val="17"/>
                <w:szCs w:val="17"/>
                <w:b w:val="1"/>
                <w:bCs w:val="1"/>
                <w:color w:val="auto"/>
                <w:w w:val="93"/>
              </w:rPr>
              <w:t>S/(000)</w:t>
            </w:r>
          </w:p>
        </w:tc>
        <w:tc>
          <w:tcPr>
            <w:tcW w:w="200" w:type="dxa"/>
            <w:vAlign w:val="bottom"/>
          </w:tcPr>
          <w:p>
            <w:pPr>
              <w:spacing w:after="0"/>
              <w:rPr>
                <w:sz w:val="19"/>
                <w:szCs w:val="19"/>
                <w:color w:val="auto"/>
              </w:rPr>
            </w:pPr>
          </w:p>
        </w:tc>
        <w:tc>
          <w:tcPr>
            <w:tcW w:w="1200" w:type="dxa"/>
            <w:vAlign w:val="bottom"/>
          </w:tcPr>
          <w:p>
            <w:pPr>
              <w:jc w:val="center"/>
              <w:spacing w:after="0"/>
              <w:rPr>
                <w:sz w:val="20"/>
                <w:szCs w:val="20"/>
                <w:color w:val="auto"/>
              </w:rPr>
            </w:pPr>
            <w:r>
              <w:rPr>
                <w:rFonts w:ascii="Arial" w:cs="Arial" w:eastAsia="Arial" w:hAnsi="Arial"/>
                <w:sz w:val="17"/>
                <w:szCs w:val="17"/>
                <w:b w:val="1"/>
                <w:bCs w:val="1"/>
                <w:color w:val="auto"/>
                <w:w w:val="93"/>
              </w:rPr>
              <w:t>S/(000)</w:t>
            </w:r>
          </w:p>
        </w:tc>
        <w:tc>
          <w:tcPr>
            <w:tcW w:w="100" w:type="dxa"/>
            <w:vAlign w:val="bottom"/>
          </w:tcPr>
          <w:p>
            <w:pPr>
              <w:spacing w:after="0"/>
              <w:rPr>
                <w:sz w:val="19"/>
                <w:szCs w:val="19"/>
                <w:color w:val="auto"/>
              </w:rPr>
            </w:pPr>
          </w:p>
        </w:tc>
      </w:tr>
      <w:tr>
        <w:trPr>
          <w:trHeight w:val="189"/>
        </w:trPr>
        <w:tc>
          <w:tcPr>
            <w:tcW w:w="82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08"/>
        </w:trPr>
        <w:tc>
          <w:tcPr>
            <w:tcW w:w="8220" w:type="dxa"/>
            <w:vAlign w:val="bottom"/>
            <w:shd w:val="clear" w:color="auto" w:fill="CCEEFF"/>
          </w:tcPr>
          <w:p>
            <w:pPr>
              <w:spacing w:after="0"/>
              <w:rPr>
                <w:sz w:val="20"/>
                <w:szCs w:val="20"/>
                <w:color w:val="auto"/>
              </w:rPr>
            </w:pPr>
            <w:r>
              <w:rPr>
                <w:rFonts w:ascii="Arial" w:cs="Arial" w:eastAsia="Arial" w:hAnsi="Arial"/>
                <w:sz w:val="17"/>
                <w:szCs w:val="17"/>
                <w:color w:val="auto"/>
              </w:rPr>
              <w:t>Up to 3 months</w:t>
            </w: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2,169,022</w:t>
            </w: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2,801,499</w:t>
            </w:r>
          </w:p>
        </w:tc>
        <w:tc>
          <w:tcPr>
            <w:tcW w:w="100" w:type="dxa"/>
            <w:vAlign w:val="bottom"/>
            <w:shd w:val="clear" w:color="auto" w:fill="CCEEFF"/>
          </w:tcPr>
          <w:p>
            <w:pPr>
              <w:spacing w:after="0"/>
              <w:rPr>
                <w:sz w:val="18"/>
                <w:szCs w:val="18"/>
                <w:color w:val="auto"/>
              </w:rPr>
            </w:pPr>
          </w:p>
        </w:tc>
      </w:tr>
      <w:tr>
        <w:trPr>
          <w:trHeight w:val="208"/>
        </w:trPr>
        <w:tc>
          <w:tcPr>
            <w:tcW w:w="8220" w:type="dxa"/>
            <w:vAlign w:val="bottom"/>
          </w:tcPr>
          <w:p>
            <w:pPr>
              <w:spacing w:after="0"/>
              <w:rPr>
                <w:sz w:val="20"/>
                <w:szCs w:val="20"/>
                <w:color w:val="auto"/>
              </w:rPr>
            </w:pPr>
            <w:r>
              <w:rPr>
                <w:rFonts w:ascii="Arial" w:cs="Arial" w:eastAsia="Arial" w:hAnsi="Arial"/>
                <w:sz w:val="17"/>
                <w:szCs w:val="17"/>
                <w:color w:val="auto"/>
              </w:rPr>
              <w:t>From 3 months to 1 year</w:t>
            </w:r>
          </w:p>
        </w:tc>
        <w:tc>
          <w:tcPr>
            <w:tcW w:w="1220" w:type="dxa"/>
            <w:vAlign w:val="bottom"/>
          </w:tcPr>
          <w:p>
            <w:pPr>
              <w:jc w:val="right"/>
              <w:spacing w:after="0"/>
              <w:rPr>
                <w:sz w:val="20"/>
                <w:szCs w:val="20"/>
                <w:color w:val="auto"/>
              </w:rPr>
            </w:pPr>
            <w:r>
              <w:rPr>
                <w:rFonts w:ascii="Arial" w:cs="Arial" w:eastAsia="Arial" w:hAnsi="Arial"/>
                <w:sz w:val="17"/>
                <w:szCs w:val="17"/>
                <w:color w:val="auto"/>
              </w:rPr>
              <w:t>2,055,859</w:t>
            </w: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1,536,609</w:t>
            </w:r>
          </w:p>
        </w:tc>
        <w:tc>
          <w:tcPr>
            <w:tcW w:w="100" w:type="dxa"/>
            <w:vAlign w:val="bottom"/>
          </w:tcPr>
          <w:p>
            <w:pPr>
              <w:spacing w:after="0"/>
              <w:rPr>
                <w:sz w:val="18"/>
                <w:szCs w:val="18"/>
                <w:color w:val="auto"/>
              </w:rPr>
            </w:pPr>
          </w:p>
        </w:tc>
      </w:tr>
      <w:tr>
        <w:trPr>
          <w:trHeight w:val="208"/>
        </w:trPr>
        <w:tc>
          <w:tcPr>
            <w:tcW w:w="8220" w:type="dxa"/>
            <w:vAlign w:val="bottom"/>
            <w:shd w:val="clear" w:color="auto" w:fill="CCEEFF"/>
          </w:tcPr>
          <w:p>
            <w:pPr>
              <w:spacing w:after="0"/>
              <w:rPr>
                <w:sz w:val="20"/>
                <w:szCs w:val="20"/>
                <w:color w:val="auto"/>
              </w:rPr>
            </w:pPr>
            <w:r>
              <w:rPr>
                <w:rFonts w:ascii="Arial" w:cs="Arial" w:eastAsia="Arial" w:hAnsi="Arial"/>
                <w:sz w:val="17"/>
                <w:szCs w:val="17"/>
                <w:color w:val="auto"/>
              </w:rPr>
              <w:t>From 1 to 3 years</w:t>
            </w: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1,715,035</w:t>
            </w: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1,214,848</w:t>
            </w:r>
          </w:p>
        </w:tc>
        <w:tc>
          <w:tcPr>
            <w:tcW w:w="100" w:type="dxa"/>
            <w:vAlign w:val="bottom"/>
            <w:shd w:val="clear" w:color="auto" w:fill="CCEEFF"/>
          </w:tcPr>
          <w:p>
            <w:pPr>
              <w:spacing w:after="0"/>
              <w:rPr>
                <w:sz w:val="18"/>
                <w:szCs w:val="18"/>
                <w:color w:val="auto"/>
              </w:rPr>
            </w:pPr>
          </w:p>
        </w:tc>
      </w:tr>
      <w:tr>
        <w:trPr>
          <w:trHeight w:val="208"/>
        </w:trPr>
        <w:tc>
          <w:tcPr>
            <w:tcW w:w="8220" w:type="dxa"/>
            <w:vAlign w:val="bottom"/>
          </w:tcPr>
          <w:p>
            <w:pPr>
              <w:spacing w:after="0"/>
              <w:rPr>
                <w:sz w:val="20"/>
                <w:szCs w:val="20"/>
                <w:color w:val="auto"/>
              </w:rPr>
            </w:pPr>
            <w:r>
              <w:rPr>
                <w:rFonts w:ascii="Arial" w:cs="Arial" w:eastAsia="Arial" w:hAnsi="Arial"/>
                <w:sz w:val="17"/>
                <w:szCs w:val="17"/>
                <w:color w:val="auto"/>
              </w:rPr>
              <w:t>From 3 to 5 years</w:t>
            </w:r>
          </w:p>
        </w:tc>
        <w:tc>
          <w:tcPr>
            <w:tcW w:w="1420" w:type="dxa"/>
            <w:vAlign w:val="bottom"/>
            <w:gridSpan w:val="2"/>
          </w:tcPr>
          <w:p>
            <w:pPr>
              <w:jc w:val="right"/>
              <w:ind w:right="200"/>
              <w:spacing w:after="0"/>
              <w:rPr>
                <w:sz w:val="20"/>
                <w:szCs w:val="20"/>
                <w:color w:val="auto"/>
              </w:rPr>
            </w:pPr>
            <w:r>
              <w:rPr>
                <w:rFonts w:ascii="Arial" w:cs="Arial" w:eastAsia="Arial" w:hAnsi="Arial"/>
                <w:sz w:val="17"/>
                <w:szCs w:val="17"/>
                <w:color w:val="auto"/>
              </w:rPr>
              <w:t>452,577</w:t>
            </w:r>
          </w:p>
        </w:tc>
        <w:tc>
          <w:tcPr>
            <w:tcW w:w="1200" w:type="dxa"/>
            <w:vAlign w:val="bottom"/>
          </w:tcPr>
          <w:p>
            <w:pPr>
              <w:jc w:val="right"/>
              <w:spacing w:after="0"/>
              <w:rPr>
                <w:sz w:val="20"/>
                <w:szCs w:val="20"/>
                <w:color w:val="auto"/>
              </w:rPr>
            </w:pPr>
            <w:r>
              <w:rPr>
                <w:rFonts w:ascii="Arial" w:cs="Arial" w:eastAsia="Arial" w:hAnsi="Arial"/>
                <w:sz w:val="17"/>
                <w:szCs w:val="17"/>
                <w:color w:val="auto"/>
              </w:rPr>
              <w:t>554,600</w:t>
            </w:r>
          </w:p>
        </w:tc>
        <w:tc>
          <w:tcPr>
            <w:tcW w:w="100" w:type="dxa"/>
            <w:vAlign w:val="bottom"/>
          </w:tcPr>
          <w:p>
            <w:pPr>
              <w:spacing w:after="0"/>
              <w:rPr>
                <w:sz w:val="18"/>
                <w:szCs w:val="18"/>
                <w:color w:val="auto"/>
              </w:rPr>
            </w:pPr>
          </w:p>
        </w:tc>
      </w:tr>
      <w:tr>
        <w:trPr>
          <w:trHeight w:val="221"/>
        </w:trPr>
        <w:tc>
          <w:tcPr>
            <w:tcW w:w="8220" w:type="dxa"/>
            <w:vAlign w:val="bottom"/>
            <w:shd w:val="clear" w:color="auto" w:fill="CCEEFF"/>
          </w:tcPr>
          <w:p>
            <w:pPr>
              <w:spacing w:after="0"/>
              <w:rPr>
                <w:sz w:val="20"/>
                <w:szCs w:val="20"/>
                <w:color w:val="auto"/>
              </w:rPr>
            </w:pPr>
            <w:r>
              <w:rPr>
                <w:rFonts w:ascii="Arial" w:cs="Arial" w:eastAsia="Arial" w:hAnsi="Arial"/>
                <w:sz w:val="17"/>
                <w:szCs w:val="17"/>
                <w:color w:val="auto"/>
              </w:rPr>
              <w:t>Over 5 years</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1,561,778</w:t>
            </w:r>
          </w:p>
        </w:tc>
        <w:tc>
          <w:tcPr>
            <w:tcW w:w="200" w:type="dxa"/>
            <w:vAlign w:val="bottom"/>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1,347,628</w:t>
            </w:r>
          </w:p>
        </w:tc>
        <w:tc>
          <w:tcPr>
            <w:tcW w:w="100" w:type="dxa"/>
            <w:vAlign w:val="bottom"/>
            <w:shd w:val="clear" w:color="auto" w:fill="CCEEFF"/>
          </w:tcPr>
          <w:p>
            <w:pPr>
              <w:spacing w:after="0"/>
              <w:rPr>
                <w:sz w:val="19"/>
                <w:szCs w:val="19"/>
                <w:color w:val="auto"/>
              </w:rPr>
            </w:pPr>
          </w:p>
        </w:tc>
      </w:tr>
      <w:tr>
        <w:trPr>
          <w:trHeight w:val="201"/>
        </w:trPr>
        <w:tc>
          <w:tcPr>
            <w:tcW w:w="8220" w:type="dxa"/>
            <w:vAlign w:val="bottom"/>
          </w:tcPr>
          <w:p>
            <w:pPr>
              <w:spacing w:after="0"/>
              <w:rPr>
                <w:sz w:val="20"/>
                <w:szCs w:val="20"/>
                <w:color w:val="auto"/>
              </w:rPr>
            </w:pPr>
            <w:r>
              <w:rPr>
                <w:rFonts w:ascii="Arial" w:cs="Arial" w:eastAsia="Arial" w:hAnsi="Arial"/>
                <w:sz w:val="17"/>
                <w:szCs w:val="17"/>
                <w:b w:val="1"/>
                <w:bCs w:val="1"/>
                <w:color w:val="auto"/>
              </w:rPr>
              <w:t>Total</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7,954,271</w:t>
            </w:r>
          </w:p>
        </w:tc>
        <w:tc>
          <w:tcPr>
            <w:tcW w:w="200" w:type="dxa"/>
            <w:vAlign w:val="bottom"/>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7,455,184</w:t>
            </w:r>
          </w:p>
        </w:tc>
        <w:tc>
          <w:tcPr>
            <w:tcW w:w="100" w:type="dxa"/>
            <w:vAlign w:val="bottom"/>
          </w:tcPr>
          <w:p>
            <w:pPr>
              <w:spacing w:after="0"/>
              <w:rPr>
                <w:sz w:val="17"/>
                <w:szCs w:val="17"/>
                <w:color w:val="auto"/>
              </w:rPr>
            </w:pPr>
          </w:p>
        </w:tc>
      </w:tr>
      <w:tr>
        <w:trPr>
          <w:trHeight w:val="20"/>
        </w:trPr>
        <w:tc>
          <w:tcPr>
            <w:tcW w:w="82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5" w:lineRule="exact"/>
        <w:rPr>
          <w:sz w:val="20"/>
          <w:szCs w:val="20"/>
          <w:color w:val="auto"/>
        </w:rPr>
      </w:pPr>
    </w:p>
    <w:p>
      <w:pPr>
        <w:ind w:left="316" w:right="680" w:hanging="316"/>
        <w:spacing w:after="0" w:line="285" w:lineRule="auto"/>
        <w:tabs>
          <w:tab w:leader="none" w:pos="316" w:val="left"/>
        </w:tabs>
        <w:numPr>
          <w:ilvl w:val="0"/>
          <w:numId w:val="100"/>
        </w:numPr>
        <w:rPr>
          <w:rFonts w:ascii="Arial" w:cs="Arial" w:eastAsia="Arial" w:hAnsi="Arial"/>
          <w:sz w:val="17"/>
          <w:szCs w:val="17"/>
          <w:color w:val="auto"/>
        </w:rPr>
      </w:pPr>
      <w:r>
        <w:rPr>
          <w:rFonts w:ascii="Arial" w:cs="Arial" w:eastAsia="Arial" w:hAnsi="Arial"/>
          <w:sz w:val="17"/>
          <w:szCs w:val="17"/>
          <w:color w:val="auto"/>
        </w:rPr>
        <w:t>At December 31, 2017 and 2016, lines of credit granted by several local and foreign financial institutions, available for future operating activities total S/7,294.5 million and S/7,047.0 million, respectively.</w:t>
      </w:r>
    </w:p>
    <w:p>
      <w:pPr>
        <w:spacing w:after="0" w:line="159" w:lineRule="exact"/>
        <w:rPr>
          <w:rFonts w:ascii="Arial" w:cs="Arial" w:eastAsia="Arial" w:hAnsi="Arial"/>
          <w:sz w:val="17"/>
          <w:szCs w:val="17"/>
          <w:color w:val="auto"/>
        </w:rPr>
      </w:pPr>
    </w:p>
    <w:p>
      <w:pPr>
        <w:jc w:val="both"/>
        <w:ind w:left="316" w:hanging="316"/>
        <w:spacing w:after="0" w:line="355" w:lineRule="auto"/>
        <w:tabs>
          <w:tab w:leader="none" w:pos="316" w:val="left"/>
        </w:tabs>
        <w:numPr>
          <w:ilvl w:val="0"/>
          <w:numId w:val="100"/>
        </w:numPr>
        <w:rPr>
          <w:rFonts w:ascii="Arial" w:cs="Arial" w:eastAsia="Arial" w:hAnsi="Arial"/>
          <w:sz w:val="15"/>
          <w:szCs w:val="15"/>
          <w:color w:val="auto"/>
        </w:rPr>
      </w:pPr>
      <w:r>
        <w:rPr>
          <w:rFonts w:ascii="Arial" w:cs="Arial" w:eastAsia="Arial" w:hAnsi="Arial"/>
          <w:sz w:val="15"/>
          <w:szCs w:val="15"/>
          <w:color w:val="auto"/>
        </w:rPr>
        <w:t>Some debts to banks and correspondents include standard “covenants” related to the compliance of financial ratios, the use of the funds and other administrative matters; which, in Management’s opinion, do not limit the Group’s operations and have been complied with at the date of the consolidated financial statements.</w:t>
      </w:r>
    </w:p>
    <w:p>
      <w:pPr>
        <w:spacing w:after="0" w:line="321" w:lineRule="exact"/>
        <w:rPr>
          <w:rFonts w:ascii="Arial" w:cs="Arial" w:eastAsia="Arial" w:hAnsi="Arial"/>
          <w:sz w:val="15"/>
          <w:szCs w:val="15"/>
          <w:color w:val="auto"/>
        </w:rPr>
      </w:pPr>
    </w:p>
    <w:p>
      <w:pPr>
        <w:ind w:left="5636" w:hanging="107"/>
        <w:spacing w:after="0"/>
        <w:tabs>
          <w:tab w:leader="none" w:pos="5636" w:val="left"/>
        </w:tabs>
        <w:numPr>
          <w:ilvl w:val="1"/>
          <w:numId w:val="100"/>
        </w:numPr>
        <w:rPr>
          <w:rFonts w:ascii="Arial" w:cs="Arial" w:eastAsia="Arial" w:hAnsi="Arial"/>
          <w:sz w:val="17"/>
          <w:szCs w:val="17"/>
          <w:color w:val="auto"/>
        </w:rPr>
      </w:pPr>
      <w:r>
        <w:rPr>
          <w:rFonts w:ascii="Arial" w:cs="Arial" w:eastAsia="Arial" w:hAnsi="Arial"/>
          <w:sz w:val="17"/>
          <w:szCs w:val="17"/>
          <w:color w:val="auto"/>
        </w:rPr>
        <w:t>79 -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15875</wp:posOffset>
            </wp:positionV>
            <wp:extent cx="725170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51700" cy="8255"/>
                    </a:xfrm>
                    <a:prstGeom prst="rect">
                      <a:avLst/>
                    </a:prstGeom>
                    <a:noFill/>
                  </pic:spPr>
                </pic:pic>
              </a:graphicData>
            </a:graphic>
          </wp:anchor>
        </w:drawing>
      </w:r>
    </w:p>
    <w:p>
      <w:pPr>
        <w:sectPr>
          <w:pgSz w:w="11900" w:h="16838" w:orient="portrait"/>
          <w:cols w:equalWidth="0" w:num="1">
            <w:col w:w="11416"/>
          </w:cols>
          <w:pgMar w:left="244" w:top="881" w:right="239" w:bottom="1440" w:gutter="0" w:footer="0" w:header="0"/>
        </w:sectPr>
      </w:pPr>
    </w:p>
    <w:bookmarkStart w:id="85" w:name="page86"/>
    <w:bookmarkEnd w:id="85"/>
    <w:p>
      <w:pPr>
        <w:spacing w:after="0"/>
        <w:tabs>
          <w:tab w:leader="none" w:pos="300" w:val="left"/>
        </w:tabs>
        <w:rPr>
          <w:sz w:val="20"/>
          <w:szCs w:val="20"/>
          <w:color w:val="auto"/>
        </w:rPr>
      </w:pPr>
      <w:r>
        <w:rPr>
          <w:rFonts w:ascii="Arial" w:cs="Arial" w:eastAsia="Arial" w:hAnsi="Arial"/>
          <w:sz w:val="17"/>
          <w:szCs w:val="17"/>
          <w:b w:val="1"/>
          <w:bCs w:val="1"/>
          <w:color w:val="auto"/>
        </w:rPr>
        <w:t>15</w:t>
        <w:tab/>
        <w:t>TECHNICAL RESERVES AND UNEARNED PREMIUMS</w:t>
      </w:r>
    </w:p>
    <w:p>
      <w:pPr>
        <w:spacing w:after="0" w:line="226" w:lineRule="exact"/>
        <w:rPr>
          <w:sz w:val="20"/>
          <w:szCs w:val="20"/>
          <w:color w:val="auto"/>
        </w:rPr>
      </w:pPr>
    </w:p>
    <w:p>
      <w:pPr>
        <w:ind w:left="320" w:hanging="316"/>
        <w:spacing w:after="0"/>
        <w:tabs>
          <w:tab w:leader="none" w:pos="320" w:val="left"/>
        </w:tabs>
        <w:numPr>
          <w:ilvl w:val="0"/>
          <w:numId w:val="101"/>
        </w:numPr>
        <w:rPr>
          <w:rFonts w:ascii="Arial" w:cs="Arial" w:eastAsia="Arial" w:hAnsi="Arial"/>
          <w:sz w:val="17"/>
          <w:szCs w:val="17"/>
          <w:color w:val="auto"/>
        </w:rPr>
      </w:pPr>
      <w:r>
        <w:rPr>
          <w:rFonts w:ascii="Arial" w:cs="Arial" w:eastAsia="Arial" w:hAnsi="Arial"/>
          <w:sz w:val="17"/>
          <w:szCs w:val="17"/>
          <w:color w:val="auto"/>
        </w:rPr>
        <w:t>This item consists of the following:</w:t>
      </w:r>
    </w:p>
    <w:p>
      <w:pPr>
        <w:spacing w:after="0" w:line="227" w:lineRule="exact"/>
        <w:rPr>
          <w:sz w:val="20"/>
          <w:szCs w:val="20"/>
          <w:color w:val="auto"/>
        </w:rPr>
      </w:pPr>
    </w:p>
    <w:tbl>
      <w:tblPr>
        <w:tblLayout w:type="fixed"/>
        <w:tblInd w:w="320" w:type="dxa"/>
        <w:tblCellMar>
          <w:top w:w="0" w:type="dxa"/>
          <w:left w:w="0" w:type="dxa"/>
          <w:bottom w:w="0" w:type="dxa"/>
          <w:right w:w="0" w:type="dxa"/>
        </w:tblCellMar>
      </w:tblPr>
      <w:tr>
        <w:trPr>
          <w:trHeight w:val="226"/>
        </w:trPr>
        <w:tc>
          <w:tcPr>
            <w:tcW w:w="6800" w:type="dxa"/>
            <w:vAlign w:val="bottom"/>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89"/>
              </w:rPr>
              <w:t>2017</w:t>
            </w: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182"/>
        </w:trPr>
        <w:tc>
          <w:tcPr>
            <w:tcW w:w="6800" w:type="dxa"/>
            <w:vAlign w:val="bottom"/>
          </w:tcPr>
          <w:p>
            <w:pPr>
              <w:spacing w:after="0"/>
              <w:rPr>
                <w:sz w:val="15"/>
                <w:szCs w:val="15"/>
                <w:color w:val="auto"/>
              </w:rPr>
            </w:pPr>
          </w:p>
        </w:tc>
        <w:tc>
          <w:tcPr>
            <w:tcW w:w="1440" w:type="dxa"/>
            <w:vAlign w:val="bottom"/>
            <w:gridSpan w:val="2"/>
          </w:tcPr>
          <w:p>
            <w:pPr>
              <w:jc w:val="center"/>
              <w:ind w:right="200"/>
              <w:spacing w:after="0" w:line="183" w:lineRule="exact"/>
              <w:rPr>
                <w:sz w:val="20"/>
                <w:szCs w:val="20"/>
                <w:color w:val="auto"/>
              </w:rPr>
            </w:pPr>
            <w:r>
              <w:rPr>
                <w:rFonts w:ascii="Arial" w:cs="Arial" w:eastAsia="Arial" w:hAnsi="Arial"/>
                <w:sz w:val="17"/>
                <w:szCs w:val="17"/>
                <w:b w:val="1"/>
                <w:bCs w:val="1"/>
                <w:color w:val="auto"/>
                <w:w w:val="88"/>
              </w:rPr>
              <w:t>Claims reserves</w:t>
            </w:r>
          </w:p>
        </w:tc>
        <w:tc>
          <w:tcPr>
            <w:tcW w:w="1400" w:type="dxa"/>
            <w:vAlign w:val="bottom"/>
            <w:gridSpan w:val="2"/>
          </w:tcPr>
          <w:p>
            <w:pPr>
              <w:jc w:val="right"/>
              <w:ind w:right="460"/>
              <w:spacing w:after="0" w:line="183" w:lineRule="exact"/>
              <w:rPr>
                <w:sz w:val="20"/>
                <w:szCs w:val="20"/>
                <w:color w:val="auto"/>
              </w:rPr>
            </w:pPr>
            <w:r>
              <w:rPr>
                <w:rFonts w:ascii="Arial" w:cs="Arial" w:eastAsia="Arial" w:hAnsi="Arial"/>
                <w:sz w:val="17"/>
                <w:szCs w:val="17"/>
                <w:b w:val="1"/>
                <w:bCs w:val="1"/>
                <w:color w:val="auto"/>
              </w:rPr>
              <w:t>Technical</w:t>
            </w: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26"/>
        </w:trPr>
        <w:tc>
          <w:tcPr>
            <w:tcW w:w="6800" w:type="dxa"/>
            <w:vAlign w:val="bottom"/>
          </w:tcPr>
          <w:p>
            <w:pPr>
              <w:spacing w:after="0"/>
              <w:rPr>
                <w:sz w:val="19"/>
                <w:szCs w:val="19"/>
                <w:color w:val="auto"/>
              </w:rPr>
            </w:pPr>
          </w:p>
        </w:tc>
        <w:tc>
          <w:tcPr>
            <w:tcW w:w="1440" w:type="dxa"/>
            <w:vAlign w:val="bottom"/>
            <w:gridSpan w:val="2"/>
          </w:tcPr>
          <w:p>
            <w:pPr>
              <w:jc w:val="center"/>
              <w:ind w:right="220"/>
              <w:spacing w:after="0"/>
              <w:rPr>
                <w:sz w:val="20"/>
                <w:szCs w:val="20"/>
                <w:color w:val="auto"/>
              </w:rPr>
            </w:pPr>
            <w:r>
              <w:rPr>
                <w:rFonts w:ascii="Arial" w:cs="Arial" w:eastAsia="Arial" w:hAnsi="Arial"/>
                <w:sz w:val="17"/>
                <w:szCs w:val="17"/>
                <w:b w:val="1"/>
                <w:bCs w:val="1"/>
                <w:color w:val="auto"/>
                <w:w w:val="90"/>
              </w:rPr>
              <w:t>direct</w:t>
            </w:r>
          </w:p>
        </w:tc>
        <w:tc>
          <w:tcPr>
            <w:tcW w:w="1400" w:type="dxa"/>
            <w:vAlign w:val="bottom"/>
            <w:gridSpan w:val="2"/>
          </w:tcPr>
          <w:p>
            <w:pPr>
              <w:jc w:val="center"/>
              <w:ind w:right="200"/>
              <w:spacing w:after="0"/>
              <w:rPr>
                <w:sz w:val="20"/>
                <w:szCs w:val="20"/>
                <w:color w:val="auto"/>
              </w:rPr>
            </w:pPr>
            <w:r>
              <w:rPr>
                <w:rFonts w:ascii="Arial" w:cs="Arial" w:eastAsia="Arial" w:hAnsi="Arial"/>
                <w:sz w:val="17"/>
                <w:szCs w:val="17"/>
                <w:b w:val="1"/>
                <w:bCs w:val="1"/>
                <w:color w:val="auto"/>
                <w:w w:val="90"/>
              </w:rPr>
              <w:t>reserves (*)</w:t>
            </w:r>
          </w:p>
        </w:tc>
        <w:tc>
          <w:tcPr>
            <w:tcW w:w="1300" w:type="dxa"/>
            <w:vAlign w:val="bottom"/>
            <w:gridSpan w:val="2"/>
          </w:tcPr>
          <w:p>
            <w:pPr>
              <w:jc w:val="center"/>
              <w:ind w:right="80"/>
              <w:spacing w:after="0"/>
              <w:rPr>
                <w:sz w:val="20"/>
                <w:szCs w:val="20"/>
                <w:color w:val="auto"/>
              </w:rPr>
            </w:pPr>
            <w:r>
              <w:rPr>
                <w:rFonts w:ascii="Arial" w:cs="Arial" w:eastAsia="Arial" w:hAnsi="Arial"/>
                <w:sz w:val="17"/>
                <w:szCs w:val="17"/>
                <w:b w:val="1"/>
                <w:bCs w:val="1"/>
                <w:color w:val="auto"/>
                <w:w w:val="93"/>
              </w:rPr>
              <w:t>Total</w:t>
            </w:r>
          </w:p>
        </w:tc>
      </w:tr>
      <w:tr>
        <w:trPr>
          <w:trHeight w:val="219"/>
        </w:trPr>
        <w:tc>
          <w:tcPr>
            <w:tcW w:w="6800" w:type="dxa"/>
            <w:vAlign w:val="bottom"/>
          </w:tcPr>
          <w:p>
            <w:pPr>
              <w:spacing w:after="0"/>
              <w:rPr>
                <w:sz w:val="19"/>
                <w:szCs w:val="19"/>
                <w:color w:val="auto"/>
              </w:rPr>
            </w:pPr>
          </w:p>
        </w:tc>
        <w:tc>
          <w:tcPr>
            <w:tcW w:w="1220" w:type="dxa"/>
            <w:vAlign w:val="bottom"/>
            <w:tcBorders>
              <w:top w:val="single" w:sz="8" w:color="auto"/>
            </w:tcBorders>
          </w:tcPr>
          <w:p>
            <w:pPr>
              <w:jc w:val="center"/>
              <w:spacing w:after="0"/>
              <w:rPr>
                <w:sz w:val="20"/>
                <w:szCs w:val="20"/>
                <w:color w:val="auto"/>
              </w:rPr>
            </w:pPr>
            <w:r>
              <w:rPr>
                <w:rFonts w:ascii="Arial" w:cs="Arial" w:eastAsia="Arial" w:hAnsi="Arial"/>
                <w:sz w:val="17"/>
                <w:szCs w:val="17"/>
                <w:b w:val="1"/>
                <w:bCs w:val="1"/>
                <w:color w:val="auto"/>
                <w:w w:val="93"/>
              </w:rPr>
              <w:t>S/(000)</w:t>
            </w:r>
          </w:p>
        </w:tc>
        <w:tc>
          <w:tcPr>
            <w:tcW w:w="220" w:type="dxa"/>
            <w:vAlign w:val="bottom"/>
          </w:tcPr>
          <w:p>
            <w:pPr>
              <w:spacing w:after="0"/>
              <w:rPr>
                <w:sz w:val="19"/>
                <w:szCs w:val="19"/>
                <w:color w:val="auto"/>
              </w:rPr>
            </w:pPr>
          </w:p>
        </w:tc>
        <w:tc>
          <w:tcPr>
            <w:tcW w:w="1200" w:type="dxa"/>
            <w:vAlign w:val="bottom"/>
            <w:tcBorders>
              <w:top w:val="single" w:sz="8" w:color="auto"/>
            </w:tcBorders>
          </w:tcPr>
          <w:p>
            <w:pPr>
              <w:jc w:val="center"/>
              <w:spacing w:after="0"/>
              <w:rPr>
                <w:sz w:val="20"/>
                <w:szCs w:val="20"/>
                <w:color w:val="auto"/>
              </w:rPr>
            </w:pPr>
            <w:r>
              <w:rPr>
                <w:rFonts w:ascii="Arial" w:cs="Arial" w:eastAsia="Arial" w:hAnsi="Arial"/>
                <w:sz w:val="17"/>
                <w:szCs w:val="17"/>
                <w:b w:val="1"/>
                <w:bCs w:val="1"/>
                <w:color w:val="auto"/>
                <w:w w:val="93"/>
              </w:rPr>
              <w:t>S/(000)</w:t>
            </w:r>
          </w:p>
        </w:tc>
        <w:tc>
          <w:tcPr>
            <w:tcW w:w="200" w:type="dxa"/>
            <w:vAlign w:val="bottom"/>
          </w:tcPr>
          <w:p>
            <w:pPr>
              <w:spacing w:after="0"/>
              <w:rPr>
                <w:sz w:val="19"/>
                <w:szCs w:val="19"/>
                <w:color w:val="auto"/>
              </w:rPr>
            </w:pPr>
          </w:p>
        </w:tc>
        <w:tc>
          <w:tcPr>
            <w:tcW w:w="1200" w:type="dxa"/>
            <w:vAlign w:val="bottom"/>
            <w:tcBorders>
              <w:top w:val="single" w:sz="8" w:color="auto"/>
            </w:tcBorders>
          </w:tcPr>
          <w:p>
            <w:pPr>
              <w:jc w:val="center"/>
              <w:spacing w:after="0"/>
              <w:rPr>
                <w:sz w:val="20"/>
                <w:szCs w:val="20"/>
                <w:color w:val="auto"/>
              </w:rPr>
            </w:pPr>
            <w:r>
              <w:rPr>
                <w:rFonts w:ascii="Arial" w:cs="Arial" w:eastAsia="Arial" w:hAnsi="Arial"/>
                <w:sz w:val="17"/>
                <w:szCs w:val="17"/>
                <w:b w:val="1"/>
                <w:bCs w:val="1"/>
                <w:color w:val="auto"/>
                <w:w w:val="93"/>
              </w:rPr>
              <w:t>S/(000)</w:t>
            </w:r>
          </w:p>
        </w:tc>
        <w:tc>
          <w:tcPr>
            <w:tcW w:w="100" w:type="dxa"/>
            <w:vAlign w:val="bottom"/>
          </w:tcPr>
          <w:p>
            <w:pPr>
              <w:spacing w:after="0"/>
              <w:rPr>
                <w:sz w:val="19"/>
                <w:szCs w:val="19"/>
                <w:color w:val="auto"/>
              </w:rPr>
            </w:pPr>
          </w:p>
        </w:tc>
      </w:tr>
      <w:tr>
        <w:trPr>
          <w:trHeight w:val="189"/>
        </w:trPr>
        <w:tc>
          <w:tcPr>
            <w:tcW w:w="68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08"/>
        </w:trPr>
        <w:tc>
          <w:tcPr>
            <w:tcW w:w="6800" w:type="dxa"/>
            <w:vAlign w:val="bottom"/>
            <w:shd w:val="clear" w:color="auto" w:fill="CCEEFF"/>
          </w:tcPr>
          <w:p>
            <w:pPr>
              <w:spacing w:after="0"/>
              <w:rPr>
                <w:sz w:val="20"/>
                <w:szCs w:val="20"/>
                <w:color w:val="auto"/>
              </w:rPr>
            </w:pPr>
            <w:r>
              <w:rPr>
                <w:rFonts w:ascii="Arial" w:cs="Arial" w:eastAsia="Arial" w:hAnsi="Arial"/>
                <w:sz w:val="17"/>
                <w:szCs w:val="17"/>
                <w:color w:val="auto"/>
              </w:rPr>
              <w:t>Life insurance</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626,871</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5,599,777</w:t>
            </w: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6,226,648</w:t>
            </w:r>
          </w:p>
        </w:tc>
        <w:tc>
          <w:tcPr>
            <w:tcW w:w="100" w:type="dxa"/>
            <w:vAlign w:val="bottom"/>
            <w:shd w:val="clear" w:color="auto" w:fill="CCEEFF"/>
          </w:tcPr>
          <w:p>
            <w:pPr>
              <w:spacing w:after="0"/>
              <w:rPr>
                <w:sz w:val="18"/>
                <w:szCs w:val="18"/>
                <w:color w:val="auto"/>
              </w:rPr>
            </w:pPr>
          </w:p>
        </w:tc>
      </w:tr>
      <w:tr>
        <w:trPr>
          <w:trHeight w:val="208"/>
        </w:trPr>
        <w:tc>
          <w:tcPr>
            <w:tcW w:w="6800" w:type="dxa"/>
            <w:vAlign w:val="bottom"/>
          </w:tcPr>
          <w:p>
            <w:pPr>
              <w:spacing w:after="0"/>
              <w:rPr>
                <w:sz w:val="20"/>
                <w:szCs w:val="20"/>
                <w:color w:val="auto"/>
              </w:rPr>
            </w:pPr>
            <w:r>
              <w:rPr>
                <w:rFonts w:ascii="Arial" w:cs="Arial" w:eastAsia="Arial" w:hAnsi="Arial"/>
                <w:sz w:val="17"/>
                <w:szCs w:val="17"/>
                <w:color w:val="auto"/>
              </w:rPr>
              <w:t>General insurance</w:t>
            </w:r>
          </w:p>
        </w:tc>
        <w:tc>
          <w:tcPr>
            <w:tcW w:w="1440" w:type="dxa"/>
            <w:vAlign w:val="bottom"/>
            <w:gridSpan w:val="2"/>
          </w:tcPr>
          <w:p>
            <w:pPr>
              <w:jc w:val="right"/>
              <w:ind w:right="220"/>
              <w:spacing w:after="0"/>
              <w:rPr>
                <w:sz w:val="20"/>
                <w:szCs w:val="20"/>
                <w:color w:val="auto"/>
              </w:rPr>
            </w:pPr>
            <w:r>
              <w:rPr>
                <w:rFonts w:ascii="Arial" w:cs="Arial" w:eastAsia="Arial" w:hAnsi="Arial"/>
                <w:sz w:val="17"/>
                <w:szCs w:val="17"/>
                <w:color w:val="auto"/>
              </w:rPr>
              <w:t>484,608</w:t>
            </w:r>
          </w:p>
        </w:tc>
        <w:tc>
          <w:tcPr>
            <w:tcW w:w="1400" w:type="dxa"/>
            <w:vAlign w:val="bottom"/>
            <w:gridSpan w:val="2"/>
          </w:tcPr>
          <w:p>
            <w:pPr>
              <w:jc w:val="right"/>
              <w:ind w:right="200"/>
              <w:spacing w:after="0"/>
              <w:rPr>
                <w:sz w:val="20"/>
                <w:szCs w:val="20"/>
                <w:color w:val="auto"/>
              </w:rPr>
            </w:pPr>
            <w:r>
              <w:rPr>
                <w:rFonts w:ascii="Arial" w:cs="Arial" w:eastAsia="Arial" w:hAnsi="Arial"/>
                <w:sz w:val="17"/>
                <w:szCs w:val="17"/>
                <w:color w:val="auto"/>
              </w:rPr>
              <w:t>513,826</w:t>
            </w:r>
          </w:p>
        </w:tc>
        <w:tc>
          <w:tcPr>
            <w:tcW w:w="1200" w:type="dxa"/>
            <w:vAlign w:val="bottom"/>
          </w:tcPr>
          <w:p>
            <w:pPr>
              <w:jc w:val="right"/>
              <w:spacing w:after="0"/>
              <w:rPr>
                <w:sz w:val="20"/>
                <w:szCs w:val="20"/>
                <w:color w:val="auto"/>
              </w:rPr>
            </w:pPr>
            <w:r>
              <w:rPr>
                <w:rFonts w:ascii="Arial" w:cs="Arial" w:eastAsia="Arial" w:hAnsi="Arial"/>
                <w:sz w:val="17"/>
                <w:szCs w:val="17"/>
                <w:color w:val="auto"/>
              </w:rPr>
              <w:t>998,434</w:t>
            </w:r>
          </w:p>
        </w:tc>
        <w:tc>
          <w:tcPr>
            <w:tcW w:w="100" w:type="dxa"/>
            <w:vAlign w:val="bottom"/>
          </w:tcPr>
          <w:p>
            <w:pPr>
              <w:spacing w:after="0"/>
              <w:rPr>
                <w:sz w:val="18"/>
                <w:szCs w:val="18"/>
                <w:color w:val="auto"/>
              </w:rPr>
            </w:pPr>
          </w:p>
        </w:tc>
      </w:tr>
      <w:tr>
        <w:trPr>
          <w:trHeight w:val="221"/>
        </w:trPr>
        <w:tc>
          <w:tcPr>
            <w:tcW w:w="6800" w:type="dxa"/>
            <w:vAlign w:val="bottom"/>
            <w:shd w:val="clear" w:color="auto" w:fill="CCEEFF"/>
          </w:tcPr>
          <w:p>
            <w:pPr>
              <w:spacing w:after="0"/>
              <w:rPr>
                <w:sz w:val="20"/>
                <w:szCs w:val="20"/>
                <w:color w:val="auto"/>
              </w:rPr>
            </w:pPr>
            <w:r>
              <w:rPr>
                <w:rFonts w:ascii="Arial" w:cs="Arial" w:eastAsia="Arial" w:hAnsi="Arial"/>
                <w:sz w:val="17"/>
                <w:szCs w:val="17"/>
                <w:color w:val="auto"/>
              </w:rPr>
              <w:t>Health insurance</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69,373</w:t>
            </w: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149,305</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218,678</w:t>
            </w:r>
          </w:p>
        </w:tc>
        <w:tc>
          <w:tcPr>
            <w:tcW w:w="100" w:type="dxa"/>
            <w:vAlign w:val="bottom"/>
            <w:shd w:val="clear" w:color="auto" w:fill="CCEEFF"/>
          </w:tcPr>
          <w:p>
            <w:pPr>
              <w:spacing w:after="0"/>
              <w:rPr>
                <w:sz w:val="19"/>
                <w:szCs w:val="19"/>
                <w:color w:val="auto"/>
              </w:rPr>
            </w:pPr>
          </w:p>
        </w:tc>
      </w:tr>
      <w:tr>
        <w:trPr>
          <w:trHeight w:val="201"/>
        </w:trPr>
        <w:tc>
          <w:tcPr>
            <w:tcW w:w="6800" w:type="dxa"/>
            <w:vAlign w:val="bottom"/>
          </w:tcPr>
          <w:p>
            <w:pPr>
              <w:spacing w:after="0"/>
              <w:rPr>
                <w:sz w:val="20"/>
                <w:szCs w:val="20"/>
                <w:color w:val="auto"/>
              </w:rPr>
            </w:pPr>
            <w:r>
              <w:rPr>
                <w:rFonts w:ascii="Arial" w:cs="Arial" w:eastAsia="Arial" w:hAnsi="Arial"/>
                <w:sz w:val="17"/>
                <w:szCs w:val="17"/>
                <w:b w:val="1"/>
                <w:bCs w:val="1"/>
                <w:color w:val="auto"/>
              </w:rPr>
              <w:t>Total</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1,180,852</w:t>
            </w:r>
          </w:p>
        </w:tc>
        <w:tc>
          <w:tcPr>
            <w:tcW w:w="220" w:type="dxa"/>
            <w:vAlign w:val="bottom"/>
          </w:tcPr>
          <w:p>
            <w:pPr>
              <w:spacing w:after="0"/>
              <w:rPr>
                <w:sz w:val="17"/>
                <w:szCs w:val="17"/>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6,262,908</w:t>
            </w:r>
          </w:p>
        </w:tc>
        <w:tc>
          <w:tcPr>
            <w:tcW w:w="200" w:type="dxa"/>
            <w:vAlign w:val="bottom"/>
          </w:tcPr>
          <w:p>
            <w:pPr>
              <w:spacing w:after="0"/>
              <w:rPr>
                <w:sz w:val="17"/>
                <w:szCs w:val="17"/>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7,443,760</w:t>
            </w:r>
          </w:p>
        </w:tc>
        <w:tc>
          <w:tcPr>
            <w:tcW w:w="100" w:type="dxa"/>
            <w:vAlign w:val="bottom"/>
          </w:tcPr>
          <w:p>
            <w:pPr>
              <w:spacing w:after="0"/>
              <w:rPr>
                <w:sz w:val="17"/>
                <w:szCs w:val="17"/>
                <w:color w:val="auto"/>
              </w:rPr>
            </w:pPr>
          </w:p>
        </w:tc>
      </w:tr>
      <w:tr>
        <w:trPr>
          <w:trHeight w:val="20"/>
        </w:trPr>
        <w:tc>
          <w:tcPr>
            <w:tcW w:w="68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08"/>
        </w:trPr>
        <w:tc>
          <w:tcPr>
            <w:tcW w:w="6800" w:type="dxa"/>
            <w:vAlign w:val="bottom"/>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89"/>
              </w:rPr>
              <w:t>2016</w:t>
            </w:r>
          </w:p>
        </w:tc>
        <w:tc>
          <w:tcPr>
            <w:tcW w:w="2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82"/>
        </w:trPr>
        <w:tc>
          <w:tcPr>
            <w:tcW w:w="6800" w:type="dxa"/>
            <w:vAlign w:val="bottom"/>
          </w:tcPr>
          <w:p>
            <w:pPr>
              <w:spacing w:after="0"/>
              <w:rPr>
                <w:sz w:val="15"/>
                <w:szCs w:val="15"/>
                <w:color w:val="auto"/>
              </w:rPr>
            </w:pPr>
          </w:p>
        </w:tc>
        <w:tc>
          <w:tcPr>
            <w:tcW w:w="1440" w:type="dxa"/>
            <w:vAlign w:val="bottom"/>
            <w:gridSpan w:val="2"/>
          </w:tcPr>
          <w:p>
            <w:pPr>
              <w:jc w:val="center"/>
              <w:ind w:right="200"/>
              <w:spacing w:after="0" w:line="183" w:lineRule="exact"/>
              <w:rPr>
                <w:sz w:val="20"/>
                <w:szCs w:val="20"/>
                <w:color w:val="auto"/>
              </w:rPr>
            </w:pPr>
            <w:r>
              <w:rPr>
                <w:rFonts w:ascii="Arial" w:cs="Arial" w:eastAsia="Arial" w:hAnsi="Arial"/>
                <w:sz w:val="17"/>
                <w:szCs w:val="17"/>
                <w:b w:val="1"/>
                <w:bCs w:val="1"/>
                <w:color w:val="auto"/>
                <w:w w:val="88"/>
              </w:rPr>
              <w:t>Claims reserves</w:t>
            </w:r>
          </w:p>
        </w:tc>
        <w:tc>
          <w:tcPr>
            <w:tcW w:w="1400" w:type="dxa"/>
            <w:vAlign w:val="bottom"/>
            <w:gridSpan w:val="2"/>
          </w:tcPr>
          <w:p>
            <w:pPr>
              <w:jc w:val="right"/>
              <w:ind w:right="460"/>
              <w:spacing w:after="0" w:line="183" w:lineRule="exact"/>
              <w:rPr>
                <w:sz w:val="20"/>
                <w:szCs w:val="20"/>
                <w:color w:val="auto"/>
              </w:rPr>
            </w:pPr>
            <w:r>
              <w:rPr>
                <w:rFonts w:ascii="Arial" w:cs="Arial" w:eastAsia="Arial" w:hAnsi="Arial"/>
                <w:sz w:val="17"/>
                <w:szCs w:val="17"/>
                <w:b w:val="1"/>
                <w:bCs w:val="1"/>
                <w:color w:val="auto"/>
              </w:rPr>
              <w:t>Technical</w:t>
            </w: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26"/>
        </w:trPr>
        <w:tc>
          <w:tcPr>
            <w:tcW w:w="6800" w:type="dxa"/>
            <w:vAlign w:val="bottom"/>
          </w:tcPr>
          <w:p>
            <w:pPr>
              <w:spacing w:after="0"/>
              <w:rPr>
                <w:sz w:val="19"/>
                <w:szCs w:val="19"/>
                <w:color w:val="auto"/>
              </w:rPr>
            </w:pPr>
          </w:p>
        </w:tc>
        <w:tc>
          <w:tcPr>
            <w:tcW w:w="1440" w:type="dxa"/>
            <w:vAlign w:val="bottom"/>
            <w:gridSpan w:val="2"/>
          </w:tcPr>
          <w:p>
            <w:pPr>
              <w:jc w:val="center"/>
              <w:ind w:right="220"/>
              <w:spacing w:after="0"/>
              <w:rPr>
                <w:sz w:val="20"/>
                <w:szCs w:val="20"/>
                <w:color w:val="auto"/>
              </w:rPr>
            </w:pPr>
            <w:r>
              <w:rPr>
                <w:rFonts w:ascii="Arial" w:cs="Arial" w:eastAsia="Arial" w:hAnsi="Arial"/>
                <w:sz w:val="17"/>
                <w:szCs w:val="17"/>
                <w:b w:val="1"/>
                <w:bCs w:val="1"/>
                <w:color w:val="auto"/>
                <w:w w:val="90"/>
              </w:rPr>
              <w:t>direct</w:t>
            </w:r>
          </w:p>
        </w:tc>
        <w:tc>
          <w:tcPr>
            <w:tcW w:w="1400" w:type="dxa"/>
            <w:vAlign w:val="bottom"/>
            <w:gridSpan w:val="2"/>
          </w:tcPr>
          <w:p>
            <w:pPr>
              <w:jc w:val="center"/>
              <w:ind w:right="200"/>
              <w:spacing w:after="0"/>
              <w:rPr>
                <w:sz w:val="20"/>
                <w:szCs w:val="20"/>
                <w:color w:val="auto"/>
              </w:rPr>
            </w:pPr>
            <w:r>
              <w:rPr>
                <w:rFonts w:ascii="Arial" w:cs="Arial" w:eastAsia="Arial" w:hAnsi="Arial"/>
                <w:sz w:val="17"/>
                <w:szCs w:val="17"/>
                <w:b w:val="1"/>
                <w:bCs w:val="1"/>
                <w:color w:val="auto"/>
                <w:w w:val="90"/>
              </w:rPr>
              <w:t>reserves (*)</w:t>
            </w:r>
          </w:p>
        </w:tc>
        <w:tc>
          <w:tcPr>
            <w:tcW w:w="1300" w:type="dxa"/>
            <w:vAlign w:val="bottom"/>
            <w:gridSpan w:val="2"/>
          </w:tcPr>
          <w:p>
            <w:pPr>
              <w:jc w:val="center"/>
              <w:ind w:right="80"/>
              <w:spacing w:after="0"/>
              <w:rPr>
                <w:sz w:val="20"/>
                <w:szCs w:val="20"/>
                <w:color w:val="auto"/>
              </w:rPr>
            </w:pPr>
            <w:r>
              <w:rPr>
                <w:rFonts w:ascii="Arial" w:cs="Arial" w:eastAsia="Arial" w:hAnsi="Arial"/>
                <w:sz w:val="17"/>
                <w:szCs w:val="17"/>
                <w:b w:val="1"/>
                <w:bCs w:val="1"/>
                <w:color w:val="auto"/>
                <w:w w:val="93"/>
              </w:rPr>
              <w:t>Total</w:t>
            </w:r>
          </w:p>
        </w:tc>
      </w:tr>
      <w:tr>
        <w:trPr>
          <w:trHeight w:val="219"/>
        </w:trPr>
        <w:tc>
          <w:tcPr>
            <w:tcW w:w="6800" w:type="dxa"/>
            <w:vAlign w:val="bottom"/>
          </w:tcPr>
          <w:p>
            <w:pPr>
              <w:spacing w:after="0"/>
              <w:rPr>
                <w:sz w:val="19"/>
                <w:szCs w:val="19"/>
                <w:color w:val="auto"/>
              </w:rPr>
            </w:pPr>
          </w:p>
        </w:tc>
        <w:tc>
          <w:tcPr>
            <w:tcW w:w="1220" w:type="dxa"/>
            <w:vAlign w:val="bottom"/>
            <w:tcBorders>
              <w:top w:val="single" w:sz="8" w:color="auto"/>
            </w:tcBorders>
          </w:tcPr>
          <w:p>
            <w:pPr>
              <w:jc w:val="center"/>
              <w:spacing w:after="0"/>
              <w:rPr>
                <w:sz w:val="20"/>
                <w:szCs w:val="20"/>
                <w:color w:val="auto"/>
              </w:rPr>
            </w:pPr>
            <w:r>
              <w:rPr>
                <w:rFonts w:ascii="Arial" w:cs="Arial" w:eastAsia="Arial" w:hAnsi="Arial"/>
                <w:sz w:val="17"/>
                <w:szCs w:val="17"/>
                <w:b w:val="1"/>
                <w:bCs w:val="1"/>
                <w:color w:val="auto"/>
                <w:w w:val="93"/>
              </w:rPr>
              <w:t>S/(000)</w:t>
            </w:r>
          </w:p>
        </w:tc>
        <w:tc>
          <w:tcPr>
            <w:tcW w:w="220" w:type="dxa"/>
            <w:vAlign w:val="bottom"/>
          </w:tcPr>
          <w:p>
            <w:pPr>
              <w:spacing w:after="0"/>
              <w:rPr>
                <w:sz w:val="19"/>
                <w:szCs w:val="19"/>
                <w:color w:val="auto"/>
              </w:rPr>
            </w:pPr>
          </w:p>
        </w:tc>
        <w:tc>
          <w:tcPr>
            <w:tcW w:w="1200" w:type="dxa"/>
            <w:vAlign w:val="bottom"/>
            <w:tcBorders>
              <w:top w:val="single" w:sz="8" w:color="auto"/>
            </w:tcBorders>
          </w:tcPr>
          <w:p>
            <w:pPr>
              <w:jc w:val="center"/>
              <w:spacing w:after="0"/>
              <w:rPr>
                <w:sz w:val="20"/>
                <w:szCs w:val="20"/>
                <w:color w:val="auto"/>
              </w:rPr>
            </w:pPr>
            <w:r>
              <w:rPr>
                <w:rFonts w:ascii="Arial" w:cs="Arial" w:eastAsia="Arial" w:hAnsi="Arial"/>
                <w:sz w:val="17"/>
                <w:szCs w:val="17"/>
                <w:b w:val="1"/>
                <w:bCs w:val="1"/>
                <w:color w:val="auto"/>
                <w:w w:val="93"/>
              </w:rPr>
              <w:t>S/(000)</w:t>
            </w:r>
          </w:p>
        </w:tc>
        <w:tc>
          <w:tcPr>
            <w:tcW w:w="200" w:type="dxa"/>
            <w:vAlign w:val="bottom"/>
          </w:tcPr>
          <w:p>
            <w:pPr>
              <w:spacing w:after="0"/>
              <w:rPr>
                <w:sz w:val="19"/>
                <w:szCs w:val="19"/>
                <w:color w:val="auto"/>
              </w:rPr>
            </w:pPr>
          </w:p>
        </w:tc>
        <w:tc>
          <w:tcPr>
            <w:tcW w:w="1200" w:type="dxa"/>
            <w:vAlign w:val="bottom"/>
            <w:tcBorders>
              <w:top w:val="single" w:sz="8" w:color="auto"/>
            </w:tcBorders>
          </w:tcPr>
          <w:p>
            <w:pPr>
              <w:jc w:val="center"/>
              <w:spacing w:after="0"/>
              <w:rPr>
                <w:sz w:val="20"/>
                <w:szCs w:val="20"/>
                <w:color w:val="auto"/>
              </w:rPr>
            </w:pPr>
            <w:r>
              <w:rPr>
                <w:rFonts w:ascii="Arial" w:cs="Arial" w:eastAsia="Arial" w:hAnsi="Arial"/>
                <w:sz w:val="17"/>
                <w:szCs w:val="17"/>
                <w:b w:val="1"/>
                <w:bCs w:val="1"/>
                <w:color w:val="auto"/>
                <w:w w:val="93"/>
              </w:rPr>
              <w:t>S/(000)</w:t>
            </w:r>
          </w:p>
        </w:tc>
        <w:tc>
          <w:tcPr>
            <w:tcW w:w="100" w:type="dxa"/>
            <w:vAlign w:val="bottom"/>
          </w:tcPr>
          <w:p>
            <w:pPr>
              <w:spacing w:after="0"/>
              <w:rPr>
                <w:sz w:val="19"/>
                <w:szCs w:val="19"/>
                <w:color w:val="auto"/>
              </w:rPr>
            </w:pPr>
          </w:p>
        </w:tc>
      </w:tr>
      <w:tr>
        <w:trPr>
          <w:trHeight w:val="189"/>
        </w:trPr>
        <w:tc>
          <w:tcPr>
            <w:tcW w:w="6800" w:type="dxa"/>
            <w:vAlign w:val="bottom"/>
          </w:tcPr>
          <w:p>
            <w:pPr>
              <w:spacing w:after="0"/>
              <w:rPr>
                <w:sz w:val="16"/>
                <w:szCs w:val="16"/>
                <w:color w:val="auto"/>
              </w:rPr>
            </w:pPr>
          </w:p>
        </w:tc>
        <w:tc>
          <w:tcPr>
            <w:tcW w:w="1440" w:type="dxa"/>
            <w:vAlign w:val="bottom"/>
            <w:gridSpan w:val="2"/>
          </w:tcPr>
          <w:p>
            <w:pPr>
              <w:spacing w:after="0"/>
              <w:rPr>
                <w:sz w:val="16"/>
                <w:szCs w:val="16"/>
                <w:color w:val="auto"/>
              </w:rPr>
            </w:pPr>
          </w:p>
        </w:tc>
        <w:tc>
          <w:tcPr>
            <w:tcW w:w="1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08"/>
        </w:trPr>
        <w:tc>
          <w:tcPr>
            <w:tcW w:w="6800" w:type="dxa"/>
            <w:vAlign w:val="bottom"/>
            <w:shd w:val="clear" w:color="auto" w:fill="CCEEFF"/>
          </w:tcPr>
          <w:p>
            <w:pPr>
              <w:spacing w:after="0"/>
              <w:rPr>
                <w:sz w:val="20"/>
                <w:szCs w:val="20"/>
                <w:color w:val="auto"/>
              </w:rPr>
            </w:pPr>
            <w:r>
              <w:rPr>
                <w:rFonts w:ascii="Arial" w:cs="Arial" w:eastAsia="Arial" w:hAnsi="Arial"/>
                <w:sz w:val="17"/>
                <w:szCs w:val="17"/>
                <w:color w:val="auto"/>
              </w:rPr>
              <w:t>Life insurance</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551,516</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5,128,974</w:t>
            </w: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5,680,490</w:t>
            </w:r>
          </w:p>
        </w:tc>
        <w:tc>
          <w:tcPr>
            <w:tcW w:w="100" w:type="dxa"/>
            <w:vAlign w:val="bottom"/>
            <w:shd w:val="clear" w:color="auto" w:fill="CCEEFF"/>
          </w:tcPr>
          <w:p>
            <w:pPr>
              <w:spacing w:after="0"/>
              <w:rPr>
                <w:sz w:val="18"/>
                <w:szCs w:val="18"/>
                <w:color w:val="auto"/>
              </w:rPr>
            </w:pPr>
          </w:p>
        </w:tc>
      </w:tr>
      <w:tr>
        <w:trPr>
          <w:trHeight w:val="208"/>
        </w:trPr>
        <w:tc>
          <w:tcPr>
            <w:tcW w:w="6800" w:type="dxa"/>
            <w:vAlign w:val="bottom"/>
          </w:tcPr>
          <w:p>
            <w:pPr>
              <w:spacing w:after="0"/>
              <w:rPr>
                <w:sz w:val="20"/>
                <w:szCs w:val="20"/>
                <w:color w:val="auto"/>
              </w:rPr>
            </w:pPr>
            <w:r>
              <w:rPr>
                <w:rFonts w:ascii="Arial" w:cs="Arial" w:eastAsia="Arial" w:hAnsi="Arial"/>
                <w:sz w:val="17"/>
                <w:szCs w:val="17"/>
                <w:color w:val="auto"/>
              </w:rPr>
              <w:t>General insurance</w:t>
            </w:r>
          </w:p>
        </w:tc>
        <w:tc>
          <w:tcPr>
            <w:tcW w:w="1440" w:type="dxa"/>
            <w:vAlign w:val="bottom"/>
            <w:gridSpan w:val="2"/>
          </w:tcPr>
          <w:p>
            <w:pPr>
              <w:jc w:val="right"/>
              <w:ind w:right="220"/>
              <w:spacing w:after="0"/>
              <w:rPr>
                <w:sz w:val="20"/>
                <w:szCs w:val="20"/>
                <w:color w:val="auto"/>
              </w:rPr>
            </w:pPr>
            <w:r>
              <w:rPr>
                <w:rFonts w:ascii="Arial" w:cs="Arial" w:eastAsia="Arial" w:hAnsi="Arial"/>
                <w:sz w:val="17"/>
                <w:szCs w:val="17"/>
                <w:color w:val="auto"/>
              </w:rPr>
              <w:t>325,748</w:t>
            </w:r>
          </w:p>
        </w:tc>
        <w:tc>
          <w:tcPr>
            <w:tcW w:w="1400" w:type="dxa"/>
            <w:vAlign w:val="bottom"/>
            <w:gridSpan w:val="2"/>
          </w:tcPr>
          <w:p>
            <w:pPr>
              <w:jc w:val="right"/>
              <w:ind w:right="200"/>
              <w:spacing w:after="0"/>
              <w:rPr>
                <w:sz w:val="20"/>
                <w:szCs w:val="20"/>
                <w:color w:val="auto"/>
              </w:rPr>
            </w:pPr>
            <w:r>
              <w:rPr>
                <w:rFonts w:ascii="Arial" w:cs="Arial" w:eastAsia="Arial" w:hAnsi="Arial"/>
                <w:sz w:val="17"/>
                <w:szCs w:val="17"/>
                <w:color w:val="auto"/>
              </w:rPr>
              <w:t>574,435</w:t>
            </w:r>
          </w:p>
        </w:tc>
        <w:tc>
          <w:tcPr>
            <w:tcW w:w="1200" w:type="dxa"/>
            <w:vAlign w:val="bottom"/>
          </w:tcPr>
          <w:p>
            <w:pPr>
              <w:jc w:val="right"/>
              <w:spacing w:after="0"/>
              <w:rPr>
                <w:sz w:val="20"/>
                <w:szCs w:val="20"/>
                <w:color w:val="auto"/>
              </w:rPr>
            </w:pPr>
            <w:r>
              <w:rPr>
                <w:rFonts w:ascii="Arial" w:cs="Arial" w:eastAsia="Arial" w:hAnsi="Arial"/>
                <w:sz w:val="17"/>
                <w:szCs w:val="17"/>
                <w:color w:val="auto"/>
              </w:rPr>
              <w:t>900,183</w:t>
            </w:r>
          </w:p>
        </w:tc>
        <w:tc>
          <w:tcPr>
            <w:tcW w:w="100" w:type="dxa"/>
            <w:vAlign w:val="bottom"/>
          </w:tcPr>
          <w:p>
            <w:pPr>
              <w:spacing w:after="0"/>
              <w:rPr>
                <w:sz w:val="18"/>
                <w:szCs w:val="18"/>
                <w:color w:val="auto"/>
              </w:rPr>
            </w:pPr>
          </w:p>
        </w:tc>
      </w:tr>
      <w:tr>
        <w:trPr>
          <w:trHeight w:val="221"/>
        </w:trPr>
        <w:tc>
          <w:tcPr>
            <w:tcW w:w="6800" w:type="dxa"/>
            <w:vAlign w:val="bottom"/>
            <w:shd w:val="clear" w:color="auto" w:fill="CCEEFF"/>
          </w:tcPr>
          <w:p>
            <w:pPr>
              <w:spacing w:after="0"/>
              <w:rPr>
                <w:sz w:val="20"/>
                <w:szCs w:val="20"/>
                <w:color w:val="auto"/>
              </w:rPr>
            </w:pPr>
            <w:r>
              <w:rPr>
                <w:rFonts w:ascii="Arial" w:cs="Arial" w:eastAsia="Arial" w:hAnsi="Arial"/>
                <w:sz w:val="17"/>
                <w:szCs w:val="17"/>
                <w:color w:val="auto"/>
              </w:rPr>
              <w:t>Health insurance</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60,733</w:t>
            </w: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144,783</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205,516</w:t>
            </w:r>
          </w:p>
        </w:tc>
        <w:tc>
          <w:tcPr>
            <w:tcW w:w="100" w:type="dxa"/>
            <w:vAlign w:val="bottom"/>
            <w:shd w:val="clear" w:color="auto" w:fill="CCEEFF"/>
          </w:tcPr>
          <w:p>
            <w:pPr>
              <w:spacing w:after="0"/>
              <w:rPr>
                <w:sz w:val="19"/>
                <w:szCs w:val="19"/>
                <w:color w:val="auto"/>
              </w:rPr>
            </w:pPr>
          </w:p>
        </w:tc>
      </w:tr>
      <w:tr>
        <w:trPr>
          <w:trHeight w:val="201"/>
        </w:trPr>
        <w:tc>
          <w:tcPr>
            <w:tcW w:w="6800" w:type="dxa"/>
            <w:vAlign w:val="bottom"/>
          </w:tcPr>
          <w:p>
            <w:pPr>
              <w:spacing w:after="0"/>
              <w:rPr>
                <w:sz w:val="20"/>
                <w:szCs w:val="20"/>
                <w:color w:val="auto"/>
              </w:rPr>
            </w:pPr>
            <w:r>
              <w:rPr>
                <w:rFonts w:ascii="Arial" w:cs="Arial" w:eastAsia="Arial" w:hAnsi="Arial"/>
                <w:sz w:val="17"/>
                <w:szCs w:val="17"/>
                <w:b w:val="1"/>
                <w:bCs w:val="1"/>
                <w:color w:val="auto"/>
              </w:rPr>
              <w:t>Total</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937,997</w:t>
            </w:r>
          </w:p>
        </w:tc>
        <w:tc>
          <w:tcPr>
            <w:tcW w:w="220" w:type="dxa"/>
            <w:vAlign w:val="bottom"/>
          </w:tcPr>
          <w:p>
            <w:pPr>
              <w:spacing w:after="0"/>
              <w:rPr>
                <w:sz w:val="17"/>
                <w:szCs w:val="17"/>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5,848,192</w:t>
            </w:r>
          </w:p>
        </w:tc>
        <w:tc>
          <w:tcPr>
            <w:tcW w:w="200" w:type="dxa"/>
            <w:vAlign w:val="bottom"/>
          </w:tcPr>
          <w:p>
            <w:pPr>
              <w:spacing w:after="0"/>
              <w:rPr>
                <w:sz w:val="17"/>
                <w:szCs w:val="17"/>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6,786,189</w:t>
            </w:r>
          </w:p>
        </w:tc>
        <w:tc>
          <w:tcPr>
            <w:tcW w:w="100" w:type="dxa"/>
            <w:vAlign w:val="bottom"/>
          </w:tcPr>
          <w:p>
            <w:pPr>
              <w:spacing w:after="0"/>
              <w:rPr>
                <w:sz w:val="17"/>
                <w:szCs w:val="17"/>
                <w:color w:val="auto"/>
              </w:rPr>
            </w:pPr>
          </w:p>
        </w:tc>
      </w:tr>
      <w:tr>
        <w:trPr>
          <w:trHeight w:val="20"/>
        </w:trPr>
        <w:tc>
          <w:tcPr>
            <w:tcW w:w="68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5" w:lineRule="exact"/>
        <w:rPr>
          <w:sz w:val="20"/>
          <w:szCs w:val="20"/>
          <w:color w:val="auto"/>
        </w:rPr>
      </w:pPr>
    </w:p>
    <w:p>
      <w:pPr>
        <w:ind w:left="620" w:right="160" w:hanging="304"/>
        <w:spacing w:after="0" w:line="285" w:lineRule="auto"/>
        <w:tabs>
          <w:tab w:leader="none" w:pos="620" w:val="left"/>
        </w:tabs>
        <w:numPr>
          <w:ilvl w:val="0"/>
          <w:numId w:val="102"/>
        </w:numPr>
        <w:rPr>
          <w:rFonts w:ascii="Arial" w:cs="Arial" w:eastAsia="Arial" w:hAnsi="Arial"/>
          <w:sz w:val="17"/>
          <w:szCs w:val="17"/>
          <w:color w:val="auto"/>
        </w:rPr>
      </w:pPr>
      <w:r>
        <w:rPr>
          <w:rFonts w:ascii="Arial" w:cs="Arial" w:eastAsia="Arial" w:hAnsi="Arial"/>
          <w:sz w:val="17"/>
          <w:szCs w:val="17"/>
          <w:color w:val="auto"/>
        </w:rPr>
        <w:t>At December 31, 2017, the life insurance technical reserves include the mathematical reserves of life annuities amounting to S/3,514.4 million (S/3,241.2 million at December 31, 2016).</w:t>
      </w:r>
    </w:p>
    <w:p>
      <w:pPr>
        <w:spacing w:after="0" w:line="159" w:lineRule="exact"/>
        <w:rPr>
          <w:sz w:val="20"/>
          <w:szCs w:val="20"/>
          <w:color w:val="auto"/>
        </w:rPr>
      </w:pPr>
    </w:p>
    <w:p>
      <w:pPr>
        <w:ind w:left="320"/>
        <w:spacing w:after="0" w:line="285" w:lineRule="auto"/>
        <w:rPr>
          <w:sz w:val="20"/>
          <w:szCs w:val="20"/>
          <w:color w:val="auto"/>
        </w:rPr>
      </w:pPr>
      <w:r>
        <w:rPr>
          <w:rFonts w:ascii="Arial" w:cs="Arial" w:eastAsia="Arial" w:hAnsi="Arial"/>
          <w:sz w:val="17"/>
          <w:szCs w:val="17"/>
          <w:color w:val="auto"/>
        </w:rPr>
        <w:t>Insurance claims reserves represent reported claims and an estimation for incurred but non reported claims (IBNR). Reported claims are adjusted on the basis of technical reports received from independent adjusters</w:t>
      </w:r>
      <w:r>
        <w:rPr>
          <w:rFonts w:ascii="Arial" w:cs="Arial" w:eastAsia="Arial" w:hAnsi="Arial"/>
          <w:sz w:val="17"/>
          <w:szCs w:val="17"/>
          <w:b w:val="1"/>
          <w:bCs w:val="1"/>
          <w:color w:val="auto"/>
        </w:rPr>
        <w:t>.</w:t>
      </w:r>
    </w:p>
    <w:p>
      <w:pPr>
        <w:spacing w:after="0" w:line="159" w:lineRule="exact"/>
        <w:rPr>
          <w:sz w:val="20"/>
          <w:szCs w:val="20"/>
          <w:color w:val="auto"/>
        </w:rPr>
      </w:pPr>
    </w:p>
    <w:p>
      <w:pPr>
        <w:ind w:left="320" w:right="60"/>
        <w:spacing w:after="0" w:line="285" w:lineRule="auto"/>
        <w:rPr>
          <w:sz w:val="20"/>
          <w:szCs w:val="20"/>
          <w:color w:val="auto"/>
        </w:rPr>
      </w:pPr>
      <w:r>
        <w:rPr>
          <w:rFonts w:ascii="Arial" w:cs="Arial" w:eastAsia="Arial" w:hAnsi="Arial"/>
          <w:sz w:val="17"/>
          <w:szCs w:val="17"/>
          <w:color w:val="auto"/>
        </w:rPr>
        <w:t>Insurance claims and technical reserves corresponding to the reinsurers and coinsurers are shown as ceded claims, which are presented in “Accounts receivable from reinsurers and coinsurers” of the consolidated statement of financial position, See Note 9(b).</w:t>
      </w:r>
    </w:p>
    <w:p>
      <w:pPr>
        <w:spacing w:after="0" w:line="159" w:lineRule="exact"/>
        <w:rPr>
          <w:sz w:val="20"/>
          <w:szCs w:val="20"/>
          <w:color w:val="auto"/>
        </w:rPr>
      </w:pPr>
    </w:p>
    <w:p>
      <w:pPr>
        <w:ind w:left="320" w:right="140"/>
        <w:spacing w:after="0" w:line="285" w:lineRule="auto"/>
        <w:rPr>
          <w:sz w:val="20"/>
          <w:szCs w:val="20"/>
          <w:color w:val="auto"/>
        </w:rPr>
      </w:pPr>
      <w:r>
        <w:rPr>
          <w:rFonts w:ascii="Arial" w:cs="Arial" w:eastAsia="Arial" w:hAnsi="Arial"/>
          <w:sz w:val="17"/>
          <w:szCs w:val="17"/>
          <w:color w:val="auto"/>
        </w:rPr>
        <w:t>At December 31, 2017, the reserves for direct claims include reserves for IBNR for life, general and health insurance for an amount of S/282.4 million, S/11.3 million and S/47.6 million, respectively (S/231.4 million, S/9.1 million and S/41.4 million, respectively, at December 31, 2016).</w:t>
      </w:r>
    </w:p>
    <w:p>
      <w:pPr>
        <w:spacing w:after="0" w:line="159" w:lineRule="exact"/>
        <w:rPr>
          <w:sz w:val="20"/>
          <w:szCs w:val="20"/>
          <w:color w:val="auto"/>
        </w:rPr>
      </w:pPr>
    </w:p>
    <w:p>
      <w:pPr>
        <w:ind w:left="320" w:right="160"/>
        <w:spacing w:after="0" w:line="294" w:lineRule="auto"/>
        <w:rPr>
          <w:sz w:val="20"/>
          <w:szCs w:val="20"/>
          <w:color w:val="auto"/>
        </w:rPr>
      </w:pPr>
      <w:r>
        <w:rPr>
          <w:rFonts w:ascii="Arial" w:cs="Arial" w:eastAsia="Arial" w:hAnsi="Arial"/>
          <w:sz w:val="16"/>
          <w:szCs w:val="16"/>
          <w:color w:val="auto"/>
        </w:rPr>
        <w:t>At December 31, 2017 and in previous years, the differences between the estimations for the incurred and non-reported claims and the settled and pending liquidation claims have not been significant. In the case of general risks and health, retrospective analysis indicates that the amounts accrued are adequate and the Management believes that the estimated IBNR reserve is sufficient to cover any liability as of December 31, 2017 and 2016.</w:t>
      </w:r>
    </w:p>
    <w:p>
      <w:pPr>
        <w:spacing w:after="0" w:line="155" w:lineRule="exact"/>
        <w:rPr>
          <w:sz w:val="20"/>
          <w:szCs w:val="20"/>
          <w:color w:val="auto"/>
        </w:rPr>
      </w:pPr>
    </w:p>
    <w:p>
      <w:pPr>
        <w:jc w:val="both"/>
        <w:ind w:left="320" w:right="240"/>
        <w:spacing w:after="0" w:line="270" w:lineRule="auto"/>
        <w:rPr>
          <w:sz w:val="20"/>
          <w:szCs w:val="20"/>
          <w:color w:val="auto"/>
        </w:rPr>
      </w:pPr>
      <w:r>
        <w:rPr>
          <w:rFonts w:ascii="Arial" w:cs="Arial" w:eastAsia="Arial" w:hAnsi="Arial"/>
          <w:sz w:val="17"/>
          <w:szCs w:val="17"/>
          <w:color w:val="auto"/>
        </w:rPr>
        <w:t>Technical reserves comprise reserves for future benefit obligation under its in-force life, annuities and accident insurance policies and the unearned premium reserves in respect of the portion of premiums written that is allocable to the unexpired portion of the related policy periods for general and health insurance products.</w:t>
      </w: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- 80 -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15875</wp:posOffset>
            </wp:positionV>
            <wp:extent cx="725170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51700" cy="8255"/>
                    </a:xfrm>
                    <a:prstGeom prst="rect">
                      <a:avLst/>
                    </a:prstGeom>
                    <a:noFill/>
                  </pic:spPr>
                </pic:pic>
              </a:graphicData>
            </a:graphic>
          </wp:anchor>
        </w:drawing>
      </w:r>
    </w:p>
    <w:p>
      <w:pPr>
        <w:sectPr>
          <w:pgSz w:w="11900" w:h="16838" w:orient="portrait"/>
          <w:cols w:equalWidth="0" w:num="1">
            <w:col w:w="11420"/>
          </w:cols>
          <w:pgMar w:left="240" w:top="875" w:right="239" w:bottom="1440" w:gutter="0" w:footer="0" w:header="0"/>
        </w:sectPr>
      </w:pPr>
    </w:p>
    <w:bookmarkStart w:id="86" w:name="page87"/>
    <w:bookmarkEnd w:id="86"/>
    <w:p>
      <w:pPr>
        <w:spacing w:after="0"/>
        <w:tabs>
          <w:tab w:leader="none" w:pos="300" w:val="left"/>
        </w:tabs>
        <w:rPr>
          <w:sz w:val="20"/>
          <w:szCs w:val="20"/>
          <w:color w:val="auto"/>
        </w:rPr>
      </w:pPr>
      <w:r>
        <w:rPr>
          <w:rFonts w:ascii="Arial" w:cs="Arial" w:eastAsia="Arial" w:hAnsi="Arial"/>
          <w:sz w:val="17"/>
          <w:szCs w:val="17"/>
          <w:color w:val="auto"/>
        </w:rPr>
        <w:t>b)</w:t>
      </w:r>
      <w:r>
        <w:rPr>
          <w:sz w:val="20"/>
          <w:szCs w:val="20"/>
          <w:color w:val="auto"/>
        </w:rPr>
        <w:tab/>
      </w:r>
      <w:r>
        <w:rPr>
          <w:rFonts w:ascii="Arial" w:cs="Arial" w:eastAsia="Arial" w:hAnsi="Arial"/>
          <w:sz w:val="15"/>
          <w:szCs w:val="15"/>
          <w:color w:val="auto"/>
        </w:rPr>
        <w:t>Movement of insurance claims reserves (direct and assumed), occurred during the years 2017 and 2016:</w:t>
      </w:r>
    </w:p>
    <w:p>
      <w:pPr>
        <w:spacing w:after="0" w:line="227" w:lineRule="exact"/>
        <w:rPr>
          <w:sz w:val="20"/>
          <w:szCs w:val="20"/>
          <w:color w:val="auto"/>
        </w:rPr>
      </w:pPr>
    </w:p>
    <w:tbl>
      <w:tblPr>
        <w:tblLayout w:type="fixed"/>
        <w:tblInd w:w="320" w:type="dxa"/>
        <w:tblCellMar>
          <w:top w:w="0" w:type="dxa"/>
          <w:left w:w="0" w:type="dxa"/>
          <w:bottom w:w="0" w:type="dxa"/>
          <w:right w:w="0" w:type="dxa"/>
        </w:tblCellMar>
      </w:tblPr>
      <w:tr>
        <w:trPr>
          <w:trHeight w:val="226"/>
        </w:trPr>
        <w:tc>
          <w:tcPr>
            <w:tcW w:w="5380" w:type="dxa"/>
            <w:vAlign w:val="bottom"/>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7"/>
                <w:szCs w:val="17"/>
                <w:b w:val="1"/>
                <w:bCs w:val="1"/>
                <w:color w:val="auto"/>
              </w:rPr>
              <w:t>2017</w:t>
            </w:r>
          </w:p>
        </w:tc>
        <w:tc>
          <w:tcPr>
            <w:tcW w:w="106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182"/>
        </w:trPr>
        <w:tc>
          <w:tcPr>
            <w:tcW w:w="5380" w:type="dxa"/>
            <w:vAlign w:val="bottom"/>
          </w:tcPr>
          <w:p>
            <w:pPr>
              <w:spacing w:after="0"/>
              <w:rPr>
                <w:sz w:val="15"/>
                <w:szCs w:val="15"/>
                <w:color w:val="auto"/>
              </w:rPr>
            </w:pPr>
          </w:p>
        </w:tc>
        <w:tc>
          <w:tcPr>
            <w:tcW w:w="1440" w:type="dxa"/>
            <w:vAlign w:val="bottom"/>
            <w:gridSpan w:val="2"/>
          </w:tcPr>
          <w:p>
            <w:pPr>
              <w:jc w:val="right"/>
              <w:ind w:right="700"/>
              <w:spacing w:after="0" w:line="183" w:lineRule="exact"/>
              <w:rPr>
                <w:sz w:val="20"/>
                <w:szCs w:val="20"/>
                <w:color w:val="auto"/>
              </w:rPr>
            </w:pPr>
            <w:r>
              <w:rPr>
                <w:rFonts w:ascii="Arial" w:cs="Arial" w:eastAsia="Arial" w:hAnsi="Arial"/>
                <w:sz w:val="17"/>
                <w:szCs w:val="17"/>
                <w:b w:val="1"/>
                <w:bCs w:val="1"/>
                <w:color w:val="auto"/>
              </w:rPr>
              <w:t>Life</w:t>
            </w:r>
          </w:p>
        </w:tc>
        <w:tc>
          <w:tcPr>
            <w:tcW w:w="1560" w:type="dxa"/>
            <w:vAlign w:val="bottom"/>
            <w:gridSpan w:val="3"/>
          </w:tcPr>
          <w:p>
            <w:pPr>
              <w:jc w:val="right"/>
              <w:ind w:right="660"/>
              <w:spacing w:after="0" w:line="183" w:lineRule="exact"/>
              <w:rPr>
                <w:sz w:val="20"/>
                <w:szCs w:val="20"/>
                <w:color w:val="auto"/>
              </w:rPr>
            </w:pPr>
            <w:r>
              <w:rPr>
                <w:rFonts w:ascii="Arial" w:cs="Arial" w:eastAsia="Arial" w:hAnsi="Arial"/>
                <w:sz w:val="17"/>
                <w:szCs w:val="17"/>
                <w:b w:val="1"/>
                <w:bCs w:val="1"/>
                <w:color w:val="auto"/>
              </w:rPr>
              <w:t>General</w:t>
            </w:r>
          </w:p>
        </w:tc>
        <w:tc>
          <w:tcPr>
            <w:tcW w:w="1260" w:type="dxa"/>
            <w:vAlign w:val="bottom"/>
            <w:gridSpan w:val="2"/>
          </w:tcPr>
          <w:p>
            <w:pPr>
              <w:ind w:left="200"/>
              <w:spacing w:after="0" w:line="183" w:lineRule="exact"/>
              <w:rPr>
                <w:sz w:val="20"/>
                <w:szCs w:val="20"/>
                <w:color w:val="auto"/>
              </w:rPr>
            </w:pPr>
            <w:r>
              <w:rPr>
                <w:rFonts w:ascii="Arial" w:cs="Arial" w:eastAsia="Arial" w:hAnsi="Arial"/>
                <w:sz w:val="17"/>
                <w:szCs w:val="17"/>
                <w:b w:val="1"/>
                <w:bCs w:val="1"/>
                <w:color w:val="auto"/>
              </w:rPr>
              <w:t>Health</w:t>
            </w: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26"/>
        </w:trPr>
        <w:tc>
          <w:tcPr>
            <w:tcW w:w="5380" w:type="dxa"/>
            <w:vAlign w:val="bottom"/>
          </w:tcPr>
          <w:p>
            <w:pPr>
              <w:spacing w:after="0"/>
              <w:rPr>
                <w:sz w:val="19"/>
                <w:szCs w:val="19"/>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7"/>
                <w:szCs w:val="17"/>
                <w:b w:val="1"/>
                <w:bCs w:val="1"/>
                <w:color w:val="auto"/>
                <w:w w:val="89"/>
              </w:rPr>
              <w:t>insurance</w:t>
            </w:r>
          </w:p>
        </w:tc>
        <w:tc>
          <w:tcPr>
            <w:tcW w:w="1560" w:type="dxa"/>
            <w:vAlign w:val="bottom"/>
            <w:gridSpan w:val="3"/>
          </w:tcPr>
          <w:p>
            <w:pPr>
              <w:jc w:val="center"/>
              <w:ind w:right="320"/>
              <w:spacing w:after="0"/>
              <w:rPr>
                <w:sz w:val="20"/>
                <w:szCs w:val="20"/>
                <w:color w:val="auto"/>
              </w:rPr>
            </w:pPr>
            <w:r>
              <w:rPr>
                <w:rFonts w:ascii="Arial" w:cs="Arial" w:eastAsia="Arial" w:hAnsi="Arial"/>
                <w:sz w:val="17"/>
                <w:szCs w:val="17"/>
                <w:b w:val="1"/>
                <w:bCs w:val="1"/>
                <w:color w:val="auto"/>
                <w:w w:val="89"/>
              </w:rPr>
              <w:t>insurance</w:t>
            </w:r>
          </w:p>
        </w:tc>
        <w:tc>
          <w:tcPr>
            <w:tcW w:w="1260" w:type="dxa"/>
            <w:vAlign w:val="bottom"/>
            <w:gridSpan w:val="2"/>
          </w:tcPr>
          <w:p>
            <w:pPr>
              <w:jc w:val="right"/>
              <w:ind w:right="440"/>
              <w:spacing w:after="0"/>
              <w:rPr>
                <w:sz w:val="20"/>
                <w:szCs w:val="20"/>
                <w:color w:val="auto"/>
              </w:rPr>
            </w:pPr>
            <w:r>
              <w:rPr>
                <w:rFonts w:ascii="Arial" w:cs="Arial" w:eastAsia="Arial" w:hAnsi="Arial"/>
                <w:sz w:val="17"/>
                <w:szCs w:val="17"/>
                <w:b w:val="1"/>
                <w:bCs w:val="1"/>
                <w:color w:val="auto"/>
                <w:w w:val="99"/>
              </w:rPr>
              <w:t>insurance</w:t>
            </w:r>
          </w:p>
        </w:tc>
        <w:tc>
          <w:tcPr>
            <w:tcW w:w="1300" w:type="dxa"/>
            <w:vAlign w:val="bottom"/>
            <w:gridSpan w:val="2"/>
          </w:tcPr>
          <w:p>
            <w:pPr>
              <w:jc w:val="center"/>
              <w:ind w:right="80"/>
              <w:spacing w:after="0"/>
              <w:rPr>
                <w:sz w:val="20"/>
                <w:szCs w:val="20"/>
                <w:color w:val="auto"/>
              </w:rPr>
            </w:pPr>
            <w:r>
              <w:rPr>
                <w:rFonts w:ascii="Arial" w:cs="Arial" w:eastAsia="Arial" w:hAnsi="Arial"/>
                <w:sz w:val="17"/>
                <w:szCs w:val="17"/>
                <w:b w:val="1"/>
                <w:bCs w:val="1"/>
                <w:color w:val="auto"/>
                <w:w w:val="93"/>
              </w:rPr>
              <w:t>Total</w:t>
            </w:r>
          </w:p>
        </w:tc>
      </w:tr>
      <w:tr>
        <w:trPr>
          <w:trHeight w:val="219"/>
        </w:trPr>
        <w:tc>
          <w:tcPr>
            <w:tcW w:w="5380" w:type="dxa"/>
            <w:vAlign w:val="bottom"/>
          </w:tcPr>
          <w:p>
            <w:pPr>
              <w:spacing w:after="0"/>
              <w:rPr>
                <w:sz w:val="19"/>
                <w:szCs w:val="19"/>
                <w:color w:val="auto"/>
              </w:rPr>
            </w:pPr>
          </w:p>
        </w:tc>
        <w:tc>
          <w:tcPr>
            <w:tcW w:w="1220" w:type="dxa"/>
            <w:vAlign w:val="bottom"/>
            <w:tcBorders>
              <w:top w:val="single" w:sz="8" w:color="auto"/>
            </w:tcBorders>
          </w:tcPr>
          <w:p>
            <w:pPr>
              <w:jc w:val="center"/>
              <w:spacing w:after="0"/>
              <w:rPr>
                <w:sz w:val="20"/>
                <w:szCs w:val="20"/>
                <w:color w:val="auto"/>
              </w:rPr>
            </w:pPr>
            <w:r>
              <w:rPr>
                <w:rFonts w:ascii="Arial" w:cs="Arial" w:eastAsia="Arial" w:hAnsi="Arial"/>
                <w:sz w:val="17"/>
                <w:szCs w:val="17"/>
                <w:b w:val="1"/>
                <w:bCs w:val="1"/>
                <w:color w:val="auto"/>
                <w:w w:val="93"/>
              </w:rPr>
              <w:t>S/(000)</w:t>
            </w:r>
          </w:p>
        </w:tc>
        <w:tc>
          <w:tcPr>
            <w:tcW w:w="220" w:type="dxa"/>
            <w:vAlign w:val="bottom"/>
          </w:tcPr>
          <w:p>
            <w:pPr>
              <w:spacing w:after="0"/>
              <w:rPr>
                <w:sz w:val="19"/>
                <w:szCs w:val="19"/>
                <w:color w:val="auto"/>
              </w:rPr>
            </w:pPr>
          </w:p>
        </w:tc>
        <w:tc>
          <w:tcPr>
            <w:tcW w:w="1220" w:type="dxa"/>
            <w:vAlign w:val="bottom"/>
            <w:tcBorders>
              <w:top w:val="single" w:sz="8" w:color="auto"/>
            </w:tcBorders>
          </w:tcPr>
          <w:p>
            <w:pPr>
              <w:jc w:val="center"/>
              <w:spacing w:after="0"/>
              <w:rPr>
                <w:sz w:val="20"/>
                <w:szCs w:val="20"/>
                <w:color w:val="auto"/>
              </w:rPr>
            </w:pPr>
            <w:r>
              <w:rPr>
                <w:rFonts w:ascii="Arial" w:cs="Arial" w:eastAsia="Arial" w:hAnsi="Arial"/>
                <w:sz w:val="17"/>
                <w:szCs w:val="17"/>
                <w:b w:val="1"/>
                <w:bCs w:val="1"/>
                <w:color w:val="auto"/>
                <w:w w:val="93"/>
              </w:rPr>
              <w:t>S/(000)</w:t>
            </w:r>
          </w:p>
        </w:tc>
        <w:tc>
          <w:tcPr>
            <w:tcW w:w="2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ind w:left="200"/>
              <w:spacing w:after="0"/>
              <w:rPr>
                <w:sz w:val="20"/>
                <w:szCs w:val="20"/>
                <w:color w:val="auto"/>
              </w:rPr>
            </w:pPr>
            <w:r>
              <w:rPr>
                <w:rFonts w:ascii="Arial" w:cs="Arial" w:eastAsia="Arial" w:hAnsi="Arial"/>
                <w:sz w:val="17"/>
                <w:szCs w:val="17"/>
                <w:b w:val="1"/>
                <w:bCs w:val="1"/>
                <w:color w:val="auto"/>
              </w:rPr>
              <w:t>S/(000)</w:t>
            </w:r>
          </w:p>
        </w:tc>
        <w:tc>
          <w:tcPr>
            <w:tcW w:w="200" w:type="dxa"/>
            <w:vAlign w:val="bottom"/>
          </w:tcPr>
          <w:p>
            <w:pPr>
              <w:spacing w:after="0"/>
              <w:rPr>
                <w:sz w:val="19"/>
                <w:szCs w:val="19"/>
                <w:color w:val="auto"/>
              </w:rPr>
            </w:pPr>
          </w:p>
        </w:tc>
        <w:tc>
          <w:tcPr>
            <w:tcW w:w="1200" w:type="dxa"/>
            <w:vAlign w:val="bottom"/>
            <w:tcBorders>
              <w:top w:val="single" w:sz="8" w:color="auto"/>
            </w:tcBorders>
          </w:tcPr>
          <w:p>
            <w:pPr>
              <w:jc w:val="center"/>
              <w:spacing w:after="0"/>
              <w:rPr>
                <w:sz w:val="20"/>
                <w:szCs w:val="20"/>
                <w:color w:val="auto"/>
              </w:rPr>
            </w:pPr>
            <w:r>
              <w:rPr>
                <w:rFonts w:ascii="Arial" w:cs="Arial" w:eastAsia="Arial" w:hAnsi="Arial"/>
                <w:sz w:val="17"/>
                <w:szCs w:val="17"/>
                <w:b w:val="1"/>
                <w:bCs w:val="1"/>
                <w:color w:val="auto"/>
                <w:w w:val="93"/>
              </w:rPr>
              <w:t>S/(000)</w:t>
            </w:r>
          </w:p>
        </w:tc>
        <w:tc>
          <w:tcPr>
            <w:tcW w:w="100" w:type="dxa"/>
            <w:vAlign w:val="bottom"/>
          </w:tcPr>
          <w:p>
            <w:pPr>
              <w:spacing w:after="0"/>
              <w:rPr>
                <w:sz w:val="19"/>
                <w:szCs w:val="19"/>
                <w:color w:val="auto"/>
              </w:rPr>
            </w:pPr>
          </w:p>
        </w:tc>
      </w:tr>
      <w:tr>
        <w:trPr>
          <w:trHeight w:val="189"/>
        </w:trPr>
        <w:tc>
          <w:tcPr>
            <w:tcW w:w="53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08"/>
        </w:trPr>
        <w:tc>
          <w:tcPr>
            <w:tcW w:w="538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Beginning balance</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551,516</w:t>
            </w: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325,748</w:t>
            </w: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60,733</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937,997</w:t>
            </w:r>
          </w:p>
        </w:tc>
        <w:tc>
          <w:tcPr>
            <w:tcW w:w="100" w:type="dxa"/>
            <w:vAlign w:val="bottom"/>
            <w:shd w:val="clear" w:color="auto" w:fill="CCEEFF"/>
          </w:tcPr>
          <w:p>
            <w:pPr>
              <w:spacing w:after="0"/>
              <w:rPr>
                <w:sz w:val="18"/>
                <w:szCs w:val="18"/>
                <w:color w:val="auto"/>
              </w:rPr>
            </w:pPr>
          </w:p>
        </w:tc>
      </w:tr>
      <w:tr>
        <w:trPr>
          <w:trHeight w:val="208"/>
        </w:trPr>
        <w:tc>
          <w:tcPr>
            <w:tcW w:w="5380" w:type="dxa"/>
            <w:vAlign w:val="bottom"/>
          </w:tcPr>
          <w:p>
            <w:pPr>
              <w:spacing w:after="0"/>
              <w:rPr>
                <w:sz w:val="20"/>
                <w:szCs w:val="20"/>
                <w:color w:val="auto"/>
              </w:rPr>
            </w:pPr>
            <w:r>
              <w:rPr>
                <w:rFonts w:ascii="Arial" w:cs="Arial" w:eastAsia="Arial" w:hAnsi="Arial"/>
                <w:sz w:val="17"/>
                <w:szCs w:val="17"/>
                <w:color w:val="auto"/>
              </w:rPr>
              <w:t>Claims, Note 24</w:t>
            </w:r>
          </w:p>
        </w:tc>
        <w:tc>
          <w:tcPr>
            <w:tcW w:w="1440" w:type="dxa"/>
            <w:vAlign w:val="bottom"/>
            <w:gridSpan w:val="2"/>
          </w:tcPr>
          <w:p>
            <w:pPr>
              <w:jc w:val="right"/>
              <w:ind w:right="220"/>
              <w:spacing w:after="0"/>
              <w:rPr>
                <w:sz w:val="20"/>
                <w:szCs w:val="20"/>
                <w:color w:val="auto"/>
              </w:rPr>
            </w:pPr>
            <w:r>
              <w:rPr>
                <w:rFonts w:ascii="Arial" w:cs="Arial" w:eastAsia="Arial" w:hAnsi="Arial"/>
                <w:sz w:val="17"/>
                <w:szCs w:val="17"/>
                <w:color w:val="auto"/>
              </w:rPr>
              <w:t>646,026</w:t>
            </w:r>
          </w:p>
        </w:tc>
        <w:tc>
          <w:tcPr>
            <w:tcW w:w="1420" w:type="dxa"/>
            <w:vAlign w:val="bottom"/>
            <w:gridSpan w:val="2"/>
          </w:tcPr>
          <w:p>
            <w:pPr>
              <w:jc w:val="right"/>
              <w:ind w:right="200"/>
              <w:spacing w:after="0"/>
              <w:rPr>
                <w:sz w:val="20"/>
                <w:szCs w:val="20"/>
                <w:color w:val="auto"/>
              </w:rPr>
            </w:pPr>
            <w:r>
              <w:rPr>
                <w:rFonts w:ascii="Arial" w:cs="Arial" w:eastAsia="Arial" w:hAnsi="Arial"/>
                <w:sz w:val="17"/>
                <w:szCs w:val="17"/>
                <w:color w:val="auto"/>
              </w:rPr>
              <w:t>661,108</w:t>
            </w:r>
          </w:p>
        </w:tc>
        <w:tc>
          <w:tcPr>
            <w:tcW w:w="14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7"/>
                <w:szCs w:val="17"/>
                <w:color w:val="auto"/>
              </w:rPr>
              <w:t>294,557</w:t>
            </w:r>
          </w:p>
        </w:tc>
        <w:tc>
          <w:tcPr>
            <w:tcW w:w="1200" w:type="dxa"/>
            <w:vAlign w:val="bottom"/>
          </w:tcPr>
          <w:p>
            <w:pPr>
              <w:jc w:val="right"/>
              <w:spacing w:after="0"/>
              <w:rPr>
                <w:sz w:val="20"/>
                <w:szCs w:val="20"/>
                <w:color w:val="auto"/>
              </w:rPr>
            </w:pPr>
            <w:r>
              <w:rPr>
                <w:rFonts w:ascii="Arial" w:cs="Arial" w:eastAsia="Arial" w:hAnsi="Arial"/>
                <w:sz w:val="17"/>
                <w:szCs w:val="17"/>
                <w:color w:val="auto"/>
              </w:rPr>
              <w:t>1,601,691</w:t>
            </w:r>
          </w:p>
        </w:tc>
        <w:tc>
          <w:tcPr>
            <w:tcW w:w="100" w:type="dxa"/>
            <w:vAlign w:val="bottom"/>
          </w:tcPr>
          <w:p>
            <w:pPr>
              <w:spacing w:after="0"/>
              <w:rPr>
                <w:sz w:val="18"/>
                <w:szCs w:val="18"/>
                <w:color w:val="auto"/>
              </w:rPr>
            </w:pPr>
          </w:p>
        </w:tc>
      </w:tr>
      <w:tr>
        <w:trPr>
          <w:trHeight w:val="208"/>
        </w:trPr>
        <w:tc>
          <w:tcPr>
            <w:tcW w:w="5380" w:type="dxa"/>
            <w:vAlign w:val="bottom"/>
            <w:shd w:val="clear" w:color="auto" w:fill="CCEEFF"/>
          </w:tcPr>
          <w:p>
            <w:pPr>
              <w:spacing w:after="0"/>
              <w:rPr>
                <w:sz w:val="20"/>
                <w:szCs w:val="20"/>
                <w:color w:val="auto"/>
              </w:rPr>
            </w:pPr>
            <w:r>
              <w:rPr>
                <w:rFonts w:ascii="Arial" w:cs="Arial" w:eastAsia="Arial" w:hAnsi="Arial"/>
                <w:sz w:val="17"/>
                <w:szCs w:val="17"/>
                <w:color w:val="auto"/>
              </w:rPr>
              <w:t>Payments</w:t>
            </w: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(569,108)</w:t>
            </w: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(491,108)</w:t>
            </w: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(285,899)</w:t>
            </w:r>
          </w:p>
        </w:tc>
        <w:tc>
          <w:tcPr>
            <w:tcW w:w="13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(1,346,115)</w:t>
            </w:r>
          </w:p>
        </w:tc>
      </w:tr>
      <w:tr>
        <w:trPr>
          <w:trHeight w:val="221"/>
        </w:trPr>
        <w:tc>
          <w:tcPr>
            <w:tcW w:w="5380" w:type="dxa"/>
            <w:vAlign w:val="bottom"/>
          </w:tcPr>
          <w:p>
            <w:pPr>
              <w:spacing w:after="0"/>
              <w:rPr>
                <w:sz w:val="20"/>
                <w:szCs w:val="20"/>
                <w:color w:val="auto"/>
              </w:rPr>
            </w:pPr>
            <w:r>
              <w:rPr>
                <w:rFonts w:ascii="Arial" w:cs="Arial" w:eastAsia="Arial" w:hAnsi="Arial"/>
                <w:sz w:val="17"/>
                <w:szCs w:val="17"/>
                <w:color w:val="auto"/>
              </w:rPr>
              <w:t>Exchange difference</w:t>
            </w:r>
          </w:p>
        </w:tc>
        <w:tc>
          <w:tcPr>
            <w:tcW w:w="1440" w:type="dxa"/>
            <w:vAlign w:val="bottom"/>
            <w:gridSpan w:val="2"/>
          </w:tcPr>
          <w:p>
            <w:pPr>
              <w:jc w:val="right"/>
              <w:ind w:right="160"/>
              <w:spacing w:after="0"/>
              <w:rPr>
                <w:sz w:val="20"/>
                <w:szCs w:val="20"/>
                <w:color w:val="auto"/>
              </w:rPr>
            </w:pPr>
            <w:r>
              <w:rPr>
                <w:rFonts w:ascii="Arial" w:cs="Arial" w:eastAsia="Arial" w:hAnsi="Arial"/>
                <w:sz w:val="17"/>
                <w:szCs w:val="17"/>
                <w:color w:val="auto"/>
              </w:rPr>
              <w:t>(1,563)</w:t>
            </w:r>
          </w:p>
        </w:tc>
        <w:tc>
          <w:tcPr>
            <w:tcW w:w="1420" w:type="dxa"/>
            <w:vAlign w:val="bottom"/>
            <w:gridSpan w:val="2"/>
          </w:tcPr>
          <w:p>
            <w:pPr>
              <w:jc w:val="right"/>
              <w:ind w:right="140"/>
              <w:spacing w:after="0"/>
              <w:rPr>
                <w:sz w:val="20"/>
                <w:szCs w:val="20"/>
                <w:color w:val="auto"/>
              </w:rPr>
            </w:pPr>
            <w:r>
              <w:rPr>
                <w:rFonts w:ascii="Arial" w:cs="Arial" w:eastAsia="Arial" w:hAnsi="Arial"/>
                <w:sz w:val="17"/>
                <w:szCs w:val="17"/>
                <w:color w:val="auto"/>
              </w:rPr>
              <w:t>(11,140)</w:t>
            </w:r>
          </w:p>
        </w:tc>
        <w:tc>
          <w:tcPr>
            <w:tcW w:w="140" w:type="dxa"/>
            <w:vAlign w:val="bottom"/>
          </w:tcPr>
          <w:p>
            <w:pPr>
              <w:spacing w:after="0"/>
              <w:rPr>
                <w:sz w:val="19"/>
                <w:szCs w:val="19"/>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7"/>
                <w:szCs w:val="17"/>
                <w:color w:val="auto"/>
              </w:rPr>
              <w:t>(18)</w:t>
            </w:r>
          </w:p>
        </w:tc>
        <w:tc>
          <w:tcPr>
            <w:tcW w:w="1300" w:type="dxa"/>
            <w:vAlign w:val="bottom"/>
            <w:gridSpan w:val="2"/>
          </w:tcPr>
          <w:p>
            <w:pPr>
              <w:jc w:val="right"/>
              <w:ind w:right="40"/>
              <w:spacing w:after="0"/>
              <w:rPr>
                <w:sz w:val="20"/>
                <w:szCs w:val="20"/>
                <w:color w:val="auto"/>
              </w:rPr>
            </w:pPr>
            <w:r>
              <w:rPr>
                <w:rFonts w:ascii="Arial" w:cs="Arial" w:eastAsia="Arial" w:hAnsi="Arial"/>
                <w:sz w:val="17"/>
                <w:szCs w:val="17"/>
                <w:color w:val="auto"/>
              </w:rPr>
              <w:t>(12,721)</w:t>
            </w:r>
          </w:p>
        </w:tc>
      </w:tr>
      <w:tr>
        <w:trPr>
          <w:trHeight w:val="201"/>
        </w:trPr>
        <w:tc>
          <w:tcPr>
            <w:tcW w:w="53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7"/>
                <w:szCs w:val="17"/>
                <w:b w:val="1"/>
                <w:bCs w:val="1"/>
                <w:color w:val="auto"/>
              </w:rPr>
              <w:t>Ending balance</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626,871</w:t>
            </w: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484,608</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spacing w:after="0"/>
              <w:rPr>
                <w:sz w:val="17"/>
                <w:szCs w:val="17"/>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69,373</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1,180,852</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r>
      <w:tr>
        <w:trPr>
          <w:trHeight w:val="20"/>
        </w:trPr>
        <w:tc>
          <w:tcPr>
            <w:tcW w:w="538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08"/>
        </w:trPr>
        <w:tc>
          <w:tcPr>
            <w:tcW w:w="5380" w:type="dxa"/>
            <w:vAlign w:val="bottom"/>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7"/>
                <w:szCs w:val="17"/>
                <w:b w:val="1"/>
                <w:bCs w:val="1"/>
                <w:color w:val="auto"/>
              </w:rPr>
              <w:t>2016</w:t>
            </w:r>
          </w:p>
        </w:tc>
        <w:tc>
          <w:tcPr>
            <w:tcW w:w="10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82"/>
        </w:trPr>
        <w:tc>
          <w:tcPr>
            <w:tcW w:w="5380" w:type="dxa"/>
            <w:vAlign w:val="bottom"/>
          </w:tcPr>
          <w:p>
            <w:pPr>
              <w:spacing w:after="0"/>
              <w:rPr>
                <w:sz w:val="15"/>
                <w:szCs w:val="15"/>
                <w:color w:val="auto"/>
              </w:rPr>
            </w:pPr>
          </w:p>
        </w:tc>
        <w:tc>
          <w:tcPr>
            <w:tcW w:w="1440" w:type="dxa"/>
            <w:vAlign w:val="bottom"/>
            <w:gridSpan w:val="2"/>
          </w:tcPr>
          <w:p>
            <w:pPr>
              <w:jc w:val="right"/>
              <w:ind w:right="700"/>
              <w:spacing w:after="0" w:line="183" w:lineRule="exact"/>
              <w:rPr>
                <w:sz w:val="20"/>
                <w:szCs w:val="20"/>
                <w:color w:val="auto"/>
              </w:rPr>
            </w:pPr>
            <w:r>
              <w:rPr>
                <w:rFonts w:ascii="Arial" w:cs="Arial" w:eastAsia="Arial" w:hAnsi="Arial"/>
                <w:sz w:val="17"/>
                <w:szCs w:val="17"/>
                <w:b w:val="1"/>
                <w:bCs w:val="1"/>
                <w:color w:val="auto"/>
              </w:rPr>
              <w:t>Life</w:t>
            </w:r>
          </w:p>
        </w:tc>
        <w:tc>
          <w:tcPr>
            <w:tcW w:w="1560" w:type="dxa"/>
            <w:vAlign w:val="bottom"/>
            <w:gridSpan w:val="3"/>
          </w:tcPr>
          <w:p>
            <w:pPr>
              <w:jc w:val="right"/>
              <w:ind w:right="660"/>
              <w:spacing w:after="0" w:line="183" w:lineRule="exact"/>
              <w:rPr>
                <w:sz w:val="20"/>
                <w:szCs w:val="20"/>
                <w:color w:val="auto"/>
              </w:rPr>
            </w:pPr>
            <w:r>
              <w:rPr>
                <w:rFonts w:ascii="Arial" w:cs="Arial" w:eastAsia="Arial" w:hAnsi="Arial"/>
                <w:sz w:val="17"/>
                <w:szCs w:val="17"/>
                <w:b w:val="1"/>
                <w:bCs w:val="1"/>
                <w:color w:val="auto"/>
              </w:rPr>
              <w:t>General</w:t>
            </w:r>
          </w:p>
        </w:tc>
        <w:tc>
          <w:tcPr>
            <w:tcW w:w="1260" w:type="dxa"/>
            <w:vAlign w:val="bottom"/>
            <w:gridSpan w:val="2"/>
          </w:tcPr>
          <w:p>
            <w:pPr>
              <w:ind w:left="200"/>
              <w:spacing w:after="0" w:line="183" w:lineRule="exact"/>
              <w:rPr>
                <w:sz w:val="20"/>
                <w:szCs w:val="20"/>
                <w:color w:val="auto"/>
              </w:rPr>
            </w:pPr>
            <w:r>
              <w:rPr>
                <w:rFonts w:ascii="Arial" w:cs="Arial" w:eastAsia="Arial" w:hAnsi="Arial"/>
                <w:sz w:val="17"/>
                <w:szCs w:val="17"/>
                <w:b w:val="1"/>
                <w:bCs w:val="1"/>
                <w:color w:val="auto"/>
              </w:rPr>
              <w:t>Health</w:t>
            </w: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26"/>
        </w:trPr>
        <w:tc>
          <w:tcPr>
            <w:tcW w:w="5380" w:type="dxa"/>
            <w:vAlign w:val="bottom"/>
          </w:tcPr>
          <w:p>
            <w:pPr>
              <w:spacing w:after="0"/>
              <w:rPr>
                <w:sz w:val="19"/>
                <w:szCs w:val="19"/>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7"/>
                <w:szCs w:val="17"/>
                <w:b w:val="1"/>
                <w:bCs w:val="1"/>
                <w:color w:val="auto"/>
                <w:w w:val="89"/>
              </w:rPr>
              <w:t>insurance</w:t>
            </w:r>
          </w:p>
        </w:tc>
        <w:tc>
          <w:tcPr>
            <w:tcW w:w="1560" w:type="dxa"/>
            <w:vAlign w:val="bottom"/>
            <w:gridSpan w:val="3"/>
          </w:tcPr>
          <w:p>
            <w:pPr>
              <w:jc w:val="center"/>
              <w:ind w:right="320"/>
              <w:spacing w:after="0"/>
              <w:rPr>
                <w:sz w:val="20"/>
                <w:szCs w:val="20"/>
                <w:color w:val="auto"/>
              </w:rPr>
            </w:pPr>
            <w:r>
              <w:rPr>
                <w:rFonts w:ascii="Arial" w:cs="Arial" w:eastAsia="Arial" w:hAnsi="Arial"/>
                <w:sz w:val="17"/>
                <w:szCs w:val="17"/>
                <w:b w:val="1"/>
                <w:bCs w:val="1"/>
                <w:color w:val="auto"/>
                <w:w w:val="89"/>
              </w:rPr>
              <w:t>insurance</w:t>
            </w:r>
          </w:p>
        </w:tc>
        <w:tc>
          <w:tcPr>
            <w:tcW w:w="1260" w:type="dxa"/>
            <w:vAlign w:val="bottom"/>
            <w:gridSpan w:val="2"/>
          </w:tcPr>
          <w:p>
            <w:pPr>
              <w:jc w:val="right"/>
              <w:ind w:right="440"/>
              <w:spacing w:after="0"/>
              <w:rPr>
                <w:sz w:val="20"/>
                <w:szCs w:val="20"/>
                <w:color w:val="auto"/>
              </w:rPr>
            </w:pPr>
            <w:r>
              <w:rPr>
                <w:rFonts w:ascii="Arial" w:cs="Arial" w:eastAsia="Arial" w:hAnsi="Arial"/>
                <w:sz w:val="17"/>
                <w:szCs w:val="17"/>
                <w:b w:val="1"/>
                <w:bCs w:val="1"/>
                <w:color w:val="auto"/>
                <w:w w:val="99"/>
              </w:rPr>
              <w:t>insurance</w:t>
            </w:r>
          </w:p>
        </w:tc>
        <w:tc>
          <w:tcPr>
            <w:tcW w:w="1300" w:type="dxa"/>
            <w:vAlign w:val="bottom"/>
            <w:gridSpan w:val="2"/>
          </w:tcPr>
          <w:p>
            <w:pPr>
              <w:jc w:val="center"/>
              <w:ind w:right="80"/>
              <w:spacing w:after="0"/>
              <w:rPr>
                <w:sz w:val="20"/>
                <w:szCs w:val="20"/>
                <w:color w:val="auto"/>
              </w:rPr>
            </w:pPr>
            <w:r>
              <w:rPr>
                <w:rFonts w:ascii="Arial" w:cs="Arial" w:eastAsia="Arial" w:hAnsi="Arial"/>
                <w:sz w:val="17"/>
                <w:szCs w:val="17"/>
                <w:b w:val="1"/>
                <w:bCs w:val="1"/>
                <w:color w:val="auto"/>
                <w:w w:val="93"/>
              </w:rPr>
              <w:t>Total</w:t>
            </w:r>
          </w:p>
        </w:tc>
      </w:tr>
      <w:tr>
        <w:trPr>
          <w:trHeight w:val="219"/>
        </w:trPr>
        <w:tc>
          <w:tcPr>
            <w:tcW w:w="5380" w:type="dxa"/>
            <w:vAlign w:val="bottom"/>
          </w:tcPr>
          <w:p>
            <w:pPr>
              <w:spacing w:after="0"/>
              <w:rPr>
                <w:sz w:val="19"/>
                <w:szCs w:val="19"/>
                <w:color w:val="auto"/>
              </w:rPr>
            </w:pPr>
          </w:p>
        </w:tc>
        <w:tc>
          <w:tcPr>
            <w:tcW w:w="1220" w:type="dxa"/>
            <w:vAlign w:val="bottom"/>
            <w:tcBorders>
              <w:top w:val="single" w:sz="8" w:color="auto"/>
            </w:tcBorders>
          </w:tcPr>
          <w:p>
            <w:pPr>
              <w:jc w:val="center"/>
              <w:spacing w:after="0"/>
              <w:rPr>
                <w:sz w:val="20"/>
                <w:szCs w:val="20"/>
                <w:color w:val="auto"/>
              </w:rPr>
            </w:pPr>
            <w:r>
              <w:rPr>
                <w:rFonts w:ascii="Arial" w:cs="Arial" w:eastAsia="Arial" w:hAnsi="Arial"/>
                <w:sz w:val="17"/>
                <w:szCs w:val="17"/>
                <w:b w:val="1"/>
                <w:bCs w:val="1"/>
                <w:color w:val="auto"/>
                <w:w w:val="93"/>
              </w:rPr>
              <w:t>S/(000)</w:t>
            </w:r>
          </w:p>
        </w:tc>
        <w:tc>
          <w:tcPr>
            <w:tcW w:w="220" w:type="dxa"/>
            <w:vAlign w:val="bottom"/>
          </w:tcPr>
          <w:p>
            <w:pPr>
              <w:spacing w:after="0"/>
              <w:rPr>
                <w:sz w:val="19"/>
                <w:szCs w:val="19"/>
                <w:color w:val="auto"/>
              </w:rPr>
            </w:pPr>
          </w:p>
        </w:tc>
        <w:tc>
          <w:tcPr>
            <w:tcW w:w="1220" w:type="dxa"/>
            <w:vAlign w:val="bottom"/>
            <w:tcBorders>
              <w:top w:val="single" w:sz="8" w:color="auto"/>
            </w:tcBorders>
          </w:tcPr>
          <w:p>
            <w:pPr>
              <w:jc w:val="center"/>
              <w:spacing w:after="0"/>
              <w:rPr>
                <w:sz w:val="20"/>
                <w:szCs w:val="20"/>
                <w:color w:val="auto"/>
              </w:rPr>
            </w:pPr>
            <w:r>
              <w:rPr>
                <w:rFonts w:ascii="Arial" w:cs="Arial" w:eastAsia="Arial" w:hAnsi="Arial"/>
                <w:sz w:val="17"/>
                <w:szCs w:val="17"/>
                <w:b w:val="1"/>
                <w:bCs w:val="1"/>
                <w:color w:val="auto"/>
                <w:w w:val="93"/>
              </w:rPr>
              <w:t>S/(000)</w:t>
            </w:r>
          </w:p>
        </w:tc>
        <w:tc>
          <w:tcPr>
            <w:tcW w:w="2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ind w:left="200"/>
              <w:spacing w:after="0"/>
              <w:rPr>
                <w:sz w:val="20"/>
                <w:szCs w:val="20"/>
                <w:color w:val="auto"/>
              </w:rPr>
            </w:pPr>
            <w:r>
              <w:rPr>
                <w:rFonts w:ascii="Arial" w:cs="Arial" w:eastAsia="Arial" w:hAnsi="Arial"/>
                <w:sz w:val="17"/>
                <w:szCs w:val="17"/>
                <w:b w:val="1"/>
                <w:bCs w:val="1"/>
                <w:color w:val="auto"/>
              </w:rPr>
              <w:t>S/(000)</w:t>
            </w:r>
          </w:p>
        </w:tc>
        <w:tc>
          <w:tcPr>
            <w:tcW w:w="200" w:type="dxa"/>
            <w:vAlign w:val="bottom"/>
          </w:tcPr>
          <w:p>
            <w:pPr>
              <w:spacing w:after="0"/>
              <w:rPr>
                <w:sz w:val="19"/>
                <w:szCs w:val="19"/>
                <w:color w:val="auto"/>
              </w:rPr>
            </w:pPr>
          </w:p>
        </w:tc>
        <w:tc>
          <w:tcPr>
            <w:tcW w:w="1200" w:type="dxa"/>
            <w:vAlign w:val="bottom"/>
            <w:tcBorders>
              <w:top w:val="single" w:sz="8" w:color="auto"/>
            </w:tcBorders>
          </w:tcPr>
          <w:p>
            <w:pPr>
              <w:jc w:val="center"/>
              <w:spacing w:after="0"/>
              <w:rPr>
                <w:sz w:val="20"/>
                <w:szCs w:val="20"/>
                <w:color w:val="auto"/>
              </w:rPr>
            </w:pPr>
            <w:r>
              <w:rPr>
                <w:rFonts w:ascii="Arial" w:cs="Arial" w:eastAsia="Arial" w:hAnsi="Arial"/>
                <w:sz w:val="17"/>
                <w:szCs w:val="17"/>
                <w:b w:val="1"/>
                <w:bCs w:val="1"/>
                <w:color w:val="auto"/>
                <w:w w:val="93"/>
              </w:rPr>
              <w:t>S/(000)</w:t>
            </w:r>
          </w:p>
        </w:tc>
        <w:tc>
          <w:tcPr>
            <w:tcW w:w="100" w:type="dxa"/>
            <w:vAlign w:val="bottom"/>
          </w:tcPr>
          <w:p>
            <w:pPr>
              <w:spacing w:after="0"/>
              <w:rPr>
                <w:sz w:val="19"/>
                <w:szCs w:val="19"/>
                <w:color w:val="auto"/>
              </w:rPr>
            </w:pPr>
          </w:p>
        </w:tc>
      </w:tr>
      <w:tr>
        <w:trPr>
          <w:trHeight w:val="189"/>
        </w:trPr>
        <w:tc>
          <w:tcPr>
            <w:tcW w:w="5380" w:type="dxa"/>
            <w:vAlign w:val="bottom"/>
          </w:tcPr>
          <w:p>
            <w:pPr>
              <w:spacing w:after="0"/>
              <w:rPr>
                <w:sz w:val="16"/>
                <w:szCs w:val="16"/>
                <w:color w:val="auto"/>
              </w:rPr>
            </w:pPr>
          </w:p>
        </w:tc>
        <w:tc>
          <w:tcPr>
            <w:tcW w:w="1440" w:type="dxa"/>
            <w:vAlign w:val="bottom"/>
            <w:gridSpan w:val="2"/>
          </w:tcPr>
          <w:p>
            <w:pPr>
              <w:spacing w:after="0"/>
              <w:rPr>
                <w:sz w:val="16"/>
                <w:szCs w:val="16"/>
                <w:color w:val="auto"/>
              </w:rPr>
            </w:pPr>
          </w:p>
        </w:tc>
        <w:tc>
          <w:tcPr>
            <w:tcW w:w="1420" w:type="dxa"/>
            <w:vAlign w:val="bottom"/>
            <w:gridSpan w:val="2"/>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gridSpan w:val="2"/>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08"/>
        </w:trPr>
        <w:tc>
          <w:tcPr>
            <w:tcW w:w="538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Beginning balance</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478,960</w:t>
            </w: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335,818</w:t>
            </w: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64,896</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879,674</w:t>
            </w:r>
          </w:p>
        </w:tc>
        <w:tc>
          <w:tcPr>
            <w:tcW w:w="100" w:type="dxa"/>
            <w:vAlign w:val="bottom"/>
            <w:shd w:val="clear" w:color="auto" w:fill="CCEEFF"/>
          </w:tcPr>
          <w:p>
            <w:pPr>
              <w:spacing w:after="0"/>
              <w:rPr>
                <w:sz w:val="18"/>
                <w:szCs w:val="18"/>
                <w:color w:val="auto"/>
              </w:rPr>
            </w:pPr>
          </w:p>
        </w:tc>
      </w:tr>
      <w:tr>
        <w:trPr>
          <w:trHeight w:val="208"/>
        </w:trPr>
        <w:tc>
          <w:tcPr>
            <w:tcW w:w="5380" w:type="dxa"/>
            <w:vAlign w:val="bottom"/>
          </w:tcPr>
          <w:p>
            <w:pPr>
              <w:spacing w:after="0"/>
              <w:rPr>
                <w:sz w:val="20"/>
                <w:szCs w:val="20"/>
                <w:color w:val="auto"/>
              </w:rPr>
            </w:pPr>
            <w:r>
              <w:rPr>
                <w:rFonts w:ascii="Arial" w:cs="Arial" w:eastAsia="Arial" w:hAnsi="Arial"/>
                <w:sz w:val="17"/>
                <w:szCs w:val="17"/>
                <w:color w:val="auto"/>
              </w:rPr>
              <w:t>Claims, Note 24</w:t>
            </w:r>
          </w:p>
        </w:tc>
        <w:tc>
          <w:tcPr>
            <w:tcW w:w="1440" w:type="dxa"/>
            <w:vAlign w:val="bottom"/>
            <w:gridSpan w:val="2"/>
          </w:tcPr>
          <w:p>
            <w:pPr>
              <w:jc w:val="right"/>
              <w:ind w:right="220"/>
              <w:spacing w:after="0"/>
              <w:rPr>
                <w:sz w:val="20"/>
                <w:szCs w:val="20"/>
                <w:color w:val="auto"/>
              </w:rPr>
            </w:pPr>
            <w:r>
              <w:rPr>
                <w:rFonts w:ascii="Arial" w:cs="Arial" w:eastAsia="Arial" w:hAnsi="Arial"/>
                <w:sz w:val="17"/>
                <w:szCs w:val="17"/>
                <w:color w:val="auto"/>
              </w:rPr>
              <w:t>618,274</w:t>
            </w:r>
          </w:p>
        </w:tc>
        <w:tc>
          <w:tcPr>
            <w:tcW w:w="1420" w:type="dxa"/>
            <w:vAlign w:val="bottom"/>
            <w:gridSpan w:val="2"/>
          </w:tcPr>
          <w:p>
            <w:pPr>
              <w:jc w:val="right"/>
              <w:ind w:right="200"/>
              <w:spacing w:after="0"/>
              <w:rPr>
                <w:sz w:val="20"/>
                <w:szCs w:val="20"/>
                <w:color w:val="auto"/>
              </w:rPr>
            </w:pPr>
            <w:r>
              <w:rPr>
                <w:rFonts w:ascii="Arial" w:cs="Arial" w:eastAsia="Arial" w:hAnsi="Arial"/>
                <w:sz w:val="17"/>
                <w:szCs w:val="17"/>
                <w:color w:val="auto"/>
              </w:rPr>
              <w:t>351,227</w:t>
            </w:r>
          </w:p>
        </w:tc>
        <w:tc>
          <w:tcPr>
            <w:tcW w:w="14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7"/>
                <w:szCs w:val="17"/>
                <w:color w:val="auto"/>
              </w:rPr>
              <w:t>274,902</w:t>
            </w:r>
          </w:p>
        </w:tc>
        <w:tc>
          <w:tcPr>
            <w:tcW w:w="1200" w:type="dxa"/>
            <w:vAlign w:val="bottom"/>
          </w:tcPr>
          <w:p>
            <w:pPr>
              <w:jc w:val="right"/>
              <w:spacing w:after="0"/>
              <w:rPr>
                <w:sz w:val="20"/>
                <w:szCs w:val="20"/>
                <w:color w:val="auto"/>
              </w:rPr>
            </w:pPr>
            <w:r>
              <w:rPr>
                <w:rFonts w:ascii="Arial" w:cs="Arial" w:eastAsia="Arial" w:hAnsi="Arial"/>
                <w:sz w:val="17"/>
                <w:szCs w:val="17"/>
                <w:color w:val="auto"/>
              </w:rPr>
              <w:t>1,244,403</w:t>
            </w:r>
          </w:p>
        </w:tc>
        <w:tc>
          <w:tcPr>
            <w:tcW w:w="100" w:type="dxa"/>
            <w:vAlign w:val="bottom"/>
          </w:tcPr>
          <w:p>
            <w:pPr>
              <w:spacing w:after="0"/>
              <w:rPr>
                <w:sz w:val="18"/>
                <w:szCs w:val="18"/>
                <w:color w:val="auto"/>
              </w:rPr>
            </w:pPr>
          </w:p>
        </w:tc>
      </w:tr>
      <w:tr>
        <w:trPr>
          <w:trHeight w:val="208"/>
        </w:trPr>
        <w:tc>
          <w:tcPr>
            <w:tcW w:w="5380" w:type="dxa"/>
            <w:vAlign w:val="bottom"/>
            <w:shd w:val="clear" w:color="auto" w:fill="CCEEFF"/>
          </w:tcPr>
          <w:p>
            <w:pPr>
              <w:spacing w:after="0"/>
              <w:rPr>
                <w:sz w:val="20"/>
                <w:szCs w:val="20"/>
                <w:color w:val="auto"/>
              </w:rPr>
            </w:pPr>
            <w:r>
              <w:rPr>
                <w:rFonts w:ascii="Arial" w:cs="Arial" w:eastAsia="Arial" w:hAnsi="Arial"/>
                <w:sz w:val="17"/>
                <w:szCs w:val="17"/>
                <w:color w:val="auto"/>
              </w:rPr>
              <w:t>Payments</w:t>
            </w: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(544,934)</w:t>
            </w: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(385,621)</w:t>
            </w: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(243,847)</w:t>
            </w:r>
          </w:p>
        </w:tc>
        <w:tc>
          <w:tcPr>
            <w:tcW w:w="13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(1,174,402)</w:t>
            </w:r>
          </w:p>
        </w:tc>
      </w:tr>
      <w:tr>
        <w:trPr>
          <w:trHeight w:val="221"/>
        </w:trPr>
        <w:tc>
          <w:tcPr>
            <w:tcW w:w="5380" w:type="dxa"/>
            <w:vAlign w:val="bottom"/>
          </w:tcPr>
          <w:p>
            <w:pPr>
              <w:spacing w:after="0"/>
              <w:rPr>
                <w:sz w:val="20"/>
                <w:szCs w:val="20"/>
                <w:color w:val="auto"/>
              </w:rPr>
            </w:pPr>
            <w:r>
              <w:rPr>
                <w:rFonts w:ascii="Arial" w:cs="Arial" w:eastAsia="Arial" w:hAnsi="Arial"/>
                <w:sz w:val="17"/>
                <w:szCs w:val="17"/>
                <w:color w:val="auto"/>
              </w:rPr>
              <w:t>Exchange difference</w:t>
            </w:r>
          </w:p>
        </w:tc>
        <w:tc>
          <w:tcPr>
            <w:tcW w:w="1440" w:type="dxa"/>
            <w:vAlign w:val="bottom"/>
            <w:gridSpan w:val="2"/>
          </w:tcPr>
          <w:p>
            <w:pPr>
              <w:jc w:val="right"/>
              <w:ind w:right="160"/>
              <w:spacing w:after="0"/>
              <w:rPr>
                <w:sz w:val="20"/>
                <w:szCs w:val="20"/>
                <w:color w:val="auto"/>
              </w:rPr>
            </w:pPr>
            <w:r>
              <w:rPr>
                <w:rFonts w:ascii="Arial" w:cs="Arial" w:eastAsia="Arial" w:hAnsi="Arial"/>
                <w:sz w:val="17"/>
                <w:szCs w:val="17"/>
                <w:color w:val="auto"/>
              </w:rPr>
              <w:t>(784)</w:t>
            </w:r>
          </w:p>
        </w:tc>
        <w:tc>
          <w:tcPr>
            <w:tcW w:w="1420" w:type="dxa"/>
            <w:vAlign w:val="bottom"/>
            <w:gridSpan w:val="2"/>
          </w:tcPr>
          <w:p>
            <w:pPr>
              <w:jc w:val="right"/>
              <w:ind w:right="200"/>
              <w:spacing w:after="0"/>
              <w:rPr>
                <w:sz w:val="20"/>
                <w:szCs w:val="20"/>
                <w:color w:val="auto"/>
              </w:rPr>
            </w:pPr>
            <w:r>
              <w:rPr>
                <w:rFonts w:ascii="Arial" w:cs="Arial" w:eastAsia="Arial" w:hAnsi="Arial"/>
                <w:sz w:val="17"/>
                <w:szCs w:val="17"/>
                <w:color w:val="auto"/>
              </w:rPr>
              <w:t>24,324</w:t>
            </w:r>
          </w:p>
        </w:tc>
        <w:tc>
          <w:tcPr>
            <w:tcW w:w="140" w:type="dxa"/>
            <w:vAlign w:val="bottom"/>
          </w:tcPr>
          <w:p>
            <w:pPr>
              <w:spacing w:after="0"/>
              <w:rPr>
                <w:sz w:val="19"/>
                <w:szCs w:val="19"/>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7"/>
                <w:szCs w:val="17"/>
                <w:color w:val="auto"/>
              </w:rPr>
              <w:t>(35,218)</w:t>
            </w:r>
          </w:p>
        </w:tc>
        <w:tc>
          <w:tcPr>
            <w:tcW w:w="1300" w:type="dxa"/>
            <w:vAlign w:val="bottom"/>
            <w:gridSpan w:val="2"/>
          </w:tcPr>
          <w:p>
            <w:pPr>
              <w:jc w:val="right"/>
              <w:ind w:right="40"/>
              <w:spacing w:after="0"/>
              <w:rPr>
                <w:sz w:val="20"/>
                <w:szCs w:val="20"/>
                <w:color w:val="auto"/>
              </w:rPr>
            </w:pPr>
            <w:r>
              <w:rPr>
                <w:rFonts w:ascii="Arial" w:cs="Arial" w:eastAsia="Arial" w:hAnsi="Arial"/>
                <w:sz w:val="17"/>
                <w:szCs w:val="17"/>
                <w:color w:val="auto"/>
              </w:rPr>
              <w:t>(11,678)</w:t>
            </w:r>
          </w:p>
        </w:tc>
      </w:tr>
      <w:tr>
        <w:trPr>
          <w:trHeight w:val="201"/>
        </w:trPr>
        <w:tc>
          <w:tcPr>
            <w:tcW w:w="53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7"/>
                <w:szCs w:val="17"/>
                <w:b w:val="1"/>
                <w:bCs w:val="1"/>
                <w:color w:val="auto"/>
              </w:rPr>
              <w:t>Ending balance</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551,516</w:t>
            </w: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325,748</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spacing w:after="0"/>
              <w:rPr>
                <w:sz w:val="17"/>
                <w:szCs w:val="17"/>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60,733</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937,997</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r>
      <w:tr>
        <w:trPr>
          <w:trHeight w:val="20"/>
        </w:trPr>
        <w:tc>
          <w:tcPr>
            <w:tcW w:w="538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5" w:lineRule="exact"/>
        <w:rPr>
          <w:sz w:val="20"/>
          <w:szCs w:val="20"/>
          <w:color w:val="auto"/>
        </w:rPr>
      </w:pPr>
    </w:p>
    <w:p>
      <w:pPr>
        <w:ind w:left="320" w:hanging="316"/>
        <w:spacing w:after="0"/>
        <w:tabs>
          <w:tab w:leader="none" w:pos="320" w:val="left"/>
        </w:tabs>
        <w:numPr>
          <w:ilvl w:val="0"/>
          <w:numId w:val="103"/>
        </w:numPr>
        <w:rPr>
          <w:rFonts w:ascii="Arial" w:cs="Arial" w:eastAsia="Arial" w:hAnsi="Arial"/>
          <w:sz w:val="17"/>
          <w:szCs w:val="17"/>
          <w:color w:val="auto"/>
        </w:rPr>
      </w:pPr>
      <w:r>
        <w:rPr>
          <w:rFonts w:ascii="Arial" w:cs="Arial" w:eastAsia="Arial" w:hAnsi="Arial"/>
          <w:sz w:val="17"/>
          <w:szCs w:val="17"/>
          <w:color w:val="auto"/>
        </w:rPr>
        <w:t>Technical reserves occurred during the years 2017 and 2016:</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320" w:type="dxa"/>
            <w:vAlign w:val="bottom"/>
          </w:tcPr>
          <w:p>
            <w:pPr>
              <w:spacing w:after="0"/>
              <w:rPr>
                <w:sz w:val="19"/>
                <w:szCs w:val="19"/>
                <w:color w:val="auto"/>
              </w:rPr>
            </w:pPr>
          </w:p>
        </w:tc>
        <w:tc>
          <w:tcPr>
            <w:tcW w:w="39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7"/>
                <w:szCs w:val="17"/>
                <w:b w:val="1"/>
                <w:bCs w:val="1"/>
                <w:color w:val="auto"/>
              </w:rPr>
              <w:t>2017</w:t>
            </w:r>
          </w:p>
        </w:tc>
        <w:tc>
          <w:tcPr>
            <w:tcW w:w="106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182"/>
        </w:trPr>
        <w:tc>
          <w:tcPr>
            <w:tcW w:w="320" w:type="dxa"/>
            <w:vAlign w:val="bottom"/>
          </w:tcPr>
          <w:p>
            <w:pPr>
              <w:spacing w:after="0"/>
              <w:rPr>
                <w:sz w:val="15"/>
                <w:szCs w:val="15"/>
                <w:color w:val="auto"/>
              </w:rPr>
            </w:pPr>
          </w:p>
        </w:tc>
        <w:tc>
          <w:tcPr>
            <w:tcW w:w="39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440" w:type="dxa"/>
            <w:vAlign w:val="bottom"/>
            <w:gridSpan w:val="2"/>
          </w:tcPr>
          <w:p>
            <w:pPr>
              <w:jc w:val="right"/>
              <w:ind w:right="700"/>
              <w:spacing w:after="0" w:line="183" w:lineRule="exact"/>
              <w:rPr>
                <w:sz w:val="20"/>
                <w:szCs w:val="20"/>
                <w:color w:val="auto"/>
              </w:rPr>
            </w:pPr>
            <w:r>
              <w:rPr>
                <w:rFonts w:ascii="Arial" w:cs="Arial" w:eastAsia="Arial" w:hAnsi="Arial"/>
                <w:sz w:val="17"/>
                <w:szCs w:val="17"/>
                <w:b w:val="1"/>
                <w:bCs w:val="1"/>
                <w:color w:val="auto"/>
              </w:rPr>
              <w:t>Life</w:t>
            </w:r>
          </w:p>
        </w:tc>
        <w:tc>
          <w:tcPr>
            <w:tcW w:w="1560" w:type="dxa"/>
            <w:vAlign w:val="bottom"/>
            <w:gridSpan w:val="3"/>
          </w:tcPr>
          <w:p>
            <w:pPr>
              <w:jc w:val="right"/>
              <w:ind w:right="660"/>
              <w:spacing w:after="0" w:line="183" w:lineRule="exact"/>
              <w:rPr>
                <w:sz w:val="20"/>
                <w:szCs w:val="20"/>
                <w:color w:val="auto"/>
              </w:rPr>
            </w:pPr>
            <w:r>
              <w:rPr>
                <w:rFonts w:ascii="Arial" w:cs="Arial" w:eastAsia="Arial" w:hAnsi="Arial"/>
                <w:sz w:val="17"/>
                <w:szCs w:val="17"/>
                <w:b w:val="1"/>
                <w:bCs w:val="1"/>
                <w:color w:val="auto"/>
              </w:rPr>
              <w:t>General</w:t>
            </w:r>
          </w:p>
        </w:tc>
        <w:tc>
          <w:tcPr>
            <w:tcW w:w="1260" w:type="dxa"/>
            <w:vAlign w:val="bottom"/>
            <w:gridSpan w:val="2"/>
          </w:tcPr>
          <w:p>
            <w:pPr>
              <w:jc w:val="right"/>
              <w:ind w:right="560"/>
              <w:spacing w:after="0" w:line="183" w:lineRule="exact"/>
              <w:rPr>
                <w:sz w:val="20"/>
                <w:szCs w:val="20"/>
                <w:color w:val="auto"/>
              </w:rPr>
            </w:pPr>
            <w:r>
              <w:rPr>
                <w:rFonts w:ascii="Arial" w:cs="Arial" w:eastAsia="Arial" w:hAnsi="Arial"/>
                <w:sz w:val="17"/>
                <w:szCs w:val="17"/>
                <w:b w:val="1"/>
                <w:bCs w:val="1"/>
                <w:color w:val="auto"/>
              </w:rPr>
              <w:t>Health</w:t>
            </w: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r>
      <w:tr>
        <w:trPr>
          <w:trHeight w:val="226"/>
        </w:trPr>
        <w:tc>
          <w:tcPr>
            <w:tcW w:w="320" w:type="dxa"/>
            <w:vAlign w:val="bottom"/>
          </w:tcPr>
          <w:p>
            <w:pPr>
              <w:spacing w:after="0"/>
              <w:rPr>
                <w:sz w:val="19"/>
                <w:szCs w:val="19"/>
                <w:color w:val="auto"/>
              </w:rPr>
            </w:pPr>
          </w:p>
        </w:tc>
        <w:tc>
          <w:tcPr>
            <w:tcW w:w="39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440" w:type="dxa"/>
            <w:vAlign w:val="bottom"/>
            <w:gridSpan w:val="2"/>
          </w:tcPr>
          <w:p>
            <w:pPr>
              <w:jc w:val="right"/>
              <w:ind w:right="480"/>
              <w:spacing w:after="0"/>
              <w:rPr>
                <w:sz w:val="20"/>
                <w:szCs w:val="20"/>
                <w:color w:val="auto"/>
              </w:rPr>
            </w:pPr>
            <w:r>
              <w:rPr>
                <w:rFonts w:ascii="Arial" w:cs="Arial" w:eastAsia="Arial" w:hAnsi="Arial"/>
                <w:sz w:val="17"/>
                <w:szCs w:val="17"/>
                <w:b w:val="1"/>
                <w:bCs w:val="1"/>
                <w:color w:val="auto"/>
              </w:rPr>
              <w:t>insurance</w:t>
            </w:r>
          </w:p>
        </w:tc>
        <w:tc>
          <w:tcPr>
            <w:tcW w:w="1560" w:type="dxa"/>
            <w:vAlign w:val="bottom"/>
            <w:gridSpan w:val="3"/>
          </w:tcPr>
          <w:p>
            <w:pPr>
              <w:jc w:val="right"/>
              <w:ind w:right="580"/>
              <w:spacing w:after="0"/>
              <w:rPr>
                <w:sz w:val="20"/>
                <w:szCs w:val="20"/>
                <w:color w:val="auto"/>
              </w:rPr>
            </w:pPr>
            <w:r>
              <w:rPr>
                <w:rFonts w:ascii="Arial" w:cs="Arial" w:eastAsia="Arial" w:hAnsi="Arial"/>
                <w:sz w:val="17"/>
                <w:szCs w:val="17"/>
                <w:b w:val="1"/>
                <w:bCs w:val="1"/>
                <w:color w:val="auto"/>
              </w:rPr>
              <w:t>insurance</w:t>
            </w:r>
          </w:p>
        </w:tc>
        <w:tc>
          <w:tcPr>
            <w:tcW w:w="1260" w:type="dxa"/>
            <w:vAlign w:val="bottom"/>
            <w:gridSpan w:val="2"/>
          </w:tcPr>
          <w:p>
            <w:pPr>
              <w:jc w:val="right"/>
              <w:ind w:right="440"/>
              <w:spacing w:after="0"/>
              <w:rPr>
                <w:sz w:val="20"/>
                <w:szCs w:val="20"/>
                <w:color w:val="auto"/>
              </w:rPr>
            </w:pPr>
            <w:r>
              <w:rPr>
                <w:rFonts w:ascii="Arial" w:cs="Arial" w:eastAsia="Arial" w:hAnsi="Arial"/>
                <w:sz w:val="17"/>
                <w:szCs w:val="17"/>
                <w:b w:val="1"/>
                <w:bCs w:val="1"/>
                <w:color w:val="auto"/>
                <w:w w:val="99"/>
              </w:rPr>
              <w:t>insurance</w:t>
            </w:r>
          </w:p>
        </w:tc>
        <w:tc>
          <w:tcPr>
            <w:tcW w:w="1300" w:type="dxa"/>
            <w:vAlign w:val="bottom"/>
            <w:gridSpan w:val="2"/>
          </w:tcPr>
          <w:p>
            <w:pPr>
              <w:jc w:val="right"/>
              <w:ind w:right="500"/>
              <w:spacing w:after="0"/>
              <w:rPr>
                <w:sz w:val="20"/>
                <w:szCs w:val="20"/>
                <w:color w:val="auto"/>
              </w:rPr>
            </w:pPr>
            <w:r>
              <w:rPr>
                <w:rFonts w:ascii="Arial" w:cs="Arial" w:eastAsia="Arial" w:hAnsi="Arial"/>
                <w:sz w:val="17"/>
                <w:szCs w:val="17"/>
                <w:b w:val="1"/>
                <w:bCs w:val="1"/>
                <w:color w:val="auto"/>
              </w:rPr>
              <w:t>Total</w:t>
            </w:r>
          </w:p>
        </w:tc>
        <w:tc>
          <w:tcPr>
            <w:tcW w:w="160" w:type="dxa"/>
            <w:vAlign w:val="bottom"/>
          </w:tcPr>
          <w:p>
            <w:pPr>
              <w:spacing w:after="0"/>
              <w:rPr>
                <w:sz w:val="19"/>
                <w:szCs w:val="19"/>
                <w:color w:val="auto"/>
              </w:rPr>
            </w:pPr>
          </w:p>
        </w:tc>
      </w:tr>
      <w:tr>
        <w:trPr>
          <w:trHeight w:val="219"/>
        </w:trPr>
        <w:tc>
          <w:tcPr>
            <w:tcW w:w="320" w:type="dxa"/>
            <w:vAlign w:val="bottom"/>
          </w:tcPr>
          <w:p>
            <w:pPr>
              <w:spacing w:after="0"/>
              <w:rPr>
                <w:sz w:val="19"/>
                <w:szCs w:val="19"/>
                <w:color w:val="auto"/>
              </w:rPr>
            </w:pPr>
          </w:p>
        </w:tc>
        <w:tc>
          <w:tcPr>
            <w:tcW w:w="39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220" w:type="dxa"/>
            <w:vAlign w:val="bottom"/>
            <w:tcBorders>
              <w:top w:val="single" w:sz="8" w:color="auto"/>
            </w:tcBorders>
          </w:tcPr>
          <w:p>
            <w:pPr>
              <w:jc w:val="right"/>
              <w:ind w:right="273"/>
              <w:spacing w:after="0"/>
              <w:rPr>
                <w:sz w:val="20"/>
                <w:szCs w:val="20"/>
                <w:color w:val="auto"/>
              </w:rPr>
            </w:pPr>
            <w:r>
              <w:rPr>
                <w:rFonts w:ascii="Arial" w:cs="Arial" w:eastAsia="Arial" w:hAnsi="Arial"/>
                <w:sz w:val="17"/>
                <w:szCs w:val="17"/>
                <w:b w:val="1"/>
                <w:bCs w:val="1"/>
                <w:color w:val="auto"/>
              </w:rPr>
              <w:t>S/(000)</w:t>
            </w:r>
          </w:p>
        </w:tc>
        <w:tc>
          <w:tcPr>
            <w:tcW w:w="220" w:type="dxa"/>
            <w:vAlign w:val="bottom"/>
          </w:tcPr>
          <w:p>
            <w:pPr>
              <w:spacing w:after="0"/>
              <w:rPr>
                <w:sz w:val="19"/>
                <w:szCs w:val="19"/>
                <w:color w:val="auto"/>
              </w:rPr>
            </w:pPr>
          </w:p>
        </w:tc>
        <w:tc>
          <w:tcPr>
            <w:tcW w:w="1220" w:type="dxa"/>
            <w:vAlign w:val="bottom"/>
            <w:tcBorders>
              <w:top w:val="single" w:sz="8" w:color="auto"/>
            </w:tcBorders>
          </w:tcPr>
          <w:p>
            <w:pPr>
              <w:jc w:val="right"/>
              <w:ind w:right="253"/>
              <w:spacing w:after="0"/>
              <w:rPr>
                <w:sz w:val="20"/>
                <w:szCs w:val="20"/>
                <w:color w:val="auto"/>
              </w:rPr>
            </w:pPr>
            <w:r>
              <w:rPr>
                <w:rFonts w:ascii="Arial" w:cs="Arial" w:eastAsia="Arial" w:hAnsi="Arial"/>
                <w:sz w:val="17"/>
                <w:szCs w:val="17"/>
                <w:b w:val="1"/>
                <w:bCs w:val="1"/>
                <w:color w:val="auto"/>
              </w:rPr>
              <w:t>S/(000)</w:t>
            </w:r>
          </w:p>
        </w:tc>
        <w:tc>
          <w:tcPr>
            <w:tcW w:w="2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ind w:right="253"/>
              <w:spacing w:after="0"/>
              <w:rPr>
                <w:sz w:val="20"/>
                <w:szCs w:val="20"/>
                <w:color w:val="auto"/>
              </w:rPr>
            </w:pPr>
            <w:r>
              <w:rPr>
                <w:rFonts w:ascii="Arial" w:cs="Arial" w:eastAsia="Arial" w:hAnsi="Arial"/>
                <w:sz w:val="17"/>
                <w:szCs w:val="17"/>
                <w:b w:val="1"/>
                <w:bCs w:val="1"/>
                <w:color w:val="auto"/>
              </w:rPr>
              <w:t>S/(000)</w:t>
            </w:r>
          </w:p>
        </w:tc>
        <w:tc>
          <w:tcPr>
            <w:tcW w:w="200" w:type="dxa"/>
            <w:vAlign w:val="bottom"/>
          </w:tcPr>
          <w:p>
            <w:pPr>
              <w:spacing w:after="0"/>
              <w:rPr>
                <w:sz w:val="19"/>
                <w:szCs w:val="19"/>
                <w:color w:val="auto"/>
              </w:rPr>
            </w:pPr>
          </w:p>
        </w:tc>
        <w:tc>
          <w:tcPr>
            <w:tcW w:w="1200" w:type="dxa"/>
            <w:vAlign w:val="bottom"/>
            <w:tcBorders>
              <w:top w:val="single" w:sz="8" w:color="auto"/>
            </w:tcBorders>
          </w:tcPr>
          <w:p>
            <w:pPr>
              <w:jc w:val="right"/>
              <w:ind w:right="253"/>
              <w:spacing w:after="0"/>
              <w:rPr>
                <w:sz w:val="20"/>
                <w:szCs w:val="20"/>
                <w:color w:val="auto"/>
              </w:rPr>
            </w:pPr>
            <w:r>
              <w:rPr>
                <w:rFonts w:ascii="Arial" w:cs="Arial" w:eastAsia="Arial" w:hAnsi="Arial"/>
                <w:sz w:val="17"/>
                <w:szCs w:val="17"/>
                <w:b w:val="1"/>
                <w:bCs w:val="1"/>
                <w:color w:val="auto"/>
              </w:rPr>
              <w:t>S/(000)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189"/>
        </w:trPr>
        <w:tc>
          <w:tcPr>
            <w:tcW w:w="320" w:type="dxa"/>
            <w:vAlign w:val="bottom"/>
          </w:tcPr>
          <w:p>
            <w:pPr>
              <w:spacing w:after="0"/>
              <w:rPr>
                <w:sz w:val="16"/>
                <w:szCs w:val="16"/>
                <w:color w:val="auto"/>
              </w:rPr>
            </w:pPr>
          </w:p>
        </w:tc>
        <w:tc>
          <w:tcPr>
            <w:tcW w:w="396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208"/>
        </w:trPr>
        <w:tc>
          <w:tcPr>
            <w:tcW w:w="320" w:type="dxa"/>
            <w:vAlign w:val="bottom"/>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Beginning balance</w:t>
            </w:r>
          </w:p>
        </w:tc>
        <w:tc>
          <w:tcPr>
            <w:tcW w:w="2860" w:type="dxa"/>
            <w:vAlign w:val="bottom"/>
            <w:gridSpan w:val="3"/>
            <w:shd w:val="clear" w:color="auto" w:fill="CCEEFF"/>
          </w:tcPr>
          <w:p>
            <w:pPr>
              <w:jc w:val="right"/>
              <w:ind w:right="220"/>
              <w:spacing w:after="0"/>
              <w:rPr>
                <w:sz w:val="20"/>
                <w:szCs w:val="20"/>
                <w:color w:val="auto"/>
              </w:rPr>
            </w:pPr>
            <w:r>
              <w:rPr>
                <w:rFonts w:ascii="Arial" w:cs="Arial" w:eastAsia="Arial" w:hAnsi="Arial"/>
                <w:sz w:val="17"/>
                <w:szCs w:val="17"/>
                <w:color w:val="auto"/>
              </w:rPr>
              <w:t>5,128,974</w:t>
            </w: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574,435</w:t>
            </w: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144,783</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5,848,192</w:t>
            </w:r>
          </w:p>
        </w:tc>
        <w:tc>
          <w:tcPr>
            <w:tcW w:w="100" w:type="dxa"/>
            <w:vAlign w:val="bottom"/>
            <w:shd w:val="clear" w:color="auto" w:fill="CCEEFF"/>
          </w:tcPr>
          <w:p>
            <w:pPr>
              <w:spacing w:after="0"/>
              <w:rPr>
                <w:sz w:val="18"/>
                <w:szCs w:val="18"/>
                <w:color w:val="auto"/>
              </w:rPr>
            </w:pPr>
          </w:p>
        </w:tc>
        <w:tc>
          <w:tcPr>
            <w:tcW w:w="160" w:type="dxa"/>
            <w:vAlign w:val="bottom"/>
          </w:tcPr>
          <w:p>
            <w:pPr>
              <w:spacing w:after="0"/>
              <w:rPr>
                <w:sz w:val="18"/>
                <w:szCs w:val="18"/>
                <w:color w:val="auto"/>
              </w:rPr>
            </w:pPr>
          </w:p>
        </w:tc>
      </w:tr>
      <w:tr>
        <w:trPr>
          <w:trHeight w:val="208"/>
        </w:trPr>
        <w:tc>
          <w:tcPr>
            <w:tcW w:w="320" w:type="dxa"/>
            <w:vAlign w:val="bottom"/>
          </w:tcPr>
          <w:p>
            <w:pPr>
              <w:spacing w:after="0"/>
              <w:rPr>
                <w:sz w:val="18"/>
                <w:szCs w:val="18"/>
                <w:color w:val="auto"/>
              </w:rPr>
            </w:pPr>
          </w:p>
        </w:tc>
        <w:tc>
          <w:tcPr>
            <w:tcW w:w="3960" w:type="dxa"/>
            <w:vAlign w:val="bottom"/>
          </w:tcPr>
          <w:p>
            <w:pPr>
              <w:spacing w:after="0"/>
              <w:rPr>
                <w:sz w:val="20"/>
                <w:szCs w:val="20"/>
                <w:color w:val="auto"/>
              </w:rPr>
            </w:pPr>
            <w:r>
              <w:rPr>
                <w:rFonts w:ascii="Arial" w:cs="Arial" w:eastAsia="Arial" w:hAnsi="Arial"/>
                <w:sz w:val="17"/>
                <w:szCs w:val="17"/>
                <w:color w:val="auto"/>
              </w:rPr>
              <w:t>Time course expenses and others</w:t>
            </w:r>
          </w:p>
        </w:tc>
        <w:tc>
          <w:tcPr>
            <w:tcW w:w="2860" w:type="dxa"/>
            <w:vAlign w:val="bottom"/>
            <w:gridSpan w:val="3"/>
          </w:tcPr>
          <w:p>
            <w:pPr>
              <w:jc w:val="right"/>
              <w:ind w:right="220"/>
              <w:spacing w:after="0"/>
              <w:rPr>
                <w:sz w:val="20"/>
                <w:szCs w:val="20"/>
                <w:color w:val="auto"/>
              </w:rPr>
            </w:pPr>
            <w:r>
              <w:rPr>
                <w:rFonts w:ascii="Arial" w:cs="Arial" w:eastAsia="Arial" w:hAnsi="Arial"/>
                <w:sz w:val="17"/>
                <w:szCs w:val="17"/>
                <w:color w:val="auto"/>
              </w:rPr>
              <w:t>77,855</w:t>
            </w:r>
          </w:p>
        </w:tc>
        <w:tc>
          <w:tcPr>
            <w:tcW w:w="142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7"/>
                <w:szCs w:val="17"/>
                <w:color w:val="auto"/>
              </w:rPr>
              <w:t>77,855</w:t>
            </w:r>
          </w:p>
        </w:tc>
        <w:tc>
          <w:tcPr>
            <w:tcW w:w="160" w:type="dxa"/>
            <w:vAlign w:val="bottom"/>
          </w:tcPr>
          <w:p>
            <w:pPr>
              <w:spacing w:after="0"/>
              <w:rPr>
                <w:sz w:val="18"/>
                <w:szCs w:val="18"/>
                <w:color w:val="auto"/>
              </w:rPr>
            </w:pPr>
          </w:p>
        </w:tc>
      </w:tr>
      <w:tr>
        <w:trPr>
          <w:trHeight w:val="195"/>
        </w:trPr>
        <w:tc>
          <w:tcPr>
            <w:tcW w:w="320" w:type="dxa"/>
            <w:vAlign w:val="bottom"/>
          </w:tcPr>
          <w:p>
            <w:pPr>
              <w:spacing w:after="0"/>
              <w:rPr>
                <w:sz w:val="16"/>
                <w:szCs w:val="16"/>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7"/>
                <w:szCs w:val="17"/>
                <w:color w:val="auto"/>
              </w:rPr>
              <w:t>Unearned premium and other technical</w:t>
            </w:r>
          </w:p>
        </w:tc>
        <w:tc>
          <w:tcPr>
            <w:tcW w:w="142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tcPr>
          <w:p>
            <w:pPr>
              <w:spacing w:after="0"/>
              <w:rPr>
                <w:sz w:val="16"/>
                <w:szCs w:val="16"/>
                <w:color w:val="auto"/>
              </w:rPr>
            </w:pPr>
          </w:p>
        </w:tc>
      </w:tr>
      <w:tr>
        <w:trPr>
          <w:trHeight w:val="220"/>
        </w:trPr>
        <w:tc>
          <w:tcPr>
            <w:tcW w:w="320" w:type="dxa"/>
            <w:vAlign w:val="bottom"/>
          </w:tcPr>
          <w:p>
            <w:pPr>
              <w:spacing w:after="0"/>
              <w:rPr>
                <w:sz w:val="19"/>
                <w:szCs w:val="19"/>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7"/>
                <w:szCs w:val="17"/>
                <w:color w:val="auto"/>
              </w:rPr>
              <w:t>reserves variation, net</w:t>
            </w:r>
          </w:p>
        </w:tc>
        <w:tc>
          <w:tcPr>
            <w:tcW w:w="2860" w:type="dxa"/>
            <w:vAlign w:val="bottom"/>
            <w:gridSpan w:val="3"/>
            <w:shd w:val="clear" w:color="auto" w:fill="CCEEFF"/>
          </w:tcPr>
          <w:p>
            <w:pPr>
              <w:jc w:val="right"/>
              <w:ind w:right="220"/>
              <w:spacing w:after="0"/>
              <w:rPr>
                <w:sz w:val="20"/>
                <w:szCs w:val="20"/>
                <w:color w:val="auto"/>
              </w:rPr>
            </w:pPr>
            <w:r>
              <w:rPr>
                <w:rFonts w:ascii="Arial" w:cs="Arial" w:eastAsia="Arial" w:hAnsi="Arial"/>
                <w:sz w:val="17"/>
                <w:szCs w:val="17"/>
                <w:color w:val="auto"/>
              </w:rPr>
              <w:t>127</w:t>
            </w: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(28,992)</w:t>
            </w:r>
          </w:p>
        </w:tc>
        <w:tc>
          <w:tcPr>
            <w:tcW w:w="1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4,621</w:t>
            </w:r>
          </w:p>
        </w:tc>
        <w:tc>
          <w:tcPr>
            <w:tcW w:w="13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(24,244)</w:t>
            </w:r>
          </w:p>
        </w:tc>
        <w:tc>
          <w:tcPr>
            <w:tcW w:w="160" w:type="dxa"/>
            <w:vAlign w:val="bottom"/>
          </w:tcPr>
          <w:p>
            <w:pPr>
              <w:spacing w:after="0"/>
              <w:rPr>
                <w:sz w:val="19"/>
                <w:szCs w:val="19"/>
                <w:color w:val="auto"/>
              </w:rPr>
            </w:pPr>
          </w:p>
        </w:tc>
      </w:tr>
      <w:tr>
        <w:trPr>
          <w:trHeight w:val="208"/>
        </w:trPr>
        <w:tc>
          <w:tcPr>
            <w:tcW w:w="320" w:type="dxa"/>
            <w:vAlign w:val="bottom"/>
          </w:tcPr>
          <w:p>
            <w:pPr>
              <w:spacing w:after="0"/>
              <w:rPr>
                <w:sz w:val="18"/>
                <w:szCs w:val="18"/>
                <w:color w:val="auto"/>
              </w:rPr>
            </w:pPr>
          </w:p>
        </w:tc>
        <w:tc>
          <w:tcPr>
            <w:tcW w:w="3960" w:type="dxa"/>
            <w:vAlign w:val="bottom"/>
          </w:tcPr>
          <w:p>
            <w:pPr>
              <w:spacing w:after="0"/>
              <w:rPr>
                <w:sz w:val="20"/>
                <w:szCs w:val="20"/>
                <w:color w:val="auto"/>
              </w:rPr>
            </w:pPr>
            <w:r>
              <w:rPr>
                <w:rFonts w:ascii="Arial" w:cs="Arial" w:eastAsia="Arial" w:hAnsi="Arial"/>
                <w:sz w:val="17"/>
                <w:szCs w:val="17"/>
                <w:color w:val="auto"/>
              </w:rPr>
              <w:t>Insurance subscriptions</w:t>
            </w:r>
          </w:p>
        </w:tc>
        <w:tc>
          <w:tcPr>
            <w:tcW w:w="2860" w:type="dxa"/>
            <w:vAlign w:val="bottom"/>
            <w:gridSpan w:val="3"/>
          </w:tcPr>
          <w:p>
            <w:pPr>
              <w:jc w:val="right"/>
              <w:ind w:right="220"/>
              <w:spacing w:after="0"/>
              <w:rPr>
                <w:sz w:val="20"/>
                <w:szCs w:val="20"/>
                <w:color w:val="auto"/>
              </w:rPr>
            </w:pPr>
            <w:r>
              <w:rPr>
                <w:rFonts w:ascii="Arial" w:cs="Arial" w:eastAsia="Arial" w:hAnsi="Arial"/>
                <w:sz w:val="17"/>
                <w:szCs w:val="17"/>
                <w:color w:val="auto"/>
              </w:rPr>
              <w:t>491,519</w:t>
            </w:r>
          </w:p>
        </w:tc>
        <w:tc>
          <w:tcPr>
            <w:tcW w:w="142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491,519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21"/>
        </w:trPr>
        <w:tc>
          <w:tcPr>
            <w:tcW w:w="320" w:type="dxa"/>
            <w:vAlign w:val="bottom"/>
          </w:tcPr>
          <w:p>
            <w:pPr>
              <w:spacing w:after="0"/>
              <w:rPr>
                <w:sz w:val="19"/>
                <w:szCs w:val="19"/>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7"/>
                <w:szCs w:val="17"/>
                <w:color w:val="auto"/>
              </w:rPr>
              <w:t>Exchange difference and others</w:t>
            </w:r>
          </w:p>
        </w:tc>
        <w:tc>
          <w:tcPr>
            <w:tcW w:w="2860" w:type="dxa"/>
            <w:vAlign w:val="bottom"/>
            <w:gridSpan w:val="3"/>
            <w:shd w:val="clear" w:color="auto" w:fill="CCEEFF"/>
          </w:tcPr>
          <w:p>
            <w:pPr>
              <w:jc w:val="right"/>
              <w:ind w:right="160"/>
              <w:spacing w:after="0"/>
              <w:rPr>
                <w:sz w:val="20"/>
                <w:szCs w:val="20"/>
                <w:color w:val="auto"/>
              </w:rPr>
            </w:pPr>
            <w:r>
              <w:rPr>
                <w:rFonts w:ascii="Arial" w:cs="Arial" w:eastAsia="Arial" w:hAnsi="Arial"/>
                <w:sz w:val="17"/>
                <w:szCs w:val="17"/>
                <w:color w:val="auto"/>
              </w:rPr>
              <w:t>(98,698)</w:t>
            </w: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(31,617)</w:t>
            </w:r>
          </w:p>
        </w:tc>
        <w:tc>
          <w:tcPr>
            <w:tcW w:w="1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(99)</w:t>
            </w:r>
          </w:p>
        </w:tc>
        <w:tc>
          <w:tcPr>
            <w:tcW w:w="13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(130,414)</w:t>
            </w:r>
          </w:p>
        </w:tc>
        <w:tc>
          <w:tcPr>
            <w:tcW w:w="160" w:type="dxa"/>
            <w:vAlign w:val="bottom"/>
          </w:tcPr>
          <w:p>
            <w:pPr>
              <w:spacing w:after="0"/>
              <w:rPr>
                <w:sz w:val="19"/>
                <w:szCs w:val="19"/>
                <w:color w:val="auto"/>
              </w:rPr>
            </w:pPr>
          </w:p>
        </w:tc>
      </w:tr>
      <w:tr>
        <w:trPr>
          <w:trHeight w:val="201"/>
        </w:trPr>
        <w:tc>
          <w:tcPr>
            <w:tcW w:w="320" w:type="dxa"/>
            <w:vAlign w:val="bottom"/>
          </w:tcPr>
          <w:p>
            <w:pPr>
              <w:spacing w:after="0"/>
              <w:rPr>
                <w:sz w:val="17"/>
                <w:szCs w:val="17"/>
                <w:color w:val="auto"/>
              </w:rPr>
            </w:pPr>
          </w:p>
        </w:tc>
        <w:tc>
          <w:tcPr>
            <w:tcW w:w="3960" w:type="dxa"/>
            <w:vAlign w:val="bottom"/>
          </w:tcPr>
          <w:p>
            <w:pPr>
              <w:spacing w:after="0"/>
              <w:rPr>
                <w:sz w:val="20"/>
                <w:szCs w:val="20"/>
                <w:color w:val="auto"/>
              </w:rPr>
            </w:pPr>
            <w:r>
              <w:rPr>
                <w:rFonts w:ascii="Arial" w:cs="Arial" w:eastAsia="Arial" w:hAnsi="Arial"/>
                <w:sz w:val="17"/>
                <w:szCs w:val="17"/>
                <w:b w:val="1"/>
                <w:bCs w:val="1"/>
                <w:color w:val="auto"/>
              </w:rPr>
              <w:t>Ending balance</w:t>
            </w:r>
          </w:p>
        </w:tc>
        <w:tc>
          <w:tcPr>
            <w:tcW w:w="1420" w:type="dxa"/>
            <w:vAlign w:val="bottom"/>
          </w:tcPr>
          <w:p>
            <w:pPr>
              <w:spacing w:after="0"/>
              <w:rPr>
                <w:sz w:val="17"/>
                <w:szCs w:val="17"/>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5,599,777</w:t>
            </w:r>
          </w:p>
        </w:tc>
        <w:tc>
          <w:tcPr>
            <w:tcW w:w="220" w:type="dxa"/>
            <w:vAlign w:val="bottom"/>
          </w:tcPr>
          <w:p>
            <w:pPr>
              <w:spacing w:after="0"/>
              <w:rPr>
                <w:sz w:val="17"/>
                <w:szCs w:val="17"/>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513,826</w:t>
            </w:r>
          </w:p>
        </w:tc>
        <w:tc>
          <w:tcPr>
            <w:tcW w:w="200" w:type="dxa"/>
            <w:vAlign w:val="bottom"/>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149,305</w:t>
            </w:r>
          </w:p>
        </w:tc>
        <w:tc>
          <w:tcPr>
            <w:tcW w:w="200" w:type="dxa"/>
            <w:vAlign w:val="bottom"/>
          </w:tcPr>
          <w:p>
            <w:pPr>
              <w:spacing w:after="0"/>
              <w:rPr>
                <w:sz w:val="17"/>
                <w:szCs w:val="17"/>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6,262,908</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0"/>
        </w:trPr>
        <w:tc>
          <w:tcPr>
            <w:tcW w:w="32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603"/>
        </w:trPr>
        <w:tc>
          <w:tcPr>
            <w:tcW w:w="320" w:type="dxa"/>
            <w:vAlign w:val="bottom"/>
            <w:tcBorders>
              <w:bottom w:val="single" w:sz="8" w:color="auto"/>
            </w:tcBorders>
          </w:tcPr>
          <w:p>
            <w:pPr>
              <w:spacing w:after="0"/>
              <w:rPr>
                <w:sz w:val="24"/>
                <w:szCs w:val="24"/>
                <w:color w:val="auto"/>
              </w:rPr>
            </w:pPr>
          </w:p>
        </w:tc>
        <w:tc>
          <w:tcPr>
            <w:tcW w:w="396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gridSpan w:val="2"/>
          </w:tcPr>
          <w:p>
            <w:pPr>
              <w:jc w:val="right"/>
              <w:ind w:right="933"/>
              <w:spacing w:after="0"/>
              <w:rPr>
                <w:sz w:val="20"/>
                <w:szCs w:val="20"/>
                <w:color w:val="auto"/>
              </w:rPr>
            </w:pPr>
            <w:r>
              <w:rPr>
                <w:rFonts w:ascii="Arial" w:cs="Arial" w:eastAsia="Arial" w:hAnsi="Arial"/>
                <w:sz w:val="17"/>
                <w:szCs w:val="17"/>
                <w:color w:val="auto"/>
              </w:rPr>
              <w:t>- 81 -</w:t>
            </w:r>
          </w:p>
        </w:tc>
        <w:tc>
          <w:tcPr>
            <w:tcW w:w="2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881" w:right="239" w:bottom="1440" w:gutter="0" w:footer="0" w:header="0"/>
        </w:sectPr>
      </w:pPr>
    </w:p>
    <w:bookmarkStart w:id="87" w:name="page88"/>
    <w:bookmarkEnd w:id="8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320" w:type="dxa"/>
            <w:vAlign w:val="bottom"/>
          </w:tcPr>
          <w:p>
            <w:pPr>
              <w:spacing w:after="0"/>
              <w:rPr>
                <w:sz w:val="19"/>
                <w:szCs w:val="19"/>
                <w:color w:val="auto"/>
              </w:rPr>
            </w:pPr>
          </w:p>
        </w:tc>
        <w:tc>
          <w:tcPr>
            <w:tcW w:w="374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7"/>
                <w:szCs w:val="17"/>
                <w:b w:val="1"/>
                <w:bCs w:val="1"/>
                <w:color w:val="auto"/>
              </w:rPr>
              <w:t>2016</w:t>
            </w:r>
          </w:p>
        </w:tc>
        <w:tc>
          <w:tcPr>
            <w:tcW w:w="106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182"/>
        </w:trPr>
        <w:tc>
          <w:tcPr>
            <w:tcW w:w="320" w:type="dxa"/>
            <w:vAlign w:val="bottom"/>
          </w:tcPr>
          <w:p>
            <w:pPr>
              <w:spacing w:after="0"/>
              <w:rPr>
                <w:sz w:val="15"/>
                <w:szCs w:val="15"/>
                <w:color w:val="auto"/>
              </w:rPr>
            </w:pPr>
          </w:p>
        </w:tc>
        <w:tc>
          <w:tcPr>
            <w:tcW w:w="374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440" w:type="dxa"/>
            <w:vAlign w:val="bottom"/>
            <w:gridSpan w:val="2"/>
          </w:tcPr>
          <w:p>
            <w:pPr>
              <w:jc w:val="right"/>
              <w:ind w:right="700"/>
              <w:spacing w:after="0" w:line="183" w:lineRule="exact"/>
              <w:rPr>
                <w:sz w:val="20"/>
                <w:szCs w:val="20"/>
                <w:color w:val="auto"/>
              </w:rPr>
            </w:pPr>
            <w:r>
              <w:rPr>
                <w:rFonts w:ascii="Arial" w:cs="Arial" w:eastAsia="Arial" w:hAnsi="Arial"/>
                <w:sz w:val="17"/>
                <w:szCs w:val="17"/>
                <w:b w:val="1"/>
                <w:bCs w:val="1"/>
                <w:color w:val="auto"/>
              </w:rPr>
              <w:t>Life</w:t>
            </w:r>
          </w:p>
        </w:tc>
        <w:tc>
          <w:tcPr>
            <w:tcW w:w="1560" w:type="dxa"/>
            <w:vAlign w:val="bottom"/>
            <w:gridSpan w:val="3"/>
          </w:tcPr>
          <w:p>
            <w:pPr>
              <w:jc w:val="center"/>
              <w:ind w:right="320"/>
              <w:spacing w:after="0" w:line="183" w:lineRule="exact"/>
              <w:rPr>
                <w:sz w:val="20"/>
                <w:szCs w:val="20"/>
                <w:color w:val="auto"/>
              </w:rPr>
            </w:pPr>
            <w:r>
              <w:rPr>
                <w:rFonts w:ascii="Arial" w:cs="Arial" w:eastAsia="Arial" w:hAnsi="Arial"/>
                <w:sz w:val="17"/>
                <w:szCs w:val="17"/>
                <w:b w:val="1"/>
                <w:bCs w:val="1"/>
                <w:color w:val="auto"/>
                <w:w w:val="94"/>
              </w:rPr>
              <w:t>General</w:t>
            </w:r>
          </w:p>
        </w:tc>
        <w:tc>
          <w:tcPr>
            <w:tcW w:w="1260" w:type="dxa"/>
            <w:vAlign w:val="bottom"/>
            <w:gridSpan w:val="2"/>
          </w:tcPr>
          <w:p>
            <w:pPr>
              <w:jc w:val="center"/>
              <w:ind w:right="320"/>
              <w:spacing w:after="0" w:line="183" w:lineRule="exact"/>
              <w:rPr>
                <w:sz w:val="20"/>
                <w:szCs w:val="20"/>
                <w:color w:val="auto"/>
              </w:rPr>
            </w:pPr>
            <w:r>
              <w:rPr>
                <w:rFonts w:ascii="Arial" w:cs="Arial" w:eastAsia="Arial" w:hAnsi="Arial"/>
                <w:sz w:val="17"/>
                <w:szCs w:val="17"/>
                <w:b w:val="1"/>
                <w:bCs w:val="1"/>
                <w:color w:val="auto"/>
                <w:w w:val="96"/>
              </w:rPr>
              <w:t>Health</w:t>
            </w: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r>
      <w:tr>
        <w:trPr>
          <w:trHeight w:val="226"/>
        </w:trPr>
        <w:tc>
          <w:tcPr>
            <w:tcW w:w="320" w:type="dxa"/>
            <w:vAlign w:val="bottom"/>
          </w:tcPr>
          <w:p>
            <w:pPr>
              <w:spacing w:after="0"/>
              <w:rPr>
                <w:sz w:val="19"/>
                <w:szCs w:val="19"/>
                <w:color w:val="auto"/>
              </w:rPr>
            </w:pPr>
          </w:p>
        </w:tc>
        <w:tc>
          <w:tcPr>
            <w:tcW w:w="374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440" w:type="dxa"/>
            <w:vAlign w:val="bottom"/>
            <w:gridSpan w:val="2"/>
          </w:tcPr>
          <w:p>
            <w:pPr>
              <w:jc w:val="right"/>
              <w:ind w:right="480"/>
              <w:spacing w:after="0"/>
              <w:rPr>
                <w:sz w:val="20"/>
                <w:szCs w:val="20"/>
                <w:color w:val="auto"/>
              </w:rPr>
            </w:pPr>
            <w:r>
              <w:rPr>
                <w:rFonts w:ascii="Arial" w:cs="Arial" w:eastAsia="Arial" w:hAnsi="Arial"/>
                <w:sz w:val="17"/>
                <w:szCs w:val="17"/>
                <w:b w:val="1"/>
                <w:bCs w:val="1"/>
                <w:color w:val="auto"/>
              </w:rPr>
              <w:t>insurance</w:t>
            </w:r>
          </w:p>
        </w:tc>
        <w:tc>
          <w:tcPr>
            <w:tcW w:w="1560" w:type="dxa"/>
            <w:vAlign w:val="bottom"/>
            <w:gridSpan w:val="3"/>
          </w:tcPr>
          <w:p>
            <w:pPr>
              <w:jc w:val="center"/>
              <w:ind w:right="320"/>
              <w:spacing w:after="0"/>
              <w:rPr>
                <w:sz w:val="20"/>
                <w:szCs w:val="20"/>
                <w:color w:val="auto"/>
              </w:rPr>
            </w:pPr>
            <w:r>
              <w:rPr>
                <w:rFonts w:ascii="Arial" w:cs="Arial" w:eastAsia="Arial" w:hAnsi="Arial"/>
                <w:sz w:val="17"/>
                <w:szCs w:val="17"/>
                <w:b w:val="1"/>
                <w:bCs w:val="1"/>
                <w:color w:val="auto"/>
                <w:w w:val="89"/>
              </w:rPr>
              <w:t>insurance</w:t>
            </w:r>
          </w:p>
        </w:tc>
        <w:tc>
          <w:tcPr>
            <w:tcW w:w="1260" w:type="dxa"/>
            <w:vAlign w:val="bottom"/>
            <w:gridSpan w:val="2"/>
          </w:tcPr>
          <w:p>
            <w:pPr>
              <w:jc w:val="center"/>
              <w:ind w:right="340"/>
              <w:spacing w:after="0"/>
              <w:rPr>
                <w:sz w:val="20"/>
                <w:szCs w:val="20"/>
                <w:color w:val="auto"/>
              </w:rPr>
            </w:pPr>
            <w:r>
              <w:rPr>
                <w:rFonts w:ascii="Arial" w:cs="Arial" w:eastAsia="Arial" w:hAnsi="Arial"/>
                <w:sz w:val="17"/>
                <w:szCs w:val="17"/>
                <w:b w:val="1"/>
                <w:bCs w:val="1"/>
                <w:color w:val="auto"/>
                <w:w w:val="89"/>
              </w:rPr>
              <w:t>insurance</w:t>
            </w:r>
          </w:p>
        </w:tc>
        <w:tc>
          <w:tcPr>
            <w:tcW w:w="1300" w:type="dxa"/>
            <w:vAlign w:val="bottom"/>
            <w:gridSpan w:val="2"/>
          </w:tcPr>
          <w:p>
            <w:pPr>
              <w:jc w:val="right"/>
              <w:ind w:right="500"/>
              <w:spacing w:after="0"/>
              <w:rPr>
                <w:sz w:val="20"/>
                <w:szCs w:val="20"/>
                <w:color w:val="auto"/>
              </w:rPr>
            </w:pPr>
            <w:r>
              <w:rPr>
                <w:rFonts w:ascii="Arial" w:cs="Arial" w:eastAsia="Arial" w:hAnsi="Arial"/>
                <w:sz w:val="17"/>
                <w:szCs w:val="17"/>
                <w:b w:val="1"/>
                <w:bCs w:val="1"/>
                <w:color w:val="auto"/>
              </w:rPr>
              <w:t>Total</w:t>
            </w:r>
          </w:p>
        </w:tc>
        <w:tc>
          <w:tcPr>
            <w:tcW w:w="160" w:type="dxa"/>
            <w:vAlign w:val="bottom"/>
          </w:tcPr>
          <w:p>
            <w:pPr>
              <w:spacing w:after="0"/>
              <w:rPr>
                <w:sz w:val="19"/>
                <w:szCs w:val="19"/>
                <w:color w:val="auto"/>
              </w:rPr>
            </w:pPr>
          </w:p>
        </w:tc>
      </w:tr>
      <w:tr>
        <w:trPr>
          <w:trHeight w:val="219"/>
        </w:trPr>
        <w:tc>
          <w:tcPr>
            <w:tcW w:w="320" w:type="dxa"/>
            <w:vAlign w:val="bottom"/>
          </w:tcPr>
          <w:p>
            <w:pPr>
              <w:spacing w:after="0"/>
              <w:rPr>
                <w:sz w:val="19"/>
                <w:szCs w:val="19"/>
                <w:color w:val="auto"/>
              </w:rPr>
            </w:pPr>
          </w:p>
        </w:tc>
        <w:tc>
          <w:tcPr>
            <w:tcW w:w="374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220" w:type="dxa"/>
            <w:vAlign w:val="bottom"/>
            <w:tcBorders>
              <w:top w:val="single" w:sz="8" w:color="auto"/>
            </w:tcBorders>
          </w:tcPr>
          <w:p>
            <w:pPr>
              <w:jc w:val="right"/>
              <w:ind w:right="273"/>
              <w:spacing w:after="0"/>
              <w:rPr>
                <w:sz w:val="20"/>
                <w:szCs w:val="20"/>
                <w:color w:val="auto"/>
              </w:rPr>
            </w:pPr>
            <w:r>
              <w:rPr>
                <w:rFonts w:ascii="Arial" w:cs="Arial" w:eastAsia="Arial" w:hAnsi="Arial"/>
                <w:sz w:val="17"/>
                <w:szCs w:val="17"/>
                <w:b w:val="1"/>
                <w:bCs w:val="1"/>
                <w:color w:val="auto"/>
              </w:rPr>
              <w:t>S/(000)</w:t>
            </w:r>
          </w:p>
        </w:tc>
        <w:tc>
          <w:tcPr>
            <w:tcW w:w="220" w:type="dxa"/>
            <w:vAlign w:val="bottom"/>
          </w:tcPr>
          <w:p>
            <w:pPr>
              <w:spacing w:after="0"/>
              <w:rPr>
                <w:sz w:val="19"/>
                <w:szCs w:val="19"/>
                <w:color w:val="auto"/>
              </w:rPr>
            </w:pPr>
          </w:p>
        </w:tc>
        <w:tc>
          <w:tcPr>
            <w:tcW w:w="1220" w:type="dxa"/>
            <w:vAlign w:val="bottom"/>
            <w:tcBorders>
              <w:top w:val="single" w:sz="8" w:color="auto"/>
            </w:tcBorders>
          </w:tcPr>
          <w:p>
            <w:pPr>
              <w:jc w:val="center"/>
              <w:spacing w:after="0"/>
              <w:rPr>
                <w:sz w:val="20"/>
                <w:szCs w:val="20"/>
                <w:color w:val="auto"/>
              </w:rPr>
            </w:pPr>
            <w:r>
              <w:rPr>
                <w:rFonts w:ascii="Arial" w:cs="Arial" w:eastAsia="Arial" w:hAnsi="Arial"/>
                <w:sz w:val="17"/>
                <w:szCs w:val="17"/>
                <w:b w:val="1"/>
                <w:bCs w:val="1"/>
                <w:color w:val="auto"/>
                <w:w w:val="93"/>
              </w:rPr>
              <w:t>S/(000)</w:t>
            </w:r>
          </w:p>
        </w:tc>
        <w:tc>
          <w:tcPr>
            <w:tcW w:w="2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center"/>
              <w:ind w:right="53"/>
              <w:spacing w:after="0"/>
              <w:rPr>
                <w:sz w:val="20"/>
                <w:szCs w:val="20"/>
                <w:color w:val="auto"/>
              </w:rPr>
            </w:pPr>
            <w:r>
              <w:rPr>
                <w:rFonts w:ascii="Arial" w:cs="Arial" w:eastAsia="Arial" w:hAnsi="Arial"/>
                <w:sz w:val="17"/>
                <w:szCs w:val="17"/>
                <w:b w:val="1"/>
                <w:bCs w:val="1"/>
                <w:color w:val="auto"/>
                <w:w w:val="93"/>
              </w:rPr>
              <w:t>S/(000)</w:t>
            </w:r>
          </w:p>
        </w:tc>
        <w:tc>
          <w:tcPr>
            <w:tcW w:w="200" w:type="dxa"/>
            <w:vAlign w:val="bottom"/>
          </w:tcPr>
          <w:p>
            <w:pPr>
              <w:spacing w:after="0"/>
              <w:rPr>
                <w:sz w:val="19"/>
                <w:szCs w:val="19"/>
                <w:color w:val="auto"/>
              </w:rPr>
            </w:pPr>
          </w:p>
        </w:tc>
        <w:tc>
          <w:tcPr>
            <w:tcW w:w="1200" w:type="dxa"/>
            <w:vAlign w:val="bottom"/>
            <w:tcBorders>
              <w:top w:val="single" w:sz="8" w:color="auto"/>
            </w:tcBorders>
          </w:tcPr>
          <w:p>
            <w:pPr>
              <w:jc w:val="right"/>
              <w:ind w:right="253"/>
              <w:spacing w:after="0"/>
              <w:rPr>
                <w:sz w:val="20"/>
                <w:szCs w:val="20"/>
                <w:color w:val="auto"/>
              </w:rPr>
            </w:pPr>
            <w:r>
              <w:rPr>
                <w:rFonts w:ascii="Arial" w:cs="Arial" w:eastAsia="Arial" w:hAnsi="Arial"/>
                <w:sz w:val="17"/>
                <w:szCs w:val="17"/>
                <w:b w:val="1"/>
                <w:bCs w:val="1"/>
                <w:color w:val="auto"/>
              </w:rPr>
              <w:t>S/(000)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189"/>
        </w:trPr>
        <w:tc>
          <w:tcPr>
            <w:tcW w:w="320" w:type="dxa"/>
            <w:vAlign w:val="bottom"/>
          </w:tcPr>
          <w:p>
            <w:pPr>
              <w:spacing w:after="0"/>
              <w:rPr>
                <w:sz w:val="16"/>
                <w:szCs w:val="16"/>
                <w:color w:val="auto"/>
              </w:rPr>
            </w:pPr>
          </w:p>
        </w:tc>
        <w:tc>
          <w:tcPr>
            <w:tcW w:w="374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208"/>
        </w:trPr>
        <w:tc>
          <w:tcPr>
            <w:tcW w:w="320" w:type="dxa"/>
            <w:vAlign w:val="bottom"/>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Beginning balance</w:t>
            </w:r>
          </w:p>
        </w:tc>
        <w:tc>
          <w:tcPr>
            <w:tcW w:w="3080" w:type="dxa"/>
            <w:vAlign w:val="bottom"/>
            <w:gridSpan w:val="3"/>
            <w:shd w:val="clear" w:color="auto" w:fill="CCEEFF"/>
          </w:tcPr>
          <w:p>
            <w:pPr>
              <w:jc w:val="right"/>
              <w:ind w:right="220"/>
              <w:spacing w:after="0"/>
              <w:rPr>
                <w:sz w:val="20"/>
                <w:szCs w:val="20"/>
                <w:color w:val="auto"/>
              </w:rPr>
            </w:pPr>
            <w:r>
              <w:rPr>
                <w:rFonts w:ascii="Arial" w:cs="Arial" w:eastAsia="Arial" w:hAnsi="Arial"/>
                <w:sz w:val="17"/>
                <w:szCs w:val="17"/>
                <w:color w:val="auto"/>
              </w:rPr>
              <w:t>4,755,154</w:t>
            </w: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582,453</w:t>
            </w: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144,346</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5,481,953</w:t>
            </w:r>
          </w:p>
        </w:tc>
        <w:tc>
          <w:tcPr>
            <w:tcW w:w="100" w:type="dxa"/>
            <w:vAlign w:val="bottom"/>
            <w:shd w:val="clear" w:color="auto" w:fill="CCEEFF"/>
          </w:tcPr>
          <w:p>
            <w:pPr>
              <w:spacing w:after="0"/>
              <w:rPr>
                <w:sz w:val="18"/>
                <w:szCs w:val="18"/>
                <w:color w:val="auto"/>
              </w:rPr>
            </w:pPr>
          </w:p>
        </w:tc>
        <w:tc>
          <w:tcPr>
            <w:tcW w:w="160" w:type="dxa"/>
            <w:vAlign w:val="bottom"/>
          </w:tcPr>
          <w:p>
            <w:pPr>
              <w:spacing w:after="0"/>
              <w:rPr>
                <w:sz w:val="18"/>
                <w:szCs w:val="18"/>
                <w:color w:val="auto"/>
              </w:rPr>
            </w:pPr>
          </w:p>
        </w:tc>
      </w:tr>
      <w:tr>
        <w:trPr>
          <w:trHeight w:val="208"/>
        </w:trPr>
        <w:tc>
          <w:tcPr>
            <w:tcW w:w="320" w:type="dxa"/>
            <w:vAlign w:val="bottom"/>
          </w:tcPr>
          <w:p>
            <w:pPr>
              <w:spacing w:after="0"/>
              <w:rPr>
                <w:sz w:val="18"/>
                <w:szCs w:val="18"/>
                <w:color w:val="auto"/>
              </w:rPr>
            </w:pPr>
          </w:p>
        </w:tc>
        <w:tc>
          <w:tcPr>
            <w:tcW w:w="3740" w:type="dxa"/>
            <w:vAlign w:val="bottom"/>
          </w:tcPr>
          <w:p>
            <w:pPr>
              <w:spacing w:after="0"/>
              <w:rPr>
                <w:sz w:val="20"/>
                <w:szCs w:val="20"/>
                <w:color w:val="auto"/>
              </w:rPr>
            </w:pPr>
            <w:r>
              <w:rPr>
                <w:rFonts w:ascii="Arial" w:cs="Arial" w:eastAsia="Arial" w:hAnsi="Arial"/>
                <w:sz w:val="17"/>
                <w:szCs w:val="17"/>
                <w:color w:val="auto"/>
              </w:rPr>
              <w:t>Time course expenses and others</w:t>
            </w:r>
          </w:p>
        </w:tc>
        <w:tc>
          <w:tcPr>
            <w:tcW w:w="3080" w:type="dxa"/>
            <w:vAlign w:val="bottom"/>
            <w:gridSpan w:val="3"/>
          </w:tcPr>
          <w:p>
            <w:pPr>
              <w:jc w:val="right"/>
              <w:ind w:right="220"/>
              <w:spacing w:after="0"/>
              <w:rPr>
                <w:sz w:val="20"/>
                <w:szCs w:val="20"/>
                <w:color w:val="auto"/>
              </w:rPr>
            </w:pPr>
            <w:r>
              <w:rPr>
                <w:rFonts w:ascii="Arial" w:cs="Arial" w:eastAsia="Arial" w:hAnsi="Arial"/>
                <w:sz w:val="17"/>
                <w:szCs w:val="17"/>
                <w:color w:val="auto"/>
              </w:rPr>
              <w:t>58,778</w:t>
            </w:r>
          </w:p>
        </w:tc>
        <w:tc>
          <w:tcPr>
            <w:tcW w:w="142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7"/>
                <w:szCs w:val="17"/>
                <w:color w:val="auto"/>
              </w:rPr>
              <w:t>58,778</w:t>
            </w:r>
          </w:p>
        </w:tc>
        <w:tc>
          <w:tcPr>
            <w:tcW w:w="160" w:type="dxa"/>
            <w:vAlign w:val="bottom"/>
          </w:tcPr>
          <w:p>
            <w:pPr>
              <w:spacing w:after="0"/>
              <w:rPr>
                <w:sz w:val="18"/>
                <w:szCs w:val="18"/>
                <w:color w:val="auto"/>
              </w:rPr>
            </w:pPr>
          </w:p>
        </w:tc>
      </w:tr>
      <w:tr>
        <w:trPr>
          <w:trHeight w:val="195"/>
        </w:trPr>
        <w:tc>
          <w:tcPr>
            <w:tcW w:w="320" w:type="dxa"/>
            <w:vAlign w:val="bottom"/>
          </w:tcPr>
          <w:p>
            <w:pPr>
              <w:spacing w:after="0"/>
              <w:rPr>
                <w:sz w:val="16"/>
                <w:szCs w:val="16"/>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7"/>
                <w:szCs w:val="17"/>
                <w:color w:val="auto"/>
              </w:rPr>
              <w:t>Unearned premium and other</w:t>
            </w:r>
          </w:p>
        </w:tc>
        <w:tc>
          <w:tcPr>
            <w:tcW w:w="164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tcPr>
          <w:p>
            <w:pPr>
              <w:spacing w:after="0"/>
              <w:rPr>
                <w:sz w:val="16"/>
                <w:szCs w:val="16"/>
                <w:color w:val="auto"/>
              </w:rPr>
            </w:pPr>
          </w:p>
        </w:tc>
      </w:tr>
      <w:tr>
        <w:trPr>
          <w:trHeight w:val="220"/>
        </w:trPr>
        <w:tc>
          <w:tcPr>
            <w:tcW w:w="320" w:type="dxa"/>
            <w:vAlign w:val="bottom"/>
          </w:tcPr>
          <w:p>
            <w:pPr>
              <w:spacing w:after="0"/>
              <w:rPr>
                <w:sz w:val="19"/>
                <w:szCs w:val="19"/>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7"/>
                <w:szCs w:val="17"/>
                <w:color w:val="auto"/>
              </w:rPr>
              <w:t>technical reserves variation, net</w:t>
            </w:r>
          </w:p>
        </w:tc>
        <w:tc>
          <w:tcPr>
            <w:tcW w:w="3080" w:type="dxa"/>
            <w:vAlign w:val="bottom"/>
            <w:gridSpan w:val="3"/>
            <w:shd w:val="clear" w:color="auto" w:fill="CCEEFF"/>
          </w:tcPr>
          <w:p>
            <w:pPr>
              <w:jc w:val="right"/>
              <w:ind w:right="220"/>
              <w:spacing w:after="0"/>
              <w:rPr>
                <w:sz w:val="20"/>
                <w:szCs w:val="20"/>
                <w:color w:val="auto"/>
              </w:rPr>
            </w:pPr>
            <w:r>
              <w:rPr>
                <w:rFonts w:ascii="Arial" w:cs="Arial" w:eastAsia="Arial" w:hAnsi="Arial"/>
                <w:sz w:val="17"/>
                <w:szCs w:val="17"/>
                <w:color w:val="auto"/>
              </w:rPr>
              <w:t>365</w:t>
            </w: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(11,578)</w:t>
            </w:r>
          </w:p>
        </w:tc>
        <w:tc>
          <w:tcPr>
            <w:tcW w:w="1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9,881</w:t>
            </w:r>
          </w:p>
        </w:tc>
        <w:tc>
          <w:tcPr>
            <w:tcW w:w="13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(1,332)</w:t>
            </w:r>
          </w:p>
        </w:tc>
        <w:tc>
          <w:tcPr>
            <w:tcW w:w="160" w:type="dxa"/>
            <w:vAlign w:val="bottom"/>
          </w:tcPr>
          <w:p>
            <w:pPr>
              <w:spacing w:after="0"/>
              <w:rPr>
                <w:sz w:val="19"/>
                <w:szCs w:val="19"/>
                <w:color w:val="auto"/>
              </w:rPr>
            </w:pPr>
          </w:p>
        </w:tc>
      </w:tr>
      <w:tr>
        <w:trPr>
          <w:trHeight w:val="208"/>
        </w:trPr>
        <w:tc>
          <w:tcPr>
            <w:tcW w:w="320" w:type="dxa"/>
            <w:vAlign w:val="bottom"/>
          </w:tcPr>
          <w:p>
            <w:pPr>
              <w:spacing w:after="0"/>
              <w:rPr>
                <w:sz w:val="18"/>
                <w:szCs w:val="18"/>
                <w:color w:val="auto"/>
              </w:rPr>
            </w:pPr>
          </w:p>
        </w:tc>
        <w:tc>
          <w:tcPr>
            <w:tcW w:w="3740" w:type="dxa"/>
            <w:vAlign w:val="bottom"/>
          </w:tcPr>
          <w:p>
            <w:pPr>
              <w:spacing w:after="0"/>
              <w:rPr>
                <w:sz w:val="20"/>
                <w:szCs w:val="20"/>
                <w:color w:val="auto"/>
              </w:rPr>
            </w:pPr>
            <w:r>
              <w:rPr>
                <w:rFonts w:ascii="Arial" w:cs="Arial" w:eastAsia="Arial" w:hAnsi="Arial"/>
                <w:sz w:val="17"/>
                <w:szCs w:val="17"/>
                <w:color w:val="auto"/>
              </w:rPr>
              <w:t>Insurance subscriptions</w:t>
            </w:r>
          </w:p>
        </w:tc>
        <w:tc>
          <w:tcPr>
            <w:tcW w:w="3080" w:type="dxa"/>
            <w:vAlign w:val="bottom"/>
            <w:gridSpan w:val="3"/>
          </w:tcPr>
          <w:p>
            <w:pPr>
              <w:jc w:val="right"/>
              <w:ind w:right="220"/>
              <w:spacing w:after="0"/>
              <w:rPr>
                <w:sz w:val="20"/>
                <w:szCs w:val="20"/>
                <w:color w:val="auto"/>
              </w:rPr>
            </w:pPr>
            <w:r>
              <w:rPr>
                <w:rFonts w:ascii="Arial" w:cs="Arial" w:eastAsia="Arial" w:hAnsi="Arial"/>
                <w:sz w:val="17"/>
                <w:szCs w:val="17"/>
                <w:color w:val="auto"/>
              </w:rPr>
              <w:t>361,966</w:t>
            </w:r>
          </w:p>
        </w:tc>
        <w:tc>
          <w:tcPr>
            <w:tcW w:w="142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361,966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21"/>
        </w:trPr>
        <w:tc>
          <w:tcPr>
            <w:tcW w:w="320" w:type="dxa"/>
            <w:vAlign w:val="bottom"/>
          </w:tcPr>
          <w:p>
            <w:pPr>
              <w:spacing w:after="0"/>
              <w:rPr>
                <w:sz w:val="19"/>
                <w:szCs w:val="19"/>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7"/>
                <w:szCs w:val="17"/>
                <w:color w:val="auto"/>
              </w:rPr>
              <w:t>Exchange difference and others</w:t>
            </w:r>
          </w:p>
        </w:tc>
        <w:tc>
          <w:tcPr>
            <w:tcW w:w="3080" w:type="dxa"/>
            <w:vAlign w:val="bottom"/>
            <w:gridSpan w:val="3"/>
            <w:shd w:val="clear" w:color="auto" w:fill="CCEEFF"/>
          </w:tcPr>
          <w:p>
            <w:pPr>
              <w:jc w:val="right"/>
              <w:ind w:right="160"/>
              <w:spacing w:after="0"/>
              <w:rPr>
                <w:sz w:val="20"/>
                <w:szCs w:val="20"/>
                <w:color w:val="auto"/>
              </w:rPr>
            </w:pPr>
            <w:r>
              <w:rPr>
                <w:rFonts w:ascii="Arial" w:cs="Arial" w:eastAsia="Arial" w:hAnsi="Arial"/>
                <w:sz w:val="17"/>
                <w:szCs w:val="17"/>
                <w:color w:val="auto"/>
              </w:rPr>
              <w:t>(47,289)</w:t>
            </w: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3,560</w:t>
            </w:r>
          </w:p>
        </w:tc>
        <w:tc>
          <w:tcPr>
            <w:tcW w:w="1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(9,444)</w:t>
            </w:r>
          </w:p>
        </w:tc>
        <w:tc>
          <w:tcPr>
            <w:tcW w:w="13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(53,173)</w:t>
            </w:r>
          </w:p>
        </w:tc>
        <w:tc>
          <w:tcPr>
            <w:tcW w:w="160" w:type="dxa"/>
            <w:vAlign w:val="bottom"/>
          </w:tcPr>
          <w:p>
            <w:pPr>
              <w:spacing w:after="0"/>
              <w:rPr>
                <w:sz w:val="19"/>
                <w:szCs w:val="19"/>
                <w:color w:val="auto"/>
              </w:rPr>
            </w:pPr>
          </w:p>
        </w:tc>
      </w:tr>
      <w:tr>
        <w:trPr>
          <w:trHeight w:val="201"/>
        </w:trPr>
        <w:tc>
          <w:tcPr>
            <w:tcW w:w="320" w:type="dxa"/>
            <w:vAlign w:val="bottom"/>
          </w:tcPr>
          <w:p>
            <w:pPr>
              <w:spacing w:after="0"/>
              <w:rPr>
                <w:sz w:val="17"/>
                <w:szCs w:val="17"/>
                <w:color w:val="auto"/>
              </w:rPr>
            </w:pPr>
          </w:p>
        </w:tc>
        <w:tc>
          <w:tcPr>
            <w:tcW w:w="3740" w:type="dxa"/>
            <w:vAlign w:val="bottom"/>
          </w:tcPr>
          <w:p>
            <w:pPr>
              <w:spacing w:after="0"/>
              <w:rPr>
                <w:sz w:val="20"/>
                <w:szCs w:val="20"/>
                <w:color w:val="auto"/>
              </w:rPr>
            </w:pPr>
            <w:r>
              <w:rPr>
                <w:rFonts w:ascii="Arial" w:cs="Arial" w:eastAsia="Arial" w:hAnsi="Arial"/>
                <w:sz w:val="17"/>
                <w:szCs w:val="17"/>
                <w:b w:val="1"/>
                <w:bCs w:val="1"/>
                <w:color w:val="auto"/>
              </w:rPr>
              <w:t>Ending balance</w:t>
            </w:r>
          </w:p>
        </w:tc>
        <w:tc>
          <w:tcPr>
            <w:tcW w:w="1640" w:type="dxa"/>
            <w:vAlign w:val="bottom"/>
          </w:tcPr>
          <w:p>
            <w:pPr>
              <w:spacing w:after="0"/>
              <w:rPr>
                <w:sz w:val="17"/>
                <w:szCs w:val="17"/>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5,128,974</w:t>
            </w:r>
          </w:p>
        </w:tc>
        <w:tc>
          <w:tcPr>
            <w:tcW w:w="220" w:type="dxa"/>
            <w:vAlign w:val="bottom"/>
          </w:tcPr>
          <w:p>
            <w:pPr>
              <w:spacing w:after="0"/>
              <w:rPr>
                <w:sz w:val="17"/>
                <w:szCs w:val="17"/>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574,435</w:t>
            </w:r>
          </w:p>
        </w:tc>
        <w:tc>
          <w:tcPr>
            <w:tcW w:w="200" w:type="dxa"/>
            <w:vAlign w:val="bottom"/>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144,783</w:t>
            </w:r>
          </w:p>
        </w:tc>
        <w:tc>
          <w:tcPr>
            <w:tcW w:w="200" w:type="dxa"/>
            <w:vAlign w:val="bottom"/>
          </w:tcPr>
          <w:p>
            <w:pPr>
              <w:spacing w:after="0"/>
              <w:rPr>
                <w:sz w:val="17"/>
                <w:szCs w:val="17"/>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5,848,192</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0"/>
        </w:trPr>
        <w:tc>
          <w:tcPr>
            <w:tcW w:w="32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603"/>
        </w:trPr>
        <w:tc>
          <w:tcPr>
            <w:tcW w:w="320" w:type="dxa"/>
            <w:vAlign w:val="bottom"/>
            <w:tcBorders>
              <w:bottom w:val="single" w:sz="8" w:color="auto"/>
            </w:tcBorders>
          </w:tcPr>
          <w:p>
            <w:pPr>
              <w:spacing w:after="0"/>
              <w:rPr>
                <w:sz w:val="24"/>
                <w:szCs w:val="24"/>
                <w:color w:val="auto"/>
              </w:rPr>
            </w:pPr>
          </w:p>
        </w:tc>
        <w:tc>
          <w:tcPr>
            <w:tcW w:w="374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gridSpan w:val="2"/>
          </w:tcPr>
          <w:p>
            <w:pPr>
              <w:jc w:val="right"/>
              <w:ind w:right="933"/>
              <w:spacing w:after="0"/>
              <w:rPr>
                <w:sz w:val="20"/>
                <w:szCs w:val="20"/>
                <w:color w:val="auto"/>
              </w:rPr>
            </w:pPr>
            <w:r>
              <w:rPr>
                <w:rFonts w:ascii="Arial" w:cs="Arial" w:eastAsia="Arial" w:hAnsi="Arial"/>
                <w:sz w:val="17"/>
                <w:szCs w:val="17"/>
                <w:color w:val="auto"/>
              </w:rPr>
              <w:t>- 82 -</w:t>
            </w:r>
          </w:p>
        </w:tc>
        <w:tc>
          <w:tcPr>
            <w:tcW w:w="2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888" w:right="239" w:bottom="1440" w:gutter="0" w:footer="0" w:header="0"/>
        </w:sectPr>
      </w:pPr>
    </w:p>
    <w:bookmarkStart w:id="88" w:name="page89"/>
    <w:bookmarkEnd w:id="88"/>
    <w:p>
      <w:pPr>
        <w:spacing w:after="0" w:line="318" w:lineRule="auto"/>
        <w:rPr>
          <w:sz w:val="20"/>
          <w:szCs w:val="20"/>
          <w:color w:val="auto"/>
        </w:rPr>
      </w:pPr>
      <w:r>
        <w:rPr>
          <w:rFonts w:ascii="Arial" w:cs="Arial" w:eastAsia="Arial" w:hAnsi="Arial"/>
          <w:sz w:val="16"/>
          <w:szCs w:val="16"/>
          <w:color w:val="auto"/>
        </w:rPr>
        <w:t>At December 31, 2017 and 2016 no additional reserves were needed as a result of the liability adequacy test. The main assumptions used in estimation of retirement, disability and survival annuities and individual life (including Investment link insurance contracts) reserves as, of those dates, are the following:</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2280" w:type="dxa"/>
            <w:vAlign w:val="bottom"/>
            <w:vMerge w:val="restart"/>
          </w:tcPr>
          <w:p>
            <w:pPr>
              <w:spacing w:after="0"/>
              <w:rPr>
                <w:sz w:val="20"/>
                <w:szCs w:val="20"/>
                <w:color w:val="auto"/>
              </w:rPr>
            </w:pPr>
            <w:r>
              <w:rPr>
                <w:rFonts w:ascii="Arial" w:cs="Arial" w:eastAsia="Arial" w:hAnsi="Arial"/>
                <w:sz w:val="17"/>
                <w:szCs w:val="17"/>
                <w:b w:val="1"/>
                <w:bCs w:val="1"/>
                <w:color w:val="auto"/>
              </w:rPr>
              <w:t>Mortality</w:t>
            </w:r>
          </w:p>
        </w:tc>
        <w:tc>
          <w:tcPr>
            <w:tcW w:w="120" w:type="dxa"/>
            <w:vAlign w:val="bottom"/>
          </w:tcPr>
          <w:p>
            <w:pPr>
              <w:spacing w:after="0"/>
              <w:rPr>
                <w:sz w:val="19"/>
                <w:szCs w:val="19"/>
                <w:color w:val="auto"/>
              </w:rPr>
            </w:pPr>
          </w:p>
        </w:tc>
        <w:tc>
          <w:tcPr>
            <w:tcW w:w="4580" w:type="dxa"/>
            <w:vAlign w:val="bottom"/>
            <w:gridSpan w:val="3"/>
          </w:tcPr>
          <w:p>
            <w:pPr>
              <w:ind w:left="1420"/>
              <w:spacing w:after="0"/>
              <w:rPr>
                <w:sz w:val="20"/>
                <w:szCs w:val="20"/>
                <w:color w:val="auto"/>
              </w:rPr>
            </w:pPr>
            <w:r>
              <w:rPr>
                <w:rFonts w:ascii="Arial" w:cs="Arial" w:eastAsia="Arial" w:hAnsi="Arial"/>
                <w:sz w:val="17"/>
                <w:szCs w:val="17"/>
                <w:b w:val="1"/>
                <w:bCs w:val="1"/>
                <w:color w:val="auto"/>
              </w:rPr>
              <w:t>At December 31, 2017</w:t>
            </w:r>
          </w:p>
        </w:tc>
        <w:tc>
          <w:tcPr>
            <w:tcW w:w="4440" w:type="dxa"/>
            <w:vAlign w:val="bottom"/>
            <w:gridSpan w:val="2"/>
          </w:tcPr>
          <w:p>
            <w:pPr>
              <w:ind w:left="1400"/>
              <w:spacing w:after="0"/>
              <w:rPr>
                <w:sz w:val="20"/>
                <w:szCs w:val="20"/>
                <w:color w:val="auto"/>
              </w:rPr>
            </w:pPr>
            <w:r>
              <w:rPr>
                <w:rFonts w:ascii="Arial" w:cs="Arial" w:eastAsia="Arial" w:hAnsi="Arial"/>
                <w:sz w:val="17"/>
                <w:szCs w:val="17"/>
                <w:b w:val="1"/>
                <w:bCs w:val="1"/>
                <w:color w:val="auto"/>
              </w:rPr>
              <w:t>At December 31, 2016</w:t>
            </w:r>
          </w:p>
        </w:tc>
        <w:tc>
          <w:tcPr>
            <w:tcW w:w="0" w:type="dxa"/>
            <w:vAlign w:val="bottom"/>
          </w:tcPr>
          <w:p>
            <w:pPr>
              <w:spacing w:after="0"/>
              <w:rPr>
                <w:sz w:val="1"/>
                <w:szCs w:val="1"/>
                <w:color w:val="auto"/>
              </w:rPr>
            </w:pPr>
          </w:p>
        </w:tc>
      </w:tr>
      <w:tr>
        <w:trPr>
          <w:trHeight w:val="188"/>
        </w:trPr>
        <w:tc>
          <w:tcPr>
            <w:tcW w:w="22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180" w:type="dxa"/>
            <w:vAlign w:val="bottom"/>
            <w:tcBorders>
              <w:top w:val="single" w:sz="8" w:color="auto"/>
            </w:tcBorders>
          </w:tcPr>
          <w:p>
            <w:pPr>
              <w:ind w:left="540"/>
              <w:spacing w:after="0" w:line="189" w:lineRule="exact"/>
              <w:rPr>
                <w:sz w:val="20"/>
                <w:szCs w:val="20"/>
                <w:color w:val="auto"/>
              </w:rPr>
            </w:pPr>
            <w:r>
              <w:rPr>
                <w:rFonts w:ascii="Arial" w:cs="Arial" w:eastAsia="Arial" w:hAnsi="Arial"/>
                <w:sz w:val="17"/>
                <w:szCs w:val="17"/>
                <w:b w:val="1"/>
                <w:bCs w:val="1"/>
                <w:color w:val="auto"/>
              </w:rPr>
              <w:t>Mortality table</w:t>
            </w:r>
          </w:p>
        </w:tc>
        <w:tc>
          <w:tcPr>
            <w:tcW w:w="2300" w:type="dxa"/>
            <w:vAlign w:val="bottom"/>
            <w:tcBorders>
              <w:top w:val="single" w:sz="8" w:color="auto"/>
            </w:tcBorders>
          </w:tcPr>
          <w:p>
            <w:pPr>
              <w:ind w:left="660"/>
              <w:spacing w:after="0" w:line="189" w:lineRule="exact"/>
              <w:rPr>
                <w:sz w:val="20"/>
                <w:szCs w:val="20"/>
                <w:color w:val="auto"/>
              </w:rPr>
            </w:pPr>
            <w:r>
              <w:rPr>
                <w:rFonts w:ascii="Arial" w:cs="Arial" w:eastAsia="Arial" w:hAnsi="Arial"/>
                <w:sz w:val="17"/>
                <w:szCs w:val="17"/>
                <w:b w:val="1"/>
                <w:bCs w:val="1"/>
                <w:color w:val="auto"/>
              </w:rPr>
              <w:t>Technical rates</w:t>
            </w:r>
          </w:p>
        </w:tc>
        <w:tc>
          <w:tcPr>
            <w:tcW w:w="100" w:type="dxa"/>
            <w:vAlign w:val="bottom"/>
          </w:tcPr>
          <w:p>
            <w:pPr>
              <w:spacing w:after="0"/>
              <w:rPr>
                <w:sz w:val="16"/>
                <w:szCs w:val="16"/>
                <w:color w:val="auto"/>
              </w:rPr>
            </w:pPr>
          </w:p>
        </w:tc>
        <w:tc>
          <w:tcPr>
            <w:tcW w:w="2160" w:type="dxa"/>
            <w:vAlign w:val="bottom"/>
            <w:tcBorders>
              <w:top w:val="single" w:sz="8" w:color="auto"/>
            </w:tcBorders>
          </w:tcPr>
          <w:p>
            <w:pPr>
              <w:ind w:left="520"/>
              <w:spacing w:after="0" w:line="189" w:lineRule="exact"/>
              <w:rPr>
                <w:sz w:val="20"/>
                <w:szCs w:val="20"/>
                <w:color w:val="auto"/>
              </w:rPr>
            </w:pPr>
            <w:r>
              <w:rPr>
                <w:rFonts w:ascii="Arial" w:cs="Arial" w:eastAsia="Arial" w:hAnsi="Arial"/>
                <w:sz w:val="17"/>
                <w:szCs w:val="17"/>
                <w:b w:val="1"/>
                <w:bCs w:val="1"/>
                <w:color w:val="auto"/>
              </w:rPr>
              <w:t>Mortality table</w:t>
            </w:r>
          </w:p>
        </w:tc>
        <w:tc>
          <w:tcPr>
            <w:tcW w:w="2280" w:type="dxa"/>
            <w:vAlign w:val="bottom"/>
            <w:tcBorders>
              <w:top w:val="single" w:sz="8" w:color="auto"/>
            </w:tcBorders>
          </w:tcPr>
          <w:p>
            <w:pPr>
              <w:ind w:left="640"/>
              <w:spacing w:after="0" w:line="189" w:lineRule="exact"/>
              <w:rPr>
                <w:sz w:val="20"/>
                <w:szCs w:val="20"/>
                <w:color w:val="auto"/>
              </w:rPr>
            </w:pPr>
            <w:r>
              <w:rPr>
                <w:rFonts w:ascii="Arial" w:cs="Arial" w:eastAsia="Arial" w:hAnsi="Arial"/>
                <w:sz w:val="17"/>
                <w:szCs w:val="17"/>
                <w:b w:val="1"/>
                <w:bCs w:val="1"/>
                <w:color w:val="auto"/>
              </w:rPr>
              <w:t>Technical rates</w:t>
            </w:r>
          </w:p>
        </w:tc>
        <w:tc>
          <w:tcPr>
            <w:tcW w:w="0" w:type="dxa"/>
            <w:vAlign w:val="bottom"/>
          </w:tcPr>
          <w:p>
            <w:pPr>
              <w:spacing w:after="0"/>
              <w:rPr>
                <w:sz w:val="1"/>
                <w:szCs w:val="1"/>
                <w:color w:val="auto"/>
              </w:rPr>
            </w:pPr>
          </w:p>
        </w:tc>
      </w:tr>
      <w:tr>
        <w:trPr>
          <w:trHeight w:val="208"/>
        </w:trPr>
        <w:tc>
          <w:tcPr>
            <w:tcW w:w="2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2400" w:type="dxa"/>
            <w:vAlign w:val="bottom"/>
            <w:gridSpan w:val="2"/>
          </w:tcPr>
          <w:p>
            <w:pPr>
              <w:ind w:left="120"/>
              <w:spacing w:after="0"/>
              <w:rPr>
                <w:sz w:val="20"/>
                <w:szCs w:val="20"/>
                <w:color w:val="auto"/>
              </w:rPr>
            </w:pPr>
            <w:r>
              <w:rPr>
                <w:rFonts w:ascii="Arial" w:cs="Arial" w:eastAsia="Arial" w:hAnsi="Arial"/>
                <w:sz w:val="17"/>
                <w:szCs w:val="17"/>
                <w:color w:val="auto"/>
              </w:rPr>
              <w:t>Between 2.90% - 7.93% /</w:t>
            </w:r>
          </w:p>
        </w:tc>
        <w:tc>
          <w:tcPr>
            <w:tcW w:w="2160" w:type="dxa"/>
            <w:vAlign w:val="bottom"/>
          </w:tcPr>
          <w:p>
            <w:pPr>
              <w:spacing w:after="0"/>
              <w:rPr>
                <w:sz w:val="18"/>
                <w:szCs w:val="18"/>
                <w:color w:val="auto"/>
              </w:rPr>
            </w:pPr>
          </w:p>
        </w:tc>
        <w:tc>
          <w:tcPr>
            <w:tcW w:w="2280" w:type="dxa"/>
            <w:vAlign w:val="bottom"/>
          </w:tcPr>
          <w:p>
            <w:pPr>
              <w:ind w:left="120"/>
              <w:spacing w:after="0"/>
              <w:rPr>
                <w:sz w:val="20"/>
                <w:szCs w:val="20"/>
                <w:color w:val="auto"/>
              </w:rPr>
            </w:pPr>
            <w:r>
              <w:rPr>
                <w:rFonts w:ascii="Arial" w:cs="Arial" w:eastAsia="Arial" w:hAnsi="Arial"/>
                <w:sz w:val="17"/>
                <w:szCs w:val="17"/>
                <w:color w:val="auto"/>
              </w:rPr>
              <w:t>Between 4.21% - 7.69% /</w:t>
            </w:r>
          </w:p>
        </w:tc>
        <w:tc>
          <w:tcPr>
            <w:tcW w:w="0" w:type="dxa"/>
            <w:vAlign w:val="bottom"/>
          </w:tcPr>
          <w:p>
            <w:pPr>
              <w:spacing w:after="0"/>
              <w:rPr>
                <w:sz w:val="1"/>
                <w:szCs w:val="1"/>
                <w:color w:val="auto"/>
              </w:rPr>
            </w:pPr>
          </w:p>
        </w:tc>
      </w:tr>
      <w:tr>
        <w:trPr>
          <w:trHeight w:val="208"/>
        </w:trPr>
        <w:tc>
          <w:tcPr>
            <w:tcW w:w="2280" w:type="dxa"/>
            <w:vAlign w:val="bottom"/>
          </w:tcPr>
          <w:p>
            <w:pPr>
              <w:spacing w:after="0"/>
              <w:rPr>
                <w:sz w:val="20"/>
                <w:szCs w:val="20"/>
                <w:color w:val="auto"/>
              </w:rPr>
            </w:pPr>
            <w:r>
              <w:rPr>
                <w:rFonts w:ascii="Arial" w:cs="Arial" w:eastAsia="Arial" w:hAnsi="Arial"/>
                <w:sz w:val="17"/>
                <w:szCs w:val="17"/>
                <w:color w:val="auto"/>
              </w:rPr>
              <w:t>Annuities</w:t>
            </w:r>
          </w:p>
        </w:tc>
        <w:tc>
          <w:tcPr>
            <w:tcW w:w="2300" w:type="dxa"/>
            <w:vAlign w:val="bottom"/>
            <w:gridSpan w:val="2"/>
          </w:tcPr>
          <w:p>
            <w:pPr>
              <w:ind w:left="120"/>
              <w:spacing w:after="0"/>
              <w:rPr>
                <w:sz w:val="20"/>
                <w:szCs w:val="20"/>
                <w:color w:val="auto"/>
              </w:rPr>
            </w:pPr>
            <w:r>
              <w:rPr>
                <w:rFonts w:ascii="Arial" w:cs="Arial" w:eastAsia="Arial" w:hAnsi="Arial"/>
                <w:sz w:val="17"/>
                <w:szCs w:val="17"/>
                <w:color w:val="auto"/>
                <w:w w:val="96"/>
              </w:rPr>
              <w:t>SPP-S-2017 and SPP-I- 2017</w:t>
            </w:r>
          </w:p>
        </w:tc>
        <w:tc>
          <w:tcPr>
            <w:tcW w:w="2400" w:type="dxa"/>
            <w:vAlign w:val="bottom"/>
            <w:gridSpan w:val="2"/>
          </w:tcPr>
          <w:p>
            <w:pPr>
              <w:ind w:left="120"/>
              <w:spacing w:after="0"/>
              <w:rPr>
                <w:sz w:val="20"/>
                <w:szCs w:val="20"/>
                <w:color w:val="auto"/>
              </w:rPr>
            </w:pPr>
            <w:r>
              <w:rPr>
                <w:rFonts w:ascii="Arial" w:cs="Arial" w:eastAsia="Arial" w:hAnsi="Arial"/>
                <w:sz w:val="17"/>
                <w:szCs w:val="17"/>
                <w:color w:val="auto"/>
              </w:rPr>
              <w:t>Between 2.50% - 5.25%</w:t>
            </w:r>
          </w:p>
        </w:tc>
        <w:tc>
          <w:tcPr>
            <w:tcW w:w="2160" w:type="dxa"/>
            <w:vAlign w:val="bottom"/>
          </w:tcPr>
          <w:p>
            <w:pPr>
              <w:spacing w:after="0"/>
              <w:rPr>
                <w:sz w:val="20"/>
                <w:szCs w:val="20"/>
                <w:color w:val="auto"/>
              </w:rPr>
            </w:pPr>
            <w:r>
              <w:rPr>
                <w:rFonts w:ascii="Arial" w:cs="Arial" w:eastAsia="Arial" w:hAnsi="Arial"/>
                <w:sz w:val="17"/>
                <w:szCs w:val="17"/>
                <w:color w:val="auto"/>
              </w:rPr>
              <w:t>TAP 2012 and MI 2006</w:t>
            </w:r>
          </w:p>
        </w:tc>
        <w:tc>
          <w:tcPr>
            <w:tcW w:w="2280" w:type="dxa"/>
            <w:vAlign w:val="bottom"/>
          </w:tcPr>
          <w:p>
            <w:pPr>
              <w:ind w:left="120"/>
              <w:spacing w:after="0"/>
              <w:rPr>
                <w:sz w:val="20"/>
                <w:szCs w:val="20"/>
                <w:color w:val="auto"/>
              </w:rPr>
            </w:pPr>
            <w:r>
              <w:rPr>
                <w:rFonts w:ascii="Arial" w:cs="Arial" w:eastAsia="Arial" w:hAnsi="Arial"/>
                <w:sz w:val="17"/>
                <w:szCs w:val="17"/>
                <w:color w:val="auto"/>
              </w:rPr>
              <w:t>Between 2.50% - 5.25%</w:t>
            </w:r>
          </w:p>
        </w:tc>
        <w:tc>
          <w:tcPr>
            <w:tcW w:w="0" w:type="dxa"/>
            <w:vAlign w:val="bottom"/>
          </w:tcPr>
          <w:p>
            <w:pPr>
              <w:spacing w:after="0"/>
              <w:rPr>
                <w:sz w:val="1"/>
                <w:szCs w:val="1"/>
                <w:color w:val="auto"/>
              </w:rPr>
            </w:pPr>
          </w:p>
        </w:tc>
      </w:tr>
      <w:tr>
        <w:trPr>
          <w:trHeight w:val="208"/>
        </w:trPr>
        <w:tc>
          <w:tcPr>
            <w:tcW w:w="2280" w:type="dxa"/>
            <w:vAlign w:val="bottom"/>
          </w:tcPr>
          <w:p>
            <w:pPr>
              <w:spacing w:after="0"/>
              <w:rPr>
                <w:sz w:val="20"/>
                <w:szCs w:val="20"/>
                <w:color w:val="auto"/>
              </w:rPr>
            </w:pPr>
            <w:r>
              <w:rPr>
                <w:rFonts w:ascii="Arial" w:cs="Arial" w:eastAsia="Arial" w:hAnsi="Arial"/>
                <w:sz w:val="17"/>
                <w:szCs w:val="17"/>
                <w:color w:val="auto"/>
                <w:w w:val="95"/>
              </w:rPr>
              <w:t>Pension insurance –Temporary</w:t>
            </w:r>
          </w:p>
        </w:tc>
        <w:tc>
          <w:tcPr>
            <w:tcW w:w="12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280" w:type="dxa"/>
            <w:vAlign w:val="bottom"/>
          </w:tcPr>
          <w:p>
            <w:pPr>
              <w:spacing w:after="0"/>
              <w:rPr>
                <w:sz w:val="20"/>
                <w:szCs w:val="20"/>
                <w:color w:val="auto"/>
              </w:rPr>
            </w:pPr>
            <w:r>
              <w:rPr>
                <w:rFonts w:ascii="Arial" w:cs="Arial" w:eastAsia="Arial" w:hAnsi="Arial"/>
                <w:sz w:val="17"/>
                <w:szCs w:val="17"/>
                <w:color w:val="auto"/>
              </w:rPr>
              <w:t>Regime / SCTR (*)</w:t>
            </w:r>
          </w:p>
        </w:tc>
        <w:tc>
          <w:tcPr>
            <w:tcW w:w="2300" w:type="dxa"/>
            <w:vAlign w:val="bottom"/>
            <w:gridSpan w:val="2"/>
          </w:tcPr>
          <w:p>
            <w:pPr>
              <w:ind w:left="120"/>
              <w:spacing w:after="0"/>
              <w:rPr>
                <w:sz w:val="20"/>
                <w:szCs w:val="20"/>
                <w:color w:val="auto"/>
              </w:rPr>
            </w:pPr>
            <w:r>
              <w:rPr>
                <w:rFonts w:ascii="Arial" w:cs="Arial" w:eastAsia="Arial" w:hAnsi="Arial"/>
                <w:sz w:val="17"/>
                <w:szCs w:val="17"/>
                <w:color w:val="auto"/>
              </w:rPr>
              <w:t>B-85 and MI-85</w:t>
            </w:r>
          </w:p>
        </w:tc>
        <w:tc>
          <w:tcPr>
            <w:tcW w:w="2400" w:type="dxa"/>
            <w:vAlign w:val="bottom"/>
            <w:gridSpan w:val="2"/>
          </w:tcPr>
          <w:p>
            <w:pPr>
              <w:ind w:left="120"/>
              <w:spacing w:after="0"/>
              <w:rPr>
                <w:sz w:val="20"/>
                <w:szCs w:val="20"/>
                <w:color w:val="auto"/>
              </w:rPr>
            </w:pPr>
            <w:r>
              <w:rPr>
                <w:rFonts w:ascii="Arial" w:cs="Arial" w:eastAsia="Arial" w:hAnsi="Arial"/>
                <w:sz w:val="17"/>
                <w:szCs w:val="17"/>
                <w:color w:val="auto"/>
              </w:rPr>
              <w:t>3.00% soles VAC</w:t>
            </w:r>
          </w:p>
        </w:tc>
        <w:tc>
          <w:tcPr>
            <w:tcW w:w="2160" w:type="dxa"/>
            <w:vAlign w:val="bottom"/>
          </w:tcPr>
          <w:p>
            <w:pPr>
              <w:spacing w:after="0"/>
              <w:rPr>
                <w:sz w:val="20"/>
                <w:szCs w:val="20"/>
                <w:color w:val="auto"/>
              </w:rPr>
            </w:pPr>
            <w:r>
              <w:rPr>
                <w:rFonts w:ascii="Arial" w:cs="Arial" w:eastAsia="Arial" w:hAnsi="Arial"/>
                <w:sz w:val="17"/>
                <w:szCs w:val="17"/>
                <w:color w:val="auto"/>
              </w:rPr>
              <w:t>B-85 and MI-85</w:t>
            </w:r>
          </w:p>
        </w:tc>
        <w:tc>
          <w:tcPr>
            <w:tcW w:w="2280" w:type="dxa"/>
            <w:vAlign w:val="bottom"/>
          </w:tcPr>
          <w:p>
            <w:pPr>
              <w:ind w:left="120"/>
              <w:spacing w:after="0"/>
              <w:rPr>
                <w:sz w:val="20"/>
                <w:szCs w:val="20"/>
                <w:color w:val="auto"/>
              </w:rPr>
            </w:pPr>
            <w:r>
              <w:rPr>
                <w:rFonts w:ascii="Arial" w:cs="Arial" w:eastAsia="Arial" w:hAnsi="Arial"/>
                <w:sz w:val="17"/>
                <w:szCs w:val="17"/>
                <w:color w:val="auto"/>
              </w:rPr>
              <w:t>3.00% soles VAC</w:t>
            </w:r>
          </w:p>
        </w:tc>
        <w:tc>
          <w:tcPr>
            <w:tcW w:w="0" w:type="dxa"/>
            <w:vAlign w:val="bottom"/>
          </w:tcPr>
          <w:p>
            <w:pPr>
              <w:spacing w:after="0"/>
              <w:rPr>
                <w:sz w:val="1"/>
                <w:szCs w:val="1"/>
                <w:color w:val="auto"/>
              </w:rPr>
            </w:pPr>
          </w:p>
        </w:tc>
      </w:tr>
      <w:tr>
        <w:trPr>
          <w:trHeight w:val="208"/>
        </w:trPr>
        <w:tc>
          <w:tcPr>
            <w:tcW w:w="2280" w:type="dxa"/>
            <w:vAlign w:val="bottom"/>
          </w:tcPr>
          <w:p>
            <w:pPr>
              <w:spacing w:after="0"/>
              <w:rPr>
                <w:sz w:val="20"/>
                <w:szCs w:val="20"/>
                <w:color w:val="auto"/>
              </w:rPr>
            </w:pPr>
            <w:r>
              <w:rPr>
                <w:rFonts w:ascii="Arial" w:cs="Arial" w:eastAsia="Arial" w:hAnsi="Arial"/>
                <w:sz w:val="17"/>
                <w:szCs w:val="17"/>
                <w:color w:val="auto"/>
              </w:rPr>
              <w:t>Pension insurance –Definitive</w:t>
            </w:r>
          </w:p>
        </w:tc>
        <w:tc>
          <w:tcPr>
            <w:tcW w:w="12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2400" w:type="dxa"/>
            <w:vAlign w:val="bottom"/>
            <w:gridSpan w:val="2"/>
          </w:tcPr>
          <w:p>
            <w:pPr>
              <w:ind w:left="120"/>
              <w:spacing w:after="0"/>
              <w:rPr>
                <w:sz w:val="20"/>
                <w:szCs w:val="20"/>
                <w:color w:val="auto"/>
              </w:rPr>
            </w:pPr>
            <w:r>
              <w:rPr>
                <w:rFonts w:ascii="Arial" w:cs="Arial" w:eastAsia="Arial" w:hAnsi="Arial"/>
                <w:sz w:val="17"/>
                <w:szCs w:val="17"/>
                <w:color w:val="auto"/>
              </w:rPr>
              <w:t>3.31% soles VAC / 4.66%</w:t>
            </w:r>
          </w:p>
        </w:tc>
        <w:tc>
          <w:tcPr>
            <w:tcW w:w="2160" w:type="dxa"/>
            <w:vAlign w:val="bottom"/>
          </w:tcPr>
          <w:p>
            <w:pPr>
              <w:spacing w:after="0"/>
              <w:rPr>
                <w:sz w:val="18"/>
                <w:szCs w:val="18"/>
                <w:color w:val="auto"/>
              </w:rPr>
            </w:pPr>
          </w:p>
        </w:tc>
        <w:tc>
          <w:tcPr>
            <w:tcW w:w="2280" w:type="dxa"/>
            <w:vAlign w:val="bottom"/>
          </w:tcPr>
          <w:p>
            <w:pPr>
              <w:ind w:left="120"/>
              <w:spacing w:after="0"/>
              <w:rPr>
                <w:sz w:val="20"/>
                <w:szCs w:val="20"/>
                <w:color w:val="auto"/>
              </w:rPr>
            </w:pPr>
            <w:r>
              <w:rPr>
                <w:rFonts w:ascii="Arial" w:cs="Arial" w:eastAsia="Arial" w:hAnsi="Arial"/>
                <w:sz w:val="17"/>
                <w:szCs w:val="17"/>
                <w:color w:val="auto"/>
              </w:rPr>
              <w:t>3.43% soles VAC / 4.65%</w:t>
            </w:r>
          </w:p>
        </w:tc>
        <w:tc>
          <w:tcPr>
            <w:tcW w:w="0" w:type="dxa"/>
            <w:vAlign w:val="bottom"/>
          </w:tcPr>
          <w:p>
            <w:pPr>
              <w:spacing w:after="0"/>
              <w:rPr>
                <w:sz w:val="1"/>
                <w:szCs w:val="1"/>
                <w:color w:val="auto"/>
              </w:rPr>
            </w:pPr>
          </w:p>
        </w:tc>
      </w:tr>
      <w:tr>
        <w:trPr>
          <w:trHeight w:val="208"/>
        </w:trPr>
        <w:tc>
          <w:tcPr>
            <w:tcW w:w="2280" w:type="dxa"/>
            <w:vAlign w:val="bottom"/>
          </w:tcPr>
          <w:p>
            <w:pPr>
              <w:spacing w:after="0"/>
              <w:rPr>
                <w:sz w:val="20"/>
                <w:szCs w:val="20"/>
                <w:color w:val="auto"/>
              </w:rPr>
            </w:pPr>
            <w:r>
              <w:rPr>
                <w:rFonts w:ascii="Arial" w:cs="Arial" w:eastAsia="Arial" w:hAnsi="Arial"/>
                <w:sz w:val="17"/>
                <w:szCs w:val="17"/>
                <w:color w:val="auto"/>
              </w:rPr>
              <w:t>Regime</w:t>
            </w:r>
          </w:p>
        </w:tc>
        <w:tc>
          <w:tcPr>
            <w:tcW w:w="2300" w:type="dxa"/>
            <w:vAlign w:val="bottom"/>
            <w:gridSpan w:val="2"/>
          </w:tcPr>
          <w:p>
            <w:pPr>
              <w:ind w:left="120"/>
              <w:spacing w:after="0"/>
              <w:rPr>
                <w:sz w:val="20"/>
                <w:szCs w:val="20"/>
                <w:color w:val="auto"/>
              </w:rPr>
            </w:pPr>
            <w:r>
              <w:rPr>
                <w:rFonts w:ascii="Arial" w:cs="Arial" w:eastAsia="Arial" w:hAnsi="Arial"/>
                <w:sz w:val="17"/>
                <w:szCs w:val="17"/>
                <w:color w:val="auto"/>
              </w:rPr>
              <w:t>B-85 and MI-85</w:t>
            </w:r>
          </w:p>
        </w:tc>
        <w:tc>
          <w:tcPr>
            <w:tcW w:w="2400" w:type="dxa"/>
            <w:vAlign w:val="bottom"/>
            <w:gridSpan w:val="2"/>
          </w:tcPr>
          <w:p>
            <w:pPr>
              <w:ind w:left="120"/>
              <w:spacing w:after="0"/>
              <w:rPr>
                <w:sz w:val="20"/>
                <w:szCs w:val="20"/>
                <w:color w:val="auto"/>
              </w:rPr>
            </w:pPr>
            <w:r>
              <w:rPr>
                <w:rFonts w:ascii="Arial" w:cs="Arial" w:eastAsia="Arial" w:hAnsi="Arial"/>
                <w:sz w:val="17"/>
                <w:szCs w:val="17"/>
                <w:color w:val="auto"/>
              </w:rPr>
              <w:t>Nominal dollars</w:t>
            </w:r>
          </w:p>
        </w:tc>
        <w:tc>
          <w:tcPr>
            <w:tcW w:w="2160" w:type="dxa"/>
            <w:vAlign w:val="bottom"/>
          </w:tcPr>
          <w:p>
            <w:pPr>
              <w:spacing w:after="0"/>
              <w:rPr>
                <w:sz w:val="20"/>
                <w:szCs w:val="20"/>
                <w:color w:val="auto"/>
              </w:rPr>
            </w:pPr>
            <w:r>
              <w:rPr>
                <w:rFonts w:ascii="Arial" w:cs="Arial" w:eastAsia="Arial" w:hAnsi="Arial"/>
                <w:sz w:val="17"/>
                <w:szCs w:val="17"/>
                <w:color w:val="auto"/>
              </w:rPr>
              <w:t>B-85 and MI-85</w:t>
            </w:r>
          </w:p>
        </w:tc>
        <w:tc>
          <w:tcPr>
            <w:tcW w:w="2280" w:type="dxa"/>
            <w:vAlign w:val="bottom"/>
          </w:tcPr>
          <w:p>
            <w:pPr>
              <w:ind w:left="120"/>
              <w:spacing w:after="0"/>
              <w:rPr>
                <w:sz w:val="20"/>
                <w:szCs w:val="20"/>
                <w:color w:val="auto"/>
              </w:rPr>
            </w:pPr>
            <w:r>
              <w:rPr>
                <w:rFonts w:ascii="Arial" w:cs="Arial" w:eastAsia="Arial" w:hAnsi="Arial"/>
                <w:sz w:val="17"/>
                <w:szCs w:val="17"/>
                <w:color w:val="auto"/>
              </w:rPr>
              <w:t>Nominal dollars</w:t>
            </w:r>
          </w:p>
        </w:tc>
        <w:tc>
          <w:tcPr>
            <w:tcW w:w="0" w:type="dxa"/>
            <w:vAlign w:val="bottom"/>
          </w:tcPr>
          <w:p>
            <w:pPr>
              <w:spacing w:after="0"/>
              <w:rPr>
                <w:sz w:val="1"/>
                <w:szCs w:val="1"/>
                <w:color w:val="auto"/>
              </w:rPr>
            </w:pPr>
          </w:p>
        </w:tc>
      </w:tr>
      <w:tr>
        <w:trPr>
          <w:trHeight w:val="208"/>
        </w:trPr>
        <w:tc>
          <w:tcPr>
            <w:tcW w:w="2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2400" w:type="dxa"/>
            <w:vAlign w:val="bottom"/>
            <w:gridSpan w:val="2"/>
          </w:tcPr>
          <w:p>
            <w:pPr>
              <w:ind w:left="120"/>
              <w:spacing w:after="0"/>
              <w:rPr>
                <w:sz w:val="20"/>
                <w:szCs w:val="20"/>
                <w:color w:val="auto"/>
              </w:rPr>
            </w:pPr>
            <w:r>
              <w:rPr>
                <w:rFonts w:ascii="Arial" w:cs="Arial" w:eastAsia="Arial" w:hAnsi="Arial"/>
                <w:sz w:val="17"/>
                <w:szCs w:val="17"/>
                <w:color w:val="auto"/>
              </w:rPr>
              <w:t>Between 3.00%, 3.38% soles</w:t>
            </w:r>
          </w:p>
        </w:tc>
        <w:tc>
          <w:tcPr>
            <w:tcW w:w="2160" w:type="dxa"/>
            <w:vAlign w:val="bottom"/>
          </w:tcPr>
          <w:p>
            <w:pPr>
              <w:spacing w:after="0"/>
              <w:rPr>
                <w:sz w:val="18"/>
                <w:szCs w:val="18"/>
                <w:color w:val="auto"/>
              </w:rPr>
            </w:pPr>
          </w:p>
        </w:tc>
        <w:tc>
          <w:tcPr>
            <w:tcW w:w="2280" w:type="dxa"/>
            <w:vAlign w:val="bottom"/>
          </w:tcPr>
          <w:p>
            <w:pPr>
              <w:ind w:left="120"/>
              <w:spacing w:after="0"/>
              <w:rPr>
                <w:sz w:val="20"/>
                <w:szCs w:val="20"/>
                <w:color w:val="auto"/>
              </w:rPr>
            </w:pPr>
            <w:r>
              <w:rPr>
                <w:rFonts w:ascii="Arial" w:cs="Arial" w:eastAsia="Arial" w:hAnsi="Arial"/>
                <w:sz w:val="17"/>
                <w:szCs w:val="17"/>
                <w:color w:val="auto"/>
                <w:w w:val="96"/>
              </w:rPr>
              <w:t>Between 3.00%, 3.43% soles</w:t>
            </w:r>
          </w:p>
        </w:tc>
        <w:tc>
          <w:tcPr>
            <w:tcW w:w="0" w:type="dxa"/>
            <w:vAlign w:val="bottom"/>
          </w:tcPr>
          <w:p>
            <w:pPr>
              <w:spacing w:after="0"/>
              <w:rPr>
                <w:sz w:val="1"/>
                <w:szCs w:val="1"/>
                <w:color w:val="auto"/>
              </w:rPr>
            </w:pPr>
          </w:p>
        </w:tc>
      </w:tr>
      <w:tr>
        <w:trPr>
          <w:trHeight w:val="208"/>
        </w:trPr>
        <w:tc>
          <w:tcPr>
            <w:tcW w:w="2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2400" w:type="dxa"/>
            <w:vAlign w:val="bottom"/>
            <w:gridSpan w:val="2"/>
          </w:tcPr>
          <w:p>
            <w:pPr>
              <w:ind w:left="120"/>
              <w:spacing w:after="0"/>
              <w:rPr>
                <w:sz w:val="20"/>
                <w:szCs w:val="20"/>
                <w:color w:val="auto"/>
              </w:rPr>
            </w:pPr>
            <w:r>
              <w:rPr>
                <w:rFonts w:ascii="Arial" w:cs="Arial" w:eastAsia="Arial" w:hAnsi="Arial"/>
                <w:sz w:val="17"/>
                <w:szCs w:val="17"/>
                <w:color w:val="auto"/>
              </w:rPr>
              <w:t>VAC / 4.66% Nominal dollars</w:t>
            </w:r>
          </w:p>
        </w:tc>
        <w:tc>
          <w:tcPr>
            <w:tcW w:w="2160" w:type="dxa"/>
            <w:vAlign w:val="bottom"/>
          </w:tcPr>
          <w:p>
            <w:pPr>
              <w:spacing w:after="0"/>
              <w:rPr>
                <w:sz w:val="18"/>
                <w:szCs w:val="18"/>
                <w:color w:val="auto"/>
              </w:rPr>
            </w:pPr>
          </w:p>
        </w:tc>
        <w:tc>
          <w:tcPr>
            <w:tcW w:w="2280" w:type="dxa"/>
            <w:vAlign w:val="bottom"/>
          </w:tcPr>
          <w:p>
            <w:pPr>
              <w:ind w:left="120"/>
              <w:spacing w:after="0"/>
              <w:rPr>
                <w:sz w:val="20"/>
                <w:szCs w:val="20"/>
                <w:color w:val="auto"/>
              </w:rPr>
            </w:pPr>
            <w:r>
              <w:rPr>
                <w:rFonts w:ascii="Arial" w:cs="Arial" w:eastAsia="Arial" w:hAnsi="Arial"/>
                <w:sz w:val="17"/>
                <w:szCs w:val="17"/>
                <w:color w:val="auto"/>
                <w:w w:val="97"/>
              </w:rPr>
              <w:t>VAC / 4.65% Nominal dollars</w:t>
            </w:r>
          </w:p>
        </w:tc>
        <w:tc>
          <w:tcPr>
            <w:tcW w:w="0" w:type="dxa"/>
            <w:vAlign w:val="bottom"/>
          </w:tcPr>
          <w:p>
            <w:pPr>
              <w:spacing w:after="0"/>
              <w:rPr>
                <w:sz w:val="1"/>
                <w:szCs w:val="1"/>
                <w:color w:val="auto"/>
              </w:rPr>
            </w:pPr>
          </w:p>
        </w:tc>
      </w:tr>
      <w:tr>
        <w:trPr>
          <w:trHeight w:val="208"/>
        </w:trPr>
        <w:tc>
          <w:tcPr>
            <w:tcW w:w="2280" w:type="dxa"/>
            <w:vAlign w:val="bottom"/>
          </w:tcPr>
          <w:p>
            <w:pPr>
              <w:spacing w:after="0"/>
              <w:rPr>
                <w:sz w:val="20"/>
                <w:szCs w:val="20"/>
                <w:color w:val="auto"/>
              </w:rPr>
            </w:pPr>
            <w:r>
              <w:rPr>
                <w:rFonts w:ascii="Arial" w:cs="Arial" w:eastAsia="Arial" w:hAnsi="Arial"/>
                <w:sz w:val="17"/>
                <w:szCs w:val="17"/>
                <w:color w:val="auto"/>
              </w:rPr>
              <w:t>Pension insurance –Definitive</w:t>
            </w:r>
          </w:p>
        </w:tc>
        <w:tc>
          <w:tcPr>
            <w:tcW w:w="12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2400" w:type="dxa"/>
            <w:vAlign w:val="bottom"/>
            <w:gridSpan w:val="2"/>
          </w:tcPr>
          <w:p>
            <w:pPr>
              <w:ind w:left="120"/>
              <w:spacing w:after="0"/>
              <w:rPr>
                <w:sz w:val="20"/>
                <w:szCs w:val="20"/>
                <w:color w:val="auto"/>
              </w:rPr>
            </w:pPr>
            <w:r>
              <w:rPr>
                <w:rFonts w:ascii="Arial" w:cs="Arial" w:eastAsia="Arial" w:hAnsi="Arial"/>
                <w:sz w:val="17"/>
                <w:szCs w:val="17"/>
                <w:color w:val="auto"/>
                <w:w w:val="96"/>
              </w:rPr>
              <w:t>/ 6.35% soles adjusted / 4.66%</w:t>
            </w:r>
          </w:p>
        </w:tc>
        <w:tc>
          <w:tcPr>
            <w:tcW w:w="2160" w:type="dxa"/>
            <w:vAlign w:val="bottom"/>
          </w:tcPr>
          <w:p>
            <w:pPr>
              <w:spacing w:after="0"/>
              <w:rPr>
                <w:sz w:val="18"/>
                <w:szCs w:val="18"/>
                <w:color w:val="auto"/>
              </w:rPr>
            </w:pPr>
          </w:p>
        </w:tc>
        <w:tc>
          <w:tcPr>
            <w:tcW w:w="2280" w:type="dxa"/>
            <w:vAlign w:val="bottom"/>
          </w:tcPr>
          <w:p>
            <w:pPr>
              <w:ind w:left="120"/>
              <w:spacing w:after="0"/>
              <w:rPr>
                <w:sz w:val="20"/>
                <w:szCs w:val="20"/>
                <w:color w:val="auto"/>
              </w:rPr>
            </w:pPr>
            <w:r>
              <w:rPr>
                <w:rFonts w:ascii="Arial" w:cs="Arial" w:eastAsia="Arial" w:hAnsi="Arial"/>
                <w:sz w:val="17"/>
                <w:szCs w:val="17"/>
                <w:color w:val="auto"/>
                <w:w w:val="91"/>
              </w:rPr>
              <w:t>/ 6.49% soles adjusted / 4.65%</w:t>
            </w:r>
          </w:p>
        </w:tc>
        <w:tc>
          <w:tcPr>
            <w:tcW w:w="0" w:type="dxa"/>
            <w:vAlign w:val="bottom"/>
          </w:tcPr>
          <w:p>
            <w:pPr>
              <w:spacing w:after="0"/>
              <w:rPr>
                <w:sz w:val="1"/>
                <w:szCs w:val="1"/>
                <w:color w:val="auto"/>
              </w:rPr>
            </w:pPr>
          </w:p>
        </w:tc>
      </w:tr>
      <w:tr>
        <w:trPr>
          <w:trHeight w:val="208"/>
        </w:trPr>
        <w:tc>
          <w:tcPr>
            <w:tcW w:w="2280" w:type="dxa"/>
            <w:vAlign w:val="bottom"/>
          </w:tcPr>
          <w:p>
            <w:pPr>
              <w:spacing w:after="0"/>
              <w:rPr>
                <w:sz w:val="20"/>
                <w:szCs w:val="20"/>
                <w:color w:val="auto"/>
              </w:rPr>
            </w:pPr>
            <w:r>
              <w:rPr>
                <w:rFonts w:ascii="Arial" w:cs="Arial" w:eastAsia="Arial" w:hAnsi="Arial"/>
                <w:sz w:val="17"/>
                <w:szCs w:val="17"/>
                <w:color w:val="auto"/>
              </w:rPr>
              <w:t>Regime / SCTR</w:t>
            </w:r>
          </w:p>
        </w:tc>
        <w:tc>
          <w:tcPr>
            <w:tcW w:w="2300" w:type="dxa"/>
            <w:vAlign w:val="bottom"/>
            <w:gridSpan w:val="2"/>
          </w:tcPr>
          <w:p>
            <w:pPr>
              <w:ind w:left="120"/>
              <w:spacing w:after="0"/>
              <w:rPr>
                <w:sz w:val="20"/>
                <w:szCs w:val="20"/>
                <w:color w:val="auto"/>
              </w:rPr>
            </w:pPr>
            <w:r>
              <w:rPr>
                <w:rFonts w:ascii="Arial" w:cs="Arial" w:eastAsia="Arial" w:hAnsi="Arial"/>
                <w:sz w:val="17"/>
                <w:szCs w:val="17"/>
                <w:color w:val="auto"/>
              </w:rPr>
              <w:t>B-85 adjusted and MI-85</w:t>
            </w:r>
          </w:p>
        </w:tc>
        <w:tc>
          <w:tcPr>
            <w:tcW w:w="2400" w:type="dxa"/>
            <w:vAlign w:val="bottom"/>
            <w:gridSpan w:val="2"/>
          </w:tcPr>
          <w:p>
            <w:pPr>
              <w:ind w:left="120"/>
              <w:spacing w:after="0"/>
              <w:rPr>
                <w:sz w:val="20"/>
                <w:szCs w:val="20"/>
                <w:color w:val="auto"/>
              </w:rPr>
            </w:pPr>
            <w:r>
              <w:rPr>
                <w:rFonts w:ascii="Arial" w:cs="Arial" w:eastAsia="Arial" w:hAnsi="Arial"/>
                <w:sz w:val="17"/>
                <w:szCs w:val="17"/>
                <w:color w:val="auto"/>
              </w:rPr>
              <w:t>dollars adjusted</w:t>
            </w:r>
          </w:p>
        </w:tc>
        <w:tc>
          <w:tcPr>
            <w:tcW w:w="2160" w:type="dxa"/>
            <w:vAlign w:val="bottom"/>
          </w:tcPr>
          <w:p>
            <w:pPr>
              <w:spacing w:after="0"/>
              <w:rPr>
                <w:sz w:val="20"/>
                <w:szCs w:val="20"/>
                <w:color w:val="auto"/>
              </w:rPr>
            </w:pPr>
            <w:r>
              <w:rPr>
                <w:rFonts w:ascii="Arial" w:cs="Arial" w:eastAsia="Arial" w:hAnsi="Arial"/>
                <w:sz w:val="17"/>
                <w:szCs w:val="17"/>
                <w:color w:val="auto"/>
              </w:rPr>
              <w:t>B-85 adjusted and MI-85</w:t>
            </w:r>
          </w:p>
        </w:tc>
        <w:tc>
          <w:tcPr>
            <w:tcW w:w="2280" w:type="dxa"/>
            <w:vAlign w:val="bottom"/>
          </w:tcPr>
          <w:p>
            <w:pPr>
              <w:ind w:left="120"/>
              <w:spacing w:after="0"/>
              <w:rPr>
                <w:sz w:val="20"/>
                <w:szCs w:val="20"/>
                <w:color w:val="auto"/>
              </w:rPr>
            </w:pPr>
            <w:r>
              <w:rPr>
                <w:rFonts w:ascii="Arial" w:cs="Arial" w:eastAsia="Arial" w:hAnsi="Arial"/>
                <w:sz w:val="17"/>
                <w:szCs w:val="17"/>
                <w:color w:val="auto"/>
              </w:rPr>
              <w:t>dollars adjusted</w:t>
            </w:r>
          </w:p>
        </w:tc>
        <w:tc>
          <w:tcPr>
            <w:tcW w:w="0" w:type="dxa"/>
            <w:vAlign w:val="bottom"/>
          </w:tcPr>
          <w:p>
            <w:pPr>
              <w:spacing w:after="0"/>
              <w:rPr>
                <w:sz w:val="1"/>
                <w:szCs w:val="1"/>
                <w:color w:val="auto"/>
              </w:rPr>
            </w:pPr>
          </w:p>
        </w:tc>
      </w:tr>
      <w:tr>
        <w:trPr>
          <w:trHeight w:val="208"/>
        </w:trPr>
        <w:tc>
          <w:tcPr>
            <w:tcW w:w="2280" w:type="dxa"/>
            <w:vAlign w:val="bottom"/>
          </w:tcPr>
          <w:p>
            <w:pPr>
              <w:spacing w:after="0"/>
              <w:rPr>
                <w:sz w:val="20"/>
                <w:szCs w:val="20"/>
                <w:color w:val="auto"/>
              </w:rPr>
            </w:pPr>
            <w:r>
              <w:rPr>
                <w:rFonts w:ascii="Arial" w:cs="Arial" w:eastAsia="Arial" w:hAnsi="Arial"/>
                <w:sz w:val="17"/>
                <w:szCs w:val="17"/>
                <w:color w:val="auto"/>
                <w:w w:val="95"/>
              </w:rPr>
              <w:t>Pension insurance –Temporary</w:t>
            </w:r>
          </w:p>
        </w:tc>
        <w:tc>
          <w:tcPr>
            <w:tcW w:w="12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2400" w:type="dxa"/>
            <w:vAlign w:val="bottom"/>
            <w:gridSpan w:val="2"/>
          </w:tcPr>
          <w:p>
            <w:pPr>
              <w:ind w:left="120"/>
              <w:spacing w:after="0"/>
              <w:rPr>
                <w:sz w:val="20"/>
                <w:szCs w:val="20"/>
                <w:color w:val="auto"/>
              </w:rPr>
            </w:pPr>
            <w:r>
              <w:rPr>
                <w:rFonts w:ascii="Arial" w:cs="Arial" w:eastAsia="Arial" w:hAnsi="Arial"/>
                <w:sz w:val="17"/>
                <w:szCs w:val="17"/>
                <w:color w:val="auto"/>
              </w:rPr>
              <w:t>Between 3.81%, 3.88% soles</w:t>
            </w:r>
          </w:p>
        </w:tc>
        <w:tc>
          <w:tcPr>
            <w:tcW w:w="2160" w:type="dxa"/>
            <w:vAlign w:val="bottom"/>
          </w:tcPr>
          <w:p>
            <w:pPr>
              <w:spacing w:after="0"/>
              <w:rPr>
                <w:sz w:val="18"/>
                <w:szCs w:val="18"/>
                <w:color w:val="auto"/>
              </w:rPr>
            </w:pPr>
          </w:p>
        </w:tc>
        <w:tc>
          <w:tcPr>
            <w:tcW w:w="2280" w:type="dxa"/>
            <w:vAlign w:val="bottom"/>
          </w:tcPr>
          <w:p>
            <w:pPr>
              <w:ind w:left="120"/>
              <w:spacing w:after="0"/>
              <w:rPr>
                <w:sz w:val="20"/>
                <w:szCs w:val="20"/>
                <w:color w:val="auto"/>
              </w:rPr>
            </w:pPr>
            <w:r>
              <w:rPr>
                <w:rFonts w:ascii="Arial" w:cs="Arial" w:eastAsia="Arial" w:hAnsi="Arial"/>
                <w:sz w:val="17"/>
                <w:szCs w:val="17"/>
                <w:color w:val="auto"/>
                <w:w w:val="96"/>
              </w:rPr>
              <w:t>Between 3.74%, 3.88% soles</w:t>
            </w:r>
          </w:p>
        </w:tc>
        <w:tc>
          <w:tcPr>
            <w:tcW w:w="0" w:type="dxa"/>
            <w:vAlign w:val="bottom"/>
          </w:tcPr>
          <w:p>
            <w:pPr>
              <w:spacing w:after="0"/>
              <w:rPr>
                <w:sz w:val="1"/>
                <w:szCs w:val="1"/>
                <w:color w:val="auto"/>
              </w:rPr>
            </w:pPr>
          </w:p>
        </w:tc>
      </w:tr>
      <w:tr>
        <w:trPr>
          <w:trHeight w:val="208"/>
        </w:trPr>
        <w:tc>
          <w:tcPr>
            <w:tcW w:w="2280" w:type="dxa"/>
            <w:vAlign w:val="bottom"/>
          </w:tcPr>
          <w:p>
            <w:pPr>
              <w:spacing w:after="0"/>
              <w:rPr>
                <w:sz w:val="20"/>
                <w:szCs w:val="20"/>
                <w:color w:val="auto"/>
              </w:rPr>
            </w:pPr>
            <w:r>
              <w:rPr>
                <w:rFonts w:ascii="Arial" w:cs="Arial" w:eastAsia="Arial" w:hAnsi="Arial"/>
                <w:sz w:val="17"/>
                <w:szCs w:val="17"/>
                <w:color w:val="auto"/>
              </w:rPr>
              <w:t>Regime /SCTR (Longevity)</w:t>
            </w:r>
          </w:p>
        </w:tc>
        <w:tc>
          <w:tcPr>
            <w:tcW w:w="2300" w:type="dxa"/>
            <w:vAlign w:val="bottom"/>
            <w:gridSpan w:val="2"/>
          </w:tcPr>
          <w:p>
            <w:pPr>
              <w:ind w:left="120"/>
              <w:spacing w:after="0"/>
              <w:rPr>
                <w:sz w:val="20"/>
                <w:szCs w:val="20"/>
                <w:color w:val="auto"/>
              </w:rPr>
            </w:pPr>
            <w:r>
              <w:rPr>
                <w:rFonts w:ascii="Arial" w:cs="Arial" w:eastAsia="Arial" w:hAnsi="Arial"/>
                <w:sz w:val="17"/>
                <w:szCs w:val="17"/>
                <w:color w:val="auto"/>
                <w:w w:val="95"/>
              </w:rPr>
              <w:t>SPP-S-2017- and SPP-I-2017</w:t>
            </w:r>
          </w:p>
        </w:tc>
        <w:tc>
          <w:tcPr>
            <w:tcW w:w="2400" w:type="dxa"/>
            <w:vAlign w:val="bottom"/>
            <w:gridSpan w:val="2"/>
          </w:tcPr>
          <w:p>
            <w:pPr>
              <w:ind w:left="120"/>
              <w:spacing w:after="0"/>
              <w:rPr>
                <w:sz w:val="20"/>
                <w:szCs w:val="20"/>
                <w:color w:val="auto"/>
              </w:rPr>
            </w:pPr>
            <w:r>
              <w:rPr>
                <w:rFonts w:ascii="Arial" w:cs="Arial" w:eastAsia="Arial" w:hAnsi="Arial"/>
                <w:sz w:val="17"/>
                <w:szCs w:val="17"/>
                <w:color w:val="auto"/>
              </w:rPr>
              <w:t>VAC</w:t>
            </w:r>
          </w:p>
        </w:tc>
        <w:tc>
          <w:tcPr>
            <w:tcW w:w="2160" w:type="dxa"/>
            <w:vAlign w:val="bottom"/>
          </w:tcPr>
          <w:p>
            <w:pPr>
              <w:spacing w:after="0"/>
              <w:rPr>
                <w:sz w:val="20"/>
                <w:szCs w:val="20"/>
                <w:color w:val="auto"/>
              </w:rPr>
            </w:pPr>
            <w:r>
              <w:rPr>
                <w:rFonts w:ascii="Arial" w:cs="Arial" w:eastAsia="Arial" w:hAnsi="Arial"/>
                <w:sz w:val="17"/>
                <w:szCs w:val="17"/>
                <w:color w:val="auto"/>
                <w:w w:val="94"/>
              </w:rPr>
              <w:t>SPP-S-2017- and SPP-I-2017</w:t>
            </w:r>
          </w:p>
        </w:tc>
        <w:tc>
          <w:tcPr>
            <w:tcW w:w="2280" w:type="dxa"/>
            <w:vAlign w:val="bottom"/>
          </w:tcPr>
          <w:p>
            <w:pPr>
              <w:ind w:left="120"/>
              <w:spacing w:after="0"/>
              <w:rPr>
                <w:sz w:val="20"/>
                <w:szCs w:val="20"/>
                <w:color w:val="auto"/>
              </w:rPr>
            </w:pPr>
            <w:r>
              <w:rPr>
                <w:rFonts w:ascii="Arial" w:cs="Arial" w:eastAsia="Arial" w:hAnsi="Arial"/>
                <w:sz w:val="17"/>
                <w:szCs w:val="17"/>
                <w:color w:val="auto"/>
              </w:rPr>
              <w:t>VAC</w:t>
            </w:r>
          </w:p>
        </w:tc>
        <w:tc>
          <w:tcPr>
            <w:tcW w:w="0" w:type="dxa"/>
            <w:vAlign w:val="bottom"/>
          </w:tcPr>
          <w:p>
            <w:pPr>
              <w:spacing w:after="0"/>
              <w:rPr>
                <w:sz w:val="1"/>
                <w:szCs w:val="1"/>
                <w:color w:val="auto"/>
              </w:rPr>
            </w:pPr>
          </w:p>
        </w:tc>
      </w:tr>
      <w:tr>
        <w:trPr>
          <w:trHeight w:val="220"/>
        </w:trPr>
        <w:tc>
          <w:tcPr>
            <w:tcW w:w="2280" w:type="dxa"/>
            <w:vAlign w:val="bottom"/>
          </w:tcPr>
          <w:p>
            <w:pPr>
              <w:spacing w:after="0"/>
              <w:rPr>
                <w:sz w:val="20"/>
                <w:szCs w:val="20"/>
                <w:color w:val="auto"/>
              </w:rPr>
            </w:pPr>
            <w:r>
              <w:rPr>
                <w:rFonts w:ascii="Arial" w:cs="Arial" w:eastAsia="Arial" w:hAnsi="Arial"/>
                <w:sz w:val="17"/>
                <w:szCs w:val="17"/>
                <w:color w:val="auto"/>
              </w:rPr>
              <w:t>Individual life</w:t>
            </w:r>
          </w:p>
        </w:tc>
        <w:tc>
          <w:tcPr>
            <w:tcW w:w="2300" w:type="dxa"/>
            <w:vAlign w:val="bottom"/>
            <w:gridSpan w:val="2"/>
          </w:tcPr>
          <w:p>
            <w:pPr>
              <w:ind w:left="120"/>
              <w:spacing w:after="0"/>
              <w:rPr>
                <w:sz w:val="20"/>
                <w:szCs w:val="20"/>
                <w:color w:val="auto"/>
              </w:rPr>
            </w:pPr>
            <w:r>
              <w:rPr>
                <w:rFonts w:ascii="Arial" w:cs="Arial" w:eastAsia="Arial" w:hAnsi="Arial"/>
                <w:sz w:val="17"/>
                <w:szCs w:val="17"/>
                <w:color w:val="auto"/>
              </w:rPr>
              <w:t>CSO 80 adjusted</w:t>
            </w:r>
          </w:p>
        </w:tc>
        <w:tc>
          <w:tcPr>
            <w:tcW w:w="2400" w:type="dxa"/>
            <w:vAlign w:val="bottom"/>
            <w:gridSpan w:val="2"/>
          </w:tcPr>
          <w:p>
            <w:pPr>
              <w:ind w:left="120"/>
              <w:spacing w:after="0"/>
              <w:rPr>
                <w:sz w:val="20"/>
                <w:szCs w:val="20"/>
                <w:color w:val="auto"/>
              </w:rPr>
            </w:pPr>
            <w:r>
              <w:rPr>
                <w:rFonts w:ascii="Arial" w:cs="Arial" w:eastAsia="Arial" w:hAnsi="Arial"/>
                <w:sz w:val="17"/>
                <w:szCs w:val="17"/>
                <w:color w:val="auto"/>
              </w:rPr>
              <w:t>Between 4.00% - 5.00%</w:t>
            </w:r>
          </w:p>
        </w:tc>
        <w:tc>
          <w:tcPr>
            <w:tcW w:w="2160" w:type="dxa"/>
            <w:vAlign w:val="bottom"/>
          </w:tcPr>
          <w:p>
            <w:pPr>
              <w:spacing w:after="0"/>
              <w:rPr>
                <w:sz w:val="20"/>
                <w:szCs w:val="20"/>
                <w:color w:val="auto"/>
              </w:rPr>
            </w:pPr>
            <w:r>
              <w:rPr>
                <w:rFonts w:ascii="Arial" w:cs="Arial" w:eastAsia="Arial" w:hAnsi="Arial"/>
                <w:sz w:val="17"/>
                <w:szCs w:val="17"/>
                <w:color w:val="auto"/>
              </w:rPr>
              <w:t>CSO 80 adjusted</w:t>
            </w:r>
          </w:p>
        </w:tc>
        <w:tc>
          <w:tcPr>
            <w:tcW w:w="2280" w:type="dxa"/>
            <w:vAlign w:val="bottom"/>
          </w:tcPr>
          <w:p>
            <w:pPr>
              <w:ind w:left="120"/>
              <w:spacing w:after="0"/>
              <w:rPr>
                <w:sz w:val="20"/>
                <w:szCs w:val="20"/>
                <w:color w:val="auto"/>
              </w:rPr>
            </w:pPr>
            <w:r>
              <w:rPr>
                <w:rFonts w:ascii="Arial" w:cs="Arial" w:eastAsia="Arial" w:hAnsi="Arial"/>
                <w:sz w:val="17"/>
                <w:szCs w:val="17"/>
                <w:color w:val="auto"/>
              </w:rPr>
              <w:t>Between 4.00% - 5.00%</w:t>
            </w:r>
          </w:p>
        </w:tc>
        <w:tc>
          <w:tcPr>
            <w:tcW w:w="0" w:type="dxa"/>
            <w:vAlign w:val="bottom"/>
          </w:tcPr>
          <w:p>
            <w:pPr>
              <w:spacing w:after="0"/>
              <w:rPr>
                <w:sz w:val="1"/>
                <w:szCs w:val="1"/>
                <w:color w:val="auto"/>
              </w:rPr>
            </w:pPr>
          </w:p>
        </w:tc>
      </w:tr>
    </w:tbl>
    <w:p>
      <w:pPr>
        <w:spacing w:after="0" w:line="195" w:lineRule="exact"/>
        <w:rPr>
          <w:sz w:val="20"/>
          <w:szCs w:val="20"/>
          <w:color w:val="auto"/>
        </w:rPr>
      </w:pPr>
    </w:p>
    <w:p>
      <w:pPr>
        <w:spacing w:after="0"/>
        <w:tabs>
          <w:tab w:leader="none" w:pos="320" w:val="left"/>
        </w:tabs>
        <w:rPr>
          <w:sz w:val="20"/>
          <w:szCs w:val="20"/>
          <w:color w:val="auto"/>
        </w:rPr>
      </w:pPr>
      <w:r>
        <w:rPr>
          <w:rFonts w:ascii="Arial" w:cs="Arial" w:eastAsia="Arial" w:hAnsi="Arial"/>
          <w:sz w:val="17"/>
          <w:szCs w:val="17"/>
          <w:color w:val="auto"/>
        </w:rPr>
        <w:t>(*)</w:t>
      </w:r>
      <w:r>
        <w:rPr>
          <w:sz w:val="20"/>
          <w:szCs w:val="20"/>
          <w:color w:val="auto"/>
        </w:rPr>
        <w:tab/>
      </w:r>
      <w:r>
        <w:rPr>
          <w:rFonts w:ascii="Arial" w:cs="Arial" w:eastAsia="Arial" w:hAnsi="Arial"/>
          <w:sz w:val="15"/>
          <w:szCs w:val="15"/>
          <w:color w:val="auto"/>
        </w:rPr>
        <w:t>Complementary Work Risk Insurance (SCTR the Spanish acronym).</w:t>
      </w:r>
    </w:p>
    <w:p>
      <w:pPr>
        <w:spacing w:after="0" w:line="220" w:lineRule="exact"/>
        <w:rPr>
          <w:sz w:val="20"/>
          <w:szCs w:val="20"/>
          <w:color w:val="auto"/>
        </w:rPr>
      </w:pPr>
    </w:p>
    <w:p>
      <w:pPr>
        <w:ind w:right="60"/>
        <w:spacing w:after="0" w:line="265" w:lineRule="auto"/>
        <w:rPr>
          <w:sz w:val="20"/>
          <w:szCs w:val="20"/>
          <w:color w:val="auto"/>
        </w:rPr>
      </w:pPr>
      <w:r>
        <w:rPr>
          <w:rFonts w:ascii="Arial" w:cs="Arial" w:eastAsia="Arial" w:hAnsi="Arial"/>
          <w:sz w:val="17"/>
          <w:szCs w:val="17"/>
          <w:color w:val="auto"/>
        </w:rPr>
        <w:t>The sensitivity of the estimates used by the Group to measure its insurance risks is represented primarily by the life insurance risks; the main variables as of December 31, 2017 and 2016, are the interest rates and the mortality tables used. The Group has evaluated the changes of the reserves related to its most significant life insurance contracts included in retirement, disability and survival annuities contracts of +/- 100 bps of the interest rates and of +/- 5 bps of the mortality factors, with the following results: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3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40" w:type="dxa"/>
            <w:vAlign w:val="bottom"/>
            <w:tcBorders>
              <w:bottom w:val="single" w:sz="8" w:color="auto"/>
            </w:tcBorders>
            <w:gridSpan w:val="6"/>
          </w:tcPr>
          <w:p>
            <w:pPr>
              <w:jc w:val="center"/>
              <w:ind w:left="873"/>
              <w:spacing w:after="0"/>
              <w:rPr>
                <w:sz w:val="20"/>
                <w:szCs w:val="20"/>
                <w:color w:val="auto"/>
              </w:rPr>
            </w:pPr>
            <w:r>
              <w:rPr>
                <w:rFonts w:ascii="Arial" w:cs="Arial" w:eastAsia="Arial" w:hAnsi="Arial"/>
                <w:sz w:val="17"/>
                <w:szCs w:val="17"/>
                <w:b w:val="1"/>
                <w:bCs w:val="1"/>
                <w:color w:val="auto"/>
                <w:w w:val="93"/>
              </w:rPr>
              <w:t>At December 31, 2017</w:t>
            </w:r>
          </w:p>
        </w:tc>
        <w:tc>
          <w:tcPr>
            <w:tcW w:w="9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580" w:type="dxa"/>
            <w:vAlign w:val="bottom"/>
            <w:tcBorders>
              <w:bottom w:val="single" w:sz="8" w:color="auto"/>
            </w:tcBorders>
            <w:gridSpan w:val="6"/>
          </w:tcPr>
          <w:p>
            <w:pPr>
              <w:jc w:val="center"/>
              <w:ind w:left="833"/>
              <w:spacing w:after="0"/>
              <w:rPr>
                <w:sz w:val="20"/>
                <w:szCs w:val="20"/>
                <w:color w:val="auto"/>
              </w:rPr>
            </w:pPr>
            <w:r>
              <w:rPr>
                <w:rFonts w:ascii="Arial" w:cs="Arial" w:eastAsia="Arial" w:hAnsi="Arial"/>
                <w:sz w:val="17"/>
                <w:szCs w:val="17"/>
                <w:b w:val="1"/>
                <w:bCs w:val="1"/>
                <w:color w:val="auto"/>
                <w:w w:val="92"/>
              </w:rPr>
              <w:t>At December 31, 2016</w:t>
            </w:r>
          </w:p>
        </w:tc>
        <w:tc>
          <w:tcPr>
            <w:tcW w:w="9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3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vMerge w:val="restart"/>
          </w:tcPr>
          <w:p>
            <w:pPr>
              <w:jc w:val="center"/>
              <w:ind w:right="160"/>
              <w:spacing w:after="0"/>
              <w:rPr>
                <w:sz w:val="20"/>
                <w:szCs w:val="20"/>
                <w:color w:val="auto"/>
              </w:rPr>
            </w:pPr>
            <w:r>
              <w:rPr>
                <w:rFonts w:ascii="Arial" w:cs="Arial" w:eastAsia="Arial" w:hAnsi="Arial"/>
                <w:sz w:val="17"/>
                <w:szCs w:val="17"/>
                <w:b w:val="1"/>
                <w:bCs w:val="1"/>
                <w:color w:val="auto"/>
                <w:w w:val="94"/>
              </w:rPr>
              <w:t>Amount of</w:t>
            </w:r>
          </w:p>
        </w:tc>
        <w:tc>
          <w:tcPr>
            <w:tcW w:w="120" w:type="dxa"/>
            <w:vAlign w:val="bottom"/>
          </w:tcPr>
          <w:p>
            <w:pPr>
              <w:spacing w:after="0"/>
              <w:rPr>
                <w:sz w:val="18"/>
                <w:szCs w:val="18"/>
                <w:color w:val="auto"/>
              </w:rPr>
            </w:pPr>
          </w:p>
        </w:tc>
        <w:tc>
          <w:tcPr>
            <w:tcW w:w="2320" w:type="dxa"/>
            <w:vAlign w:val="bottom"/>
            <w:tcBorders>
              <w:bottom w:val="single" w:sz="8" w:color="auto"/>
            </w:tcBorders>
            <w:gridSpan w:val="4"/>
          </w:tcPr>
          <w:p>
            <w:pPr>
              <w:jc w:val="right"/>
              <w:ind w:right="213"/>
              <w:spacing w:after="0"/>
              <w:rPr>
                <w:sz w:val="20"/>
                <w:szCs w:val="20"/>
                <w:color w:val="auto"/>
              </w:rPr>
            </w:pPr>
            <w:r>
              <w:rPr>
                <w:rFonts w:ascii="Arial" w:cs="Arial" w:eastAsia="Arial" w:hAnsi="Arial"/>
                <w:sz w:val="17"/>
                <w:szCs w:val="17"/>
                <w:b w:val="1"/>
                <w:bCs w:val="1"/>
                <w:color w:val="auto"/>
              </w:rPr>
              <w:t>Variation of the reserve</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vMerge w:val="restart"/>
          </w:tcPr>
          <w:p>
            <w:pPr>
              <w:jc w:val="center"/>
              <w:ind w:right="160"/>
              <w:spacing w:after="0"/>
              <w:rPr>
                <w:sz w:val="20"/>
                <w:szCs w:val="20"/>
                <w:color w:val="auto"/>
              </w:rPr>
            </w:pPr>
            <w:r>
              <w:rPr>
                <w:rFonts w:ascii="Arial" w:cs="Arial" w:eastAsia="Arial" w:hAnsi="Arial"/>
                <w:sz w:val="17"/>
                <w:szCs w:val="17"/>
                <w:b w:val="1"/>
                <w:bCs w:val="1"/>
                <w:color w:val="auto"/>
                <w:w w:val="94"/>
              </w:rPr>
              <w:t>Amount of</w:t>
            </w:r>
          </w:p>
        </w:tc>
        <w:tc>
          <w:tcPr>
            <w:tcW w:w="100" w:type="dxa"/>
            <w:vAlign w:val="bottom"/>
          </w:tcPr>
          <w:p>
            <w:pPr>
              <w:spacing w:after="0"/>
              <w:rPr>
                <w:sz w:val="18"/>
                <w:szCs w:val="18"/>
                <w:color w:val="auto"/>
              </w:rPr>
            </w:pPr>
          </w:p>
        </w:tc>
        <w:tc>
          <w:tcPr>
            <w:tcW w:w="2240" w:type="dxa"/>
            <w:vAlign w:val="bottom"/>
            <w:tcBorders>
              <w:bottom w:val="single" w:sz="8" w:color="auto"/>
            </w:tcBorders>
            <w:gridSpan w:val="4"/>
          </w:tcPr>
          <w:p>
            <w:pPr>
              <w:ind w:left="260"/>
              <w:spacing w:after="0"/>
              <w:rPr>
                <w:sz w:val="20"/>
                <w:szCs w:val="20"/>
                <w:color w:val="auto"/>
              </w:rPr>
            </w:pPr>
            <w:r>
              <w:rPr>
                <w:rFonts w:ascii="Arial" w:cs="Arial" w:eastAsia="Arial" w:hAnsi="Arial"/>
                <w:sz w:val="17"/>
                <w:szCs w:val="17"/>
                <w:b w:val="1"/>
                <w:bCs w:val="1"/>
                <w:color w:val="auto"/>
              </w:rPr>
              <w:t>Variation of the reserve</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3880" w:type="dxa"/>
            <w:vAlign w:val="bottom"/>
            <w:vMerge w:val="restart"/>
          </w:tcPr>
          <w:p>
            <w:pPr>
              <w:spacing w:after="0"/>
              <w:rPr>
                <w:sz w:val="20"/>
                <w:szCs w:val="20"/>
                <w:color w:val="auto"/>
              </w:rPr>
            </w:pPr>
            <w:r>
              <w:rPr>
                <w:rFonts w:ascii="Arial" w:cs="Arial" w:eastAsia="Arial" w:hAnsi="Arial"/>
                <w:sz w:val="17"/>
                <w:szCs w:val="17"/>
                <w:b w:val="1"/>
                <w:bCs w:val="1"/>
                <w:color w:val="auto"/>
              </w:rPr>
              <w:t>Variables</w:t>
            </w:r>
          </w:p>
        </w:tc>
        <w:tc>
          <w:tcPr>
            <w:tcW w:w="12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6"/>
        </w:trPr>
        <w:tc>
          <w:tcPr>
            <w:tcW w:w="38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gridSpan w:val="2"/>
          </w:tcPr>
          <w:p>
            <w:pPr>
              <w:jc w:val="center"/>
              <w:ind w:right="100"/>
              <w:spacing w:after="0"/>
              <w:rPr>
                <w:sz w:val="20"/>
                <w:szCs w:val="20"/>
                <w:color w:val="auto"/>
              </w:rPr>
            </w:pPr>
            <w:r>
              <w:rPr>
                <w:rFonts w:ascii="Arial" w:cs="Arial" w:eastAsia="Arial" w:hAnsi="Arial"/>
                <w:sz w:val="17"/>
                <w:szCs w:val="17"/>
                <w:b w:val="1"/>
                <w:bCs w:val="1"/>
                <w:color w:val="auto"/>
                <w:w w:val="90"/>
              </w:rPr>
              <w:t>the reserve</w:t>
            </w:r>
          </w:p>
        </w:tc>
        <w:tc>
          <w:tcPr>
            <w:tcW w:w="120" w:type="dxa"/>
            <w:vAlign w:val="bottom"/>
          </w:tcPr>
          <w:p>
            <w:pPr>
              <w:spacing w:after="0"/>
              <w:rPr>
                <w:sz w:val="19"/>
                <w:szCs w:val="19"/>
                <w:color w:val="auto"/>
              </w:rPr>
            </w:pPr>
          </w:p>
        </w:tc>
        <w:tc>
          <w:tcPr>
            <w:tcW w:w="1360" w:type="dxa"/>
            <w:vAlign w:val="bottom"/>
            <w:gridSpan w:val="3"/>
          </w:tcPr>
          <w:p>
            <w:pPr>
              <w:jc w:val="center"/>
              <w:ind w:right="320"/>
              <w:spacing w:after="0"/>
              <w:rPr>
                <w:sz w:val="20"/>
                <w:szCs w:val="20"/>
                <w:color w:val="auto"/>
              </w:rPr>
            </w:pPr>
            <w:r>
              <w:rPr>
                <w:rFonts w:ascii="Arial" w:cs="Arial" w:eastAsia="Arial" w:hAnsi="Arial"/>
                <w:sz w:val="17"/>
                <w:szCs w:val="17"/>
                <w:b w:val="1"/>
                <w:bCs w:val="1"/>
                <w:color w:val="auto"/>
                <w:w w:val="93"/>
              </w:rPr>
              <w:t>Amount</w:t>
            </w:r>
          </w:p>
        </w:tc>
        <w:tc>
          <w:tcPr>
            <w:tcW w:w="1060" w:type="dxa"/>
            <w:vAlign w:val="bottom"/>
            <w:gridSpan w:val="2"/>
          </w:tcPr>
          <w:p>
            <w:pPr>
              <w:jc w:val="right"/>
              <w:ind w:right="220"/>
              <w:spacing w:after="0"/>
              <w:rPr>
                <w:sz w:val="20"/>
                <w:szCs w:val="20"/>
                <w:color w:val="auto"/>
              </w:rPr>
            </w:pPr>
            <w:r>
              <w:rPr>
                <w:rFonts w:ascii="Arial" w:cs="Arial" w:eastAsia="Arial" w:hAnsi="Arial"/>
                <w:sz w:val="17"/>
                <w:szCs w:val="17"/>
                <w:b w:val="1"/>
                <w:bCs w:val="1"/>
                <w:color w:val="auto"/>
                <w:w w:val="89"/>
              </w:rPr>
              <w:t>Percentage</w:t>
            </w:r>
          </w:p>
        </w:tc>
        <w:tc>
          <w:tcPr>
            <w:tcW w:w="120" w:type="dxa"/>
            <w:vAlign w:val="bottom"/>
          </w:tcPr>
          <w:p>
            <w:pPr>
              <w:spacing w:after="0"/>
              <w:rPr>
                <w:sz w:val="19"/>
                <w:szCs w:val="19"/>
                <w:color w:val="auto"/>
              </w:rPr>
            </w:pPr>
          </w:p>
        </w:tc>
        <w:tc>
          <w:tcPr>
            <w:tcW w:w="1160" w:type="dxa"/>
            <w:vAlign w:val="bottom"/>
            <w:gridSpan w:val="2"/>
          </w:tcPr>
          <w:p>
            <w:pPr>
              <w:jc w:val="center"/>
              <w:ind w:right="120"/>
              <w:spacing w:after="0"/>
              <w:rPr>
                <w:sz w:val="20"/>
                <w:szCs w:val="20"/>
                <w:color w:val="auto"/>
              </w:rPr>
            </w:pPr>
            <w:r>
              <w:rPr>
                <w:rFonts w:ascii="Arial" w:cs="Arial" w:eastAsia="Arial" w:hAnsi="Arial"/>
                <w:sz w:val="17"/>
                <w:szCs w:val="17"/>
                <w:b w:val="1"/>
                <w:bCs w:val="1"/>
                <w:color w:val="auto"/>
                <w:w w:val="88"/>
              </w:rPr>
              <w:t>the reserve</w:t>
            </w:r>
          </w:p>
        </w:tc>
        <w:tc>
          <w:tcPr>
            <w:tcW w:w="100" w:type="dxa"/>
            <w:vAlign w:val="bottom"/>
          </w:tcPr>
          <w:p>
            <w:pPr>
              <w:spacing w:after="0"/>
              <w:rPr>
                <w:sz w:val="19"/>
                <w:szCs w:val="19"/>
                <w:color w:val="auto"/>
              </w:rPr>
            </w:pPr>
          </w:p>
        </w:tc>
        <w:tc>
          <w:tcPr>
            <w:tcW w:w="1320" w:type="dxa"/>
            <w:vAlign w:val="bottom"/>
            <w:gridSpan w:val="3"/>
          </w:tcPr>
          <w:p>
            <w:pPr>
              <w:jc w:val="center"/>
              <w:ind w:right="300"/>
              <w:spacing w:after="0"/>
              <w:rPr>
                <w:sz w:val="20"/>
                <w:szCs w:val="20"/>
                <w:color w:val="auto"/>
              </w:rPr>
            </w:pPr>
            <w:r>
              <w:rPr>
                <w:rFonts w:ascii="Arial" w:cs="Arial" w:eastAsia="Arial" w:hAnsi="Arial"/>
                <w:sz w:val="17"/>
                <w:szCs w:val="17"/>
                <w:b w:val="1"/>
                <w:bCs w:val="1"/>
                <w:color w:val="auto"/>
                <w:w w:val="96"/>
              </w:rPr>
              <w:t>Amount</w:t>
            </w:r>
          </w:p>
        </w:tc>
        <w:tc>
          <w:tcPr>
            <w:tcW w:w="1020" w:type="dxa"/>
            <w:vAlign w:val="bottom"/>
            <w:gridSpan w:val="2"/>
          </w:tcPr>
          <w:p>
            <w:pPr>
              <w:jc w:val="center"/>
              <w:ind w:right="200"/>
              <w:spacing w:after="0"/>
              <w:rPr>
                <w:sz w:val="20"/>
                <w:szCs w:val="20"/>
                <w:color w:val="auto"/>
              </w:rPr>
            </w:pPr>
            <w:r>
              <w:rPr>
                <w:rFonts w:ascii="Arial" w:cs="Arial" w:eastAsia="Arial" w:hAnsi="Arial"/>
                <w:sz w:val="17"/>
                <w:szCs w:val="17"/>
                <w:b w:val="1"/>
                <w:bCs w:val="1"/>
                <w:color w:val="auto"/>
                <w:w w:val="89"/>
              </w:rPr>
              <w:t>Percentage</w:t>
            </w:r>
          </w:p>
        </w:tc>
        <w:tc>
          <w:tcPr>
            <w:tcW w:w="0" w:type="dxa"/>
            <w:vAlign w:val="bottom"/>
          </w:tcPr>
          <w:p>
            <w:pPr>
              <w:spacing w:after="0"/>
              <w:rPr>
                <w:sz w:val="1"/>
                <w:szCs w:val="1"/>
                <w:color w:val="auto"/>
              </w:rPr>
            </w:pPr>
          </w:p>
        </w:tc>
      </w:tr>
      <w:tr>
        <w:trPr>
          <w:trHeight w:val="219"/>
        </w:trPr>
        <w:tc>
          <w:tcPr>
            <w:tcW w:w="38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center"/>
              <w:spacing w:after="0"/>
              <w:rPr>
                <w:sz w:val="20"/>
                <w:szCs w:val="20"/>
                <w:color w:val="auto"/>
              </w:rPr>
            </w:pPr>
            <w:r>
              <w:rPr>
                <w:rFonts w:ascii="Arial" w:cs="Arial" w:eastAsia="Arial" w:hAnsi="Arial"/>
                <w:sz w:val="17"/>
                <w:szCs w:val="17"/>
                <w:b w:val="1"/>
                <w:bCs w:val="1"/>
                <w:color w:val="auto"/>
                <w:w w:val="93"/>
              </w:rPr>
              <w:t>S/(000)</w:t>
            </w: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ind w:left="260"/>
              <w:spacing w:after="0"/>
              <w:rPr>
                <w:sz w:val="20"/>
                <w:szCs w:val="20"/>
                <w:color w:val="auto"/>
              </w:rPr>
            </w:pPr>
            <w:r>
              <w:rPr>
                <w:rFonts w:ascii="Arial" w:cs="Arial" w:eastAsia="Arial" w:hAnsi="Arial"/>
                <w:sz w:val="17"/>
                <w:szCs w:val="17"/>
                <w:b w:val="1"/>
                <w:bCs w:val="1"/>
                <w:color w:val="auto"/>
              </w:rPr>
              <w:t>S/(000)</w:t>
            </w:r>
          </w:p>
        </w:tc>
        <w:tc>
          <w:tcPr>
            <w:tcW w:w="1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ind w:right="353"/>
              <w:spacing w:after="0"/>
              <w:rPr>
                <w:sz w:val="20"/>
                <w:szCs w:val="20"/>
                <w:color w:val="auto"/>
              </w:rPr>
            </w:pPr>
            <w:r>
              <w:rPr>
                <w:rFonts w:ascii="Arial" w:cs="Arial" w:eastAsia="Arial" w:hAnsi="Arial"/>
                <w:sz w:val="17"/>
                <w:szCs w:val="17"/>
                <w:b w:val="1"/>
                <w:bCs w:val="1"/>
                <w:color w:val="auto"/>
              </w:rPr>
              <w:t>%</w:t>
            </w: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center"/>
              <w:spacing w:after="0"/>
              <w:rPr>
                <w:sz w:val="20"/>
                <w:szCs w:val="20"/>
                <w:color w:val="auto"/>
              </w:rPr>
            </w:pPr>
            <w:r>
              <w:rPr>
                <w:rFonts w:ascii="Arial" w:cs="Arial" w:eastAsia="Arial" w:hAnsi="Arial"/>
                <w:sz w:val="17"/>
                <w:szCs w:val="17"/>
                <w:b w:val="1"/>
                <w:bCs w:val="1"/>
                <w:color w:val="auto"/>
                <w:w w:val="93"/>
              </w:rPr>
              <w:t>S/(000)</w:t>
            </w: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center"/>
              <w:spacing w:after="0"/>
              <w:rPr>
                <w:sz w:val="20"/>
                <w:szCs w:val="20"/>
                <w:color w:val="auto"/>
              </w:rPr>
            </w:pPr>
            <w:r>
              <w:rPr>
                <w:rFonts w:ascii="Arial" w:cs="Arial" w:eastAsia="Arial" w:hAnsi="Arial"/>
                <w:sz w:val="17"/>
                <w:szCs w:val="17"/>
                <w:b w:val="1"/>
                <w:bCs w:val="1"/>
                <w:color w:val="auto"/>
                <w:w w:val="93"/>
              </w:rPr>
              <w:t>S/(000)</w:t>
            </w: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ind w:right="333"/>
              <w:spacing w:after="0"/>
              <w:rPr>
                <w:sz w:val="20"/>
                <w:szCs w:val="20"/>
                <w:color w:val="auto"/>
              </w:rPr>
            </w:pPr>
            <w:r>
              <w:rPr>
                <w:rFonts w:ascii="Arial" w:cs="Arial" w:eastAsia="Arial" w:hAnsi="Arial"/>
                <w:sz w:val="17"/>
                <w:szCs w:val="17"/>
                <w:b w:val="1"/>
                <w:bCs w:val="1"/>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3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388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Portfolio in S/- Base amount</w:t>
            </w:r>
          </w:p>
        </w:tc>
        <w:tc>
          <w:tcPr>
            <w:tcW w:w="1280" w:type="dxa"/>
            <w:vAlign w:val="bottom"/>
            <w:gridSpan w:val="3"/>
            <w:shd w:val="clear" w:color="auto" w:fill="CCEEFF"/>
          </w:tcPr>
          <w:p>
            <w:pPr>
              <w:jc w:val="right"/>
              <w:ind w:right="120"/>
              <w:spacing w:after="0"/>
              <w:rPr>
                <w:sz w:val="20"/>
                <w:szCs w:val="20"/>
                <w:color w:val="auto"/>
              </w:rPr>
            </w:pPr>
            <w:r>
              <w:rPr>
                <w:rFonts w:ascii="Arial" w:cs="Arial" w:eastAsia="Arial" w:hAnsi="Arial"/>
                <w:sz w:val="17"/>
                <w:szCs w:val="17"/>
                <w:color w:val="auto"/>
              </w:rPr>
              <w:t>519,317</w:t>
            </w:r>
          </w:p>
        </w:tc>
        <w:tc>
          <w:tcPr>
            <w:tcW w:w="1280" w:type="dxa"/>
            <w:vAlign w:val="bottom"/>
            <w:gridSpan w:val="3"/>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508,498</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8"/>
        </w:trPr>
        <w:tc>
          <w:tcPr>
            <w:tcW w:w="3880" w:type="dxa"/>
            <w:vAlign w:val="bottom"/>
          </w:tcPr>
          <w:p>
            <w:pPr>
              <w:spacing w:after="0"/>
              <w:rPr>
                <w:sz w:val="20"/>
                <w:szCs w:val="20"/>
                <w:color w:val="auto"/>
              </w:rPr>
            </w:pPr>
            <w:r>
              <w:rPr>
                <w:rFonts w:ascii="Arial" w:cs="Arial" w:eastAsia="Arial" w:hAnsi="Arial"/>
                <w:sz w:val="17"/>
                <w:szCs w:val="17"/>
                <w:color w:val="auto"/>
              </w:rPr>
              <w:t>Changes in interest rates: + 100 bps</w:t>
            </w:r>
          </w:p>
        </w:tc>
        <w:tc>
          <w:tcPr>
            <w:tcW w:w="1280" w:type="dxa"/>
            <w:vAlign w:val="bottom"/>
            <w:gridSpan w:val="3"/>
          </w:tcPr>
          <w:p>
            <w:pPr>
              <w:jc w:val="right"/>
              <w:ind w:right="120"/>
              <w:spacing w:after="0"/>
              <w:rPr>
                <w:sz w:val="20"/>
                <w:szCs w:val="20"/>
                <w:color w:val="auto"/>
              </w:rPr>
            </w:pPr>
            <w:r>
              <w:rPr>
                <w:rFonts w:ascii="Arial" w:cs="Arial" w:eastAsia="Arial" w:hAnsi="Arial"/>
                <w:sz w:val="17"/>
                <w:szCs w:val="17"/>
                <w:color w:val="auto"/>
              </w:rPr>
              <w:t>473,067</w:t>
            </w:r>
          </w:p>
        </w:tc>
        <w:tc>
          <w:tcPr>
            <w:tcW w:w="1280" w:type="dxa"/>
            <w:vAlign w:val="bottom"/>
            <w:gridSpan w:val="3"/>
          </w:tcPr>
          <w:p>
            <w:pPr>
              <w:jc w:val="right"/>
              <w:ind w:right="60"/>
              <w:spacing w:after="0"/>
              <w:rPr>
                <w:sz w:val="20"/>
                <w:szCs w:val="20"/>
                <w:color w:val="auto"/>
              </w:rPr>
            </w:pPr>
            <w:r>
              <w:rPr>
                <w:rFonts w:ascii="Arial" w:cs="Arial" w:eastAsia="Arial" w:hAnsi="Arial"/>
                <w:sz w:val="17"/>
                <w:szCs w:val="17"/>
                <w:color w:val="auto"/>
              </w:rPr>
              <w:t>(46,250)</w:t>
            </w:r>
          </w:p>
        </w:tc>
        <w:tc>
          <w:tcPr>
            <w:tcW w:w="20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7"/>
                <w:szCs w:val="17"/>
                <w:color w:val="auto"/>
              </w:rPr>
              <w:t>(8.91)</w:t>
            </w:r>
          </w:p>
        </w:tc>
        <w:tc>
          <w:tcPr>
            <w:tcW w:w="1160" w:type="dxa"/>
            <w:vAlign w:val="bottom"/>
            <w:gridSpan w:val="2"/>
          </w:tcPr>
          <w:p>
            <w:pPr>
              <w:jc w:val="right"/>
              <w:spacing w:after="0"/>
              <w:rPr>
                <w:sz w:val="20"/>
                <w:szCs w:val="20"/>
                <w:color w:val="auto"/>
              </w:rPr>
            </w:pPr>
            <w:r>
              <w:rPr>
                <w:rFonts w:ascii="Arial" w:cs="Arial" w:eastAsia="Arial" w:hAnsi="Arial"/>
                <w:sz w:val="17"/>
                <w:szCs w:val="17"/>
                <w:color w:val="auto"/>
              </w:rPr>
              <w:t>462,992</w:t>
            </w:r>
          </w:p>
        </w:tc>
        <w:tc>
          <w:tcPr>
            <w:tcW w:w="120" w:type="dxa"/>
            <w:vAlign w:val="bottom"/>
          </w:tcPr>
          <w:p>
            <w:pPr>
              <w:spacing w:after="0"/>
              <w:rPr>
                <w:sz w:val="18"/>
                <w:szCs w:val="18"/>
                <w:color w:val="auto"/>
              </w:rPr>
            </w:pPr>
          </w:p>
        </w:tc>
        <w:tc>
          <w:tcPr>
            <w:tcW w:w="1220" w:type="dxa"/>
            <w:vAlign w:val="bottom"/>
            <w:gridSpan w:val="3"/>
          </w:tcPr>
          <w:p>
            <w:pPr>
              <w:jc w:val="right"/>
              <w:ind w:right="40"/>
              <w:spacing w:after="0"/>
              <w:rPr>
                <w:sz w:val="20"/>
                <w:szCs w:val="20"/>
                <w:color w:val="auto"/>
              </w:rPr>
            </w:pPr>
            <w:r>
              <w:rPr>
                <w:rFonts w:ascii="Arial" w:cs="Arial" w:eastAsia="Arial" w:hAnsi="Arial"/>
                <w:sz w:val="17"/>
                <w:szCs w:val="17"/>
                <w:color w:val="auto"/>
              </w:rPr>
              <w:t>(45,506)</w:t>
            </w:r>
          </w:p>
        </w:tc>
        <w:tc>
          <w:tcPr>
            <w:tcW w:w="20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7"/>
                <w:szCs w:val="17"/>
                <w:color w:val="auto"/>
              </w:rPr>
              <w:t>(8.95)</w:t>
            </w:r>
          </w:p>
        </w:tc>
        <w:tc>
          <w:tcPr>
            <w:tcW w:w="0" w:type="dxa"/>
            <w:vAlign w:val="bottom"/>
          </w:tcPr>
          <w:p>
            <w:pPr>
              <w:spacing w:after="0"/>
              <w:rPr>
                <w:sz w:val="1"/>
                <w:szCs w:val="1"/>
                <w:color w:val="auto"/>
              </w:rPr>
            </w:pPr>
          </w:p>
        </w:tc>
      </w:tr>
      <w:tr>
        <w:trPr>
          <w:trHeight w:val="208"/>
        </w:trPr>
        <w:tc>
          <w:tcPr>
            <w:tcW w:w="3880" w:type="dxa"/>
            <w:vAlign w:val="bottom"/>
            <w:shd w:val="clear" w:color="auto" w:fill="CCEEFF"/>
          </w:tcPr>
          <w:p>
            <w:pPr>
              <w:spacing w:after="0"/>
              <w:rPr>
                <w:sz w:val="20"/>
                <w:szCs w:val="20"/>
                <w:color w:val="auto"/>
              </w:rPr>
            </w:pPr>
            <w:r>
              <w:rPr>
                <w:rFonts w:ascii="Arial" w:cs="Arial" w:eastAsia="Arial" w:hAnsi="Arial"/>
                <w:sz w:val="17"/>
                <w:szCs w:val="17"/>
                <w:color w:val="auto"/>
              </w:rPr>
              <w:t>Changes in interest rates: - 100 bps</w:t>
            </w:r>
          </w:p>
        </w:tc>
        <w:tc>
          <w:tcPr>
            <w:tcW w:w="1280" w:type="dxa"/>
            <w:vAlign w:val="bottom"/>
            <w:gridSpan w:val="3"/>
            <w:shd w:val="clear" w:color="auto" w:fill="CCEEFF"/>
          </w:tcPr>
          <w:p>
            <w:pPr>
              <w:jc w:val="right"/>
              <w:ind w:right="120"/>
              <w:spacing w:after="0"/>
              <w:rPr>
                <w:sz w:val="20"/>
                <w:szCs w:val="20"/>
                <w:color w:val="auto"/>
              </w:rPr>
            </w:pPr>
            <w:r>
              <w:rPr>
                <w:rFonts w:ascii="Arial" w:cs="Arial" w:eastAsia="Arial" w:hAnsi="Arial"/>
                <w:sz w:val="17"/>
                <w:szCs w:val="17"/>
                <w:color w:val="auto"/>
              </w:rPr>
              <w:t>574,664</w:t>
            </w:r>
          </w:p>
        </w:tc>
        <w:tc>
          <w:tcPr>
            <w:tcW w:w="1280" w:type="dxa"/>
            <w:vAlign w:val="bottom"/>
            <w:gridSpan w:val="3"/>
            <w:shd w:val="clear" w:color="auto" w:fill="CCEEFF"/>
          </w:tcPr>
          <w:p>
            <w:pPr>
              <w:jc w:val="right"/>
              <w:ind w:right="120"/>
              <w:spacing w:after="0"/>
              <w:rPr>
                <w:sz w:val="20"/>
                <w:szCs w:val="20"/>
                <w:color w:val="auto"/>
              </w:rPr>
            </w:pPr>
            <w:r>
              <w:rPr>
                <w:rFonts w:ascii="Arial" w:cs="Arial" w:eastAsia="Arial" w:hAnsi="Arial"/>
                <w:sz w:val="17"/>
                <w:szCs w:val="17"/>
                <w:color w:val="auto"/>
              </w:rPr>
              <w:t>55,347</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10.66</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563,057</w:t>
            </w:r>
          </w:p>
        </w:tc>
        <w:tc>
          <w:tcPr>
            <w:tcW w:w="12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100"/>
              <w:spacing w:after="0"/>
              <w:rPr>
                <w:sz w:val="20"/>
                <w:szCs w:val="20"/>
                <w:color w:val="auto"/>
              </w:rPr>
            </w:pPr>
            <w:r>
              <w:rPr>
                <w:rFonts w:ascii="Arial" w:cs="Arial" w:eastAsia="Arial" w:hAnsi="Arial"/>
                <w:sz w:val="17"/>
                <w:szCs w:val="17"/>
                <w:color w:val="auto"/>
              </w:rPr>
              <w:t>54,559</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10.73</w:t>
            </w:r>
          </w:p>
        </w:tc>
        <w:tc>
          <w:tcPr>
            <w:tcW w:w="0" w:type="dxa"/>
            <w:vAlign w:val="bottom"/>
          </w:tcPr>
          <w:p>
            <w:pPr>
              <w:spacing w:after="0"/>
              <w:rPr>
                <w:sz w:val="1"/>
                <w:szCs w:val="1"/>
                <w:color w:val="auto"/>
              </w:rPr>
            </w:pPr>
          </w:p>
        </w:tc>
      </w:tr>
      <w:tr>
        <w:trPr>
          <w:trHeight w:val="208"/>
        </w:trPr>
        <w:tc>
          <w:tcPr>
            <w:tcW w:w="3880" w:type="dxa"/>
            <w:vAlign w:val="bottom"/>
          </w:tcPr>
          <w:p>
            <w:pPr>
              <w:spacing w:after="0"/>
              <w:rPr>
                <w:sz w:val="20"/>
                <w:szCs w:val="20"/>
                <w:color w:val="auto"/>
              </w:rPr>
            </w:pPr>
            <w:r>
              <w:rPr>
                <w:rFonts w:ascii="Arial" w:cs="Arial" w:eastAsia="Arial" w:hAnsi="Arial"/>
                <w:sz w:val="17"/>
                <w:szCs w:val="17"/>
                <w:color w:val="auto"/>
              </w:rPr>
              <w:t>Changes in Mortality tables to 105%</w:t>
            </w:r>
          </w:p>
        </w:tc>
        <w:tc>
          <w:tcPr>
            <w:tcW w:w="1280" w:type="dxa"/>
            <w:vAlign w:val="bottom"/>
            <w:gridSpan w:val="3"/>
          </w:tcPr>
          <w:p>
            <w:pPr>
              <w:jc w:val="right"/>
              <w:ind w:right="120"/>
              <w:spacing w:after="0"/>
              <w:rPr>
                <w:sz w:val="20"/>
                <w:szCs w:val="20"/>
                <w:color w:val="auto"/>
              </w:rPr>
            </w:pPr>
            <w:r>
              <w:rPr>
                <w:rFonts w:ascii="Arial" w:cs="Arial" w:eastAsia="Arial" w:hAnsi="Arial"/>
                <w:sz w:val="17"/>
                <w:szCs w:val="17"/>
                <w:color w:val="auto"/>
              </w:rPr>
              <w:t>514,091</w:t>
            </w:r>
          </w:p>
        </w:tc>
        <w:tc>
          <w:tcPr>
            <w:tcW w:w="1280" w:type="dxa"/>
            <w:vAlign w:val="bottom"/>
            <w:gridSpan w:val="3"/>
          </w:tcPr>
          <w:p>
            <w:pPr>
              <w:jc w:val="right"/>
              <w:ind w:right="60"/>
              <w:spacing w:after="0"/>
              <w:rPr>
                <w:sz w:val="20"/>
                <w:szCs w:val="20"/>
                <w:color w:val="auto"/>
              </w:rPr>
            </w:pPr>
            <w:r>
              <w:rPr>
                <w:rFonts w:ascii="Arial" w:cs="Arial" w:eastAsia="Arial" w:hAnsi="Arial"/>
                <w:sz w:val="17"/>
                <w:szCs w:val="17"/>
                <w:color w:val="auto"/>
              </w:rPr>
              <w:t>(5,226)</w:t>
            </w:r>
          </w:p>
        </w:tc>
        <w:tc>
          <w:tcPr>
            <w:tcW w:w="20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7"/>
                <w:szCs w:val="17"/>
                <w:color w:val="auto"/>
              </w:rPr>
              <w:t>(1.01)</w:t>
            </w:r>
          </w:p>
        </w:tc>
        <w:tc>
          <w:tcPr>
            <w:tcW w:w="1160" w:type="dxa"/>
            <w:vAlign w:val="bottom"/>
            <w:gridSpan w:val="2"/>
          </w:tcPr>
          <w:p>
            <w:pPr>
              <w:jc w:val="right"/>
              <w:spacing w:after="0"/>
              <w:rPr>
                <w:sz w:val="20"/>
                <w:szCs w:val="20"/>
                <w:color w:val="auto"/>
              </w:rPr>
            </w:pPr>
            <w:r>
              <w:rPr>
                <w:rFonts w:ascii="Arial" w:cs="Arial" w:eastAsia="Arial" w:hAnsi="Arial"/>
                <w:sz w:val="17"/>
                <w:szCs w:val="17"/>
                <w:color w:val="auto"/>
              </w:rPr>
              <w:t>503,253</w:t>
            </w:r>
          </w:p>
        </w:tc>
        <w:tc>
          <w:tcPr>
            <w:tcW w:w="120" w:type="dxa"/>
            <w:vAlign w:val="bottom"/>
          </w:tcPr>
          <w:p>
            <w:pPr>
              <w:spacing w:after="0"/>
              <w:rPr>
                <w:sz w:val="18"/>
                <w:szCs w:val="18"/>
                <w:color w:val="auto"/>
              </w:rPr>
            </w:pPr>
          </w:p>
        </w:tc>
        <w:tc>
          <w:tcPr>
            <w:tcW w:w="1220" w:type="dxa"/>
            <w:vAlign w:val="bottom"/>
            <w:gridSpan w:val="3"/>
          </w:tcPr>
          <w:p>
            <w:pPr>
              <w:jc w:val="right"/>
              <w:ind w:right="40"/>
              <w:spacing w:after="0"/>
              <w:rPr>
                <w:sz w:val="20"/>
                <w:szCs w:val="20"/>
                <w:color w:val="auto"/>
              </w:rPr>
            </w:pPr>
            <w:r>
              <w:rPr>
                <w:rFonts w:ascii="Arial" w:cs="Arial" w:eastAsia="Arial" w:hAnsi="Arial"/>
                <w:sz w:val="17"/>
                <w:szCs w:val="17"/>
                <w:color w:val="auto"/>
              </w:rPr>
              <w:t>(5,245)</w:t>
            </w:r>
          </w:p>
        </w:tc>
        <w:tc>
          <w:tcPr>
            <w:tcW w:w="20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7"/>
                <w:szCs w:val="17"/>
                <w:color w:val="auto"/>
              </w:rPr>
              <w:t>(1.03)</w:t>
            </w:r>
          </w:p>
        </w:tc>
        <w:tc>
          <w:tcPr>
            <w:tcW w:w="0" w:type="dxa"/>
            <w:vAlign w:val="bottom"/>
          </w:tcPr>
          <w:p>
            <w:pPr>
              <w:spacing w:after="0"/>
              <w:rPr>
                <w:sz w:val="1"/>
                <w:szCs w:val="1"/>
                <w:color w:val="auto"/>
              </w:rPr>
            </w:pPr>
          </w:p>
        </w:tc>
      </w:tr>
      <w:tr>
        <w:trPr>
          <w:trHeight w:val="208"/>
        </w:trPr>
        <w:tc>
          <w:tcPr>
            <w:tcW w:w="3880" w:type="dxa"/>
            <w:vAlign w:val="bottom"/>
            <w:shd w:val="clear" w:color="auto" w:fill="CCEEFF"/>
          </w:tcPr>
          <w:p>
            <w:pPr>
              <w:spacing w:after="0"/>
              <w:rPr>
                <w:sz w:val="20"/>
                <w:szCs w:val="20"/>
                <w:color w:val="auto"/>
              </w:rPr>
            </w:pPr>
            <w:r>
              <w:rPr>
                <w:rFonts w:ascii="Arial" w:cs="Arial" w:eastAsia="Arial" w:hAnsi="Arial"/>
                <w:sz w:val="17"/>
                <w:szCs w:val="17"/>
                <w:color w:val="auto"/>
              </w:rPr>
              <w:t>Changes in Mortality tables to 95%</w:t>
            </w:r>
          </w:p>
        </w:tc>
        <w:tc>
          <w:tcPr>
            <w:tcW w:w="1280" w:type="dxa"/>
            <w:vAlign w:val="bottom"/>
            <w:gridSpan w:val="3"/>
            <w:shd w:val="clear" w:color="auto" w:fill="CCEEFF"/>
          </w:tcPr>
          <w:p>
            <w:pPr>
              <w:jc w:val="right"/>
              <w:ind w:right="120"/>
              <w:spacing w:after="0"/>
              <w:rPr>
                <w:sz w:val="20"/>
                <w:szCs w:val="20"/>
                <w:color w:val="auto"/>
              </w:rPr>
            </w:pPr>
            <w:r>
              <w:rPr>
                <w:rFonts w:ascii="Arial" w:cs="Arial" w:eastAsia="Arial" w:hAnsi="Arial"/>
                <w:sz w:val="17"/>
                <w:szCs w:val="17"/>
                <w:color w:val="auto"/>
              </w:rPr>
              <w:t>524,801</w:t>
            </w:r>
          </w:p>
        </w:tc>
        <w:tc>
          <w:tcPr>
            <w:tcW w:w="1280" w:type="dxa"/>
            <w:vAlign w:val="bottom"/>
            <w:gridSpan w:val="3"/>
            <w:shd w:val="clear" w:color="auto" w:fill="CCEEFF"/>
          </w:tcPr>
          <w:p>
            <w:pPr>
              <w:jc w:val="right"/>
              <w:ind w:right="120"/>
              <w:spacing w:after="0"/>
              <w:rPr>
                <w:sz w:val="20"/>
                <w:szCs w:val="20"/>
                <w:color w:val="auto"/>
              </w:rPr>
            </w:pPr>
            <w:r>
              <w:rPr>
                <w:rFonts w:ascii="Arial" w:cs="Arial" w:eastAsia="Arial" w:hAnsi="Arial"/>
                <w:sz w:val="17"/>
                <w:szCs w:val="17"/>
                <w:color w:val="auto"/>
              </w:rPr>
              <w:t>5,484</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1.06</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514,003</w:t>
            </w:r>
          </w:p>
        </w:tc>
        <w:tc>
          <w:tcPr>
            <w:tcW w:w="12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100"/>
              <w:spacing w:after="0"/>
              <w:rPr>
                <w:sz w:val="20"/>
                <w:szCs w:val="20"/>
                <w:color w:val="auto"/>
              </w:rPr>
            </w:pPr>
            <w:r>
              <w:rPr>
                <w:rFonts w:ascii="Arial" w:cs="Arial" w:eastAsia="Arial" w:hAnsi="Arial"/>
                <w:sz w:val="17"/>
                <w:szCs w:val="17"/>
                <w:color w:val="auto"/>
              </w:rPr>
              <w:t>5,505</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1.08</w:t>
            </w:r>
          </w:p>
        </w:tc>
        <w:tc>
          <w:tcPr>
            <w:tcW w:w="0" w:type="dxa"/>
            <w:vAlign w:val="bottom"/>
          </w:tcPr>
          <w:p>
            <w:pPr>
              <w:spacing w:after="0"/>
              <w:rPr>
                <w:sz w:val="1"/>
                <w:szCs w:val="1"/>
                <w:color w:val="auto"/>
              </w:rPr>
            </w:pPr>
          </w:p>
        </w:tc>
      </w:tr>
      <w:tr>
        <w:trPr>
          <w:trHeight w:val="208"/>
        </w:trPr>
        <w:tc>
          <w:tcPr>
            <w:tcW w:w="3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88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Portfolio in US$- Base amount</w:t>
            </w:r>
          </w:p>
        </w:tc>
        <w:tc>
          <w:tcPr>
            <w:tcW w:w="1280" w:type="dxa"/>
            <w:vAlign w:val="bottom"/>
            <w:gridSpan w:val="3"/>
            <w:shd w:val="clear" w:color="auto" w:fill="CCEEFF"/>
          </w:tcPr>
          <w:p>
            <w:pPr>
              <w:jc w:val="right"/>
              <w:ind w:right="120"/>
              <w:spacing w:after="0"/>
              <w:rPr>
                <w:sz w:val="20"/>
                <w:szCs w:val="20"/>
                <w:color w:val="auto"/>
              </w:rPr>
            </w:pPr>
            <w:r>
              <w:rPr>
                <w:rFonts w:ascii="Arial" w:cs="Arial" w:eastAsia="Arial" w:hAnsi="Arial"/>
                <w:sz w:val="17"/>
                <w:szCs w:val="17"/>
                <w:color w:val="auto"/>
              </w:rPr>
              <w:t>2,682,536</w:t>
            </w:r>
          </w:p>
        </w:tc>
        <w:tc>
          <w:tcPr>
            <w:tcW w:w="1280" w:type="dxa"/>
            <w:vAlign w:val="bottom"/>
            <w:gridSpan w:val="3"/>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2,317,565</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8"/>
        </w:trPr>
        <w:tc>
          <w:tcPr>
            <w:tcW w:w="3880" w:type="dxa"/>
            <w:vAlign w:val="bottom"/>
          </w:tcPr>
          <w:p>
            <w:pPr>
              <w:spacing w:after="0"/>
              <w:rPr>
                <w:sz w:val="20"/>
                <w:szCs w:val="20"/>
                <w:color w:val="auto"/>
              </w:rPr>
            </w:pPr>
            <w:r>
              <w:rPr>
                <w:rFonts w:ascii="Arial" w:cs="Arial" w:eastAsia="Arial" w:hAnsi="Arial"/>
                <w:sz w:val="17"/>
                <w:szCs w:val="17"/>
                <w:color w:val="auto"/>
              </w:rPr>
              <w:t>Changes in interest rates: + 100 bps</w:t>
            </w:r>
          </w:p>
        </w:tc>
        <w:tc>
          <w:tcPr>
            <w:tcW w:w="1280" w:type="dxa"/>
            <w:vAlign w:val="bottom"/>
            <w:gridSpan w:val="3"/>
          </w:tcPr>
          <w:p>
            <w:pPr>
              <w:jc w:val="right"/>
              <w:ind w:right="120"/>
              <w:spacing w:after="0"/>
              <w:rPr>
                <w:sz w:val="20"/>
                <w:szCs w:val="20"/>
                <w:color w:val="auto"/>
              </w:rPr>
            </w:pPr>
            <w:r>
              <w:rPr>
                <w:rFonts w:ascii="Arial" w:cs="Arial" w:eastAsia="Arial" w:hAnsi="Arial"/>
                <w:sz w:val="17"/>
                <w:szCs w:val="17"/>
                <w:color w:val="auto"/>
              </w:rPr>
              <w:t>2,428,338</w:t>
            </w:r>
          </w:p>
        </w:tc>
        <w:tc>
          <w:tcPr>
            <w:tcW w:w="1280" w:type="dxa"/>
            <w:vAlign w:val="bottom"/>
            <w:gridSpan w:val="3"/>
          </w:tcPr>
          <w:p>
            <w:pPr>
              <w:jc w:val="right"/>
              <w:ind w:right="60"/>
              <w:spacing w:after="0"/>
              <w:rPr>
                <w:sz w:val="20"/>
                <w:szCs w:val="20"/>
                <w:color w:val="auto"/>
              </w:rPr>
            </w:pPr>
            <w:r>
              <w:rPr>
                <w:rFonts w:ascii="Arial" w:cs="Arial" w:eastAsia="Arial" w:hAnsi="Arial"/>
                <w:sz w:val="17"/>
                <w:szCs w:val="17"/>
                <w:color w:val="auto"/>
              </w:rPr>
              <w:t>(254,198)</w:t>
            </w:r>
          </w:p>
        </w:tc>
        <w:tc>
          <w:tcPr>
            <w:tcW w:w="20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7"/>
                <w:szCs w:val="17"/>
                <w:color w:val="auto"/>
              </w:rPr>
              <w:t>(9.48)</w:t>
            </w:r>
          </w:p>
        </w:tc>
        <w:tc>
          <w:tcPr>
            <w:tcW w:w="1160" w:type="dxa"/>
            <w:vAlign w:val="bottom"/>
            <w:gridSpan w:val="2"/>
          </w:tcPr>
          <w:p>
            <w:pPr>
              <w:jc w:val="right"/>
              <w:spacing w:after="0"/>
              <w:rPr>
                <w:sz w:val="20"/>
                <w:szCs w:val="20"/>
                <w:color w:val="auto"/>
              </w:rPr>
            </w:pPr>
            <w:r>
              <w:rPr>
                <w:rFonts w:ascii="Arial" w:cs="Arial" w:eastAsia="Arial" w:hAnsi="Arial"/>
                <w:sz w:val="17"/>
                <w:szCs w:val="17"/>
                <w:color w:val="auto"/>
              </w:rPr>
              <w:t>2,089,212</w:t>
            </w:r>
          </w:p>
        </w:tc>
        <w:tc>
          <w:tcPr>
            <w:tcW w:w="120" w:type="dxa"/>
            <w:vAlign w:val="bottom"/>
          </w:tcPr>
          <w:p>
            <w:pPr>
              <w:spacing w:after="0"/>
              <w:rPr>
                <w:sz w:val="18"/>
                <w:szCs w:val="18"/>
                <w:color w:val="auto"/>
              </w:rPr>
            </w:pPr>
          </w:p>
        </w:tc>
        <w:tc>
          <w:tcPr>
            <w:tcW w:w="1220" w:type="dxa"/>
            <w:vAlign w:val="bottom"/>
            <w:gridSpan w:val="3"/>
          </w:tcPr>
          <w:p>
            <w:pPr>
              <w:jc w:val="right"/>
              <w:ind w:right="40"/>
              <w:spacing w:after="0"/>
              <w:rPr>
                <w:sz w:val="20"/>
                <w:szCs w:val="20"/>
                <w:color w:val="auto"/>
              </w:rPr>
            </w:pPr>
            <w:r>
              <w:rPr>
                <w:rFonts w:ascii="Arial" w:cs="Arial" w:eastAsia="Arial" w:hAnsi="Arial"/>
                <w:sz w:val="17"/>
                <w:szCs w:val="17"/>
                <w:color w:val="auto"/>
              </w:rPr>
              <w:t>(228,352)</w:t>
            </w:r>
          </w:p>
        </w:tc>
        <w:tc>
          <w:tcPr>
            <w:tcW w:w="20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7"/>
                <w:szCs w:val="17"/>
                <w:color w:val="auto"/>
              </w:rPr>
              <w:t>(9.85)</w:t>
            </w:r>
          </w:p>
        </w:tc>
        <w:tc>
          <w:tcPr>
            <w:tcW w:w="0" w:type="dxa"/>
            <w:vAlign w:val="bottom"/>
          </w:tcPr>
          <w:p>
            <w:pPr>
              <w:spacing w:after="0"/>
              <w:rPr>
                <w:sz w:val="1"/>
                <w:szCs w:val="1"/>
                <w:color w:val="auto"/>
              </w:rPr>
            </w:pPr>
          </w:p>
        </w:tc>
      </w:tr>
      <w:tr>
        <w:trPr>
          <w:trHeight w:val="208"/>
        </w:trPr>
        <w:tc>
          <w:tcPr>
            <w:tcW w:w="3880" w:type="dxa"/>
            <w:vAlign w:val="bottom"/>
            <w:shd w:val="clear" w:color="auto" w:fill="CCEEFF"/>
          </w:tcPr>
          <w:p>
            <w:pPr>
              <w:spacing w:after="0"/>
              <w:rPr>
                <w:sz w:val="20"/>
                <w:szCs w:val="20"/>
                <w:color w:val="auto"/>
              </w:rPr>
            </w:pPr>
            <w:r>
              <w:rPr>
                <w:rFonts w:ascii="Arial" w:cs="Arial" w:eastAsia="Arial" w:hAnsi="Arial"/>
                <w:sz w:val="17"/>
                <w:szCs w:val="17"/>
                <w:color w:val="auto"/>
              </w:rPr>
              <w:t>Changes in interest rates: - 100 bps</w:t>
            </w:r>
          </w:p>
        </w:tc>
        <w:tc>
          <w:tcPr>
            <w:tcW w:w="1280" w:type="dxa"/>
            <w:vAlign w:val="bottom"/>
            <w:gridSpan w:val="3"/>
            <w:shd w:val="clear" w:color="auto" w:fill="CCEEFF"/>
          </w:tcPr>
          <w:p>
            <w:pPr>
              <w:jc w:val="right"/>
              <w:ind w:right="120"/>
              <w:spacing w:after="0"/>
              <w:rPr>
                <w:sz w:val="20"/>
                <w:szCs w:val="20"/>
                <w:color w:val="auto"/>
              </w:rPr>
            </w:pPr>
            <w:r>
              <w:rPr>
                <w:rFonts w:ascii="Arial" w:cs="Arial" w:eastAsia="Arial" w:hAnsi="Arial"/>
                <w:sz w:val="17"/>
                <w:szCs w:val="17"/>
                <w:color w:val="auto"/>
              </w:rPr>
              <w:t>2,993,483</w:t>
            </w:r>
          </w:p>
        </w:tc>
        <w:tc>
          <w:tcPr>
            <w:tcW w:w="1280" w:type="dxa"/>
            <w:vAlign w:val="bottom"/>
            <w:gridSpan w:val="3"/>
            <w:shd w:val="clear" w:color="auto" w:fill="CCEEFF"/>
          </w:tcPr>
          <w:p>
            <w:pPr>
              <w:jc w:val="right"/>
              <w:ind w:right="120"/>
              <w:spacing w:after="0"/>
              <w:rPr>
                <w:sz w:val="20"/>
                <w:szCs w:val="20"/>
                <w:color w:val="auto"/>
              </w:rPr>
            </w:pPr>
            <w:r>
              <w:rPr>
                <w:rFonts w:ascii="Arial" w:cs="Arial" w:eastAsia="Arial" w:hAnsi="Arial"/>
                <w:sz w:val="17"/>
                <w:szCs w:val="17"/>
                <w:color w:val="auto"/>
              </w:rPr>
              <w:t>310,948</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11.59</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2,591,011</w:t>
            </w:r>
          </w:p>
        </w:tc>
        <w:tc>
          <w:tcPr>
            <w:tcW w:w="12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100"/>
              <w:spacing w:after="0"/>
              <w:rPr>
                <w:sz w:val="20"/>
                <w:szCs w:val="20"/>
                <w:color w:val="auto"/>
              </w:rPr>
            </w:pPr>
            <w:r>
              <w:rPr>
                <w:rFonts w:ascii="Arial" w:cs="Arial" w:eastAsia="Arial" w:hAnsi="Arial"/>
                <w:sz w:val="17"/>
                <w:szCs w:val="17"/>
                <w:color w:val="auto"/>
              </w:rPr>
              <w:t>273,447</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11.80</w:t>
            </w:r>
          </w:p>
        </w:tc>
        <w:tc>
          <w:tcPr>
            <w:tcW w:w="0" w:type="dxa"/>
            <w:vAlign w:val="bottom"/>
          </w:tcPr>
          <w:p>
            <w:pPr>
              <w:spacing w:after="0"/>
              <w:rPr>
                <w:sz w:val="1"/>
                <w:szCs w:val="1"/>
                <w:color w:val="auto"/>
              </w:rPr>
            </w:pPr>
          </w:p>
        </w:tc>
      </w:tr>
      <w:tr>
        <w:trPr>
          <w:trHeight w:val="208"/>
        </w:trPr>
        <w:tc>
          <w:tcPr>
            <w:tcW w:w="3880" w:type="dxa"/>
            <w:vAlign w:val="bottom"/>
          </w:tcPr>
          <w:p>
            <w:pPr>
              <w:spacing w:after="0"/>
              <w:rPr>
                <w:sz w:val="20"/>
                <w:szCs w:val="20"/>
                <w:color w:val="auto"/>
              </w:rPr>
            </w:pPr>
            <w:r>
              <w:rPr>
                <w:rFonts w:ascii="Arial" w:cs="Arial" w:eastAsia="Arial" w:hAnsi="Arial"/>
                <w:sz w:val="17"/>
                <w:szCs w:val="17"/>
                <w:color w:val="auto"/>
              </w:rPr>
              <w:t>Changes in Mortality tables to 105%</w:t>
            </w:r>
          </w:p>
        </w:tc>
        <w:tc>
          <w:tcPr>
            <w:tcW w:w="1280" w:type="dxa"/>
            <w:vAlign w:val="bottom"/>
            <w:gridSpan w:val="3"/>
          </w:tcPr>
          <w:p>
            <w:pPr>
              <w:jc w:val="right"/>
              <w:ind w:right="120"/>
              <w:spacing w:after="0"/>
              <w:rPr>
                <w:sz w:val="20"/>
                <w:szCs w:val="20"/>
                <w:color w:val="auto"/>
              </w:rPr>
            </w:pPr>
            <w:r>
              <w:rPr>
                <w:rFonts w:ascii="Arial" w:cs="Arial" w:eastAsia="Arial" w:hAnsi="Arial"/>
                <w:sz w:val="17"/>
                <w:szCs w:val="17"/>
                <w:color w:val="auto"/>
              </w:rPr>
              <w:t>2,660,474</w:t>
            </w:r>
          </w:p>
        </w:tc>
        <w:tc>
          <w:tcPr>
            <w:tcW w:w="1280" w:type="dxa"/>
            <w:vAlign w:val="bottom"/>
            <w:gridSpan w:val="3"/>
          </w:tcPr>
          <w:p>
            <w:pPr>
              <w:jc w:val="right"/>
              <w:ind w:right="60"/>
              <w:spacing w:after="0"/>
              <w:rPr>
                <w:sz w:val="20"/>
                <w:szCs w:val="20"/>
                <w:color w:val="auto"/>
              </w:rPr>
            </w:pPr>
            <w:r>
              <w:rPr>
                <w:rFonts w:ascii="Arial" w:cs="Arial" w:eastAsia="Arial" w:hAnsi="Arial"/>
                <w:sz w:val="17"/>
                <w:szCs w:val="17"/>
                <w:color w:val="auto"/>
              </w:rPr>
              <w:t>(22,062)</w:t>
            </w:r>
          </w:p>
        </w:tc>
        <w:tc>
          <w:tcPr>
            <w:tcW w:w="20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7"/>
                <w:szCs w:val="17"/>
                <w:color w:val="auto"/>
              </w:rPr>
              <w:t>(0.82)</w:t>
            </w:r>
          </w:p>
        </w:tc>
        <w:tc>
          <w:tcPr>
            <w:tcW w:w="1160" w:type="dxa"/>
            <w:vAlign w:val="bottom"/>
            <w:gridSpan w:val="2"/>
          </w:tcPr>
          <w:p>
            <w:pPr>
              <w:jc w:val="right"/>
              <w:spacing w:after="0"/>
              <w:rPr>
                <w:sz w:val="20"/>
                <w:szCs w:val="20"/>
                <w:color w:val="auto"/>
              </w:rPr>
            </w:pPr>
            <w:r>
              <w:rPr>
                <w:rFonts w:ascii="Arial" w:cs="Arial" w:eastAsia="Arial" w:hAnsi="Arial"/>
                <w:sz w:val="17"/>
                <w:szCs w:val="17"/>
                <w:color w:val="auto"/>
              </w:rPr>
              <w:t>2,293,403</w:t>
            </w:r>
          </w:p>
        </w:tc>
        <w:tc>
          <w:tcPr>
            <w:tcW w:w="120" w:type="dxa"/>
            <w:vAlign w:val="bottom"/>
          </w:tcPr>
          <w:p>
            <w:pPr>
              <w:spacing w:after="0"/>
              <w:rPr>
                <w:sz w:val="18"/>
                <w:szCs w:val="18"/>
                <w:color w:val="auto"/>
              </w:rPr>
            </w:pPr>
          </w:p>
        </w:tc>
        <w:tc>
          <w:tcPr>
            <w:tcW w:w="1220" w:type="dxa"/>
            <w:vAlign w:val="bottom"/>
            <w:gridSpan w:val="3"/>
          </w:tcPr>
          <w:p>
            <w:pPr>
              <w:jc w:val="right"/>
              <w:ind w:right="40"/>
              <w:spacing w:after="0"/>
              <w:rPr>
                <w:sz w:val="20"/>
                <w:szCs w:val="20"/>
                <w:color w:val="auto"/>
              </w:rPr>
            </w:pPr>
            <w:r>
              <w:rPr>
                <w:rFonts w:ascii="Arial" w:cs="Arial" w:eastAsia="Arial" w:hAnsi="Arial"/>
                <w:sz w:val="17"/>
                <w:szCs w:val="17"/>
                <w:color w:val="auto"/>
              </w:rPr>
              <w:t>(24,161)</w:t>
            </w:r>
          </w:p>
        </w:tc>
        <w:tc>
          <w:tcPr>
            <w:tcW w:w="20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7"/>
                <w:szCs w:val="17"/>
                <w:color w:val="auto"/>
              </w:rPr>
              <w:t>(1.04)</w:t>
            </w:r>
          </w:p>
        </w:tc>
        <w:tc>
          <w:tcPr>
            <w:tcW w:w="0" w:type="dxa"/>
            <w:vAlign w:val="bottom"/>
          </w:tcPr>
          <w:p>
            <w:pPr>
              <w:spacing w:after="0"/>
              <w:rPr>
                <w:sz w:val="1"/>
                <w:szCs w:val="1"/>
                <w:color w:val="auto"/>
              </w:rPr>
            </w:pPr>
          </w:p>
        </w:tc>
      </w:tr>
      <w:tr>
        <w:trPr>
          <w:trHeight w:val="208"/>
        </w:trPr>
        <w:tc>
          <w:tcPr>
            <w:tcW w:w="3880" w:type="dxa"/>
            <w:vAlign w:val="bottom"/>
            <w:shd w:val="clear" w:color="auto" w:fill="CCEEFF"/>
          </w:tcPr>
          <w:p>
            <w:pPr>
              <w:spacing w:after="0"/>
              <w:rPr>
                <w:sz w:val="20"/>
                <w:szCs w:val="20"/>
                <w:color w:val="auto"/>
              </w:rPr>
            </w:pPr>
            <w:r>
              <w:rPr>
                <w:rFonts w:ascii="Arial" w:cs="Arial" w:eastAsia="Arial" w:hAnsi="Arial"/>
                <w:sz w:val="17"/>
                <w:szCs w:val="17"/>
                <w:color w:val="auto"/>
              </w:rPr>
              <w:t>Changes in Mortality tables to 95%</w:t>
            </w:r>
          </w:p>
        </w:tc>
        <w:tc>
          <w:tcPr>
            <w:tcW w:w="1280" w:type="dxa"/>
            <w:vAlign w:val="bottom"/>
            <w:gridSpan w:val="3"/>
            <w:shd w:val="clear" w:color="auto" w:fill="CCEEFF"/>
          </w:tcPr>
          <w:p>
            <w:pPr>
              <w:jc w:val="right"/>
              <w:ind w:right="120"/>
              <w:spacing w:after="0"/>
              <w:rPr>
                <w:sz w:val="20"/>
                <w:szCs w:val="20"/>
                <w:color w:val="auto"/>
              </w:rPr>
            </w:pPr>
            <w:r>
              <w:rPr>
                <w:rFonts w:ascii="Arial" w:cs="Arial" w:eastAsia="Arial" w:hAnsi="Arial"/>
                <w:sz w:val="17"/>
                <w:szCs w:val="17"/>
                <w:color w:val="auto"/>
              </w:rPr>
              <w:t>2,705,711</w:t>
            </w:r>
          </w:p>
        </w:tc>
        <w:tc>
          <w:tcPr>
            <w:tcW w:w="1280" w:type="dxa"/>
            <w:vAlign w:val="bottom"/>
            <w:gridSpan w:val="3"/>
            <w:shd w:val="clear" w:color="auto" w:fill="CCEEFF"/>
          </w:tcPr>
          <w:p>
            <w:pPr>
              <w:jc w:val="right"/>
              <w:ind w:right="120"/>
              <w:spacing w:after="0"/>
              <w:rPr>
                <w:sz w:val="20"/>
                <w:szCs w:val="20"/>
                <w:color w:val="auto"/>
              </w:rPr>
            </w:pPr>
            <w:r>
              <w:rPr>
                <w:rFonts w:ascii="Arial" w:cs="Arial" w:eastAsia="Arial" w:hAnsi="Arial"/>
                <w:sz w:val="17"/>
                <w:szCs w:val="17"/>
                <w:color w:val="auto"/>
              </w:rPr>
              <w:t>23,176</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0.86</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2,336,095</w:t>
            </w:r>
          </w:p>
        </w:tc>
        <w:tc>
          <w:tcPr>
            <w:tcW w:w="12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100"/>
              <w:spacing w:after="0"/>
              <w:rPr>
                <w:sz w:val="20"/>
                <w:szCs w:val="20"/>
                <w:color w:val="auto"/>
              </w:rPr>
            </w:pPr>
            <w:r>
              <w:rPr>
                <w:rFonts w:ascii="Arial" w:cs="Arial" w:eastAsia="Arial" w:hAnsi="Arial"/>
                <w:sz w:val="17"/>
                <w:szCs w:val="17"/>
                <w:color w:val="auto"/>
              </w:rPr>
              <w:t>18,530</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0.80</w:t>
            </w:r>
          </w:p>
        </w:tc>
        <w:tc>
          <w:tcPr>
            <w:tcW w:w="0" w:type="dxa"/>
            <w:vAlign w:val="bottom"/>
          </w:tcPr>
          <w:p>
            <w:pPr>
              <w:spacing w:after="0"/>
              <w:rPr>
                <w:sz w:val="1"/>
                <w:szCs w:val="1"/>
                <w:color w:val="auto"/>
              </w:rPr>
            </w:pPr>
          </w:p>
        </w:tc>
      </w:tr>
      <w:tr>
        <w:trPr>
          <w:trHeight w:val="624"/>
        </w:trPr>
        <w:tc>
          <w:tcPr>
            <w:tcW w:w="38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gridSpan w:val="2"/>
          </w:tcPr>
          <w:p>
            <w:pPr>
              <w:ind w:left="380"/>
              <w:spacing w:after="0"/>
              <w:rPr>
                <w:sz w:val="20"/>
                <w:szCs w:val="20"/>
                <w:color w:val="auto"/>
              </w:rPr>
            </w:pPr>
            <w:r>
              <w:rPr>
                <w:rFonts w:ascii="Arial" w:cs="Arial" w:eastAsia="Arial" w:hAnsi="Arial"/>
                <w:sz w:val="17"/>
                <w:szCs w:val="17"/>
                <w:color w:val="auto"/>
              </w:rPr>
              <w:t>- 83 -</w:t>
            </w: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81" w:right="239" w:bottom="1440" w:gutter="0" w:footer="0" w:header="0"/>
        </w:sectPr>
      </w:pPr>
    </w:p>
    <w:bookmarkStart w:id="89" w:name="page90"/>
    <w:bookmarkEnd w:id="89"/>
    <w:p>
      <w:pPr>
        <w:spacing w:after="0"/>
        <w:tabs>
          <w:tab w:leader="none" w:pos="300" w:val="left"/>
        </w:tabs>
        <w:rPr>
          <w:sz w:val="20"/>
          <w:szCs w:val="20"/>
          <w:color w:val="auto"/>
        </w:rPr>
      </w:pPr>
      <w:r>
        <w:rPr>
          <w:rFonts w:ascii="Arial" w:cs="Arial" w:eastAsia="Arial" w:hAnsi="Arial"/>
          <w:sz w:val="17"/>
          <w:szCs w:val="17"/>
          <w:b w:val="1"/>
          <w:bCs w:val="1"/>
          <w:color w:val="auto"/>
        </w:rPr>
        <w:t>16</w:t>
      </w:r>
      <w:r>
        <w:rPr>
          <w:sz w:val="20"/>
          <w:szCs w:val="20"/>
          <w:color w:val="auto"/>
        </w:rPr>
        <w:tab/>
      </w:r>
      <w:r>
        <w:rPr>
          <w:rFonts w:ascii="Arial" w:cs="Arial" w:eastAsia="Arial" w:hAnsi="Arial"/>
          <w:sz w:val="16"/>
          <w:szCs w:val="16"/>
          <w:b w:val="1"/>
          <w:bCs w:val="1"/>
          <w:color w:val="auto"/>
        </w:rPr>
        <w:t>BONDS AND NOTES ISSUED</w:t>
      </w:r>
    </w:p>
    <w:p>
      <w:pPr>
        <w:spacing w:after="0" w:line="226" w:lineRule="exact"/>
        <w:rPr>
          <w:sz w:val="20"/>
          <w:szCs w:val="20"/>
          <w:color w:val="auto"/>
        </w:rPr>
      </w:pPr>
    </w:p>
    <w:p>
      <w:pPr>
        <w:ind w:left="320" w:hanging="316"/>
        <w:spacing w:after="0"/>
        <w:tabs>
          <w:tab w:leader="none" w:pos="320" w:val="left"/>
        </w:tabs>
        <w:numPr>
          <w:ilvl w:val="0"/>
          <w:numId w:val="104"/>
        </w:numPr>
        <w:rPr>
          <w:rFonts w:ascii="Arial" w:cs="Arial" w:eastAsia="Arial" w:hAnsi="Arial"/>
          <w:sz w:val="17"/>
          <w:szCs w:val="17"/>
          <w:color w:val="auto"/>
        </w:rPr>
      </w:pPr>
      <w:r>
        <w:rPr>
          <w:rFonts w:ascii="Arial" w:cs="Arial" w:eastAsia="Arial" w:hAnsi="Arial"/>
          <w:sz w:val="17"/>
          <w:szCs w:val="17"/>
          <w:color w:val="auto"/>
        </w:rPr>
        <w:t>This item consists of the following:</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3320" w:type="dxa"/>
            <w:vAlign w:val="bottom"/>
          </w:tcPr>
          <w:p>
            <w:pPr>
              <w:spacing w:after="0"/>
              <w:rPr>
                <w:sz w:val="14"/>
                <w:szCs w:val="14"/>
                <w:color w:val="auto"/>
              </w:rPr>
            </w:pPr>
          </w:p>
        </w:tc>
        <w:tc>
          <w:tcPr>
            <w:tcW w:w="13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Annual interest rate</w:t>
            </w:r>
          </w:p>
        </w:tc>
        <w:tc>
          <w:tcPr>
            <w:tcW w:w="12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Interest payment</w:t>
            </w:r>
          </w:p>
        </w:tc>
        <w:tc>
          <w:tcPr>
            <w:tcW w:w="12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9"/>
              </w:rPr>
              <w:t>Maturity</w:t>
            </w:r>
          </w:p>
        </w:tc>
        <w:tc>
          <w:tcPr>
            <w:tcW w:w="1460" w:type="dxa"/>
            <w:vAlign w:val="bottom"/>
            <w:gridSpan w:val="2"/>
          </w:tcPr>
          <w:p>
            <w:pPr>
              <w:ind w:left="200"/>
              <w:spacing w:after="0"/>
              <w:rPr>
                <w:sz w:val="20"/>
                <w:szCs w:val="20"/>
                <w:color w:val="auto"/>
              </w:rPr>
            </w:pPr>
            <w:r>
              <w:rPr>
                <w:rFonts w:ascii="Arial" w:cs="Arial" w:eastAsia="Arial" w:hAnsi="Arial"/>
                <w:sz w:val="14"/>
                <w:szCs w:val="14"/>
                <w:b w:val="1"/>
                <w:bCs w:val="1"/>
                <w:color w:val="auto"/>
              </w:rPr>
              <w:t>Issued amount</w:t>
            </w:r>
          </w:p>
        </w:tc>
        <w:tc>
          <w:tcPr>
            <w:tcW w:w="1240" w:type="dxa"/>
            <w:vAlign w:val="bottom"/>
          </w:tcPr>
          <w:p>
            <w:pPr>
              <w:jc w:val="right"/>
              <w:ind w:right="411"/>
              <w:spacing w:after="0"/>
              <w:rPr>
                <w:sz w:val="20"/>
                <w:szCs w:val="20"/>
                <w:color w:val="auto"/>
              </w:rPr>
            </w:pPr>
            <w:r>
              <w:rPr>
                <w:rFonts w:ascii="Arial" w:cs="Arial" w:eastAsia="Arial" w:hAnsi="Arial"/>
                <w:sz w:val="14"/>
                <w:szCs w:val="14"/>
                <w:b w:val="1"/>
                <w:bCs w:val="1"/>
                <w:color w:val="auto"/>
              </w:rPr>
              <w:t>2017</w:t>
            </w:r>
          </w:p>
        </w:tc>
        <w:tc>
          <w:tcPr>
            <w:tcW w:w="200" w:type="dxa"/>
            <w:vAlign w:val="bottom"/>
          </w:tcPr>
          <w:p>
            <w:pPr>
              <w:spacing w:after="0"/>
              <w:rPr>
                <w:sz w:val="14"/>
                <w:szCs w:val="14"/>
                <w:color w:val="auto"/>
              </w:rPr>
            </w:pPr>
          </w:p>
        </w:tc>
        <w:tc>
          <w:tcPr>
            <w:tcW w:w="1240" w:type="dxa"/>
            <w:vAlign w:val="bottom"/>
          </w:tcPr>
          <w:p>
            <w:pPr>
              <w:jc w:val="right"/>
              <w:ind w:right="411"/>
              <w:spacing w:after="0"/>
              <w:rPr>
                <w:sz w:val="20"/>
                <w:szCs w:val="20"/>
                <w:color w:val="auto"/>
              </w:rPr>
            </w:pPr>
            <w:r>
              <w:rPr>
                <w:rFonts w:ascii="Arial" w:cs="Arial" w:eastAsia="Arial" w:hAnsi="Arial"/>
                <w:sz w:val="14"/>
                <w:szCs w:val="14"/>
                <w:b w:val="1"/>
                <w:bCs w:val="1"/>
                <w:color w:val="auto"/>
              </w:rPr>
              <w:t>2016</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72"/>
        </w:trPr>
        <w:tc>
          <w:tcPr>
            <w:tcW w:w="3320" w:type="dxa"/>
            <w:vAlign w:val="bottom"/>
          </w:tcPr>
          <w:p>
            <w:pPr>
              <w:spacing w:after="0"/>
              <w:rPr>
                <w:sz w:val="14"/>
                <w:szCs w:val="14"/>
                <w:color w:val="auto"/>
              </w:rPr>
            </w:pPr>
          </w:p>
        </w:tc>
        <w:tc>
          <w:tcPr>
            <w:tcW w:w="122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4"/>
                <w:szCs w:val="14"/>
                <w:color w:val="auto"/>
              </w:rPr>
            </w:pPr>
          </w:p>
        </w:tc>
        <w:tc>
          <w:tcPr>
            <w:tcW w:w="114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tcBorders>
              <w:top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(000)</w:t>
            </w:r>
          </w:p>
        </w:tc>
        <w:tc>
          <w:tcPr>
            <w:tcW w:w="200" w:type="dxa"/>
            <w:vAlign w:val="bottom"/>
          </w:tcPr>
          <w:p>
            <w:pPr>
              <w:spacing w:after="0"/>
              <w:rPr>
                <w:sz w:val="14"/>
                <w:szCs w:val="14"/>
                <w:color w:val="auto"/>
              </w:rPr>
            </w:pPr>
          </w:p>
        </w:tc>
        <w:tc>
          <w:tcPr>
            <w:tcW w:w="124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S/(000)</w:t>
            </w:r>
          </w:p>
        </w:tc>
        <w:tc>
          <w:tcPr>
            <w:tcW w:w="200" w:type="dxa"/>
            <w:vAlign w:val="bottom"/>
          </w:tcPr>
          <w:p>
            <w:pPr>
              <w:spacing w:after="0"/>
              <w:rPr>
                <w:sz w:val="14"/>
                <w:szCs w:val="14"/>
                <w:color w:val="auto"/>
              </w:rPr>
            </w:pPr>
          </w:p>
        </w:tc>
        <w:tc>
          <w:tcPr>
            <w:tcW w:w="124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S/(000)</w:t>
            </w:r>
          </w:p>
        </w:tc>
        <w:tc>
          <w:tcPr>
            <w:tcW w:w="100" w:type="dxa"/>
            <w:vAlign w:val="bottom"/>
            <w:gridSpan w:val="2"/>
          </w:tcPr>
          <w:p>
            <w:pPr>
              <w:spacing w:after="0"/>
              <w:rPr>
                <w:sz w:val="14"/>
                <w:szCs w:val="14"/>
                <w:color w:val="auto"/>
              </w:rPr>
            </w:pPr>
          </w:p>
        </w:tc>
      </w:tr>
      <w:tr>
        <w:trPr>
          <w:trHeight w:val="106"/>
        </w:trPr>
        <w:tc>
          <w:tcPr>
            <w:tcW w:w="332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r>
      <w:tr>
        <w:trPr>
          <w:trHeight w:val="143"/>
        </w:trPr>
        <w:tc>
          <w:tcPr>
            <w:tcW w:w="3320" w:type="dxa"/>
            <w:vAlign w:val="bottom"/>
            <w:shd w:val="clear" w:color="auto" w:fill="CCEEFF"/>
          </w:tcPr>
          <w:p>
            <w:pPr>
              <w:spacing w:after="0" w:line="143" w:lineRule="exact"/>
              <w:rPr>
                <w:sz w:val="20"/>
                <w:szCs w:val="20"/>
                <w:color w:val="auto"/>
              </w:rPr>
            </w:pPr>
            <w:r>
              <w:rPr>
                <w:rFonts w:ascii="Arial" w:cs="Arial" w:eastAsia="Arial" w:hAnsi="Arial"/>
                <w:sz w:val="14"/>
                <w:szCs w:val="14"/>
                <w:b w:val="1"/>
                <w:bCs w:val="1"/>
                <w:color w:val="auto"/>
              </w:rPr>
              <w:t>Senior notes - (i)</w:t>
            </w:r>
          </w:p>
        </w:tc>
        <w:tc>
          <w:tcPr>
            <w:tcW w:w="1220" w:type="dxa"/>
            <w:vAlign w:val="bottom"/>
            <w:shd w:val="clear" w:color="auto" w:fill="CCEEFF"/>
          </w:tcPr>
          <w:p>
            <w:pPr>
              <w:jc w:val="center"/>
              <w:spacing w:after="0" w:line="143" w:lineRule="exact"/>
              <w:rPr>
                <w:sz w:val="20"/>
                <w:szCs w:val="20"/>
                <w:color w:val="auto"/>
              </w:rPr>
            </w:pPr>
            <w:r>
              <w:rPr>
                <w:rFonts w:ascii="Arial" w:cs="Arial" w:eastAsia="Arial" w:hAnsi="Arial"/>
                <w:sz w:val="14"/>
                <w:szCs w:val="14"/>
                <w:color w:val="auto"/>
                <w:w w:val="87"/>
              </w:rPr>
              <w:t>5.38</w:t>
            </w:r>
          </w:p>
        </w:tc>
        <w:tc>
          <w:tcPr>
            <w:tcW w:w="12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center"/>
              <w:ind w:right="120"/>
              <w:spacing w:after="0" w:line="143" w:lineRule="exact"/>
              <w:rPr>
                <w:sz w:val="20"/>
                <w:szCs w:val="20"/>
                <w:color w:val="auto"/>
              </w:rPr>
            </w:pPr>
            <w:r>
              <w:rPr>
                <w:rFonts w:ascii="Arial" w:cs="Arial" w:eastAsia="Arial" w:hAnsi="Arial"/>
                <w:sz w:val="14"/>
                <w:szCs w:val="14"/>
                <w:color w:val="auto"/>
                <w:w w:val="89"/>
              </w:rPr>
              <w:t>Semi-annual</w:t>
            </w:r>
          </w:p>
        </w:tc>
        <w:tc>
          <w:tcPr>
            <w:tcW w:w="1260" w:type="dxa"/>
            <w:vAlign w:val="bottom"/>
            <w:gridSpan w:val="2"/>
            <w:shd w:val="clear" w:color="auto" w:fill="CCEEFF"/>
          </w:tcPr>
          <w:p>
            <w:pPr>
              <w:jc w:val="center"/>
              <w:ind w:right="120"/>
              <w:spacing w:after="0" w:line="143" w:lineRule="exact"/>
              <w:rPr>
                <w:sz w:val="20"/>
                <w:szCs w:val="20"/>
                <w:color w:val="auto"/>
              </w:rPr>
            </w:pPr>
            <w:r>
              <w:rPr>
                <w:rFonts w:ascii="Arial" w:cs="Arial" w:eastAsia="Arial" w:hAnsi="Arial"/>
                <w:sz w:val="14"/>
                <w:szCs w:val="14"/>
                <w:color w:val="auto"/>
                <w:w w:val="86"/>
              </w:rPr>
              <w:t>September 2020</w:t>
            </w:r>
          </w:p>
        </w:tc>
        <w:tc>
          <w:tcPr>
            <w:tcW w:w="1460" w:type="dxa"/>
            <w:vAlign w:val="bottom"/>
            <w:gridSpan w:val="2"/>
            <w:shd w:val="clear" w:color="auto" w:fill="CCEEFF"/>
          </w:tcPr>
          <w:p>
            <w:pPr>
              <w:ind w:left="560"/>
              <w:spacing w:after="0" w:line="143" w:lineRule="exact"/>
              <w:rPr>
                <w:sz w:val="20"/>
                <w:szCs w:val="20"/>
                <w:color w:val="auto"/>
              </w:rPr>
            </w:pPr>
            <w:r>
              <w:rPr>
                <w:rFonts w:ascii="Arial" w:cs="Arial" w:eastAsia="Arial" w:hAnsi="Arial"/>
                <w:sz w:val="14"/>
                <w:szCs w:val="14"/>
                <w:color w:val="auto"/>
              </w:rPr>
              <w:t>US$800,000</w:t>
            </w:r>
          </w:p>
        </w:tc>
        <w:tc>
          <w:tcPr>
            <w:tcW w:w="1440" w:type="dxa"/>
            <w:vAlign w:val="bottom"/>
            <w:gridSpan w:val="2"/>
            <w:shd w:val="clear" w:color="auto" w:fill="CCEEFF"/>
          </w:tcPr>
          <w:p>
            <w:pPr>
              <w:jc w:val="right"/>
              <w:ind w:right="200"/>
              <w:spacing w:after="0" w:line="143" w:lineRule="exact"/>
              <w:rPr>
                <w:sz w:val="20"/>
                <w:szCs w:val="20"/>
                <w:color w:val="auto"/>
              </w:rPr>
            </w:pPr>
            <w:r>
              <w:rPr>
                <w:rFonts w:ascii="Arial" w:cs="Arial" w:eastAsia="Arial" w:hAnsi="Arial"/>
                <w:sz w:val="14"/>
                <w:szCs w:val="14"/>
                <w:color w:val="auto"/>
              </w:rPr>
              <w:t>2,612,379</w:t>
            </w:r>
          </w:p>
        </w:tc>
        <w:tc>
          <w:tcPr>
            <w:tcW w:w="1260" w:type="dxa"/>
            <w:vAlign w:val="bottom"/>
            <w:gridSpan w:val="2"/>
            <w:shd w:val="clear" w:color="auto" w:fill="CCEEFF"/>
          </w:tcPr>
          <w:p>
            <w:pPr>
              <w:jc w:val="right"/>
              <w:ind w:right="20"/>
              <w:spacing w:after="0" w:line="143" w:lineRule="exact"/>
              <w:rPr>
                <w:sz w:val="20"/>
                <w:szCs w:val="20"/>
                <w:color w:val="auto"/>
              </w:rPr>
            </w:pPr>
            <w:r>
              <w:rPr>
                <w:rFonts w:ascii="Arial" w:cs="Arial" w:eastAsia="Arial" w:hAnsi="Arial"/>
                <w:sz w:val="14"/>
                <w:szCs w:val="14"/>
                <w:color w:val="auto"/>
              </w:rPr>
              <w:t>2,755,382</w:t>
            </w:r>
          </w:p>
        </w:tc>
        <w:tc>
          <w:tcPr>
            <w:tcW w:w="80" w:type="dxa"/>
            <w:vAlign w:val="bottom"/>
            <w:shd w:val="clear" w:color="auto" w:fill="CCEEFF"/>
          </w:tcPr>
          <w:p>
            <w:pPr>
              <w:spacing w:after="0"/>
              <w:rPr>
                <w:sz w:val="12"/>
                <w:szCs w:val="12"/>
                <w:color w:val="auto"/>
              </w:rPr>
            </w:pPr>
          </w:p>
        </w:tc>
      </w:tr>
      <w:tr>
        <w:trPr>
          <w:trHeight w:val="124"/>
        </w:trPr>
        <w:tc>
          <w:tcPr>
            <w:tcW w:w="3320" w:type="dxa"/>
            <w:vAlign w:val="bottom"/>
          </w:tcPr>
          <w:p>
            <w:pPr>
              <w:spacing w:after="0" w:line="125" w:lineRule="exact"/>
              <w:rPr>
                <w:sz w:val="20"/>
                <w:szCs w:val="20"/>
                <w:color w:val="auto"/>
              </w:rPr>
            </w:pPr>
            <w:r>
              <w:rPr>
                <w:rFonts w:ascii="Arial" w:cs="Arial" w:eastAsia="Arial" w:hAnsi="Arial"/>
                <w:sz w:val="14"/>
                <w:szCs w:val="14"/>
                <w:b w:val="1"/>
                <w:bCs w:val="1"/>
                <w:color w:val="auto"/>
              </w:rPr>
              <w:t>Senior notes - (i)(x)</w:t>
            </w:r>
          </w:p>
        </w:tc>
        <w:tc>
          <w:tcPr>
            <w:tcW w:w="1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60" w:type="dxa"/>
            <w:vAlign w:val="bottom"/>
            <w:gridSpan w:val="2"/>
          </w:tcPr>
          <w:p>
            <w:pPr>
              <w:jc w:val="center"/>
              <w:ind w:right="120"/>
              <w:spacing w:after="0" w:line="125" w:lineRule="exact"/>
              <w:rPr>
                <w:sz w:val="20"/>
                <w:szCs w:val="20"/>
                <w:color w:val="auto"/>
              </w:rPr>
            </w:pPr>
            <w:r>
              <w:rPr>
                <w:rFonts w:ascii="Arial" w:cs="Arial" w:eastAsia="Arial" w:hAnsi="Arial"/>
                <w:sz w:val="14"/>
                <w:szCs w:val="14"/>
                <w:color w:val="auto"/>
                <w:w w:val="86"/>
              </w:rPr>
              <w:t>Between January</w:t>
            </w:r>
          </w:p>
        </w:tc>
        <w:tc>
          <w:tcPr>
            <w:tcW w:w="1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r>
      <w:tr>
        <w:trPr>
          <w:trHeight w:val="143"/>
        </w:trPr>
        <w:tc>
          <w:tcPr>
            <w:tcW w:w="3320" w:type="dxa"/>
            <w:vAlign w:val="bottom"/>
          </w:tcPr>
          <w:p>
            <w:pPr>
              <w:spacing w:after="0"/>
              <w:rPr>
                <w:sz w:val="12"/>
                <w:szCs w:val="12"/>
                <w:color w:val="auto"/>
              </w:rPr>
            </w:pPr>
          </w:p>
        </w:tc>
        <w:tc>
          <w:tcPr>
            <w:tcW w:w="1340" w:type="dxa"/>
            <w:vAlign w:val="bottom"/>
            <w:gridSpan w:val="2"/>
          </w:tcPr>
          <w:p>
            <w:pPr>
              <w:jc w:val="center"/>
              <w:ind w:right="100"/>
              <w:spacing w:after="0" w:line="143" w:lineRule="exact"/>
              <w:rPr>
                <w:sz w:val="20"/>
                <w:szCs w:val="20"/>
                <w:color w:val="auto"/>
              </w:rPr>
            </w:pPr>
            <w:r>
              <w:rPr>
                <w:rFonts w:ascii="Arial" w:cs="Arial" w:eastAsia="Arial" w:hAnsi="Arial"/>
                <w:sz w:val="14"/>
                <w:szCs w:val="14"/>
                <w:color w:val="auto"/>
                <w:w w:val="88"/>
              </w:rPr>
              <w:t>Between 2.75 and</w:t>
            </w: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2"/>
          </w:tcPr>
          <w:p>
            <w:pPr>
              <w:jc w:val="center"/>
              <w:ind w:right="140"/>
              <w:spacing w:after="0" w:line="143" w:lineRule="exact"/>
              <w:rPr>
                <w:sz w:val="20"/>
                <w:szCs w:val="20"/>
                <w:color w:val="auto"/>
              </w:rPr>
            </w:pPr>
            <w:r>
              <w:rPr>
                <w:rFonts w:ascii="Arial" w:cs="Arial" w:eastAsia="Arial" w:hAnsi="Arial"/>
                <w:sz w:val="14"/>
                <w:szCs w:val="14"/>
                <w:color w:val="auto"/>
                <w:w w:val="92"/>
              </w:rPr>
              <w:t>2018 and April</w:t>
            </w:r>
          </w:p>
        </w:tc>
        <w:tc>
          <w:tcPr>
            <w:tcW w:w="1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61"/>
        </w:trPr>
        <w:tc>
          <w:tcPr>
            <w:tcW w:w="3320" w:type="dxa"/>
            <w:vAlign w:val="bottom"/>
          </w:tcPr>
          <w:p>
            <w:pPr>
              <w:spacing w:after="0"/>
              <w:rPr>
                <w:sz w:val="14"/>
                <w:szCs w:val="14"/>
                <w:color w:val="auto"/>
              </w:rPr>
            </w:pPr>
          </w:p>
        </w:tc>
        <w:tc>
          <w:tcPr>
            <w:tcW w:w="1220" w:type="dxa"/>
            <w:vAlign w:val="bottom"/>
          </w:tcPr>
          <w:p>
            <w:pPr>
              <w:jc w:val="center"/>
              <w:spacing w:after="0"/>
              <w:rPr>
                <w:sz w:val="20"/>
                <w:szCs w:val="20"/>
                <w:color w:val="auto"/>
              </w:rPr>
            </w:pPr>
            <w:r>
              <w:rPr>
                <w:rFonts w:ascii="Arial" w:cs="Arial" w:eastAsia="Arial" w:hAnsi="Arial"/>
                <w:sz w:val="14"/>
                <w:szCs w:val="14"/>
                <w:color w:val="auto"/>
                <w:w w:val="87"/>
              </w:rPr>
              <w:t>4.25</w:t>
            </w:r>
          </w:p>
        </w:tc>
        <w:tc>
          <w:tcPr>
            <w:tcW w:w="120" w:type="dxa"/>
            <w:vAlign w:val="bottom"/>
          </w:tcPr>
          <w:p>
            <w:pPr>
              <w:spacing w:after="0"/>
              <w:rPr>
                <w:sz w:val="14"/>
                <w:szCs w:val="14"/>
                <w:color w:val="auto"/>
              </w:rPr>
            </w:pPr>
          </w:p>
        </w:tc>
        <w:tc>
          <w:tcPr>
            <w:tcW w:w="1260" w:type="dxa"/>
            <w:vAlign w:val="bottom"/>
            <w:gridSpan w:val="2"/>
          </w:tcPr>
          <w:p>
            <w:pPr>
              <w:jc w:val="center"/>
              <w:ind w:right="120"/>
              <w:spacing w:after="0"/>
              <w:rPr>
                <w:sz w:val="20"/>
                <w:szCs w:val="20"/>
                <w:color w:val="auto"/>
              </w:rPr>
            </w:pPr>
            <w:r>
              <w:rPr>
                <w:rFonts w:ascii="Arial" w:cs="Arial" w:eastAsia="Arial" w:hAnsi="Arial"/>
                <w:sz w:val="14"/>
                <w:szCs w:val="14"/>
                <w:color w:val="auto"/>
                <w:w w:val="89"/>
              </w:rPr>
              <w:t>Semi-annual</w:t>
            </w:r>
          </w:p>
        </w:tc>
        <w:tc>
          <w:tcPr>
            <w:tcW w:w="1140" w:type="dxa"/>
            <w:vAlign w:val="bottom"/>
          </w:tcPr>
          <w:p>
            <w:pPr>
              <w:jc w:val="center"/>
              <w:spacing w:after="0"/>
              <w:rPr>
                <w:sz w:val="20"/>
                <w:szCs w:val="20"/>
                <w:color w:val="auto"/>
              </w:rPr>
            </w:pPr>
            <w:r>
              <w:rPr>
                <w:rFonts w:ascii="Arial" w:cs="Arial" w:eastAsia="Arial" w:hAnsi="Arial"/>
                <w:sz w:val="14"/>
                <w:szCs w:val="14"/>
                <w:color w:val="auto"/>
                <w:w w:val="89"/>
              </w:rPr>
              <w:t>2023</w:t>
            </w:r>
          </w:p>
        </w:tc>
        <w:tc>
          <w:tcPr>
            <w:tcW w:w="120" w:type="dxa"/>
            <w:vAlign w:val="bottom"/>
          </w:tcPr>
          <w:p>
            <w:pPr>
              <w:spacing w:after="0"/>
              <w:rPr>
                <w:sz w:val="14"/>
                <w:szCs w:val="14"/>
                <w:color w:val="auto"/>
              </w:rPr>
            </w:pPr>
          </w:p>
        </w:tc>
        <w:tc>
          <w:tcPr>
            <w:tcW w:w="1460" w:type="dxa"/>
            <w:vAlign w:val="bottom"/>
            <w:gridSpan w:val="2"/>
          </w:tcPr>
          <w:p>
            <w:pPr>
              <w:ind w:left="560"/>
              <w:spacing w:after="0"/>
              <w:rPr>
                <w:sz w:val="20"/>
                <w:szCs w:val="20"/>
                <w:color w:val="auto"/>
              </w:rPr>
            </w:pPr>
            <w:r>
              <w:rPr>
                <w:rFonts w:ascii="Arial" w:cs="Arial" w:eastAsia="Arial" w:hAnsi="Arial"/>
                <w:sz w:val="14"/>
                <w:szCs w:val="14"/>
                <w:color w:val="auto"/>
              </w:rPr>
              <w:t>US$596,455</w:t>
            </w:r>
          </w:p>
        </w:tc>
        <w:tc>
          <w:tcPr>
            <w:tcW w:w="1440" w:type="dxa"/>
            <w:vAlign w:val="bottom"/>
            <w:gridSpan w:val="2"/>
          </w:tcPr>
          <w:p>
            <w:pPr>
              <w:jc w:val="right"/>
              <w:ind w:right="200"/>
              <w:spacing w:after="0"/>
              <w:rPr>
                <w:sz w:val="20"/>
                <w:szCs w:val="20"/>
                <w:color w:val="auto"/>
              </w:rPr>
            </w:pPr>
            <w:r>
              <w:rPr>
                <w:rFonts w:ascii="Arial" w:cs="Arial" w:eastAsia="Arial" w:hAnsi="Arial"/>
                <w:sz w:val="14"/>
                <w:szCs w:val="14"/>
                <w:color w:val="auto"/>
              </w:rPr>
              <w:t>1,948,082</w:t>
            </w:r>
          </w:p>
        </w:tc>
        <w:tc>
          <w:tcPr>
            <w:tcW w:w="1260" w:type="dxa"/>
            <w:vAlign w:val="bottom"/>
            <w:gridSpan w:val="2"/>
          </w:tcPr>
          <w:p>
            <w:pPr>
              <w:jc w:val="right"/>
              <w:ind w:right="20"/>
              <w:spacing w:after="0"/>
              <w:rPr>
                <w:sz w:val="20"/>
                <w:szCs w:val="20"/>
                <w:color w:val="auto"/>
              </w:rPr>
            </w:pPr>
            <w:r>
              <w:rPr>
                <w:rFonts w:ascii="Arial" w:cs="Arial" w:eastAsia="Arial" w:hAnsi="Arial"/>
                <w:sz w:val="14"/>
                <w:szCs w:val="14"/>
                <w:color w:val="auto"/>
              </w:rPr>
              <w:t>2,082,913</w:t>
            </w:r>
          </w:p>
        </w:tc>
        <w:tc>
          <w:tcPr>
            <w:tcW w:w="80" w:type="dxa"/>
            <w:vAlign w:val="bottom"/>
          </w:tcPr>
          <w:p>
            <w:pPr>
              <w:spacing w:after="0"/>
              <w:rPr>
                <w:sz w:val="14"/>
                <w:szCs w:val="14"/>
                <w:color w:val="auto"/>
              </w:rPr>
            </w:pPr>
          </w:p>
        </w:tc>
      </w:tr>
      <w:tr>
        <w:trPr>
          <w:trHeight w:val="143"/>
        </w:trPr>
        <w:tc>
          <w:tcPr>
            <w:tcW w:w="3320" w:type="dxa"/>
            <w:vAlign w:val="bottom"/>
            <w:shd w:val="clear" w:color="auto" w:fill="CCEEFF"/>
          </w:tcPr>
          <w:p>
            <w:pPr>
              <w:spacing w:after="0" w:line="143" w:lineRule="exact"/>
              <w:rPr>
                <w:sz w:val="20"/>
                <w:szCs w:val="20"/>
                <w:color w:val="auto"/>
              </w:rPr>
            </w:pPr>
            <w:r>
              <w:rPr>
                <w:rFonts w:ascii="Arial" w:cs="Arial" w:eastAsia="Arial" w:hAnsi="Arial"/>
                <w:sz w:val="14"/>
                <w:szCs w:val="14"/>
                <w:b w:val="1"/>
                <w:bCs w:val="1"/>
                <w:color w:val="auto"/>
              </w:rPr>
              <w:t>Senior notes - (ii)</w:t>
            </w:r>
          </w:p>
        </w:tc>
        <w:tc>
          <w:tcPr>
            <w:tcW w:w="1220" w:type="dxa"/>
            <w:vAlign w:val="bottom"/>
            <w:shd w:val="clear" w:color="auto" w:fill="CCEEFF"/>
          </w:tcPr>
          <w:p>
            <w:pPr>
              <w:jc w:val="center"/>
              <w:spacing w:after="0" w:line="143" w:lineRule="exact"/>
              <w:rPr>
                <w:sz w:val="20"/>
                <w:szCs w:val="20"/>
                <w:color w:val="auto"/>
              </w:rPr>
            </w:pPr>
            <w:r>
              <w:rPr>
                <w:rFonts w:ascii="Arial" w:cs="Arial" w:eastAsia="Arial" w:hAnsi="Arial"/>
                <w:sz w:val="14"/>
                <w:szCs w:val="14"/>
                <w:color w:val="auto"/>
                <w:w w:val="87"/>
              </w:rPr>
              <w:t>4.25</w:t>
            </w:r>
          </w:p>
        </w:tc>
        <w:tc>
          <w:tcPr>
            <w:tcW w:w="12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center"/>
              <w:ind w:right="120"/>
              <w:spacing w:after="0" w:line="143" w:lineRule="exact"/>
              <w:rPr>
                <w:sz w:val="20"/>
                <w:szCs w:val="20"/>
                <w:color w:val="auto"/>
              </w:rPr>
            </w:pPr>
            <w:r>
              <w:rPr>
                <w:rFonts w:ascii="Arial" w:cs="Arial" w:eastAsia="Arial" w:hAnsi="Arial"/>
                <w:sz w:val="14"/>
                <w:szCs w:val="14"/>
                <w:color w:val="auto"/>
                <w:w w:val="89"/>
              </w:rPr>
              <w:t>Semi-annual</w:t>
            </w:r>
          </w:p>
        </w:tc>
        <w:tc>
          <w:tcPr>
            <w:tcW w:w="1260" w:type="dxa"/>
            <w:vAlign w:val="bottom"/>
            <w:gridSpan w:val="2"/>
            <w:shd w:val="clear" w:color="auto" w:fill="CCEEFF"/>
          </w:tcPr>
          <w:p>
            <w:pPr>
              <w:jc w:val="center"/>
              <w:ind w:right="140"/>
              <w:spacing w:after="0" w:line="143" w:lineRule="exact"/>
              <w:rPr>
                <w:sz w:val="20"/>
                <w:szCs w:val="20"/>
                <w:color w:val="auto"/>
              </w:rPr>
            </w:pPr>
            <w:r>
              <w:rPr>
                <w:rFonts w:ascii="Arial" w:cs="Arial" w:eastAsia="Arial" w:hAnsi="Arial"/>
                <w:sz w:val="14"/>
                <w:szCs w:val="14"/>
                <w:color w:val="auto"/>
                <w:w w:val="95"/>
              </w:rPr>
              <w:t>April 2023</w:t>
            </w:r>
          </w:p>
        </w:tc>
        <w:tc>
          <w:tcPr>
            <w:tcW w:w="1460" w:type="dxa"/>
            <w:vAlign w:val="bottom"/>
            <w:gridSpan w:val="2"/>
            <w:shd w:val="clear" w:color="auto" w:fill="CCEEFF"/>
          </w:tcPr>
          <w:p>
            <w:pPr>
              <w:ind w:left="560"/>
              <w:spacing w:after="0" w:line="143" w:lineRule="exact"/>
              <w:rPr>
                <w:sz w:val="20"/>
                <w:szCs w:val="20"/>
                <w:color w:val="auto"/>
              </w:rPr>
            </w:pPr>
            <w:r>
              <w:rPr>
                <w:rFonts w:ascii="Arial" w:cs="Arial" w:eastAsia="Arial" w:hAnsi="Arial"/>
                <w:sz w:val="14"/>
                <w:szCs w:val="14"/>
                <w:color w:val="auto"/>
              </w:rPr>
              <w:t>US$350,000</w:t>
            </w:r>
          </w:p>
        </w:tc>
        <w:tc>
          <w:tcPr>
            <w:tcW w:w="1440" w:type="dxa"/>
            <w:vAlign w:val="bottom"/>
            <w:gridSpan w:val="2"/>
            <w:shd w:val="clear" w:color="auto" w:fill="CCEEFF"/>
          </w:tcPr>
          <w:p>
            <w:pPr>
              <w:jc w:val="right"/>
              <w:ind w:right="200"/>
              <w:spacing w:after="0" w:line="143" w:lineRule="exact"/>
              <w:rPr>
                <w:sz w:val="20"/>
                <w:szCs w:val="20"/>
                <w:color w:val="auto"/>
              </w:rPr>
            </w:pPr>
            <w:r>
              <w:rPr>
                <w:rFonts w:ascii="Arial" w:cs="Arial" w:eastAsia="Arial" w:hAnsi="Arial"/>
                <w:sz w:val="14"/>
                <w:szCs w:val="14"/>
                <w:color w:val="auto"/>
              </w:rPr>
              <w:t>1,066,904</w:t>
            </w:r>
          </w:p>
        </w:tc>
        <w:tc>
          <w:tcPr>
            <w:tcW w:w="1260" w:type="dxa"/>
            <w:vAlign w:val="bottom"/>
            <w:gridSpan w:val="2"/>
            <w:shd w:val="clear" w:color="auto" w:fill="CCEEFF"/>
          </w:tcPr>
          <w:p>
            <w:pPr>
              <w:jc w:val="right"/>
              <w:ind w:right="20"/>
              <w:spacing w:after="0" w:line="143" w:lineRule="exact"/>
              <w:rPr>
                <w:sz w:val="20"/>
                <w:szCs w:val="20"/>
                <w:color w:val="auto"/>
              </w:rPr>
            </w:pPr>
            <w:r>
              <w:rPr>
                <w:rFonts w:ascii="Arial" w:cs="Arial" w:eastAsia="Arial" w:hAnsi="Arial"/>
                <w:sz w:val="14"/>
                <w:szCs w:val="14"/>
                <w:color w:val="auto"/>
              </w:rPr>
              <w:t>1,086,997</w:t>
            </w:r>
          </w:p>
        </w:tc>
        <w:tc>
          <w:tcPr>
            <w:tcW w:w="80" w:type="dxa"/>
            <w:vAlign w:val="bottom"/>
            <w:shd w:val="clear" w:color="auto" w:fill="CCEEFF"/>
          </w:tcPr>
          <w:p>
            <w:pPr>
              <w:spacing w:after="0"/>
              <w:rPr>
                <w:sz w:val="12"/>
                <w:szCs w:val="12"/>
                <w:color w:val="auto"/>
              </w:rPr>
            </w:pPr>
          </w:p>
        </w:tc>
      </w:tr>
      <w:tr>
        <w:trPr>
          <w:trHeight w:val="143"/>
        </w:trPr>
        <w:tc>
          <w:tcPr>
            <w:tcW w:w="3320" w:type="dxa"/>
            <w:vAlign w:val="bottom"/>
          </w:tcPr>
          <w:p>
            <w:pPr>
              <w:spacing w:after="0" w:line="143" w:lineRule="exact"/>
              <w:rPr>
                <w:sz w:val="20"/>
                <w:szCs w:val="20"/>
                <w:color w:val="auto"/>
              </w:rPr>
            </w:pPr>
            <w:r>
              <w:rPr>
                <w:rFonts w:ascii="Arial" w:cs="Arial" w:eastAsia="Arial" w:hAnsi="Arial"/>
                <w:sz w:val="14"/>
                <w:szCs w:val="14"/>
                <w:b w:val="1"/>
                <w:bCs w:val="1"/>
                <w:color w:val="auto"/>
              </w:rPr>
              <w:t>Senior notes - (xi)</w:t>
            </w:r>
          </w:p>
        </w:tc>
        <w:tc>
          <w:tcPr>
            <w:tcW w:w="1220" w:type="dxa"/>
            <w:vAlign w:val="bottom"/>
          </w:tcPr>
          <w:p>
            <w:pPr>
              <w:jc w:val="center"/>
              <w:spacing w:after="0" w:line="143" w:lineRule="exact"/>
              <w:rPr>
                <w:sz w:val="20"/>
                <w:szCs w:val="20"/>
                <w:color w:val="auto"/>
              </w:rPr>
            </w:pPr>
            <w:r>
              <w:rPr>
                <w:rFonts w:ascii="Arial" w:cs="Arial" w:eastAsia="Arial" w:hAnsi="Arial"/>
                <w:sz w:val="14"/>
                <w:szCs w:val="14"/>
                <w:color w:val="auto"/>
                <w:w w:val="87"/>
              </w:rPr>
              <w:t>2.25</w:t>
            </w:r>
          </w:p>
        </w:tc>
        <w:tc>
          <w:tcPr>
            <w:tcW w:w="120" w:type="dxa"/>
            <w:vAlign w:val="bottom"/>
          </w:tcPr>
          <w:p>
            <w:pPr>
              <w:spacing w:after="0"/>
              <w:rPr>
                <w:sz w:val="12"/>
                <w:szCs w:val="12"/>
                <w:color w:val="auto"/>
              </w:rPr>
            </w:pPr>
          </w:p>
        </w:tc>
        <w:tc>
          <w:tcPr>
            <w:tcW w:w="1260" w:type="dxa"/>
            <w:vAlign w:val="bottom"/>
            <w:gridSpan w:val="2"/>
          </w:tcPr>
          <w:p>
            <w:pPr>
              <w:jc w:val="center"/>
              <w:ind w:right="120"/>
              <w:spacing w:after="0" w:line="143" w:lineRule="exact"/>
              <w:rPr>
                <w:sz w:val="20"/>
                <w:szCs w:val="20"/>
                <w:color w:val="auto"/>
              </w:rPr>
            </w:pPr>
            <w:r>
              <w:rPr>
                <w:rFonts w:ascii="Arial" w:cs="Arial" w:eastAsia="Arial" w:hAnsi="Arial"/>
                <w:sz w:val="14"/>
                <w:szCs w:val="14"/>
                <w:color w:val="auto"/>
                <w:w w:val="89"/>
              </w:rPr>
              <w:t>Semi-annual</w:t>
            </w:r>
          </w:p>
        </w:tc>
        <w:tc>
          <w:tcPr>
            <w:tcW w:w="1260" w:type="dxa"/>
            <w:vAlign w:val="bottom"/>
            <w:gridSpan w:val="2"/>
          </w:tcPr>
          <w:p>
            <w:pPr>
              <w:jc w:val="center"/>
              <w:ind w:right="140"/>
              <w:spacing w:after="0" w:line="143" w:lineRule="exact"/>
              <w:rPr>
                <w:sz w:val="20"/>
                <w:szCs w:val="20"/>
                <w:color w:val="auto"/>
              </w:rPr>
            </w:pPr>
            <w:r>
              <w:rPr>
                <w:rFonts w:ascii="Arial" w:cs="Arial" w:eastAsia="Arial" w:hAnsi="Arial"/>
                <w:sz w:val="14"/>
                <w:szCs w:val="14"/>
                <w:color w:val="auto"/>
                <w:w w:val="89"/>
              </w:rPr>
              <w:t>October 2019</w:t>
            </w:r>
          </w:p>
        </w:tc>
        <w:tc>
          <w:tcPr>
            <w:tcW w:w="1460" w:type="dxa"/>
            <w:vAlign w:val="bottom"/>
            <w:gridSpan w:val="2"/>
          </w:tcPr>
          <w:p>
            <w:pPr>
              <w:ind w:left="560"/>
              <w:spacing w:after="0" w:line="143" w:lineRule="exact"/>
              <w:rPr>
                <w:sz w:val="20"/>
                <w:szCs w:val="20"/>
                <w:color w:val="auto"/>
              </w:rPr>
            </w:pPr>
            <w:r>
              <w:rPr>
                <w:rFonts w:ascii="Arial" w:cs="Arial" w:eastAsia="Arial" w:hAnsi="Arial"/>
                <w:sz w:val="14"/>
                <w:szCs w:val="14"/>
                <w:color w:val="auto"/>
              </w:rPr>
              <w:t>US$300,000</w:t>
            </w:r>
          </w:p>
        </w:tc>
        <w:tc>
          <w:tcPr>
            <w:tcW w:w="1440" w:type="dxa"/>
            <w:vAlign w:val="bottom"/>
            <w:gridSpan w:val="2"/>
          </w:tcPr>
          <w:p>
            <w:pPr>
              <w:jc w:val="right"/>
              <w:ind w:right="200"/>
              <w:spacing w:after="0" w:line="143" w:lineRule="exact"/>
              <w:rPr>
                <w:sz w:val="20"/>
                <w:szCs w:val="20"/>
                <w:color w:val="auto"/>
              </w:rPr>
            </w:pPr>
            <w:r>
              <w:rPr>
                <w:rFonts w:ascii="Arial" w:cs="Arial" w:eastAsia="Arial" w:hAnsi="Arial"/>
                <w:sz w:val="14"/>
                <w:szCs w:val="14"/>
                <w:color w:val="auto"/>
              </w:rPr>
              <w:t>954,131</w:t>
            </w:r>
          </w:p>
        </w:tc>
        <w:tc>
          <w:tcPr>
            <w:tcW w:w="1260" w:type="dxa"/>
            <w:vAlign w:val="bottom"/>
            <w:gridSpan w:val="2"/>
          </w:tcPr>
          <w:p>
            <w:pPr>
              <w:jc w:val="right"/>
              <w:ind w:right="20"/>
              <w:spacing w:after="0" w:line="143" w:lineRule="exact"/>
              <w:rPr>
                <w:sz w:val="20"/>
                <w:szCs w:val="20"/>
                <w:color w:val="auto"/>
              </w:rPr>
            </w:pPr>
            <w:r>
              <w:rPr>
                <w:rFonts w:ascii="Arial" w:cs="Arial" w:eastAsia="Arial" w:hAnsi="Arial"/>
                <w:sz w:val="14"/>
                <w:szCs w:val="14"/>
                <w:color w:val="auto"/>
              </w:rPr>
              <w:t>1,005,955</w:t>
            </w:r>
          </w:p>
        </w:tc>
        <w:tc>
          <w:tcPr>
            <w:tcW w:w="80" w:type="dxa"/>
            <w:vAlign w:val="bottom"/>
          </w:tcPr>
          <w:p>
            <w:pPr>
              <w:spacing w:after="0"/>
              <w:rPr>
                <w:sz w:val="12"/>
                <w:szCs w:val="12"/>
                <w:color w:val="auto"/>
              </w:rPr>
            </w:pPr>
          </w:p>
        </w:tc>
      </w:tr>
      <w:tr>
        <w:trPr>
          <w:trHeight w:val="143"/>
        </w:trPr>
        <w:tc>
          <w:tcPr>
            <w:tcW w:w="3320" w:type="dxa"/>
            <w:vAlign w:val="bottom"/>
            <w:shd w:val="clear" w:color="auto" w:fill="CCEEFF"/>
          </w:tcPr>
          <w:p>
            <w:pPr>
              <w:spacing w:after="0" w:line="143" w:lineRule="exact"/>
              <w:rPr>
                <w:sz w:val="20"/>
                <w:szCs w:val="20"/>
                <w:color w:val="auto"/>
              </w:rPr>
            </w:pPr>
            <w:r>
              <w:rPr>
                <w:rFonts w:ascii="Arial" w:cs="Arial" w:eastAsia="Arial" w:hAnsi="Arial"/>
                <w:sz w:val="14"/>
                <w:szCs w:val="14"/>
                <w:b w:val="1"/>
                <w:bCs w:val="1"/>
                <w:color w:val="auto"/>
              </w:rPr>
              <w:t>Senior notes</w:t>
            </w:r>
          </w:p>
        </w:tc>
        <w:tc>
          <w:tcPr>
            <w:tcW w:w="1220" w:type="dxa"/>
            <w:vAlign w:val="bottom"/>
            <w:shd w:val="clear" w:color="auto" w:fill="CCEEFF"/>
          </w:tcPr>
          <w:p>
            <w:pPr>
              <w:jc w:val="center"/>
              <w:spacing w:after="0" w:line="143" w:lineRule="exact"/>
              <w:rPr>
                <w:sz w:val="20"/>
                <w:szCs w:val="20"/>
                <w:color w:val="auto"/>
              </w:rPr>
            </w:pPr>
            <w:r>
              <w:rPr>
                <w:rFonts w:ascii="Arial" w:cs="Arial" w:eastAsia="Arial" w:hAnsi="Arial"/>
                <w:sz w:val="14"/>
                <w:szCs w:val="14"/>
                <w:color w:val="auto"/>
                <w:w w:val="87"/>
              </w:rPr>
              <w:t>4.85</w:t>
            </w:r>
          </w:p>
        </w:tc>
        <w:tc>
          <w:tcPr>
            <w:tcW w:w="12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center"/>
              <w:ind w:right="120"/>
              <w:spacing w:after="0" w:line="143" w:lineRule="exact"/>
              <w:rPr>
                <w:sz w:val="20"/>
                <w:szCs w:val="20"/>
                <w:color w:val="auto"/>
              </w:rPr>
            </w:pPr>
            <w:r>
              <w:rPr>
                <w:rFonts w:ascii="Arial" w:cs="Arial" w:eastAsia="Arial" w:hAnsi="Arial"/>
                <w:sz w:val="14"/>
                <w:szCs w:val="14"/>
                <w:color w:val="auto"/>
                <w:w w:val="89"/>
              </w:rPr>
              <w:t>Semi-annual</w:t>
            </w:r>
          </w:p>
        </w:tc>
        <w:tc>
          <w:tcPr>
            <w:tcW w:w="1260" w:type="dxa"/>
            <w:vAlign w:val="bottom"/>
            <w:gridSpan w:val="2"/>
            <w:shd w:val="clear" w:color="auto" w:fill="CCEEFF"/>
          </w:tcPr>
          <w:p>
            <w:pPr>
              <w:jc w:val="center"/>
              <w:ind w:right="140"/>
              <w:spacing w:after="0" w:line="143" w:lineRule="exact"/>
              <w:rPr>
                <w:sz w:val="20"/>
                <w:szCs w:val="20"/>
                <w:color w:val="auto"/>
              </w:rPr>
            </w:pPr>
            <w:r>
              <w:rPr>
                <w:rFonts w:ascii="Arial" w:cs="Arial" w:eastAsia="Arial" w:hAnsi="Arial"/>
                <w:sz w:val="14"/>
                <w:szCs w:val="14"/>
                <w:color w:val="auto"/>
                <w:w w:val="89"/>
              </w:rPr>
              <w:t>October 2020</w:t>
            </w:r>
          </w:p>
        </w:tc>
        <w:tc>
          <w:tcPr>
            <w:tcW w:w="1460" w:type="dxa"/>
            <w:vAlign w:val="bottom"/>
            <w:gridSpan w:val="2"/>
            <w:shd w:val="clear" w:color="auto" w:fill="CCEEFF"/>
          </w:tcPr>
          <w:p>
            <w:pPr>
              <w:jc w:val="right"/>
              <w:ind w:right="200"/>
              <w:spacing w:after="0" w:line="143" w:lineRule="exact"/>
              <w:rPr>
                <w:sz w:val="20"/>
                <w:szCs w:val="20"/>
                <w:color w:val="auto"/>
              </w:rPr>
            </w:pPr>
            <w:r>
              <w:rPr>
                <w:rFonts w:ascii="Arial" w:cs="Arial" w:eastAsia="Arial" w:hAnsi="Arial"/>
                <w:sz w:val="14"/>
                <w:szCs w:val="14"/>
                <w:color w:val="auto"/>
              </w:rPr>
              <w:t>S/2,000,000</w:t>
            </w:r>
          </w:p>
        </w:tc>
        <w:tc>
          <w:tcPr>
            <w:tcW w:w="1440" w:type="dxa"/>
            <w:vAlign w:val="bottom"/>
            <w:gridSpan w:val="2"/>
            <w:shd w:val="clear" w:color="auto" w:fill="CCEEFF"/>
          </w:tcPr>
          <w:p>
            <w:pPr>
              <w:jc w:val="right"/>
              <w:ind w:right="200"/>
              <w:spacing w:after="0" w:line="143" w:lineRule="exact"/>
              <w:rPr>
                <w:sz w:val="20"/>
                <w:szCs w:val="20"/>
                <w:color w:val="auto"/>
              </w:rPr>
            </w:pPr>
            <w:r>
              <w:rPr>
                <w:rFonts w:ascii="Arial" w:cs="Arial" w:eastAsia="Arial" w:hAnsi="Arial"/>
                <w:sz w:val="14"/>
                <w:szCs w:val="14"/>
                <w:color w:val="auto"/>
              </w:rPr>
              <w:t>1,958,571</w:t>
            </w:r>
          </w:p>
        </w:tc>
        <w:tc>
          <w:tcPr>
            <w:tcW w:w="1260" w:type="dxa"/>
            <w:vAlign w:val="bottom"/>
            <w:gridSpan w:val="2"/>
            <w:shd w:val="clear" w:color="auto" w:fill="CCEEFF"/>
          </w:tcPr>
          <w:p>
            <w:pPr>
              <w:jc w:val="right"/>
              <w:ind w:right="20"/>
              <w:spacing w:after="0" w:line="143"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r>
      <w:tr>
        <w:trPr>
          <w:trHeight w:val="143"/>
        </w:trPr>
        <w:tc>
          <w:tcPr>
            <w:tcW w:w="33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43"/>
        </w:trPr>
        <w:tc>
          <w:tcPr>
            <w:tcW w:w="3320" w:type="dxa"/>
            <w:vAlign w:val="bottom"/>
            <w:shd w:val="clear" w:color="auto" w:fill="CCEEFF"/>
          </w:tcPr>
          <w:p>
            <w:pPr>
              <w:spacing w:after="0" w:line="143" w:lineRule="exact"/>
              <w:rPr>
                <w:sz w:val="20"/>
                <w:szCs w:val="20"/>
                <w:color w:val="auto"/>
              </w:rPr>
            </w:pPr>
            <w:r>
              <w:rPr>
                <w:rFonts w:ascii="Arial" w:cs="Arial" w:eastAsia="Arial" w:hAnsi="Arial"/>
                <w:sz w:val="14"/>
                <w:szCs w:val="14"/>
                <w:b w:val="1"/>
                <w:bCs w:val="1"/>
                <w:color w:val="auto"/>
              </w:rPr>
              <w:t>CCR Inc. MMT 100 - Secured Notes - (iii)</w:t>
            </w:r>
          </w:p>
        </w:tc>
        <w:tc>
          <w:tcPr>
            <w:tcW w:w="1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143"/>
        </w:trPr>
        <w:tc>
          <w:tcPr>
            <w:tcW w:w="3320" w:type="dxa"/>
            <w:vAlign w:val="bottom"/>
          </w:tcPr>
          <w:p>
            <w:pPr>
              <w:spacing w:after="0" w:line="143" w:lineRule="exact"/>
              <w:rPr>
                <w:sz w:val="20"/>
                <w:szCs w:val="20"/>
                <w:color w:val="auto"/>
              </w:rPr>
            </w:pPr>
            <w:r>
              <w:rPr>
                <w:rFonts w:ascii="Arial" w:cs="Arial" w:eastAsia="Arial" w:hAnsi="Arial"/>
                <w:sz w:val="14"/>
                <w:szCs w:val="14"/>
                <w:color w:val="auto"/>
              </w:rPr>
              <w:t>2010 Series C Floating rate certificates</w:t>
            </w:r>
          </w:p>
        </w:tc>
        <w:tc>
          <w:tcPr>
            <w:tcW w:w="1340" w:type="dxa"/>
            <w:vAlign w:val="bottom"/>
            <w:gridSpan w:val="2"/>
          </w:tcPr>
          <w:p>
            <w:pPr>
              <w:jc w:val="center"/>
              <w:ind w:right="120"/>
              <w:spacing w:after="0" w:line="143" w:lineRule="exact"/>
              <w:rPr>
                <w:sz w:val="20"/>
                <w:szCs w:val="20"/>
                <w:color w:val="auto"/>
              </w:rPr>
            </w:pPr>
            <w:r>
              <w:rPr>
                <w:rFonts w:ascii="Arial" w:cs="Arial" w:eastAsia="Arial" w:hAnsi="Arial"/>
                <w:sz w:val="14"/>
                <w:szCs w:val="14"/>
                <w:color w:val="auto"/>
                <w:w w:val="93"/>
              </w:rPr>
              <w:t>Libor 1M + 44.5 bp</w:t>
            </w:r>
          </w:p>
        </w:tc>
        <w:tc>
          <w:tcPr>
            <w:tcW w:w="1260" w:type="dxa"/>
            <w:vAlign w:val="bottom"/>
            <w:gridSpan w:val="2"/>
          </w:tcPr>
          <w:p>
            <w:pPr>
              <w:jc w:val="center"/>
              <w:ind w:right="140"/>
              <w:spacing w:after="0" w:line="143" w:lineRule="exact"/>
              <w:rPr>
                <w:sz w:val="20"/>
                <w:szCs w:val="20"/>
                <w:color w:val="auto"/>
              </w:rPr>
            </w:pPr>
            <w:r>
              <w:rPr>
                <w:rFonts w:ascii="Arial" w:cs="Arial" w:eastAsia="Arial" w:hAnsi="Arial"/>
                <w:sz w:val="14"/>
                <w:szCs w:val="14"/>
                <w:color w:val="auto"/>
                <w:w w:val="97"/>
              </w:rPr>
              <w:t>Monthly</w:t>
            </w:r>
          </w:p>
        </w:tc>
        <w:tc>
          <w:tcPr>
            <w:tcW w:w="1260" w:type="dxa"/>
            <w:vAlign w:val="bottom"/>
            <w:gridSpan w:val="2"/>
          </w:tcPr>
          <w:p>
            <w:pPr>
              <w:jc w:val="center"/>
              <w:ind w:right="120"/>
              <w:spacing w:after="0" w:line="143" w:lineRule="exact"/>
              <w:rPr>
                <w:sz w:val="20"/>
                <w:szCs w:val="20"/>
                <w:color w:val="auto"/>
              </w:rPr>
            </w:pPr>
            <w:r>
              <w:rPr>
                <w:rFonts w:ascii="Arial" w:cs="Arial" w:eastAsia="Arial" w:hAnsi="Arial"/>
                <w:sz w:val="14"/>
                <w:szCs w:val="14"/>
                <w:color w:val="auto"/>
                <w:w w:val="90"/>
              </w:rPr>
              <w:t>July 2017</w:t>
            </w:r>
          </w:p>
        </w:tc>
        <w:tc>
          <w:tcPr>
            <w:tcW w:w="1460" w:type="dxa"/>
            <w:vAlign w:val="bottom"/>
            <w:gridSpan w:val="2"/>
          </w:tcPr>
          <w:p>
            <w:pPr>
              <w:ind w:left="560"/>
              <w:spacing w:after="0" w:line="143" w:lineRule="exact"/>
              <w:rPr>
                <w:sz w:val="20"/>
                <w:szCs w:val="20"/>
                <w:color w:val="auto"/>
              </w:rPr>
            </w:pPr>
            <w:r>
              <w:rPr>
                <w:rFonts w:ascii="Arial" w:cs="Arial" w:eastAsia="Arial" w:hAnsi="Arial"/>
                <w:sz w:val="14"/>
                <w:szCs w:val="14"/>
                <w:color w:val="auto"/>
              </w:rPr>
              <w:t>US$350,000</w:t>
            </w:r>
          </w:p>
        </w:tc>
        <w:tc>
          <w:tcPr>
            <w:tcW w:w="1440" w:type="dxa"/>
            <w:vAlign w:val="bottom"/>
            <w:gridSpan w:val="2"/>
          </w:tcPr>
          <w:p>
            <w:pPr>
              <w:jc w:val="right"/>
              <w:ind w:right="200"/>
              <w:spacing w:after="0" w:line="143" w:lineRule="exact"/>
              <w:rPr>
                <w:sz w:val="20"/>
                <w:szCs w:val="20"/>
                <w:color w:val="auto"/>
              </w:rPr>
            </w:pPr>
            <w:r>
              <w:rPr>
                <w:rFonts w:ascii="Arial" w:cs="Arial" w:eastAsia="Arial" w:hAnsi="Arial"/>
                <w:sz w:val="14"/>
                <w:szCs w:val="14"/>
                <w:color w:val="auto"/>
              </w:rPr>
              <w:t>-</w:t>
            </w:r>
          </w:p>
        </w:tc>
        <w:tc>
          <w:tcPr>
            <w:tcW w:w="1260" w:type="dxa"/>
            <w:vAlign w:val="bottom"/>
            <w:gridSpan w:val="2"/>
          </w:tcPr>
          <w:p>
            <w:pPr>
              <w:jc w:val="right"/>
              <w:ind w:right="20"/>
              <w:spacing w:after="0" w:line="143" w:lineRule="exact"/>
              <w:rPr>
                <w:sz w:val="20"/>
                <w:szCs w:val="20"/>
                <w:color w:val="auto"/>
              </w:rPr>
            </w:pPr>
            <w:r>
              <w:rPr>
                <w:rFonts w:ascii="Arial" w:cs="Arial" w:eastAsia="Arial" w:hAnsi="Arial"/>
                <w:sz w:val="14"/>
                <w:szCs w:val="14"/>
                <w:color w:val="auto"/>
              </w:rPr>
              <w:t>179,230</w:t>
            </w:r>
          </w:p>
        </w:tc>
        <w:tc>
          <w:tcPr>
            <w:tcW w:w="80" w:type="dxa"/>
            <w:vAlign w:val="bottom"/>
          </w:tcPr>
          <w:p>
            <w:pPr>
              <w:spacing w:after="0"/>
              <w:rPr>
                <w:sz w:val="12"/>
                <w:szCs w:val="12"/>
                <w:color w:val="auto"/>
              </w:rPr>
            </w:pPr>
          </w:p>
        </w:tc>
      </w:tr>
      <w:tr>
        <w:trPr>
          <w:trHeight w:val="143"/>
        </w:trPr>
        <w:tc>
          <w:tcPr>
            <w:tcW w:w="332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rPr>
              <w:t>2012 Series A and B Floating rate certificates</w:t>
            </w:r>
          </w:p>
        </w:tc>
        <w:tc>
          <w:tcPr>
            <w:tcW w:w="1340" w:type="dxa"/>
            <w:vAlign w:val="bottom"/>
            <w:gridSpan w:val="2"/>
            <w:shd w:val="clear" w:color="auto" w:fill="CCEEFF"/>
          </w:tcPr>
          <w:p>
            <w:pPr>
              <w:jc w:val="center"/>
              <w:ind w:right="120"/>
              <w:spacing w:after="0" w:line="143" w:lineRule="exact"/>
              <w:rPr>
                <w:sz w:val="20"/>
                <w:szCs w:val="20"/>
                <w:color w:val="auto"/>
              </w:rPr>
            </w:pPr>
            <w:r>
              <w:rPr>
                <w:rFonts w:ascii="Arial" w:cs="Arial" w:eastAsia="Arial" w:hAnsi="Arial"/>
                <w:sz w:val="14"/>
                <w:szCs w:val="14"/>
                <w:color w:val="auto"/>
                <w:w w:val="93"/>
              </w:rPr>
              <w:t>Libor 1M + 22.5 bp</w:t>
            </w:r>
          </w:p>
        </w:tc>
        <w:tc>
          <w:tcPr>
            <w:tcW w:w="1260" w:type="dxa"/>
            <w:vAlign w:val="bottom"/>
            <w:gridSpan w:val="2"/>
            <w:shd w:val="clear" w:color="auto" w:fill="CCEEFF"/>
          </w:tcPr>
          <w:p>
            <w:pPr>
              <w:jc w:val="center"/>
              <w:ind w:right="140"/>
              <w:spacing w:after="0" w:line="143" w:lineRule="exact"/>
              <w:rPr>
                <w:sz w:val="20"/>
                <w:szCs w:val="20"/>
                <w:color w:val="auto"/>
              </w:rPr>
            </w:pPr>
            <w:r>
              <w:rPr>
                <w:rFonts w:ascii="Arial" w:cs="Arial" w:eastAsia="Arial" w:hAnsi="Arial"/>
                <w:sz w:val="14"/>
                <w:szCs w:val="14"/>
                <w:color w:val="auto"/>
                <w:w w:val="97"/>
              </w:rPr>
              <w:t>Monthly</w:t>
            </w:r>
          </w:p>
        </w:tc>
        <w:tc>
          <w:tcPr>
            <w:tcW w:w="1260" w:type="dxa"/>
            <w:vAlign w:val="bottom"/>
            <w:gridSpan w:val="2"/>
            <w:shd w:val="clear" w:color="auto" w:fill="CCEEFF"/>
          </w:tcPr>
          <w:p>
            <w:pPr>
              <w:jc w:val="center"/>
              <w:ind w:right="120"/>
              <w:spacing w:after="0" w:line="143" w:lineRule="exact"/>
              <w:rPr>
                <w:sz w:val="20"/>
                <w:szCs w:val="20"/>
                <w:color w:val="auto"/>
              </w:rPr>
            </w:pPr>
            <w:r>
              <w:rPr>
                <w:rFonts w:ascii="Arial" w:cs="Arial" w:eastAsia="Arial" w:hAnsi="Arial"/>
                <w:sz w:val="14"/>
                <w:szCs w:val="14"/>
                <w:color w:val="auto"/>
                <w:w w:val="90"/>
              </w:rPr>
              <w:t>July 2017</w:t>
            </w:r>
          </w:p>
        </w:tc>
        <w:tc>
          <w:tcPr>
            <w:tcW w:w="1460" w:type="dxa"/>
            <w:vAlign w:val="bottom"/>
            <w:gridSpan w:val="2"/>
            <w:shd w:val="clear" w:color="auto" w:fill="CCEEFF"/>
          </w:tcPr>
          <w:p>
            <w:pPr>
              <w:ind w:left="560"/>
              <w:spacing w:after="0" w:line="143" w:lineRule="exact"/>
              <w:rPr>
                <w:sz w:val="20"/>
                <w:szCs w:val="20"/>
                <w:color w:val="auto"/>
              </w:rPr>
            </w:pPr>
            <w:r>
              <w:rPr>
                <w:rFonts w:ascii="Arial" w:cs="Arial" w:eastAsia="Arial" w:hAnsi="Arial"/>
                <w:sz w:val="14"/>
                <w:szCs w:val="14"/>
                <w:color w:val="auto"/>
              </w:rPr>
              <w:t>US$150,000</w:t>
            </w:r>
          </w:p>
        </w:tc>
        <w:tc>
          <w:tcPr>
            <w:tcW w:w="1440" w:type="dxa"/>
            <w:vAlign w:val="bottom"/>
            <w:gridSpan w:val="2"/>
            <w:shd w:val="clear" w:color="auto" w:fill="CCEEFF"/>
          </w:tcPr>
          <w:p>
            <w:pPr>
              <w:jc w:val="right"/>
              <w:ind w:right="200"/>
              <w:spacing w:after="0" w:line="143" w:lineRule="exact"/>
              <w:rPr>
                <w:sz w:val="20"/>
                <w:szCs w:val="20"/>
                <w:color w:val="auto"/>
              </w:rPr>
            </w:pPr>
            <w:r>
              <w:rPr>
                <w:rFonts w:ascii="Arial" w:cs="Arial" w:eastAsia="Arial" w:hAnsi="Arial"/>
                <w:sz w:val="14"/>
                <w:szCs w:val="14"/>
                <w:color w:val="auto"/>
              </w:rPr>
              <w:t>-</w:t>
            </w:r>
          </w:p>
        </w:tc>
        <w:tc>
          <w:tcPr>
            <w:tcW w:w="1260" w:type="dxa"/>
            <w:vAlign w:val="bottom"/>
            <w:gridSpan w:val="2"/>
            <w:shd w:val="clear" w:color="auto" w:fill="CCEEFF"/>
          </w:tcPr>
          <w:p>
            <w:pPr>
              <w:jc w:val="right"/>
              <w:ind w:right="20"/>
              <w:spacing w:after="0" w:line="143" w:lineRule="exact"/>
              <w:rPr>
                <w:sz w:val="20"/>
                <w:szCs w:val="20"/>
                <w:color w:val="auto"/>
              </w:rPr>
            </w:pPr>
            <w:r>
              <w:rPr>
                <w:rFonts w:ascii="Arial" w:cs="Arial" w:eastAsia="Arial" w:hAnsi="Arial"/>
                <w:sz w:val="14"/>
                <w:szCs w:val="14"/>
                <w:color w:val="auto"/>
              </w:rPr>
              <w:t>97,884</w:t>
            </w:r>
          </w:p>
        </w:tc>
        <w:tc>
          <w:tcPr>
            <w:tcW w:w="80" w:type="dxa"/>
            <w:vAlign w:val="bottom"/>
            <w:shd w:val="clear" w:color="auto" w:fill="CCEEFF"/>
          </w:tcPr>
          <w:p>
            <w:pPr>
              <w:spacing w:after="0"/>
              <w:rPr>
                <w:sz w:val="12"/>
                <w:szCs w:val="12"/>
                <w:color w:val="auto"/>
              </w:rPr>
            </w:pPr>
          </w:p>
        </w:tc>
      </w:tr>
      <w:tr>
        <w:trPr>
          <w:trHeight w:val="156"/>
        </w:trPr>
        <w:tc>
          <w:tcPr>
            <w:tcW w:w="3320" w:type="dxa"/>
            <w:vAlign w:val="bottom"/>
          </w:tcPr>
          <w:p>
            <w:pPr>
              <w:spacing w:after="0" w:line="156" w:lineRule="exact"/>
              <w:rPr>
                <w:sz w:val="20"/>
                <w:szCs w:val="20"/>
                <w:color w:val="auto"/>
              </w:rPr>
            </w:pPr>
            <w:r>
              <w:rPr>
                <w:rFonts w:ascii="Arial" w:cs="Arial" w:eastAsia="Arial" w:hAnsi="Arial"/>
                <w:sz w:val="14"/>
                <w:szCs w:val="14"/>
                <w:color w:val="auto"/>
              </w:rPr>
              <w:t>2012 Series C Floating rate certificates</w:t>
            </w:r>
          </w:p>
        </w:tc>
        <w:tc>
          <w:tcPr>
            <w:tcW w:w="1220" w:type="dxa"/>
            <w:vAlign w:val="bottom"/>
          </w:tcPr>
          <w:p>
            <w:pPr>
              <w:jc w:val="center"/>
              <w:spacing w:after="0" w:line="156" w:lineRule="exact"/>
              <w:rPr>
                <w:sz w:val="20"/>
                <w:szCs w:val="20"/>
                <w:color w:val="auto"/>
              </w:rPr>
            </w:pPr>
            <w:r>
              <w:rPr>
                <w:rFonts w:ascii="Arial" w:cs="Arial" w:eastAsia="Arial" w:hAnsi="Arial"/>
                <w:sz w:val="14"/>
                <w:szCs w:val="14"/>
                <w:color w:val="auto"/>
                <w:w w:val="87"/>
              </w:rPr>
              <w:t>4.75</w:t>
            </w:r>
          </w:p>
        </w:tc>
        <w:tc>
          <w:tcPr>
            <w:tcW w:w="120" w:type="dxa"/>
            <w:vAlign w:val="bottom"/>
          </w:tcPr>
          <w:p>
            <w:pPr>
              <w:spacing w:after="0"/>
              <w:rPr>
                <w:sz w:val="13"/>
                <w:szCs w:val="13"/>
                <w:color w:val="auto"/>
              </w:rPr>
            </w:pPr>
          </w:p>
        </w:tc>
        <w:tc>
          <w:tcPr>
            <w:tcW w:w="1260" w:type="dxa"/>
            <w:vAlign w:val="bottom"/>
            <w:gridSpan w:val="2"/>
          </w:tcPr>
          <w:p>
            <w:pPr>
              <w:jc w:val="center"/>
              <w:ind w:right="140"/>
              <w:spacing w:after="0" w:line="156" w:lineRule="exact"/>
              <w:rPr>
                <w:sz w:val="20"/>
                <w:szCs w:val="20"/>
                <w:color w:val="auto"/>
              </w:rPr>
            </w:pPr>
            <w:r>
              <w:rPr>
                <w:rFonts w:ascii="Arial" w:cs="Arial" w:eastAsia="Arial" w:hAnsi="Arial"/>
                <w:sz w:val="14"/>
                <w:szCs w:val="14"/>
                <w:color w:val="auto"/>
                <w:w w:val="97"/>
              </w:rPr>
              <w:t>Monthly</w:t>
            </w:r>
          </w:p>
        </w:tc>
        <w:tc>
          <w:tcPr>
            <w:tcW w:w="1260" w:type="dxa"/>
            <w:vAlign w:val="bottom"/>
            <w:gridSpan w:val="2"/>
          </w:tcPr>
          <w:p>
            <w:pPr>
              <w:jc w:val="center"/>
              <w:ind w:right="120"/>
              <w:spacing w:after="0" w:line="156" w:lineRule="exact"/>
              <w:rPr>
                <w:sz w:val="20"/>
                <w:szCs w:val="20"/>
                <w:color w:val="auto"/>
              </w:rPr>
            </w:pPr>
            <w:r>
              <w:rPr>
                <w:rFonts w:ascii="Arial" w:cs="Arial" w:eastAsia="Arial" w:hAnsi="Arial"/>
                <w:sz w:val="14"/>
                <w:szCs w:val="14"/>
                <w:color w:val="auto"/>
                <w:w w:val="90"/>
              </w:rPr>
              <w:t>July 2022</w:t>
            </w:r>
          </w:p>
        </w:tc>
        <w:tc>
          <w:tcPr>
            <w:tcW w:w="1460" w:type="dxa"/>
            <w:vAlign w:val="bottom"/>
            <w:gridSpan w:val="2"/>
          </w:tcPr>
          <w:p>
            <w:pPr>
              <w:ind w:left="560"/>
              <w:spacing w:after="0" w:line="156" w:lineRule="exact"/>
              <w:rPr>
                <w:sz w:val="20"/>
                <w:szCs w:val="20"/>
                <w:color w:val="auto"/>
              </w:rPr>
            </w:pPr>
            <w:r>
              <w:rPr>
                <w:rFonts w:ascii="Arial" w:cs="Arial" w:eastAsia="Arial" w:hAnsi="Arial"/>
                <w:sz w:val="14"/>
                <w:szCs w:val="14"/>
                <w:color w:val="auto"/>
              </w:rPr>
              <w:t>US$315,000</w:t>
            </w:r>
          </w:p>
        </w:tc>
        <w:tc>
          <w:tcPr>
            <w:tcW w:w="1440" w:type="dxa"/>
            <w:vAlign w:val="bottom"/>
            <w:gridSpan w:val="2"/>
          </w:tcPr>
          <w:p>
            <w:pPr>
              <w:jc w:val="right"/>
              <w:ind w:right="200"/>
              <w:spacing w:after="0" w:line="156" w:lineRule="exact"/>
              <w:rPr>
                <w:sz w:val="20"/>
                <w:szCs w:val="20"/>
                <w:color w:val="auto"/>
              </w:rPr>
            </w:pPr>
            <w:r>
              <w:rPr>
                <w:rFonts w:ascii="Arial" w:cs="Arial" w:eastAsia="Arial" w:hAnsi="Arial"/>
                <w:sz w:val="14"/>
                <w:szCs w:val="14"/>
                <w:color w:val="auto"/>
              </w:rPr>
              <w:t>670,132</w:t>
            </w:r>
          </w:p>
        </w:tc>
        <w:tc>
          <w:tcPr>
            <w:tcW w:w="1260" w:type="dxa"/>
            <w:vAlign w:val="bottom"/>
            <w:gridSpan w:val="2"/>
          </w:tcPr>
          <w:p>
            <w:pPr>
              <w:jc w:val="right"/>
              <w:ind w:right="20"/>
              <w:spacing w:after="0" w:line="156" w:lineRule="exact"/>
              <w:rPr>
                <w:sz w:val="20"/>
                <w:szCs w:val="20"/>
                <w:color w:val="auto"/>
              </w:rPr>
            </w:pPr>
            <w:r>
              <w:rPr>
                <w:rFonts w:ascii="Arial" w:cs="Arial" w:eastAsia="Arial" w:hAnsi="Arial"/>
                <w:sz w:val="14"/>
                <w:szCs w:val="14"/>
                <w:color w:val="auto"/>
              </w:rPr>
              <w:t>843,195</w:t>
            </w:r>
          </w:p>
        </w:tc>
        <w:tc>
          <w:tcPr>
            <w:tcW w:w="80" w:type="dxa"/>
            <w:vAlign w:val="bottom"/>
          </w:tcPr>
          <w:p>
            <w:pPr>
              <w:spacing w:after="0"/>
              <w:rPr>
                <w:sz w:val="13"/>
                <w:szCs w:val="13"/>
                <w:color w:val="auto"/>
              </w:rPr>
            </w:pPr>
          </w:p>
        </w:tc>
      </w:tr>
      <w:tr>
        <w:trPr>
          <w:trHeight w:val="136"/>
        </w:trPr>
        <w:tc>
          <w:tcPr>
            <w:tcW w:w="3320" w:type="dxa"/>
            <w:vAlign w:val="bottom"/>
            <w:tcBorders>
              <w:top w:val="single" w:sz="8" w:color="CCEEFF"/>
            </w:tcBorders>
            <w:shd w:val="clear" w:color="auto" w:fill="CCEEFF"/>
          </w:tcPr>
          <w:p>
            <w:pPr>
              <w:spacing w:after="0"/>
              <w:rPr>
                <w:sz w:val="11"/>
                <w:szCs w:val="11"/>
                <w:color w:val="auto"/>
              </w:rPr>
            </w:pPr>
          </w:p>
        </w:tc>
        <w:tc>
          <w:tcPr>
            <w:tcW w:w="12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14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14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26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1240" w:type="dxa"/>
            <w:vAlign w:val="bottom"/>
            <w:tcBorders>
              <w:top w:val="single" w:sz="8" w:color="auto"/>
              <w:bottom w:val="single" w:sz="8" w:color="auto"/>
            </w:tcBorders>
            <w:shd w:val="clear" w:color="auto" w:fill="CCEEFF"/>
          </w:tcPr>
          <w:p>
            <w:pPr>
              <w:jc w:val="right"/>
              <w:spacing w:after="0" w:line="136" w:lineRule="exact"/>
              <w:rPr>
                <w:sz w:val="20"/>
                <w:szCs w:val="20"/>
                <w:color w:val="auto"/>
              </w:rPr>
            </w:pPr>
            <w:r>
              <w:rPr>
                <w:rFonts w:ascii="Arial" w:cs="Arial" w:eastAsia="Arial" w:hAnsi="Arial"/>
                <w:sz w:val="14"/>
                <w:szCs w:val="14"/>
                <w:color w:val="auto"/>
              </w:rPr>
              <w:t>670,132</w:t>
            </w:r>
          </w:p>
        </w:tc>
        <w:tc>
          <w:tcPr>
            <w:tcW w:w="200" w:type="dxa"/>
            <w:vAlign w:val="bottom"/>
            <w:tcBorders>
              <w:top w:val="single" w:sz="8" w:color="CCEEFF"/>
            </w:tcBorders>
            <w:shd w:val="clear" w:color="auto" w:fill="CCEEFF"/>
          </w:tcPr>
          <w:p>
            <w:pPr>
              <w:spacing w:after="0"/>
              <w:rPr>
                <w:sz w:val="11"/>
                <w:szCs w:val="11"/>
                <w:color w:val="auto"/>
              </w:rPr>
            </w:pPr>
          </w:p>
        </w:tc>
        <w:tc>
          <w:tcPr>
            <w:tcW w:w="1240" w:type="dxa"/>
            <w:vAlign w:val="bottom"/>
            <w:tcBorders>
              <w:top w:val="single" w:sz="8" w:color="auto"/>
              <w:bottom w:val="single" w:sz="8" w:color="auto"/>
            </w:tcBorders>
            <w:shd w:val="clear" w:color="auto" w:fill="CCEEFF"/>
          </w:tcPr>
          <w:p>
            <w:pPr>
              <w:jc w:val="right"/>
              <w:spacing w:after="0" w:line="136" w:lineRule="exact"/>
              <w:rPr>
                <w:sz w:val="20"/>
                <w:szCs w:val="20"/>
                <w:color w:val="auto"/>
              </w:rPr>
            </w:pPr>
            <w:r>
              <w:rPr>
                <w:rFonts w:ascii="Arial" w:cs="Arial" w:eastAsia="Arial" w:hAnsi="Arial"/>
                <w:sz w:val="14"/>
                <w:szCs w:val="14"/>
                <w:color w:val="auto"/>
              </w:rPr>
              <w:t>1,120,309</w:t>
            </w:r>
          </w:p>
        </w:tc>
        <w:tc>
          <w:tcPr>
            <w:tcW w:w="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r>
      <w:tr>
        <w:trPr>
          <w:trHeight w:val="136"/>
        </w:trPr>
        <w:tc>
          <w:tcPr>
            <w:tcW w:w="3320" w:type="dxa"/>
            <w:vAlign w:val="bottom"/>
          </w:tcPr>
          <w:p>
            <w:pPr>
              <w:spacing w:after="0" w:line="136" w:lineRule="exact"/>
              <w:rPr>
                <w:sz w:val="20"/>
                <w:szCs w:val="20"/>
                <w:color w:val="auto"/>
              </w:rPr>
            </w:pPr>
            <w:r>
              <w:rPr>
                <w:rFonts w:ascii="Arial" w:cs="Arial" w:eastAsia="Arial" w:hAnsi="Arial"/>
                <w:sz w:val="14"/>
                <w:szCs w:val="14"/>
                <w:b w:val="1"/>
                <w:bCs w:val="1"/>
                <w:color w:val="auto"/>
              </w:rPr>
              <w:t>Corporate bonds -</w:t>
            </w:r>
          </w:p>
        </w:tc>
        <w:tc>
          <w:tcPr>
            <w:tcW w:w="1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43"/>
        </w:trPr>
        <w:tc>
          <w:tcPr>
            <w:tcW w:w="3320" w:type="dxa"/>
            <w:vAlign w:val="bottom"/>
            <w:shd w:val="clear" w:color="auto" w:fill="CCEEFF"/>
          </w:tcPr>
          <w:p>
            <w:pPr>
              <w:spacing w:after="0" w:line="143" w:lineRule="exact"/>
              <w:rPr>
                <w:sz w:val="20"/>
                <w:szCs w:val="20"/>
                <w:color w:val="auto"/>
              </w:rPr>
            </w:pPr>
            <w:r>
              <w:rPr>
                <w:rFonts w:ascii="Arial" w:cs="Arial" w:eastAsia="Arial" w:hAnsi="Arial"/>
                <w:sz w:val="14"/>
                <w:szCs w:val="14"/>
                <w:b w:val="1"/>
                <w:bCs w:val="1"/>
                <w:color w:val="auto"/>
              </w:rPr>
              <w:t>Second program</w:t>
            </w:r>
          </w:p>
        </w:tc>
        <w:tc>
          <w:tcPr>
            <w:tcW w:w="1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124"/>
        </w:trPr>
        <w:tc>
          <w:tcPr>
            <w:tcW w:w="3320" w:type="dxa"/>
            <w:vAlign w:val="bottom"/>
          </w:tcPr>
          <w:p>
            <w:pPr>
              <w:spacing w:after="0" w:line="125" w:lineRule="exact"/>
              <w:rPr>
                <w:sz w:val="20"/>
                <w:szCs w:val="20"/>
                <w:color w:val="auto"/>
              </w:rPr>
            </w:pPr>
            <w:r>
              <w:rPr>
                <w:rFonts w:ascii="Arial" w:cs="Arial" w:eastAsia="Arial" w:hAnsi="Arial"/>
                <w:sz w:val="14"/>
                <w:szCs w:val="14"/>
                <w:color w:val="auto"/>
              </w:rPr>
              <w:t>Third issuance (Series A and B) – BCP</w:t>
            </w:r>
          </w:p>
        </w:tc>
        <w:tc>
          <w:tcPr>
            <w:tcW w:w="1340" w:type="dxa"/>
            <w:vAlign w:val="bottom"/>
            <w:gridSpan w:val="2"/>
          </w:tcPr>
          <w:p>
            <w:pPr>
              <w:jc w:val="center"/>
              <w:ind w:right="100"/>
              <w:spacing w:after="0" w:line="125" w:lineRule="exact"/>
              <w:rPr>
                <w:sz w:val="20"/>
                <w:szCs w:val="20"/>
                <w:color w:val="auto"/>
              </w:rPr>
            </w:pPr>
            <w:r>
              <w:rPr>
                <w:rFonts w:ascii="Arial" w:cs="Arial" w:eastAsia="Arial" w:hAnsi="Arial"/>
                <w:sz w:val="14"/>
                <w:szCs w:val="14"/>
                <w:color w:val="auto"/>
                <w:w w:val="88"/>
              </w:rPr>
              <w:t>Between 7.47 and</w:t>
            </w:r>
          </w:p>
        </w:tc>
        <w:tc>
          <w:tcPr>
            <w:tcW w:w="1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60" w:type="dxa"/>
            <w:vAlign w:val="bottom"/>
            <w:gridSpan w:val="2"/>
          </w:tcPr>
          <w:p>
            <w:pPr>
              <w:jc w:val="center"/>
              <w:ind w:right="120"/>
              <w:spacing w:after="0" w:line="125" w:lineRule="exact"/>
              <w:rPr>
                <w:sz w:val="20"/>
                <w:szCs w:val="20"/>
                <w:color w:val="auto"/>
              </w:rPr>
            </w:pPr>
            <w:r>
              <w:rPr>
                <w:rFonts w:ascii="Arial" w:cs="Arial" w:eastAsia="Arial" w:hAnsi="Arial"/>
                <w:sz w:val="14"/>
                <w:szCs w:val="14"/>
                <w:color w:val="auto"/>
                <w:w w:val="87"/>
              </w:rPr>
              <w:t>Between June and</w:t>
            </w:r>
          </w:p>
        </w:tc>
        <w:tc>
          <w:tcPr>
            <w:tcW w:w="1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r>
      <w:tr>
        <w:trPr>
          <w:trHeight w:val="161"/>
        </w:trPr>
        <w:tc>
          <w:tcPr>
            <w:tcW w:w="3320" w:type="dxa"/>
            <w:vAlign w:val="bottom"/>
          </w:tcPr>
          <w:p>
            <w:pPr>
              <w:spacing w:after="0"/>
              <w:rPr>
                <w:sz w:val="14"/>
                <w:szCs w:val="14"/>
                <w:color w:val="auto"/>
              </w:rPr>
            </w:pPr>
          </w:p>
        </w:tc>
        <w:tc>
          <w:tcPr>
            <w:tcW w:w="1220" w:type="dxa"/>
            <w:vAlign w:val="bottom"/>
          </w:tcPr>
          <w:p>
            <w:pPr>
              <w:jc w:val="center"/>
              <w:spacing w:after="0"/>
              <w:rPr>
                <w:sz w:val="20"/>
                <w:szCs w:val="20"/>
                <w:color w:val="auto"/>
              </w:rPr>
            </w:pPr>
            <w:r>
              <w:rPr>
                <w:rFonts w:ascii="Arial" w:cs="Arial" w:eastAsia="Arial" w:hAnsi="Arial"/>
                <w:sz w:val="14"/>
                <w:szCs w:val="14"/>
                <w:color w:val="auto"/>
                <w:w w:val="87"/>
              </w:rPr>
              <w:t>8.50</w:t>
            </w:r>
          </w:p>
        </w:tc>
        <w:tc>
          <w:tcPr>
            <w:tcW w:w="120" w:type="dxa"/>
            <w:vAlign w:val="bottom"/>
          </w:tcPr>
          <w:p>
            <w:pPr>
              <w:spacing w:after="0"/>
              <w:rPr>
                <w:sz w:val="14"/>
                <w:szCs w:val="14"/>
                <w:color w:val="auto"/>
              </w:rPr>
            </w:pPr>
          </w:p>
        </w:tc>
        <w:tc>
          <w:tcPr>
            <w:tcW w:w="1260" w:type="dxa"/>
            <w:vAlign w:val="bottom"/>
            <w:gridSpan w:val="2"/>
          </w:tcPr>
          <w:p>
            <w:pPr>
              <w:jc w:val="center"/>
              <w:ind w:right="120"/>
              <w:spacing w:after="0"/>
              <w:rPr>
                <w:sz w:val="20"/>
                <w:szCs w:val="20"/>
                <w:color w:val="auto"/>
              </w:rPr>
            </w:pPr>
            <w:r>
              <w:rPr>
                <w:rFonts w:ascii="Arial" w:cs="Arial" w:eastAsia="Arial" w:hAnsi="Arial"/>
                <w:sz w:val="14"/>
                <w:szCs w:val="14"/>
                <w:color w:val="auto"/>
                <w:w w:val="93"/>
              </w:rPr>
              <w:t>Quarterly</w:t>
            </w:r>
          </w:p>
        </w:tc>
        <w:tc>
          <w:tcPr>
            <w:tcW w:w="1260" w:type="dxa"/>
            <w:vAlign w:val="bottom"/>
            <w:gridSpan w:val="2"/>
          </w:tcPr>
          <w:p>
            <w:pPr>
              <w:jc w:val="center"/>
              <w:ind w:right="120"/>
              <w:spacing w:after="0"/>
              <w:rPr>
                <w:sz w:val="20"/>
                <w:szCs w:val="20"/>
                <w:color w:val="auto"/>
              </w:rPr>
            </w:pPr>
            <w:r>
              <w:rPr>
                <w:rFonts w:ascii="Arial" w:cs="Arial" w:eastAsia="Arial" w:hAnsi="Arial"/>
                <w:sz w:val="14"/>
                <w:szCs w:val="14"/>
                <w:color w:val="auto"/>
                <w:w w:val="90"/>
              </w:rPr>
              <w:t>July 2018</w:t>
            </w:r>
          </w:p>
        </w:tc>
        <w:tc>
          <w:tcPr>
            <w:tcW w:w="1460" w:type="dxa"/>
            <w:vAlign w:val="bottom"/>
            <w:gridSpan w:val="2"/>
          </w:tcPr>
          <w:p>
            <w:pPr>
              <w:jc w:val="right"/>
              <w:ind w:right="200"/>
              <w:spacing w:after="0"/>
              <w:rPr>
                <w:sz w:val="20"/>
                <w:szCs w:val="20"/>
                <w:color w:val="auto"/>
              </w:rPr>
            </w:pPr>
            <w:r>
              <w:rPr>
                <w:rFonts w:ascii="Arial" w:cs="Arial" w:eastAsia="Arial" w:hAnsi="Arial"/>
                <w:sz w:val="14"/>
                <w:szCs w:val="14"/>
                <w:color w:val="auto"/>
              </w:rPr>
              <w:t>S/200,000</w:t>
            </w:r>
          </w:p>
        </w:tc>
        <w:tc>
          <w:tcPr>
            <w:tcW w:w="1440" w:type="dxa"/>
            <w:vAlign w:val="bottom"/>
            <w:gridSpan w:val="2"/>
          </w:tcPr>
          <w:p>
            <w:pPr>
              <w:jc w:val="right"/>
              <w:ind w:right="200"/>
              <w:spacing w:after="0"/>
              <w:rPr>
                <w:sz w:val="20"/>
                <w:szCs w:val="20"/>
                <w:color w:val="auto"/>
              </w:rPr>
            </w:pPr>
            <w:r>
              <w:rPr>
                <w:rFonts w:ascii="Arial" w:cs="Arial" w:eastAsia="Arial" w:hAnsi="Arial"/>
                <w:sz w:val="14"/>
                <w:szCs w:val="14"/>
                <w:color w:val="auto"/>
              </w:rPr>
              <w:t>194,883</w:t>
            </w:r>
          </w:p>
        </w:tc>
        <w:tc>
          <w:tcPr>
            <w:tcW w:w="1260" w:type="dxa"/>
            <w:vAlign w:val="bottom"/>
            <w:gridSpan w:val="2"/>
          </w:tcPr>
          <w:p>
            <w:pPr>
              <w:jc w:val="right"/>
              <w:ind w:right="20"/>
              <w:spacing w:after="0"/>
              <w:rPr>
                <w:sz w:val="20"/>
                <w:szCs w:val="20"/>
                <w:color w:val="auto"/>
              </w:rPr>
            </w:pPr>
            <w:r>
              <w:rPr>
                <w:rFonts w:ascii="Arial" w:cs="Arial" w:eastAsia="Arial" w:hAnsi="Arial"/>
                <w:sz w:val="14"/>
                <w:szCs w:val="14"/>
                <w:color w:val="auto"/>
              </w:rPr>
              <w:t>200,000</w:t>
            </w:r>
          </w:p>
        </w:tc>
        <w:tc>
          <w:tcPr>
            <w:tcW w:w="80" w:type="dxa"/>
            <w:vAlign w:val="bottom"/>
          </w:tcPr>
          <w:p>
            <w:pPr>
              <w:spacing w:after="0"/>
              <w:rPr>
                <w:sz w:val="14"/>
                <w:szCs w:val="14"/>
                <w:color w:val="auto"/>
              </w:rPr>
            </w:pPr>
          </w:p>
        </w:tc>
      </w:tr>
      <w:tr>
        <w:trPr>
          <w:trHeight w:val="143"/>
        </w:trPr>
        <w:tc>
          <w:tcPr>
            <w:tcW w:w="332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143"/>
        </w:trPr>
        <w:tc>
          <w:tcPr>
            <w:tcW w:w="3320" w:type="dxa"/>
            <w:vAlign w:val="bottom"/>
          </w:tcPr>
          <w:p>
            <w:pPr>
              <w:spacing w:after="0" w:line="143" w:lineRule="exact"/>
              <w:rPr>
                <w:sz w:val="20"/>
                <w:szCs w:val="20"/>
                <w:color w:val="auto"/>
              </w:rPr>
            </w:pPr>
            <w:r>
              <w:rPr>
                <w:rFonts w:ascii="Arial" w:cs="Arial" w:eastAsia="Arial" w:hAnsi="Arial"/>
                <w:sz w:val="14"/>
                <w:szCs w:val="14"/>
                <w:b w:val="1"/>
                <w:bCs w:val="1"/>
                <w:color w:val="auto"/>
              </w:rPr>
              <w:t>Third program</w:t>
            </w:r>
          </w:p>
        </w:tc>
        <w:tc>
          <w:tcPr>
            <w:tcW w:w="1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24"/>
        </w:trPr>
        <w:tc>
          <w:tcPr>
            <w:tcW w:w="3320" w:type="dxa"/>
            <w:vAlign w:val="bottom"/>
            <w:shd w:val="clear" w:color="auto" w:fill="CCEEFF"/>
          </w:tcPr>
          <w:p>
            <w:pPr>
              <w:spacing w:after="0" w:line="125" w:lineRule="exact"/>
              <w:rPr>
                <w:sz w:val="20"/>
                <w:szCs w:val="20"/>
                <w:color w:val="auto"/>
              </w:rPr>
            </w:pPr>
            <w:r>
              <w:rPr>
                <w:rFonts w:ascii="Arial" w:cs="Arial" w:eastAsia="Arial" w:hAnsi="Arial"/>
                <w:sz w:val="14"/>
                <w:szCs w:val="14"/>
                <w:color w:val="auto"/>
              </w:rPr>
              <w:t>First issuance (Series A and B) - Mibanco</w:t>
            </w:r>
          </w:p>
        </w:tc>
        <w:tc>
          <w:tcPr>
            <w:tcW w:w="1340" w:type="dxa"/>
            <w:vAlign w:val="bottom"/>
            <w:gridSpan w:val="2"/>
            <w:shd w:val="clear" w:color="auto" w:fill="CCEEFF"/>
          </w:tcPr>
          <w:p>
            <w:pPr>
              <w:jc w:val="center"/>
              <w:ind w:right="100"/>
              <w:spacing w:after="0" w:line="125" w:lineRule="exact"/>
              <w:rPr>
                <w:sz w:val="20"/>
                <w:szCs w:val="20"/>
                <w:color w:val="auto"/>
              </w:rPr>
            </w:pPr>
            <w:r>
              <w:rPr>
                <w:rFonts w:ascii="Arial" w:cs="Arial" w:eastAsia="Arial" w:hAnsi="Arial"/>
                <w:sz w:val="14"/>
                <w:szCs w:val="14"/>
                <w:color w:val="auto"/>
                <w:w w:val="88"/>
              </w:rPr>
              <w:t>Between 5.38 and</w:t>
            </w:r>
          </w:p>
        </w:tc>
        <w:tc>
          <w:tcPr>
            <w:tcW w:w="11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60" w:type="dxa"/>
            <w:vAlign w:val="bottom"/>
            <w:gridSpan w:val="2"/>
            <w:shd w:val="clear" w:color="auto" w:fill="CCEEFF"/>
          </w:tcPr>
          <w:p>
            <w:pPr>
              <w:jc w:val="center"/>
              <w:ind w:right="120"/>
              <w:spacing w:after="0" w:line="125" w:lineRule="exact"/>
              <w:rPr>
                <w:sz w:val="20"/>
                <w:szCs w:val="20"/>
                <w:color w:val="auto"/>
              </w:rPr>
            </w:pPr>
            <w:r>
              <w:rPr>
                <w:rFonts w:ascii="Arial" w:cs="Arial" w:eastAsia="Arial" w:hAnsi="Arial"/>
                <w:sz w:val="14"/>
                <w:szCs w:val="14"/>
                <w:color w:val="auto"/>
                <w:w w:val="90"/>
              </w:rPr>
              <w:t>Between May and</w:t>
            </w:r>
          </w:p>
        </w:tc>
        <w:tc>
          <w:tcPr>
            <w:tcW w:w="12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2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2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r>
      <w:tr>
        <w:trPr>
          <w:trHeight w:val="161"/>
        </w:trPr>
        <w:tc>
          <w:tcPr>
            <w:tcW w:w="3320" w:type="dxa"/>
            <w:vAlign w:val="bottom"/>
            <w:shd w:val="clear" w:color="auto" w:fill="CCEEFF"/>
          </w:tcPr>
          <w:p>
            <w:pPr>
              <w:spacing w:after="0"/>
              <w:rPr>
                <w:sz w:val="14"/>
                <w:szCs w:val="14"/>
                <w:color w:val="auto"/>
              </w:rPr>
            </w:pPr>
          </w:p>
        </w:tc>
        <w:tc>
          <w:tcPr>
            <w:tcW w:w="12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7"/>
              </w:rPr>
              <w:t>5.41</w:t>
            </w:r>
          </w:p>
        </w:tc>
        <w:tc>
          <w:tcPr>
            <w:tcW w:w="120" w:type="dxa"/>
            <w:vAlign w:val="bottom"/>
            <w:shd w:val="clear" w:color="auto" w:fill="CCEEFF"/>
          </w:tcPr>
          <w:p>
            <w:pPr>
              <w:spacing w:after="0"/>
              <w:rPr>
                <w:sz w:val="14"/>
                <w:szCs w:val="14"/>
                <w:color w:val="auto"/>
              </w:rPr>
            </w:pPr>
          </w:p>
        </w:tc>
        <w:tc>
          <w:tcPr>
            <w:tcW w:w="126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89"/>
              </w:rPr>
              <w:t>Semi-annual</w:t>
            </w:r>
          </w:p>
        </w:tc>
        <w:tc>
          <w:tcPr>
            <w:tcW w:w="126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0"/>
              </w:rPr>
              <w:t>July 2017</w:t>
            </w:r>
          </w:p>
        </w:tc>
        <w:tc>
          <w:tcPr>
            <w:tcW w:w="14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S/98,800</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20,766</w:t>
            </w:r>
          </w:p>
        </w:tc>
        <w:tc>
          <w:tcPr>
            <w:tcW w:w="80" w:type="dxa"/>
            <w:vAlign w:val="bottom"/>
            <w:shd w:val="clear" w:color="auto" w:fill="CCEEFF"/>
          </w:tcPr>
          <w:p>
            <w:pPr>
              <w:spacing w:after="0"/>
              <w:rPr>
                <w:sz w:val="14"/>
                <w:szCs w:val="14"/>
                <w:color w:val="auto"/>
              </w:rPr>
            </w:pPr>
          </w:p>
        </w:tc>
      </w:tr>
      <w:tr>
        <w:trPr>
          <w:trHeight w:val="143"/>
        </w:trPr>
        <w:tc>
          <w:tcPr>
            <w:tcW w:w="3320" w:type="dxa"/>
            <w:vAlign w:val="bottom"/>
          </w:tcPr>
          <w:p>
            <w:pPr>
              <w:spacing w:after="0" w:line="143" w:lineRule="exact"/>
              <w:rPr>
                <w:sz w:val="20"/>
                <w:szCs w:val="20"/>
                <w:color w:val="auto"/>
              </w:rPr>
            </w:pPr>
            <w:r>
              <w:rPr>
                <w:rFonts w:ascii="Arial" w:cs="Arial" w:eastAsia="Arial" w:hAnsi="Arial"/>
                <w:sz w:val="14"/>
                <w:szCs w:val="14"/>
                <w:color w:val="auto"/>
              </w:rPr>
              <w:t>Fourth issuance (Series A) - Mibanco</w:t>
            </w:r>
          </w:p>
        </w:tc>
        <w:tc>
          <w:tcPr>
            <w:tcW w:w="1220" w:type="dxa"/>
            <w:vAlign w:val="bottom"/>
          </w:tcPr>
          <w:p>
            <w:pPr>
              <w:jc w:val="center"/>
              <w:spacing w:after="0" w:line="143" w:lineRule="exact"/>
              <w:rPr>
                <w:sz w:val="20"/>
                <w:szCs w:val="20"/>
                <w:color w:val="auto"/>
              </w:rPr>
            </w:pPr>
            <w:r>
              <w:rPr>
                <w:rFonts w:ascii="Arial" w:cs="Arial" w:eastAsia="Arial" w:hAnsi="Arial"/>
                <w:sz w:val="14"/>
                <w:szCs w:val="14"/>
                <w:color w:val="auto"/>
                <w:w w:val="87"/>
              </w:rPr>
              <w:t>4.78</w:t>
            </w:r>
          </w:p>
        </w:tc>
        <w:tc>
          <w:tcPr>
            <w:tcW w:w="120" w:type="dxa"/>
            <w:vAlign w:val="bottom"/>
          </w:tcPr>
          <w:p>
            <w:pPr>
              <w:spacing w:after="0"/>
              <w:rPr>
                <w:sz w:val="12"/>
                <w:szCs w:val="12"/>
                <w:color w:val="auto"/>
              </w:rPr>
            </w:pPr>
          </w:p>
        </w:tc>
        <w:tc>
          <w:tcPr>
            <w:tcW w:w="1260" w:type="dxa"/>
            <w:vAlign w:val="bottom"/>
            <w:gridSpan w:val="2"/>
          </w:tcPr>
          <w:p>
            <w:pPr>
              <w:jc w:val="center"/>
              <w:ind w:right="120"/>
              <w:spacing w:after="0" w:line="143" w:lineRule="exact"/>
              <w:rPr>
                <w:sz w:val="20"/>
                <w:szCs w:val="20"/>
                <w:color w:val="auto"/>
              </w:rPr>
            </w:pPr>
            <w:r>
              <w:rPr>
                <w:rFonts w:ascii="Arial" w:cs="Arial" w:eastAsia="Arial" w:hAnsi="Arial"/>
                <w:sz w:val="14"/>
                <w:szCs w:val="14"/>
                <w:color w:val="auto"/>
                <w:w w:val="89"/>
              </w:rPr>
              <w:t>Semi-annual</w:t>
            </w:r>
          </w:p>
        </w:tc>
        <w:tc>
          <w:tcPr>
            <w:tcW w:w="1260" w:type="dxa"/>
            <w:vAlign w:val="bottom"/>
            <w:gridSpan w:val="2"/>
          </w:tcPr>
          <w:p>
            <w:pPr>
              <w:jc w:val="center"/>
              <w:ind w:right="140"/>
              <w:spacing w:after="0" w:line="143" w:lineRule="exact"/>
              <w:rPr>
                <w:sz w:val="20"/>
                <w:szCs w:val="20"/>
                <w:color w:val="auto"/>
              </w:rPr>
            </w:pPr>
            <w:r>
              <w:rPr>
                <w:rFonts w:ascii="Arial" w:cs="Arial" w:eastAsia="Arial" w:hAnsi="Arial"/>
                <w:sz w:val="14"/>
                <w:szCs w:val="14"/>
                <w:color w:val="auto"/>
                <w:w w:val="88"/>
              </w:rPr>
              <w:t>December 2017</w:t>
            </w:r>
          </w:p>
        </w:tc>
        <w:tc>
          <w:tcPr>
            <w:tcW w:w="1460" w:type="dxa"/>
            <w:vAlign w:val="bottom"/>
            <w:gridSpan w:val="2"/>
          </w:tcPr>
          <w:p>
            <w:pPr>
              <w:jc w:val="right"/>
              <w:ind w:right="200"/>
              <w:spacing w:after="0" w:line="143" w:lineRule="exact"/>
              <w:rPr>
                <w:sz w:val="20"/>
                <w:szCs w:val="20"/>
                <w:color w:val="auto"/>
              </w:rPr>
            </w:pPr>
            <w:r>
              <w:rPr>
                <w:rFonts w:ascii="Arial" w:cs="Arial" w:eastAsia="Arial" w:hAnsi="Arial"/>
                <w:sz w:val="14"/>
                <w:szCs w:val="14"/>
                <w:color w:val="auto"/>
              </w:rPr>
              <w:t>S/100,000</w:t>
            </w:r>
          </w:p>
        </w:tc>
        <w:tc>
          <w:tcPr>
            <w:tcW w:w="1440" w:type="dxa"/>
            <w:vAlign w:val="bottom"/>
            <w:gridSpan w:val="2"/>
          </w:tcPr>
          <w:p>
            <w:pPr>
              <w:jc w:val="right"/>
              <w:ind w:right="200"/>
              <w:spacing w:after="0" w:line="143" w:lineRule="exact"/>
              <w:rPr>
                <w:sz w:val="20"/>
                <w:szCs w:val="20"/>
                <w:color w:val="auto"/>
              </w:rPr>
            </w:pPr>
            <w:r>
              <w:rPr>
                <w:rFonts w:ascii="Arial" w:cs="Arial" w:eastAsia="Arial" w:hAnsi="Arial"/>
                <w:sz w:val="14"/>
                <w:szCs w:val="14"/>
                <w:color w:val="auto"/>
              </w:rPr>
              <w:t>-</w:t>
            </w:r>
          </w:p>
        </w:tc>
        <w:tc>
          <w:tcPr>
            <w:tcW w:w="1260" w:type="dxa"/>
            <w:vAlign w:val="bottom"/>
            <w:gridSpan w:val="2"/>
          </w:tcPr>
          <w:p>
            <w:pPr>
              <w:jc w:val="right"/>
              <w:ind w:right="20"/>
              <w:spacing w:after="0" w:line="143" w:lineRule="exact"/>
              <w:rPr>
                <w:sz w:val="20"/>
                <w:szCs w:val="20"/>
                <w:color w:val="auto"/>
              </w:rPr>
            </w:pPr>
            <w:r>
              <w:rPr>
                <w:rFonts w:ascii="Arial" w:cs="Arial" w:eastAsia="Arial" w:hAnsi="Arial"/>
                <w:sz w:val="14"/>
                <w:szCs w:val="14"/>
                <w:color w:val="auto"/>
              </w:rPr>
              <w:t>91,505</w:t>
            </w:r>
          </w:p>
        </w:tc>
        <w:tc>
          <w:tcPr>
            <w:tcW w:w="80" w:type="dxa"/>
            <w:vAlign w:val="bottom"/>
          </w:tcPr>
          <w:p>
            <w:pPr>
              <w:spacing w:after="0"/>
              <w:rPr>
                <w:sz w:val="12"/>
                <w:szCs w:val="12"/>
                <w:color w:val="auto"/>
              </w:rPr>
            </w:pPr>
          </w:p>
        </w:tc>
      </w:tr>
      <w:tr>
        <w:trPr>
          <w:trHeight w:val="124"/>
        </w:trPr>
        <w:tc>
          <w:tcPr>
            <w:tcW w:w="3320" w:type="dxa"/>
            <w:vAlign w:val="bottom"/>
            <w:shd w:val="clear" w:color="auto" w:fill="CCEEFF"/>
          </w:tcPr>
          <w:p>
            <w:pPr>
              <w:spacing w:after="0" w:line="125" w:lineRule="exact"/>
              <w:rPr>
                <w:sz w:val="20"/>
                <w:szCs w:val="20"/>
                <w:color w:val="auto"/>
              </w:rPr>
            </w:pPr>
            <w:r>
              <w:rPr>
                <w:rFonts w:ascii="Arial" w:cs="Arial" w:eastAsia="Arial" w:hAnsi="Arial"/>
                <w:sz w:val="14"/>
                <w:szCs w:val="14"/>
                <w:color w:val="auto"/>
              </w:rPr>
              <w:t>Fifth issuance (Series A and B) - Mibanco</w:t>
            </w:r>
          </w:p>
        </w:tc>
        <w:tc>
          <w:tcPr>
            <w:tcW w:w="1340" w:type="dxa"/>
            <w:vAlign w:val="bottom"/>
            <w:gridSpan w:val="2"/>
            <w:shd w:val="clear" w:color="auto" w:fill="CCEEFF"/>
          </w:tcPr>
          <w:p>
            <w:pPr>
              <w:jc w:val="center"/>
              <w:ind w:right="100"/>
              <w:spacing w:after="0" w:line="125" w:lineRule="exact"/>
              <w:rPr>
                <w:sz w:val="20"/>
                <w:szCs w:val="20"/>
                <w:color w:val="auto"/>
              </w:rPr>
            </w:pPr>
            <w:r>
              <w:rPr>
                <w:rFonts w:ascii="Arial" w:cs="Arial" w:eastAsia="Arial" w:hAnsi="Arial"/>
                <w:sz w:val="14"/>
                <w:szCs w:val="14"/>
                <w:color w:val="auto"/>
                <w:w w:val="88"/>
              </w:rPr>
              <w:t>Between 6.59 and</w:t>
            </w:r>
          </w:p>
        </w:tc>
        <w:tc>
          <w:tcPr>
            <w:tcW w:w="11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60" w:type="dxa"/>
            <w:vAlign w:val="bottom"/>
            <w:gridSpan w:val="2"/>
            <w:shd w:val="clear" w:color="auto" w:fill="CCEEFF"/>
          </w:tcPr>
          <w:p>
            <w:pPr>
              <w:jc w:val="center"/>
              <w:ind w:right="120"/>
              <w:spacing w:after="0" w:line="125" w:lineRule="exact"/>
              <w:rPr>
                <w:sz w:val="20"/>
                <w:szCs w:val="20"/>
                <w:color w:val="auto"/>
              </w:rPr>
            </w:pPr>
            <w:r>
              <w:rPr>
                <w:rFonts w:ascii="Arial" w:cs="Arial" w:eastAsia="Arial" w:hAnsi="Arial"/>
                <w:sz w:val="14"/>
                <w:szCs w:val="14"/>
                <w:color w:val="auto"/>
                <w:w w:val="86"/>
              </w:rPr>
              <w:t>Between January</w:t>
            </w:r>
          </w:p>
        </w:tc>
        <w:tc>
          <w:tcPr>
            <w:tcW w:w="12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2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2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r>
      <w:tr>
        <w:trPr>
          <w:trHeight w:val="161"/>
        </w:trPr>
        <w:tc>
          <w:tcPr>
            <w:tcW w:w="3320" w:type="dxa"/>
            <w:vAlign w:val="bottom"/>
            <w:shd w:val="clear" w:color="auto" w:fill="CCEEFF"/>
          </w:tcPr>
          <w:p>
            <w:pPr>
              <w:spacing w:after="0"/>
              <w:rPr>
                <w:sz w:val="14"/>
                <w:szCs w:val="14"/>
                <w:color w:val="auto"/>
              </w:rPr>
            </w:pPr>
          </w:p>
        </w:tc>
        <w:tc>
          <w:tcPr>
            <w:tcW w:w="12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7"/>
              </w:rPr>
              <w:t>6.97</w:t>
            </w:r>
          </w:p>
        </w:tc>
        <w:tc>
          <w:tcPr>
            <w:tcW w:w="120" w:type="dxa"/>
            <w:vAlign w:val="bottom"/>
            <w:shd w:val="clear" w:color="auto" w:fill="CCEEFF"/>
          </w:tcPr>
          <w:p>
            <w:pPr>
              <w:spacing w:after="0"/>
              <w:rPr>
                <w:sz w:val="14"/>
                <w:szCs w:val="14"/>
                <w:color w:val="auto"/>
              </w:rPr>
            </w:pPr>
          </w:p>
        </w:tc>
        <w:tc>
          <w:tcPr>
            <w:tcW w:w="126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89"/>
              </w:rPr>
              <w:t>Semi-annual</w:t>
            </w:r>
          </w:p>
        </w:tc>
        <w:tc>
          <w:tcPr>
            <w:tcW w:w="126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88"/>
              </w:rPr>
              <w:t>and March 2017</w:t>
            </w:r>
          </w:p>
        </w:tc>
        <w:tc>
          <w:tcPr>
            <w:tcW w:w="14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S/84,660</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78,815</w:t>
            </w:r>
          </w:p>
        </w:tc>
        <w:tc>
          <w:tcPr>
            <w:tcW w:w="80" w:type="dxa"/>
            <w:vAlign w:val="bottom"/>
            <w:shd w:val="clear" w:color="auto" w:fill="CCEEFF"/>
          </w:tcPr>
          <w:p>
            <w:pPr>
              <w:spacing w:after="0"/>
              <w:rPr>
                <w:sz w:val="14"/>
                <w:szCs w:val="14"/>
                <w:color w:val="auto"/>
              </w:rPr>
            </w:pPr>
          </w:p>
        </w:tc>
      </w:tr>
      <w:tr>
        <w:trPr>
          <w:trHeight w:val="143"/>
        </w:trPr>
        <w:tc>
          <w:tcPr>
            <w:tcW w:w="33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43"/>
        </w:trPr>
        <w:tc>
          <w:tcPr>
            <w:tcW w:w="3320" w:type="dxa"/>
            <w:vAlign w:val="bottom"/>
            <w:shd w:val="clear" w:color="auto" w:fill="CCEEFF"/>
          </w:tcPr>
          <w:p>
            <w:pPr>
              <w:spacing w:after="0" w:line="143" w:lineRule="exact"/>
              <w:rPr>
                <w:sz w:val="20"/>
                <w:szCs w:val="20"/>
                <w:color w:val="auto"/>
              </w:rPr>
            </w:pPr>
            <w:r>
              <w:rPr>
                <w:rFonts w:ascii="Arial" w:cs="Arial" w:eastAsia="Arial" w:hAnsi="Arial"/>
                <w:sz w:val="14"/>
                <w:szCs w:val="14"/>
                <w:b w:val="1"/>
                <w:bCs w:val="1"/>
                <w:color w:val="auto"/>
              </w:rPr>
              <w:t>Fourth program</w:t>
            </w:r>
          </w:p>
        </w:tc>
        <w:tc>
          <w:tcPr>
            <w:tcW w:w="1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124"/>
        </w:trPr>
        <w:tc>
          <w:tcPr>
            <w:tcW w:w="3320" w:type="dxa"/>
            <w:vAlign w:val="bottom"/>
          </w:tcPr>
          <w:p>
            <w:pPr>
              <w:spacing w:after="0" w:line="125" w:lineRule="exact"/>
              <w:rPr>
                <w:sz w:val="20"/>
                <w:szCs w:val="20"/>
                <w:color w:val="auto"/>
              </w:rPr>
            </w:pPr>
            <w:r>
              <w:rPr>
                <w:rFonts w:ascii="Arial" w:cs="Arial" w:eastAsia="Arial" w:hAnsi="Arial"/>
                <w:sz w:val="14"/>
                <w:szCs w:val="14"/>
                <w:color w:val="auto"/>
              </w:rPr>
              <w:t>Tenth issuance (Series A, B and C) - BCP</w:t>
            </w:r>
          </w:p>
        </w:tc>
        <w:tc>
          <w:tcPr>
            <w:tcW w:w="1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60" w:type="dxa"/>
            <w:vAlign w:val="bottom"/>
            <w:gridSpan w:val="2"/>
          </w:tcPr>
          <w:p>
            <w:pPr>
              <w:jc w:val="center"/>
              <w:ind w:right="120"/>
              <w:spacing w:after="0" w:line="125" w:lineRule="exact"/>
              <w:rPr>
                <w:sz w:val="20"/>
                <w:szCs w:val="20"/>
                <w:color w:val="auto"/>
              </w:rPr>
            </w:pPr>
            <w:r>
              <w:rPr>
                <w:rFonts w:ascii="Arial" w:cs="Arial" w:eastAsia="Arial" w:hAnsi="Arial"/>
                <w:sz w:val="14"/>
                <w:szCs w:val="14"/>
                <w:color w:val="auto"/>
                <w:w w:val="89"/>
              </w:rPr>
              <w:t>Between December</w:t>
            </w:r>
          </w:p>
        </w:tc>
        <w:tc>
          <w:tcPr>
            <w:tcW w:w="1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r>
      <w:tr>
        <w:trPr>
          <w:trHeight w:val="143"/>
        </w:trPr>
        <w:tc>
          <w:tcPr>
            <w:tcW w:w="3320" w:type="dxa"/>
            <w:vAlign w:val="bottom"/>
          </w:tcPr>
          <w:p>
            <w:pPr>
              <w:spacing w:after="0"/>
              <w:rPr>
                <w:sz w:val="12"/>
                <w:szCs w:val="12"/>
                <w:color w:val="auto"/>
              </w:rPr>
            </w:pPr>
          </w:p>
        </w:tc>
        <w:tc>
          <w:tcPr>
            <w:tcW w:w="1340" w:type="dxa"/>
            <w:vAlign w:val="bottom"/>
            <w:gridSpan w:val="2"/>
          </w:tcPr>
          <w:p>
            <w:pPr>
              <w:jc w:val="center"/>
              <w:ind w:right="100"/>
              <w:spacing w:after="0" w:line="143" w:lineRule="exact"/>
              <w:rPr>
                <w:sz w:val="20"/>
                <w:szCs w:val="20"/>
                <w:color w:val="auto"/>
              </w:rPr>
            </w:pPr>
            <w:r>
              <w:rPr>
                <w:rFonts w:ascii="Arial" w:cs="Arial" w:eastAsia="Arial" w:hAnsi="Arial"/>
                <w:sz w:val="14"/>
                <w:szCs w:val="14"/>
                <w:color w:val="auto"/>
                <w:w w:val="88"/>
              </w:rPr>
              <w:t>Between 5.31 and</w:t>
            </w: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2"/>
          </w:tcPr>
          <w:p>
            <w:pPr>
              <w:jc w:val="center"/>
              <w:ind w:right="120"/>
              <w:spacing w:after="0" w:line="143" w:lineRule="exact"/>
              <w:rPr>
                <w:sz w:val="20"/>
                <w:szCs w:val="20"/>
                <w:color w:val="auto"/>
              </w:rPr>
            </w:pPr>
            <w:r>
              <w:rPr>
                <w:rFonts w:ascii="Arial" w:cs="Arial" w:eastAsia="Arial" w:hAnsi="Arial"/>
                <w:sz w:val="14"/>
                <w:szCs w:val="14"/>
                <w:color w:val="auto"/>
                <w:w w:val="89"/>
              </w:rPr>
              <w:t>2021 and November</w:t>
            </w:r>
          </w:p>
        </w:tc>
        <w:tc>
          <w:tcPr>
            <w:tcW w:w="1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61"/>
        </w:trPr>
        <w:tc>
          <w:tcPr>
            <w:tcW w:w="3320" w:type="dxa"/>
            <w:vAlign w:val="bottom"/>
          </w:tcPr>
          <w:p>
            <w:pPr>
              <w:spacing w:after="0"/>
              <w:rPr>
                <w:sz w:val="14"/>
                <w:szCs w:val="14"/>
                <w:color w:val="auto"/>
              </w:rPr>
            </w:pPr>
          </w:p>
        </w:tc>
        <w:tc>
          <w:tcPr>
            <w:tcW w:w="1220" w:type="dxa"/>
            <w:vAlign w:val="bottom"/>
          </w:tcPr>
          <w:p>
            <w:pPr>
              <w:jc w:val="center"/>
              <w:spacing w:after="0"/>
              <w:rPr>
                <w:sz w:val="20"/>
                <w:szCs w:val="20"/>
                <w:color w:val="auto"/>
              </w:rPr>
            </w:pPr>
            <w:r>
              <w:rPr>
                <w:rFonts w:ascii="Arial" w:cs="Arial" w:eastAsia="Arial" w:hAnsi="Arial"/>
                <w:sz w:val="14"/>
                <w:szCs w:val="14"/>
                <w:color w:val="auto"/>
                <w:w w:val="87"/>
              </w:rPr>
              <w:t>7.25</w:t>
            </w:r>
          </w:p>
        </w:tc>
        <w:tc>
          <w:tcPr>
            <w:tcW w:w="120" w:type="dxa"/>
            <w:vAlign w:val="bottom"/>
          </w:tcPr>
          <w:p>
            <w:pPr>
              <w:spacing w:after="0"/>
              <w:rPr>
                <w:sz w:val="14"/>
                <w:szCs w:val="14"/>
                <w:color w:val="auto"/>
              </w:rPr>
            </w:pPr>
          </w:p>
        </w:tc>
        <w:tc>
          <w:tcPr>
            <w:tcW w:w="1260" w:type="dxa"/>
            <w:vAlign w:val="bottom"/>
            <w:gridSpan w:val="2"/>
          </w:tcPr>
          <w:p>
            <w:pPr>
              <w:jc w:val="center"/>
              <w:ind w:right="120"/>
              <w:spacing w:after="0"/>
              <w:rPr>
                <w:sz w:val="20"/>
                <w:szCs w:val="20"/>
                <w:color w:val="auto"/>
              </w:rPr>
            </w:pPr>
            <w:r>
              <w:rPr>
                <w:rFonts w:ascii="Arial" w:cs="Arial" w:eastAsia="Arial" w:hAnsi="Arial"/>
                <w:sz w:val="14"/>
                <w:szCs w:val="14"/>
                <w:color w:val="auto"/>
                <w:w w:val="89"/>
              </w:rPr>
              <w:t>Semi-annual</w:t>
            </w:r>
          </w:p>
        </w:tc>
        <w:tc>
          <w:tcPr>
            <w:tcW w:w="1140" w:type="dxa"/>
            <w:vAlign w:val="bottom"/>
          </w:tcPr>
          <w:p>
            <w:pPr>
              <w:jc w:val="center"/>
              <w:spacing w:after="0"/>
              <w:rPr>
                <w:sz w:val="20"/>
                <w:szCs w:val="20"/>
                <w:color w:val="auto"/>
              </w:rPr>
            </w:pPr>
            <w:r>
              <w:rPr>
                <w:rFonts w:ascii="Arial" w:cs="Arial" w:eastAsia="Arial" w:hAnsi="Arial"/>
                <w:sz w:val="14"/>
                <w:szCs w:val="14"/>
                <w:color w:val="auto"/>
                <w:w w:val="89"/>
              </w:rPr>
              <w:t>2022</w:t>
            </w:r>
          </w:p>
        </w:tc>
        <w:tc>
          <w:tcPr>
            <w:tcW w:w="120" w:type="dxa"/>
            <w:vAlign w:val="bottom"/>
          </w:tcPr>
          <w:p>
            <w:pPr>
              <w:spacing w:after="0"/>
              <w:rPr>
                <w:sz w:val="14"/>
                <w:szCs w:val="14"/>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4"/>
                <w:szCs w:val="14"/>
                <w:color w:val="auto"/>
              </w:rPr>
              <w:t>S/550,000</w:t>
            </w:r>
          </w:p>
        </w:tc>
        <w:tc>
          <w:tcPr>
            <w:tcW w:w="1440" w:type="dxa"/>
            <w:vAlign w:val="bottom"/>
            <w:gridSpan w:val="2"/>
          </w:tcPr>
          <w:p>
            <w:pPr>
              <w:jc w:val="right"/>
              <w:ind w:right="200"/>
              <w:spacing w:after="0"/>
              <w:rPr>
                <w:sz w:val="20"/>
                <w:szCs w:val="20"/>
                <w:color w:val="auto"/>
              </w:rPr>
            </w:pPr>
            <w:r>
              <w:rPr>
                <w:rFonts w:ascii="Arial" w:cs="Arial" w:eastAsia="Arial" w:hAnsi="Arial"/>
                <w:sz w:val="14"/>
                <w:szCs w:val="14"/>
                <w:color w:val="auto"/>
              </w:rPr>
              <w:t>530,034</w:t>
            </w:r>
          </w:p>
        </w:tc>
        <w:tc>
          <w:tcPr>
            <w:tcW w:w="1260" w:type="dxa"/>
            <w:vAlign w:val="bottom"/>
            <w:gridSpan w:val="2"/>
          </w:tcPr>
          <w:p>
            <w:pPr>
              <w:jc w:val="right"/>
              <w:ind w:right="20"/>
              <w:spacing w:after="0"/>
              <w:rPr>
                <w:sz w:val="20"/>
                <w:szCs w:val="20"/>
                <w:color w:val="auto"/>
              </w:rPr>
            </w:pPr>
            <w:r>
              <w:rPr>
                <w:rFonts w:ascii="Arial" w:cs="Arial" w:eastAsia="Arial" w:hAnsi="Arial"/>
                <w:sz w:val="14"/>
                <w:szCs w:val="14"/>
                <w:color w:val="auto"/>
              </w:rPr>
              <w:t>549,400</w:t>
            </w:r>
          </w:p>
        </w:tc>
        <w:tc>
          <w:tcPr>
            <w:tcW w:w="80" w:type="dxa"/>
            <w:vAlign w:val="bottom"/>
          </w:tcPr>
          <w:p>
            <w:pPr>
              <w:spacing w:after="0"/>
              <w:rPr>
                <w:sz w:val="14"/>
                <w:szCs w:val="14"/>
                <w:color w:val="auto"/>
              </w:rPr>
            </w:pPr>
          </w:p>
        </w:tc>
      </w:tr>
      <w:tr>
        <w:trPr>
          <w:trHeight w:val="143"/>
        </w:trPr>
        <w:tc>
          <w:tcPr>
            <w:tcW w:w="332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rPr>
              <w:t>First issuance (Series A) - Mibanco</w:t>
            </w:r>
          </w:p>
        </w:tc>
        <w:tc>
          <w:tcPr>
            <w:tcW w:w="1220" w:type="dxa"/>
            <w:vAlign w:val="bottom"/>
            <w:shd w:val="clear" w:color="auto" w:fill="CCEEFF"/>
          </w:tcPr>
          <w:p>
            <w:pPr>
              <w:jc w:val="center"/>
              <w:spacing w:after="0" w:line="143" w:lineRule="exact"/>
              <w:rPr>
                <w:sz w:val="20"/>
                <w:szCs w:val="20"/>
                <w:color w:val="auto"/>
              </w:rPr>
            </w:pPr>
            <w:r>
              <w:rPr>
                <w:rFonts w:ascii="Arial" w:cs="Arial" w:eastAsia="Arial" w:hAnsi="Arial"/>
                <w:sz w:val="14"/>
                <w:szCs w:val="14"/>
                <w:color w:val="auto"/>
                <w:w w:val="87"/>
              </w:rPr>
              <w:t>6.56</w:t>
            </w:r>
          </w:p>
        </w:tc>
        <w:tc>
          <w:tcPr>
            <w:tcW w:w="12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center"/>
              <w:ind w:right="120"/>
              <w:spacing w:after="0" w:line="143" w:lineRule="exact"/>
              <w:rPr>
                <w:sz w:val="20"/>
                <w:szCs w:val="20"/>
                <w:color w:val="auto"/>
              </w:rPr>
            </w:pPr>
            <w:r>
              <w:rPr>
                <w:rFonts w:ascii="Arial" w:cs="Arial" w:eastAsia="Arial" w:hAnsi="Arial"/>
                <w:sz w:val="14"/>
                <w:szCs w:val="14"/>
                <w:color w:val="auto"/>
                <w:w w:val="89"/>
              </w:rPr>
              <w:t>Semi-annual</w:t>
            </w:r>
          </w:p>
        </w:tc>
        <w:tc>
          <w:tcPr>
            <w:tcW w:w="1260" w:type="dxa"/>
            <w:vAlign w:val="bottom"/>
            <w:gridSpan w:val="2"/>
            <w:shd w:val="clear" w:color="auto" w:fill="CCEEFF"/>
          </w:tcPr>
          <w:p>
            <w:pPr>
              <w:jc w:val="center"/>
              <w:ind w:right="120"/>
              <w:spacing w:after="0" w:line="143" w:lineRule="exact"/>
              <w:rPr>
                <w:sz w:val="20"/>
                <w:szCs w:val="20"/>
                <w:color w:val="auto"/>
              </w:rPr>
            </w:pPr>
            <w:r>
              <w:rPr>
                <w:rFonts w:ascii="Arial" w:cs="Arial" w:eastAsia="Arial" w:hAnsi="Arial"/>
                <w:sz w:val="14"/>
                <w:szCs w:val="14"/>
                <w:color w:val="auto"/>
                <w:w w:val="90"/>
              </w:rPr>
              <w:t>July 2018</w:t>
            </w:r>
          </w:p>
        </w:tc>
        <w:tc>
          <w:tcPr>
            <w:tcW w:w="1460" w:type="dxa"/>
            <w:vAlign w:val="bottom"/>
            <w:gridSpan w:val="2"/>
            <w:shd w:val="clear" w:color="auto" w:fill="CCEEFF"/>
          </w:tcPr>
          <w:p>
            <w:pPr>
              <w:jc w:val="right"/>
              <w:ind w:right="200"/>
              <w:spacing w:after="0" w:line="143" w:lineRule="exact"/>
              <w:rPr>
                <w:sz w:val="20"/>
                <w:szCs w:val="20"/>
                <w:color w:val="auto"/>
              </w:rPr>
            </w:pPr>
            <w:r>
              <w:rPr>
                <w:rFonts w:ascii="Arial" w:cs="Arial" w:eastAsia="Arial" w:hAnsi="Arial"/>
                <w:sz w:val="14"/>
                <w:szCs w:val="14"/>
                <w:color w:val="auto"/>
              </w:rPr>
              <w:t>S/100,000</w:t>
            </w:r>
          </w:p>
        </w:tc>
        <w:tc>
          <w:tcPr>
            <w:tcW w:w="1440" w:type="dxa"/>
            <w:vAlign w:val="bottom"/>
            <w:gridSpan w:val="2"/>
            <w:shd w:val="clear" w:color="auto" w:fill="CCEEFF"/>
          </w:tcPr>
          <w:p>
            <w:pPr>
              <w:jc w:val="right"/>
              <w:ind w:right="200"/>
              <w:spacing w:after="0" w:line="143" w:lineRule="exact"/>
              <w:rPr>
                <w:sz w:val="20"/>
                <w:szCs w:val="20"/>
                <w:color w:val="auto"/>
              </w:rPr>
            </w:pPr>
            <w:r>
              <w:rPr>
                <w:rFonts w:ascii="Arial" w:cs="Arial" w:eastAsia="Arial" w:hAnsi="Arial"/>
                <w:sz w:val="14"/>
                <w:szCs w:val="14"/>
                <w:color w:val="auto"/>
              </w:rPr>
              <w:t>86,513</w:t>
            </w:r>
          </w:p>
        </w:tc>
        <w:tc>
          <w:tcPr>
            <w:tcW w:w="1260" w:type="dxa"/>
            <w:vAlign w:val="bottom"/>
            <w:gridSpan w:val="2"/>
            <w:shd w:val="clear" w:color="auto" w:fill="CCEEFF"/>
          </w:tcPr>
          <w:p>
            <w:pPr>
              <w:jc w:val="right"/>
              <w:ind w:right="20"/>
              <w:spacing w:after="0" w:line="143" w:lineRule="exact"/>
              <w:rPr>
                <w:sz w:val="20"/>
                <w:szCs w:val="20"/>
                <w:color w:val="auto"/>
              </w:rPr>
            </w:pPr>
            <w:r>
              <w:rPr>
                <w:rFonts w:ascii="Arial" w:cs="Arial" w:eastAsia="Arial" w:hAnsi="Arial"/>
                <w:sz w:val="14"/>
                <w:szCs w:val="14"/>
                <w:color w:val="auto"/>
              </w:rPr>
              <w:t>86,950</w:t>
            </w:r>
          </w:p>
        </w:tc>
        <w:tc>
          <w:tcPr>
            <w:tcW w:w="80" w:type="dxa"/>
            <w:vAlign w:val="bottom"/>
            <w:shd w:val="clear" w:color="auto" w:fill="CCEEFF"/>
          </w:tcPr>
          <w:p>
            <w:pPr>
              <w:spacing w:after="0"/>
              <w:rPr>
                <w:sz w:val="12"/>
                <w:szCs w:val="12"/>
                <w:color w:val="auto"/>
              </w:rPr>
            </w:pPr>
          </w:p>
        </w:tc>
      </w:tr>
      <w:tr>
        <w:trPr>
          <w:trHeight w:val="143"/>
        </w:trPr>
        <w:tc>
          <w:tcPr>
            <w:tcW w:w="3320" w:type="dxa"/>
            <w:vAlign w:val="bottom"/>
          </w:tcPr>
          <w:p>
            <w:pPr>
              <w:spacing w:after="0" w:line="143" w:lineRule="exact"/>
              <w:rPr>
                <w:sz w:val="20"/>
                <w:szCs w:val="20"/>
                <w:color w:val="auto"/>
              </w:rPr>
            </w:pPr>
            <w:r>
              <w:rPr>
                <w:rFonts w:ascii="Arial" w:cs="Arial" w:eastAsia="Arial" w:hAnsi="Arial"/>
                <w:sz w:val="14"/>
                <w:szCs w:val="14"/>
                <w:color w:val="auto"/>
              </w:rPr>
              <w:t>First issuance (Series B) - Mibanco</w:t>
            </w:r>
          </w:p>
        </w:tc>
        <w:tc>
          <w:tcPr>
            <w:tcW w:w="1220" w:type="dxa"/>
            <w:vAlign w:val="bottom"/>
          </w:tcPr>
          <w:p>
            <w:pPr>
              <w:jc w:val="center"/>
              <w:spacing w:after="0" w:line="143" w:lineRule="exact"/>
              <w:rPr>
                <w:sz w:val="20"/>
                <w:szCs w:val="20"/>
                <w:color w:val="auto"/>
              </w:rPr>
            </w:pPr>
            <w:r>
              <w:rPr>
                <w:rFonts w:ascii="Arial" w:cs="Arial" w:eastAsia="Arial" w:hAnsi="Arial"/>
                <w:sz w:val="14"/>
                <w:szCs w:val="14"/>
                <w:color w:val="auto"/>
                <w:w w:val="87"/>
              </w:rPr>
              <w:t>7.16</w:t>
            </w:r>
          </w:p>
        </w:tc>
        <w:tc>
          <w:tcPr>
            <w:tcW w:w="120" w:type="dxa"/>
            <w:vAlign w:val="bottom"/>
          </w:tcPr>
          <w:p>
            <w:pPr>
              <w:spacing w:after="0"/>
              <w:rPr>
                <w:sz w:val="12"/>
                <w:szCs w:val="12"/>
                <w:color w:val="auto"/>
              </w:rPr>
            </w:pPr>
          </w:p>
        </w:tc>
        <w:tc>
          <w:tcPr>
            <w:tcW w:w="1260" w:type="dxa"/>
            <w:vAlign w:val="bottom"/>
            <w:gridSpan w:val="2"/>
          </w:tcPr>
          <w:p>
            <w:pPr>
              <w:jc w:val="center"/>
              <w:ind w:right="120"/>
              <w:spacing w:after="0" w:line="143" w:lineRule="exact"/>
              <w:rPr>
                <w:sz w:val="20"/>
                <w:szCs w:val="20"/>
                <w:color w:val="auto"/>
              </w:rPr>
            </w:pPr>
            <w:r>
              <w:rPr>
                <w:rFonts w:ascii="Arial" w:cs="Arial" w:eastAsia="Arial" w:hAnsi="Arial"/>
                <w:sz w:val="14"/>
                <w:szCs w:val="14"/>
                <w:color w:val="auto"/>
                <w:w w:val="89"/>
              </w:rPr>
              <w:t>Semi-annual</w:t>
            </w:r>
          </w:p>
        </w:tc>
        <w:tc>
          <w:tcPr>
            <w:tcW w:w="1260" w:type="dxa"/>
            <w:vAlign w:val="bottom"/>
            <w:gridSpan w:val="2"/>
          </w:tcPr>
          <w:p>
            <w:pPr>
              <w:jc w:val="center"/>
              <w:ind w:right="140"/>
              <w:spacing w:after="0" w:line="143" w:lineRule="exact"/>
              <w:rPr>
                <w:sz w:val="20"/>
                <w:szCs w:val="20"/>
                <w:color w:val="auto"/>
              </w:rPr>
            </w:pPr>
            <w:r>
              <w:rPr>
                <w:rFonts w:ascii="Arial" w:cs="Arial" w:eastAsia="Arial" w:hAnsi="Arial"/>
                <w:sz w:val="14"/>
                <w:szCs w:val="14"/>
                <w:color w:val="auto"/>
                <w:w w:val="85"/>
              </w:rPr>
              <w:t>June 2019</w:t>
            </w:r>
          </w:p>
        </w:tc>
        <w:tc>
          <w:tcPr>
            <w:tcW w:w="1460" w:type="dxa"/>
            <w:vAlign w:val="bottom"/>
            <w:gridSpan w:val="2"/>
          </w:tcPr>
          <w:p>
            <w:pPr>
              <w:jc w:val="right"/>
              <w:ind w:right="200"/>
              <w:spacing w:after="0" w:line="143" w:lineRule="exact"/>
              <w:rPr>
                <w:sz w:val="20"/>
                <w:szCs w:val="20"/>
                <w:color w:val="auto"/>
              </w:rPr>
            </w:pPr>
            <w:r>
              <w:rPr>
                <w:rFonts w:ascii="Arial" w:cs="Arial" w:eastAsia="Arial" w:hAnsi="Arial"/>
                <w:sz w:val="14"/>
                <w:szCs w:val="14"/>
                <w:color w:val="auto"/>
              </w:rPr>
              <w:t>S/100,000</w:t>
            </w:r>
          </w:p>
        </w:tc>
        <w:tc>
          <w:tcPr>
            <w:tcW w:w="1440" w:type="dxa"/>
            <w:vAlign w:val="bottom"/>
            <w:gridSpan w:val="2"/>
          </w:tcPr>
          <w:p>
            <w:pPr>
              <w:jc w:val="right"/>
              <w:ind w:right="200"/>
              <w:spacing w:after="0" w:line="143" w:lineRule="exact"/>
              <w:rPr>
                <w:sz w:val="20"/>
                <w:szCs w:val="20"/>
                <w:color w:val="auto"/>
              </w:rPr>
            </w:pPr>
            <w:r>
              <w:rPr>
                <w:rFonts w:ascii="Arial" w:cs="Arial" w:eastAsia="Arial" w:hAnsi="Arial"/>
                <w:sz w:val="14"/>
                <w:szCs w:val="14"/>
                <w:color w:val="auto"/>
              </w:rPr>
              <w:t>89,087</w:t>
            </w:r>
          </w:p>
        </w:tc>
        <w:tc>
          <w:tcPr>
            <w:tcW w:w="1260" w:type="dxa"/>
            <w:vAlign w:val="bottom"/>
            <w:gridSpan w:val="2"/>
          </w:tcPr>
          <w:p>
            <w:pPr>
              <w:jc w:val="right"/>
              <w:ind w:right="20"/>
              <w:spacing w:after="0" w:line="143" w:lineRule="exact"/>
              <w:rPr>
                <w:sz w:val="20"/>
                <w:szCs w:val="20"/>
                <w:color w:val="auto"/>
              </w:rPr>
            </w:pPr>
            <w:r>
              <w:rPr>
                <w:rFonts w:ascii="Arial" w:cs="Arial" w:eastAsia="Arial" w:hAnsi="Arial"/>
                <w:sz w:val="14"/>
                <w:szCs w:val="14"/>
                <w:color w:val="auto"/>
              </w:rPr>
              <w:t>85,000</w:t>
            </w:r>
          </w:p>
        </w:tc>
        <w:tc>
          <w:tcPr>
            <w:tcW w:w="80" w:type="dxa"/>
            <w:vAlign w:val="bottom"/>
          </w:tcPr>
          <w:p>
            <w:pPr>
              <w:spacing w:after="0"/>
              <w:rPr>
                <w:sz w:val="12"/>
                <w:szCs w:val="12"/>
                <w:color w:val="auto"/>
              </w:rPr>
            </w:pPr>
          </w:p>
        </w:tc>
      </w:tr>
      <w:tr>
        <w:trPr>
          <w:trHeight w:val="143"/>
        </w:trPr>
        <w:tc>
          <w:tcPr>
            <w:tcW w:w="332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143"/>
        </w:trPr>
        <w:tc>
          <w:tcPr>
            <w:tcW w:w="3320" w:type="dxa"/>
            <w:vAlign w:val="bottom"/>
          </w:tcPr>
          <w:p>
            <w:pPr>
              <w:spacing w:after="0" w:line="143" w:lineRule="exact"/>
              <w:rPr>
                <w:sz w:val="20"/>
                <w:szCs w:val="20"/>
                <w:color w:val="auto"/>
              </w:rPr>
            </w:pPr>
            <w:r>
              <w:rPr>
                <w:rFonts w:ascii="Arial" w:cs="Arial" w:eastAsia="Arial" w:hAnsi="Arial"/>
                <w:sz w:val="14"/>
                <w:szCs w:val="14"/>
                <w:b w:val="1"/>
                <w:bCs w:val="1"/>
                <w:color w:val="auto"/>
              </w:rPr>
              <w:t>Fifth program</w:t>
            </w:r>
          </w:p>
        </w:tc>
        <w:tc>
          <w:tcPr>
            <w:tcW w:w="1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43"/>
        </w:trPr>
        <w:tc>
          <w:tcPr>
            <w:tcW w:w="332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rPr>
              <w:t>First issuance (Series A) - BCP</w:t>
            </w:r>
          </w:p>
        </w:tc>
        <w:tc>
          <w:tcPr>
            <w:tcW w:w="1220" w:type="dxa"/>
            <w:vAlign w:val="bottom"/>
            <w:shd w:val="clear" w:color="auto" w:fill="CCEEFF"/>
          </w:tcPr>
          <w:p>
            <w:pPr>
              <w:jc w:val="center"/>
              <w:spacing w:after="0" w:line="143" w:lineRule="exact"/>
              <w:rPr>
                <w:sz w:val="20"/>
                <w:szCs w:val="20"/>
                <w:color w:val="auto"/>
              </w:rPr>
            </w:pPr>
            <w:r>
              <w:rPr>
                <w:rFonts w:ascii="Arial" w:cs="Arial" w:eastAsia="Arial" w:hAnsi="Arial"/>
                <w:sz w:val="14"/>
                <w:szCs w:val="14"/>
                <w:color w:val="auto"/>
                <w:w w:val="87"/>
              </w:rPr>
              <w:t>6.41</w:t>
            </w:r>
          </w:p>
        </w:tc>
        <w:tc>
          <w:tcPr>
            <w:tcW w:w="12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center"/>
              <w:ind w:right="120"/>
              <w:spacing w:after="0" w:line="143" w:lineRule="exact"/>
              <w:rPr>
                <w:sz w:val="20"/>
                <w:szCs w:val="20"/>
                <w:color w:val="auto"/>
              </w:rPr>
            </w:pPr>
            <w:r>
              <w:rPr>
                <w:rFonts w:ascii="Arial" w:cs="Arial" w:eastAsia="Arial" w:hAnsi="Arial"/>
                <w:sz w:val="14"/>
                <w:szCs w:val="14"/>
                <w:color w:val="auto"/>
                <w:w w:val="89"/>
              </w:rPr>
              <w:t>Semi-annual</w:t>
            </w:r>
          </w:p>
        </w:tc>
        <w:tc>
          <w:tcPr>
            <w:tcW w:w="1260" w:type="dxa"/>
            <w:vAlign w:val="bottom"/>
            <w:gridSpan w:val="2"/>
            <w:shd w:val="clear" w:color="auto" w:fill="CCEEFF"/>
          </w:tcPr>
          <w:p>
            <w:pPr>
              <w:jc w:val="center"/>
              <w:ind w:right="140"/>
              <w:spacing w:after="0" w:line="143" w:lineRule="exact"/>
              <w:rPr>
                <w:sz w:val="20"/>
                <w:szCs w:val="20"/>
                <w:color w:val="auto"/>
              </w:rPr>
            </w:pPr>
            <w:r>
              <w:rPr>
                <w:rFonts w:ascii="Arial" w:cs="Arial" w:eastAsia="Arial" w:hAnsi="Arial"/>
                <w:sz w:val="14"/>
                <w:szCs w:val="14"/>
                <w:color w:val="auto"/>
                <w:w w:val="95"/>
              </w:rPr>
              <w:t>April 2019</w:t>
            </w:r>
          </w:p>
        </w:tc>
        <w:tc>
          <w:tcPr>
            <w:tcW w:w="1460" w:type="dxa"/>
            <w:vAlign w:val="bottom"/>
            <w:gridSpan w:val="2"/>
            <w:shd w:val="clear" w:color="auto" w:fill="CCEEFF"/>
          </w:tcPr>
          <w:p>
            <w:pPr>
              <w:jc w:val="right"/>
              <w:ind w:right="200"/>
              <w:spacing w:after="0" w:line="143" w:lineRule="exact"/>
              <w:rPr>
                <w:sz w:val="20"/>
                <w:szCs w:val="20"/>
                <w:color w:val="auto"/>
              </w:rPr>
            </w:pPr>
            <w:r>
              <w:rPr>
                <w:rFonts w:ascii="Arial" w:cs="Arial" w:eastAsia="Arial" w:hAnsi="Arial"/>
                <w:sz w:val="14"/>
                <w:szCs w:val="14"/>
                <w:color w:val="auto"/>
              </w:rPr>
              <w:t>S/172,870</w:t>
            </w:r>
          </w:p>
        </w:tc>
        <w:tc>
          <w:tcPr>
            <w:tcW w:w="1440" w:type="dxa"/>
            <w:vAlign w:val="bottom"/>
            <w:gridSpan w:val="2"/>
            <w:shd w:val="clear" w:color="auto" w:fill="CCEEFF"/>
          </w:tcPr>
          <w:p>
            <w:pPr>
              <w:jc w:val="right"/>
              <w:ind w:right="200"/>
              <w:spacing w:after="0" w:line="143" w:lineRule="exact"/>
              <w:rPr>
                <w:sz w:val="20"/>
                <w:szCs w:val="20"/>
                <w:color w:val="auto"/>
              </w:rPr>
            </w:pPr>
            <w:r>
              <w:rPr>
                <w:rFonts w:ascii="Arial" w:cs="Arial" w:eastAsia="Arial" w:hAnsi="Arial"/>
                <w:sz w:val="14"/>
                <w:szCs w:val="14"/>
                <w:color w:val="auto"/>
              </w:rPr>
              <w:t>162,096</w:t>
            </w:r>
          </w:p>
        </w:tc>
        <w:tc>
          <w:tcPr>
            <w:tcW w:w="1260" w:type="dxa"/>
            <w:vAlign w:val="bottom"/>
            <w:gridSpan w:val="2"/>
            <w:shd w:val="clear" w:color="auto" w:fill="CCEEFF"/>
          </w:tcPr>
          <w:p>
            <w:pPr>
              <w:jc w:val="right"/>
              <w:ind w:right="20"/>
              <w:spacing w:after="0" w:line="143" w:lineRule="exact"/>
              <w:rPr>
                <w:sz w:val="20"/>
                <w:szCs w:val="20"/>
                <w:color w:val="auto"/>
              </w:rPr>
            </w:pPr>
            <w:r>
              <w:rPr>
                <w:rFonts w:ascii="Arial" w:cs="Arial" w:eastAsia="Arial" w:hAnsi="Arial"/>
                <w:sz w:val="14"/>
                <w:szCs w:val="14"/>
                <w:color w:val="auto"/>
              </w:rPr>
              <w:t>172,391</w:t>
            </w:r>
          </w:p>
        </w:tc>
        <w:tc>
          <w:tcPr>
            <w:tcW w:w="80" w:type="dxa"/>
            <w:vAlign w:val="bottom"/>
            <w:shd w:val="clear" w:color="auto" w:fill="CCEEFF"/>
          </w:tcPr>
          <w:p>
            <w:pPr>
              <w:spacing w:after="0"/>
              <w:rPr>
                <w:sz w:val="12"/>
                <w:szCs w:val="12"/>
                <w:color w:val="auto"/>
              </w:rPr>
            </w:pPr>
          </w:p>
        </w:tc>
      </w:tr>
      <w:tr>
        <w:trPr>
          <w:trHeight w:val="143"/>
        </w:trPr>
        <w:tc>
          <w:tcPr>
            <w:tcW w:w="3320" w:type="dxa"/>
            <w:vAlign w:val="bottom"/>
          </w:tcPr>
          <w:p>
            <w:pPr>
              <w:spacing w:after="0" w:line="143" w:lineRule="exact"/>
              <w:rPr>
                <w:sz w:val="20"/>
                <w:szCs w:val="20"/>
                <w:color w:val="auto"/>
              </w:rPr>
            </w:pPr>
            <w:r>
              <w:rPr>
                <w:rFonts w:ascii="Arial" w:cs="Arial" w:eastAsia="Arial" w:hAnsi="Arial"/>
                <w:sz w:val="14"/>
                <w:szCs w:val="14"/>
                <w:color w:val="auto"/>
              </w:rPr>
              <w:t>First issuance (Series B) - BCP</w:t>
            </w:r>
          </w:p>
        </w:tc>
        <w:tc>
          <w:tcPr>
            <w:tcW w:w="1220" w:type="dxa"/>
            <w:vAlign w:val="bottom"/>
          </w:tcPr>
          <w:p>
            <w:pPr>
              <w:jc w:val="center"/>
              <w:spacing w:after="0" w:line="143" w:lineRule="exact"/>
              <w:rPr>
                <w:sz w:val="20"/>
                <w:szCs w:val="20"/>
                <w:color w:val="auto"/>
              </w:rPr>
            </w:pPr>
            <w:r>
              <w:rPr>
                <w:rFonts w:ascii="Arial" w:cs="Arial" w:eastAsia="Arial" w:hAnsi="Arial"/>
                <w:sz w:val="14"/>
                <w:szCs w:val="14"/>
                <w:color w:val="auto"/>
                <w:w w:val="87"/>
              </w:rPr>
              <w:t>5.59</w:t>
            </w:r>
          </w:p>
        </w:tc>
        <w:tc>
          <w:tcPr>
            <w:tcW w:w="120" w:type="dxa"/>
            <w:vAlign w:val="bottom"/>
          </w:tcPr>
          <w:p>
            <w:pPr>
              <w:spacing w:after="0"/>
              <w:rPr>
                <w:sz w:val="12"/>
                <w:szCs w:val="12"/>
                <w:color w:val="auto"/>
              </w:rPr>
            </w:pPr>
          </w:p>
        </w:tc>
        <w:tc>
          <w:tcPr>
            <w:tcW w:w="1260" w:type="dxa"/>
            <w:vAlign w:val="bottom"/>
            <w:gridSpan w:val="2"/>
          </w:tcPr>
          <w:p>
            <w:pPr>
              <w:jc w:val="center"/>
              <w:ind w:right="120"/>
              <w:spacing w:after="0" w:line="143" w:lineRule="exact"/>
              <w:rPr>
                <w:sz w:val="20"/>
                <w:szCs w:val="20"/>
                <w:color w:val="auto"/>
              </w:rPr>
            </w:pPr>
            <w:r>
              <w:rPr>
                <w:rFonts w:ascii="Arial" w:cs="Arial" w:eastAsia="Arial" w:hAnsi="Arial"/>
                <w:sz w:val="14"/>
                <w:szCs w:val="14"/>
                <w:color w:val="auto"/>
                <w:w w:val="89"/>
              </w:rPr>
              <w:t>Semi-annual</w:t>
            </w:r>
          </w:p>
        </w:tc>
        <w:tc>
          <w:tcPr>
            <w:tcW w:w="1260" w:type="dxa"/>
            <w:vAlign w:val="bottom"/>
            <w:gridSpan w:val="2"/>
          </w:tcPr>
          <w:p>
            <w:pPr>
              <w:jc w:val="center"/>
              <w:ind w:right="140"/>
              <w:spacing w:after="0" w:line="143" w:lineRule="exact"/>
              <w:rPr>
                <w:sz w:val="20"/>
                <w:szCs w:val="20"/>
                <w:color w:val="auto"/>
              </w:rPr>
            </w:pPr>
            <w:r>
              <w:rPr>
                <w:rFonts w:ascii="Arial" w:cs="Arial" w:eastAsia="Arial" w:hAnsi="Arial"/>
                <w:sz w:val="14"/>
                <w:szCs w:val="14"/>
                <w:color w:val="auto"/>
                <w:w w:val="85"/>
              </w:rPr>
              <w:t>June 2019</w:t>
            </w:r>
          </w:p>
        </w:tc>
        <w:tc>
          <w:tcPr>
            <w:tcW w:w="1460" w:type="dxa"/>
            <w:vAlign w:val="bottom"/>
            <w:gridSpan w:val="2"/>
          </w:tcPr>
          <w:p>
            <w:pPr>
              <w:jc w:val="right"/>
              <w:ind w:right="200"/>
              <w:spacing w:after="0" w:line="143" w:lineRule="exact"/>
              <w:rPr>
                <w:sz w:val="20"/>
                <w:szCs w:val="20"/>
                <w:color w:val="auto"/>
              </w:rPr>
            </w:pPr>
            <w:r>
              <w:rPr>
                <w:rFonts w:ascii="Arial" w:cs="Arial" w:eastAsia="Arial" w:hAnsi="Arial"/>
                <w:sz w:val="14"/>
                <w:szCs w:val="14"/>
                <w:color w:val="auto"/>
              </w:rPr>
              <w:t>S/150,000</w:t>
            </w:r>
          </w:p>
        </w:tc>
        <w:tc>
          <w:tcPr>
            <w:tcW w:w="1440" w:type="dxa"/>
            <w:vAlign w:val="bottom"/>
            <w:gridSpan w:val="2"/>
          </w:tcPr>
          <w:p>
            <w:pPr>
              <w:jc w:val="right"/>
              <w:ind w:right="200"/>
              <w:spacing w:after="0" w:line="143" w:lineRule="exact"/>
              <w:rPr>
                <w:sz w:val="20"/>
                <w:szCs w:val="20"/>
                <w:color w:val="auto"/>
              </w:rPr>
            </w:pPr>
            <w:r>
              <w:rPr>
                <w:rFonts w:ascii="Arial" w:cs="Arial" w:eastAsia="Arial" w:hAnsi="Arial"/>
                <w:sz w:val="14"/>
                <w:szCs w:val="14"/>
                <w:color w:val="auto"/>
              </w:rPr>
              <w:t>136,311</w:t>
            </w:r>
          </w:p>
        </w:tc>
        <w:tc>
          <w:tcPr>
            <w:tcW w:w="1260" w:type="dxa"/>
            <w:vAlign w:val="bottom"/>
            <w:gridSpan w:val="2"/>
          </w:tcPr>
          <w:p>
            <w:pPr>
              <w:jc w:val="right"/>
              <w:ind w:right="20"/>
              <w:spacing w:after="0" w:line="143" w:lineRule="exact"/>
              <w:rPr>
                <w:sz w:val="20"/>
                <w:szCs w:val="20"/>
                <w:color w:val="auto"/>
              </w:rPr>
            </w:pPr>
            <w:r>
              <w:rPr>
                <w:rFonts w:ascii="Arial" w:cs="Arial" w:eastAsia="Arial" w:hAnsi="Arial"/>
                <w:sz w:val="14"/>
                <w:szCs w:val="14"/>
                <w:color w:val="auto"/>
              </w:rPr>
              <w:t>150,000</w:t>
            </w:r>
          </w:p>
        </w:tc>
        <w:tc>
          <w:tcPr>
            <w:tcW w:w="80" w:type="dxa"/>
            <w:vAlign w:val="bottom"/>
          </w:tcPr>
          <w:p>
            <w:pPr>
              <w:spacing w:after="0"/>
              <w:rPr>
                <w:sz w:val="12"/>
                <w:szCs w:val="12"/>
                <w:color w:val="auto"/>
              </w:rPr>
            </w:pPr>
          </w:p>
        </w:tc>
      </w:tr>
      <w:tr>
        <w:trPr>
          <w:trHeight w:val="143"/>
        </w:trPr>
        <w:tc>
          <w:tcPr>
            <w:tcW w:w="332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rPr>
              <w:t>First issuance (Series C) - BCP</w:t>
            </w:r>
          </w:p>
        </w:tc>
        <w:tc>
          <w:tcPr>
            <w:tcW w:w="1220" w:type="dxa"/>
            <w:vAlign w:val="bottom"/>
            <w:shd w:val="clear" w:color="auto" w:fill="CCEEFF"/>
          </w:tcPr>
          <w:p>
            <w:pPr>
              <w:jc w:val="center"/>
              <w:spacing w:after="0" w:line="143" w:lineRule="exact"/>
              <w:rPr>
                <w:sz w:val="20"/>
                <w:szCs w:val="20"/>
                <w:color w:val="auto"/>
              </w:rPr>
            </w:pPr>
            <w:r>
              <w:rPr>
                <w:rFonts w:ascii="Arial" w:cs="Arial" w:eastAsia="Arial" w:hAnsi="Arial"/>
                <w:sz w:val="14"/>
                <w:szCs w:val="14"/>
                <w:color w:val="auto"/>
                <w:w w:val="91"/>
              </w:rPr>
              <w:t>5.625</w:t>
            </w:r>
          </w:p>
        </w:tc>
        <w:tc>
          <w:tcPr>
            <w:tcW w:w="12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center"/>
              <w:ind w:right="120"/>
              <w:spacing w:after="0" w:line="143" w:lineRule="exact"/>
              <w:rPr>
                <w:sz w:val="20"/>
                <w:szCs w:val="20"/>
                <w:color w:val="auto"/>
              </w:rPr>
            </w:pPr>
            <w:r>
              <w:rPr>
                <w:rFonts w:ascii="Arial" w:cs="Arial" w:eastAsia="Arial" w:hAnsi="Arial"/>
                <w:sz w:val="14"/>
                <w:szCs w:val="14"/>
                <w:color w:val="auto"/>
                <w:w w:val="89"/>
              </w:rPr>
              <w:t>Semi-annual</w:t>
            </w:r>
          </w:p>
        </w:tc>
        <w:tc>
          <w:tcPr>
            <w:tcW w:w="1260" w:type="dxa"/>
            <w:vAlign w:val="bottom"/>
            <w:gridSpan w:val="2"/>
            <w:shd w:val="clear" w:color="auto" w:fill="CCEEFF"/>
          </w:tcPr>
          <w:p>
            <w:pPr>
              <w:jc w:val="center"/>
              <w:ind w:right="120"/>
              <w:spacing w:after="0" w:line="143" w:lineRule="exact"/>
              <w:rPr>
                <w:sz w:val="20"/>
                <w:szCs w:val="20"/>
                <w:color w:val="auto"/>
              </w:rPr>
            </w:pPr>
            <w:r>
              <w:rPr>
                <w:rFonts w:ascii="Arial" w:cs="Arial" w:eastAsia="Arial" w:hAnsi="Arial"/>
                <w:sz w:val="14"/>
                <w:szCs w:val="14"/>
                <w:color w:val="auto"/>
                <w:w w:val="90"/>
              </w:rPr>
              <w:t>November 2019</w:t>
            </w:r>
          </w:p>
        </w:tc>
        <w:tc>
          <w:tcPr>
            <w:tcW w:w="1460" w:type="dxa"/>
            <w:vAlign w:val="bottom"/>
            <w:gridSpan w:val="2"/>
            <w:shd w:val="clear" w:color="auto" w:fill="CCEEFF"/>
          </w:tcPr>
          <w:p>
            <w:pPr>
              <w:jc w:val="right"/>
              <w:ind w:right="200"/>
              <w:spacing w:after="0" w:line="143" w:lineRule="exact"/>
              <w:rPr>
                <w:sz w:val="20"/>
                <w:szCs w:val="20"/>
                <w:color w:val="auto"/>
              </w:rPr>
            </w:pPr>
            <w:r>
              <w:rPr>
                <w:rFonts w:ascii="Arial" w:cs="Arial" w:eastAsia="Arial" w:hAnsi="Arial"/>
                <w:sz w:val="14"/>
                <w:szCs w:val="14"/>
                <w:color w:val="auto"/>
              </w:rPr>
              <w:t>S/138,410</w:t>
            </w:r>
          </w:p>
        </w:tc>
        <w:tc>
          <w:tcPr>
            <w:tcW w:w="1440" w:type="dxa"/>
            <w:vAlign w:val="bottom"/>
            <w:gridSpan w:val="2"/>
            <w:shd w:val="clear" w:color="auto" w:fill="CCEEFF"/>
          </w:tcPr>
          <w:p>
            <w:pPr>
              <w:jc w:val="right"/>
              <w:ind w:right="200"/>
              <w:spacing w:after="0" w:line="143" w:lineRule="exact"/>
              <w:rPr>
                <w:sz w:val="20"/>
                <w:szCs w:val="20"/>
                <w:color w:val="auto"/>
              </w:rPr>
            </w:pPr>
            <w:r>
              <w:rPr>
                <w:rFonts w:ascii="Arial" w:cs="Arial" w:eastAsia="Arial" w:hAnsi="Arial"/>
                <w:sz w:val="14"/>
                <w:szCs w:val="14"/>
                <w:color w:val="auto"/>
              </w:rPr>
              <w:t>123,761</w:t>
            </w:r>
          </w:p>
        </w:tc>
        <w:tc>
          <w:tcPr>
            <w:tcW w:w="1260" w:type="dxa"/>
            <w:vAlign w:val="bottom"/>
            <w:gridSpan w:val="2"/>
            <w:shd w:val="clear" w:color="auto" w:fill="CCEEFF"/>
          </w:tcPr>
          <w:p>
            <w:pPr>
              <w:jc w:val="right"/>
              <w:ind w:right="20"/>
              <w:spacing w:after="0" w:line="143" w:lineRule="exact"/>
              <w:rPr>
                <w:sz w:val="20"/>
                <w:szCs w:val="20"/>
                <w:color w:val="auto"/>
              </w:rPr>
            </w:pPr>
            <w:r>
              <w:rPr>
                <w:rFonts w:ascii="Arial" w:cs="Arial" w:eastAsia="Arial" w:hAnsi="Arial"/>
                <w:sz w:val="14"/>
                <w:szCs w:val="14"/>
                <w:color w:val="auto"/>
              </w:rPr>
              <w:t>138,075</w:t>
            </w:r>
          </w:p>
        </w:tc>
        <w:tc>
          <w:tcPr>
            <w:tcW w:w="80" w:type="dxa"/>
            <w:vAlign w:val="bottom"/>
            <w:shd w:val="clear" w:color="auto" w:fill="CCEEFF"/>
          </w:tcPr>
          <w:p>
            <w:pPr>
              <w:spacing w:after="0"/>
              <w:rPr>
                <w:sz w:val="12"/>
                <w:szCs w:val="12"/>
                <w:color w:val="auto"/>
              </w:rPr>
            </w:pPr>
          </w:p>
        </w:tc>
      </w:tr>
      <w:tr>
        <w:trPr>
          <w:trHeight w:val="143"/>
        </w:trPr>
        <w:tc>
          <w:tcPr>
            <w:tcW w:w="3320" w:type="dxa"/>
            <w:vAlign w:val="bottom"/>
          </w:tcPr>
          <w:p>
            <w:pPr>
              <w:spacing w:after="0" w:line="143" w:lineRule="exact"/>
              <w:rPr>
                <w:sz w:val="20"/>
                <w:szCs w:val="20"/>
                <w:color w:val="auto"/>
              </w:rPr>
            </w:pPr>
            <w:r>
              <w:rPr>
                <w:rFonts w:ascii="Arial" w:cs="Arial" w:eastAsia="Arial" w:hAnsi="Arial"/>
                <w:sz w:val="14"/>
                <w:szCs w:val="14"/>
                <w:color w:val="auto"/>
              </w:rPr>
              <w:t>First issuance (Series D) - BCP</w:t>
            </w:r>
          </w:p>
        </w:tc>
        <w:tc>
          <w:tcPr>
            <w:tcW w:w="1220" w:type="dxa"/>
            <w:vAlign w:val="bottom"/>
          </w:tcPr>
          <w:p>
            <w:pPr>
              <w:jc w:val="center"/>
              <w:spacing w:after="0" w:line="143" w:lineRule="exact"/>
              <w:rPr>
                <w:sz w:val="20"/>
                <w:szCs w:val="20"/>
                <w:color w:val="auto"/>
              </w:rPr>
            </w:pPr>
            <w:r>
              <w:rPr>
                <w:rFonts w:ascii="Arial" w:cs="Arial" w:eastAsia="Arial" w:hAnsi="Arial"/>
                <w:sz w:val="14"/>
                <w:szCs w:val="14"/>
                <w:color w:val="auto"/>
                <w:w w:val="87"/>
              </w:rPr>
              <w:t>5.91</w:t>
            </w:r>
          </w:p>
        </w:tc>
        <w:tc>
          <w:tcPr>
            <w:tcW w:w="120" w:type="dxa"/>
            <w:vAlign w:val="bottom"/>
          </w:tcPr>
          <w:p>
            <w:pPr>
              <w:spacing w:after="0"/>
              <w:rPr>
                <w:sz w:val="12"/>
                <w:szCs w:val="12"/>
                <w:color w:val="auto"/>
              </w:rPr>
            </w:pPr>
          </w:p>
        </w:tc>
        <w:tc>
          <w:tcPr>
            <w:tcW w:w="1260" w:type="dxa"/>
            <w:vAlign w:val="bottom"/>
            <w:gridSpan w:val="2"/>
          </w:tcPr>
          <w:p>
            <w:pPr>
              <w:jc w:val="center"/>
              <w:ind w:right="120"/>
              <w:spacing w:after="0" w:line="143" w:lineRule="exact"/>
              <w:rPr>
                <w:sz w:val="20"/>
                <w:szCs w:val="20"/>
                <w:color w:val="auto"/>
              </w:rPr>
            </w:pPr>
            <w:r>
              <w:rPr>
                <w:rFonts w:ascii="Arial" w:cs="Arial" w:eastAsia="Arial" w:hAnsi="Arial"/>
                <w:sz w:val="14"/>
                <w:szCs w:val="14"/>
                <w:color w:val="auto"/>
                <w:w w:val="89"/>
              </w:rPr>
              <w:t>Semi-annual</w:t>
            </w:r>
          </w:p>
        </w:tc>
        <w:tc>
          <w:tcPr>
            <w:tcW w:w="1260" w:type="dxa"/>
            <w:vAlign w:val="bottom"/>
            <w:gridSpan w:val="2"/>
          </w:tcPr>
          <w:p>
            <w:pPr>
              <w:jc w:val="center"/>
              <w:ind w:right="120"/>
              <w:spacing w:after="0" w:line="143" w:lineRule="exact"/>
              <w:rPr>
                <w:sz w:val="20"/>
                <w:szCs w:val="20"/>
                <w:color w:val="auto"/>
              </w:rPr>
            </w:pPr>
            <w:r>
              <w:rPr>
                <w:rFonts w:ascii="Arial" w:cs="Arial" w:eastAsia="Arial" w:hAnsi="Arial"/>
                <w:sz w:val="14"/>
                <w:szCs w:val="14"/>
                <w:color w:val="auto"/>
                <w:w w:val="87"/>
              </w:rPr>
              <w:t>January 2020</w:t>
            </w:r>
          </w:p>
        </w:tc>
        <w:tc>
          <w:tcPr>
            <w:tcW w:w="1460" w:type="dxa"/>
            <w:vAlign w:val="bottom"/>
            <w:gridSpan w:val="2"/>
          </w:tcPr>
          <w:p>
            <w:pPr>
              <w:jc w:val="right"/>
              <w:ind w:right="200"/>
              <w:spacing w:after="0" w:line="143" w:lineRule="exact"/>
              <w:rPr>
                <w:sz w:val="20"/>
                <w:szCs w:val="20"/>
                <w:color w:val="auto"/>
              </w:rPr>
            </w:pPr>
            <w:r>
              <w:rPr>
                <w:rFonts w:ascii="Arial" w:cs="Arial" w:eastAsia="Arial" w:hAnsi="Arial"/>
                <w:sz w:val="14"/>
                <w:szCs w:val="14"/>
                <w:color w:val="auto"/>
              </w:rPr>
              <w:t>S/182,410</w:t>
            </w:r>
          </w:p>
        </w:tc>
        <w:tc>
          <w:tcPr>
            <w:tcW w:w="1440" w:type="dxa"/>
            <w:vAlign w:val="bottom"/>
            <w:gridSpan w:val="2"/>
          </w:tcPr>
          <w:p>
            <w:pPr>
              <w:jc w:val="right"/>
              <w:ind w:right="200"/>
              <w:spacing w:after="0" w:line="143" w:lineRule="exact"/>
              <w:rPr>
                <w:sz w:val="20"/>
                <w:szCs w:val="20"/>
                <w:color w:val="auto"/>
              </w:rPr>
            </w:pPr>
            <w:r>
              <w:rPr>
                <w:rFonts w:ascii="Arial" w:cs="Arial" w:eastAsia="Arial" w:hAnsi="Arial"/>
                <w:sz w:val="14"/>
                <w:szCs w:val="14"/>
                <w:color w:val="auto"/>
              </w:rPr>
              <w:t>167,500</w:t>
            </w:r>
          </w:p>
        </w:tc>
        <w:tc>
          <w:tcPr>
            <w:tcW w:w="1260" w:type="dxa"/>
            <w:vAlign w:val="bottom"/>
            <w:gridSpan w:val="2"/>
          </w:tcPr>
          <w:p>
            <w:pPr>
              <w:jc w:val="right"/>
              <w:ind w:right="20"/>
              <w:spacing w:after="0" w:line="143"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r>
      <w:tr>
        <w:trPr>
          <w:trHeight w:val="143"/>
        </w:trPr>
        <w:tc>
          <w:tcPr>
            <w:tcW w:w="332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143"/>
        </w:trPr>
        <w:tc>
          <w:tcPr>
            <w:tcW w:w="3320" w:type="dxa"/>
            <w:vAlign w:val="bottom"/>
          </w:tcPr>
          <w:p>
            <w:pPr>
              <w:spacing w:after="0" w:line="143" w:lineRule="exact"/>
              <w:rPr>
                <w:sz w:val="20"/>
                <w:szCs w:val="20"/>
                <w:color w:val="auto"/>
              </w:rPr>
            </w:pPr>
            <w:r>
              <w:rPr>
                <w:rFonts w:ascii="Arial" w:cs="Arial" w:eastAsia="Arial" w:hAnsi="Arial"/>
                <w:sz w:val="14"/>
                <w:szCs w:val="14"/>
                <w:b w:val="1"/>
                <w:bCs w:val="1"/>
                <w:color w:val="auto"/>
              </w:rPr>
              <w:t>Sixth program</w:t>
            </w:r>
          </w:p>
        </w:tc>
        <w:tc>
          <w:tcPr>
            <w:tcW w:w="1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56"/>
        </w:trPr>
        <w:tc>
          <w:tcPr>
            <w:tcW w:w="3320" w:type="dxa"/>
            <w:vAlign w:val="bottom"/>
            <w:shd w:val="clear" w:color="auto" w:fill="CCEEFF"/>
          </w:tcPr>
          <w:p>
            <w:pPr>
              <w:spacing w:after="0" w:line="156" w:lineRule="exact"/>
              <w:rPr>
                <w:sz w:val="20"/>
                <w:szCs w:val="20"/>
                <w:color w:val="auto"/>
              </w:rPr>
            </w:pPr>
            <w:r>
              <w:rPr>
                <w:rFonts w:ascii="Arial" w:cs="Arial" w:eastAsia="Arial" w:hAnsi="Arial"/>
                <w:sz w:val="14"/>
                <w:szCs w:val="14"/>
                <w:color w:val="auto"/>
              </w:rPr>
              <w:t>Third issuance (Series A) - Mibanco</w:t>
            </w:r>
          </w:p>
        </w:tc>
        <w:tc>
          <w:tcPr>
            <w:tcW w:w="1220" w:type="dxa"/>
            <w:vAlign w:val="bottom"/>
            <w:shd w:val="clear" w:color="auto" w:fill="CCEEFF"/>
          </w:tcPr>
          <w:p>
            <w:pPr>
              <w:jc w:val="center"/>
              <w:spacing w:after="0" w:line="156" w:lineRule="exact"/>
              <w:rPr>
                <w:sz w:val="20"/>
                <w:szCs w:val="20"/>
                <w:color w:val="auto"/>
              </w:rPr>
            </w:pPr>
            <w:r>
              <w:rPr>
                <w:rFonts w:ascii="Arial" w:cs="Arial" w:eastAsia="Arial" w:hAnsi="Arial"/>
                <w:sz w:val="14"/>
                <w:szCs w:val="14"/>
                <w:color w:val="auto"/>
                <w:w w:val="87"/>
              </w:rPr>
              <w:t>5.16</w:t>
            </w:r>
          </w:p>
        </w:tc>
        <w:tc>
          <w:tcPr>
            <w:tcW w:w="120" w:type="dxa"/>
            <w:vAlign w:val="bottom"/>
            <w:shd w:val="clear" w:color="auto" w:fill="CCEEFF"/>
          </w:tcPr>
          <w:p>
            <w:pPr>
              <w:spacing w:after="0"/>
              <w:rPr>
                <w:sz w:val="13"/>
                <w:szCs w:val="13"/>
                <w:color w:val="auto"/>
              </w:rPr>
            </w:pPr>
          </w:p>
        </w:tc>
        <w:tc>
          <w:tcPr>
            <w:tcW w:w="1260" w:type="dxa"/>
            <w:vAlign w:val="bottom"/>
            <w:gridSpan w:val="2"/>
            <w:shd w:val="clear" w:color="auto" w:fill="CCEEFF"/>
          </w:tcPr>
          <w:p>
            <w:pPr>
              <w:jc w:val="center"/>
              <w:ind w:right="120"/>
              <w:spacing w:after="0" w:line="156" w:lineRule="exact"/>
              <w:rPr>
                <w:sz w:val="20"/>
                <w:szCs w:val="20"/>
                <w:color w:val="auto"/>
              </w:rPr>
            </w:pPr>
            <w:r>
              <w:rPr>
                <w:rFonts w:ascii="Arial" w:cs="Arial" w:eastAsia="Arial" w:hAnsi="Arial"/>
                <w:sz w:val="14"/>
                <w:szCs w:val="14"/>
                <w:color w:val="auto"/>
                <w:w w:val="89"/>
              </w:rPr>
              <w:t>Semi-annual</w:t>
            </w:r>
          </w:p>
        </w:tc>
        <w:tc>
          <w:tcPr>
            <w:tcW w:w="1260" w:type="dxa"/>
            <w:vAlign w:val="bottom"/>
            <w:gridSpan w:val="2"/>
            <w:shd w:val="clear" w:color="auto" w:fill="CCEEFF"/>
          </w:tcPr>
          <w:p>
            <w:pPr>
              <w:jc w:val="center"/>
              <w:ind w:right="140"/>
              <w:spacing w:after="0" w:line="156" w:lineRule="exact"/>
              <w:rPr>
                <w:sz w:val="20"/>
                <w:szCs w:val="20"/>
                <w:color w:val="auto"/>
              </w:rPr>
            </w:pPr>
            <w:r>
              <w:rPr>
                <w:rFonts w:ascii="Arial" w:cs="Arial" w:eastAsia="Arial" w:hAnsi="Arial"/>
                <w:sz w:val="14"/>
                <w:szCs w:val="14"/>
                <w:color w:val="auto"/>
                <w:w w:val="91"/>
              </w:rPr>
              <w:t>May 2017</w:t>
            </w:r>
          </w:p>
        </w:tc>
        <w:tc>
          <w:tcPr>
            <w:tcW w:w="1460" w:type="dxa"/>
            <w:vAlign w:val="bottom"/>
            <w:gridSpan w:val="2"/>
            <w:shd w:val="clear" w:color="auto" w:fill="CCEEFF"/>
          </w:tcPr>
          <w:p>
            <w:pPr>
              <w:jc w:val="right"/>
              <w:ind w:right="200"/>
              <w:spacing w:after="0" w:line="156" w:lineRule="exact"/>
              <w:rPr>
                <w:sz w:val="20"/>
                <w:szCs w:val="20"/>
                <w:color w:val="auto"/>
              </w:rPr>
            </w:pPr>
            <w:r>
              <w:rPr>
                <w:rFonts w:ascii="Arial" w:cs="Arial" w:eastAsia="Arial" w:hAnsi="Arial"/>
                <w:sz w:val="14"/>
                <w:szCs w:val="14"/>
                <w:color w:val="auto"/>
              </w:rPr>
              <w:t>S/50,000</w:t>
            </w:r>
          </w:p>
        </w:tc>
        <w:tc>
          <w:tcPr>
            <w:tcW w:w="1440" w:type="dxa"/>
            <w:vAlign w:val="bottom"/>
            <w:gridSpan w:val="2"/>
            <w:shd w:val="clear" w:color="auto" w:fill="CCEEFF"/>
          </w:tcPr>
          <w:p>
            <w:pPr>
              <w:jc w:val="right"/>
              <w:ind w:right="200"/>
              <w:spacing w:after="0" w:line="156" w:lineRule="exact"/>
              <w:rPr>
                <w:sz w:val="20"/>
                <w:szCs w:val="20"/>
                <w:color w:val="auto"/>
              </w:rPr>
            </w:pPr>
            <w:r>
              <w:rPr>
                <w:rFonts w:ascii="Arial" w:cs="Arial" w:eastAsia="Arial" w:hAnsi="Arial"/>
                <w:sz w:val="14"/>
                <w:szCs w:val="14"/>
                <w:color w:val="auto"/>
              </w:rPr>
              <w:t>-</w:t>
            </w:r>
          </w:p>
        </w:tc>
        <w:tc>
          <w:tcPr>
            <w:tcW w:w="1260" w:type="dxa"/>
            <w:vAlign w:val="bottom"/>
            <w:gridSpan w:val="2"/>
            <w:shd w:val="clear" w:color="auto" w:fill="CCEEFF"/>
          </w:tcPr>
          <w:p>
            <w:pPr>
              <w:jc w:val="right"/>
              <w:ind w:right="20"/>
              <w:spacing w:after="0" w:line="156" w:lineRule="exact"/>
              <w:rPr>
                <w:sz w:val="20"/>
                <w:szCs w:val="20"/>
                <w:color w:val="auto"/>
              </w:rPr>
            </w:pPr>
            <w:r>
              <w:rPr>
                <w:rFonts w:ascii="Arial" w:cs="Arial" w:eastAsia="Arial" w:hAnsi="Arial"/>
                <w:sz w:val="14"/>
                <w:szCs w:val="14"/>
                <w:color w:val="auto"/>
              </w:rPr>
              <w:t>46,165</w:t>
            </w:r>
          </w:p>
        </w:tc>
        <w:tc>
          <w:tcPr>
            <w:tcW w:w="80" w:type="dxa"/>
            <w:vAlign w:val="bottom"/>
            <w:shd w:val="clear" w:color="auto" w:fill="CCEEFF"/>
          </w:tcPr>
          <w:p>
            <w:pPr>
              <w:spacing w:after="0"/>
              <w:rPr>
                <w:sz w:val="13"/>
                <w:szCs w:val="13"/>
                <w:color w:val="auto"/>
              </w:rPr>
            </w:pPr>
          </w:p>
        </w:tc>
      </w:tr>
      <w:tr>
        <w:trPr>
          <w:trHeight w:val="136"/>
        </w:trPr>
        <w:tc>
          <w:tcPr>
            <w:tcW w:w="332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40" w:type="dxa"/>
            <w:vAlign w:val="bottom"/>
            <w:tcBorders>
              <w:top w:val="single" w:sz="8" w:color="auto"/>
              <w:bottom w:val="single" w:sz="8" w:color="auto"/>
            </w:tcBorders>
          </w:tcPr>
          <w:p>
            <w:pPr>
              <w:jc w:val="right"/>
              <w:spacing w:after="0" w:line="136" w:lineRule="exact"/>
              <w:rPr>
                <w:sz w:val="20"/>
                <w:szCs w:val="20"/>
                <w:color w:val="auto"/>
              </w:rPr>
            </w:pPr>
            <w:r>
              <w:rPr>
                <w:rFonts w:ascii="Arial" w:cs="Arial" w:eastAsia="Arial" w:hAnsi="Arial"/>
                <w:sz w:val="14"/>
                <w:szCs w:val="14"/>
                <w:color w:val="auto"/>
              </w:rPr>
              <w:t>1,490,185</w:t>
            </w:r>
          </w:p>
        </w:tc>
        <w:tc>
          <w:tcPr>
            <w:tcW w:w="200" w:type="dxa"/>
            <w:vAlign w:val="bottom"/>
          </w:tcPr>
          <w:p>
            <w:pPr>
              <w:spacing w:after="0"/>
              <w:rPr>
                <w:sz w:val="11"/>
                <w:szCs w:val="11"/>
                <w:color w:val="auto"/>
              </w:rPr>
            </w:pPr>
          </w:p>
        </w:tc>
        <w:tc>
          <w:tcPr>
            <w:tcW w:w="1240" w:type="dxa"/>
            <w:vAlign w:val="bottom"/>
            <w:tcBorders>
              <w:top w:val="single" w:sz="8" w:color="auto"/>
              <w:bottom w:val="single" w:sz="8" w:color="auto"/>
            </w:tcBorders>
          </w:tcPr>
          <w:p>
            <w:pPr>
              <w:jc w:val="right"/>
              <w:spacing w:after="0" w:line="136" w:lineRule="exact"/>
              <w:rPr>
                <w:sz w:val="20"/>
                <w:szCs w:val="20"/>
                <w:color w:val="auto"/>
              </w:rPr>
            </w:pPr>
            <w:r>
              <w:rPr>
                <w:rFonts w:ascii="Arial" w:cs="Arial" w:eastAsia="Arial" w:hAnsi="Arial"/>
                <w:sz w:val="14"/>
                <w:szCs w:val="14"/>
                <w:color w:val="auto"/>
              </w:rPr>
              <w:t>1,619,067</w:t>
            </w:r>
          </w:p>
        </w:tc>
        <w:tc>
          <w:tcPr>
            <w:tcW w:w="2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r>
    </w:tbl>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- 84 -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15875</wp:posOffset>
            </wp:positionV>
            <wp:extent cx="725170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51700" cy="8255"/>
                    </a:xfrm>
                    <a:prstGeom prst="rect">
                      <a:avLst/>
                    </a:prstGeom>
                    <a:noFill/>
                  </pic:spPr>
                </pic:pic>
              </a:graphicData>
            </a:graphic>
          </wp:anchor>
        </w:drawing>
      </w:r>
    </w:p>
    <w:p>
      <w:pPr>
        <w:sectPr>
          <w:pgSz w:w="11900" w:h="16838" w:orient="portrait"/>
          <w:cols w:equalWidth="0" w:num="1">
            <w:col w:w="11420"/>
          </w:cols>
          <w:pgMar w:left="240" w:top="875" w:right="239" w:bottom="1440" w:gutter="0" w:footer="0" w:header="0"/>
        </w:sectPr>
      </w:pPr>
    </w:p>
    <w:bookmarkStart w:id="90" w:name="page91"/>
    <w:bookmarkEnd w:id="90"/>
    <w:tbl>
      <w:tblPr>
        <w:tblLayout w:type="fixed"/>
        <w:tblInd w:w="0" w:type="dxa"/>
        <w:tblCellMar>
          <w:top w:w="0" w:type="dxa"/>
          <w:left w:w="0" w:type="dxa"/>
          <w:bottom w:w="0" w:type="dxa"/>
          <w:right w:w="0" w:type="dxa"/>
        </w:tblCellMar>
      </w:tblPr>
      <w:tr>
        <w:trPr>
          <w:trHeight w:val="165"/>
        </w:trPr>
        <w:tc>
          <w:tcPr>
            <w:tcW w:w="3340" w:type="dxa"/>
            <w:vAlign w:val="bottom"/>
          </w:tcPr>
          <w:p>
            <w:pPr>
              <w:spacing w:after="0"/>
              <w:rPr>
                <w:sz w:val="14"/>
                <w:szCs w:val="14"/>
                <w:color w:val="auto"/>
              </w:rPr>
            </w:pPr>
          </w:p>
        </w:tc>
        <w:tc>
          <w:tcPr>
            <w:tcW w:w="13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Annual interest rate</w:t>
            </w:r>
          </w:p>
        </w:tc>
        <w:tc>
          <w:tcPr>
            <w:tcW w:w="12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Interest payment</w:t>
            </w:r>
          </w:p>
        </w:tc>
        <w:tc>
          <w:tcPr>
            <w:tcW w:w="12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Maturity</w:t>
            </w:r>
          </w:p>
        </w:tc>
        <w:tc>
          <w:tcPr>
            <w:tcW w:w="1460" w:type="dxa"/>
            <w:vAlign w:val="bottom"/>
            <w:gridSpan w:val="2"/>
          </w:tcPr>
          <w:p>
            <w:pPr>
              <w:ind w:left="200"/>
              <w:spacing w:after="0"/>
              <w:rPr>
                <w:sz w:val="20"/>
                <w:szCs w:val="20"/>
                <w:color w:val="auto"/>
              </w:rPr>
            </w:pPr>
            <w:r>
              <w:rPr>
                <w:rFonts w:ascii="Arial" w:cs="Arial" w:eastAsia="Arial" w:hAnsi="Arial"/>
                <w:sz w:val="14"/>
                <w:szCs w:val="14"/>
                <w:b w:val="1"/>
                <w:bCs w:val="1"/>
                <w:color w:val="auto"/>
              </w:rPr>
              <w:t>Issued amount</w:t>
            </w:r>
          </w:p>
        </w:tc>
        <w:tc>
          <w:tcPr>
            <w:tcW w:w="1240" w:type="dxa"/>
            <w:vAlign w:val="bottom"/>
          </w:tcPr>
          <w:p>
            <w:pPr>
              <w:jc w:val="right"/>
              <w:ind w:right="411"/>
              <w:spacing w:after="0"/>
              <w:rPr>
                <w:sz w:val="20"/>
                <w:szCs w:val="20"/>
                <w:color w:val="auto"/>
              </w:rPr>
            </w:pPr>
            <w:r>
              <w:rPr>
                <w:rFonts w:ascii="Arial" w:cs="Arial" w:eastAsia="Arial" w:hAnsi="Arial"/>
                <w:sz w:val="14"/>
                <w:szCs w:val="14"/>
                <w:b w:val="1"/>
                <w:bCs w:val="1"/>
                <w:color w:val="auto"/>
              </w:rPr>
              <w:t>2017</w:t>
            </w:r>
          </w:p>
        </w:tc>
        <w:tc>
          <w:tcPr>
            <w:tcW w:w="200" w:type="dxa"/>
            <w:vAlign w:val="bottom"/>
          </w:tcPr>
          <w:p>
            <w:pPr>
              <w:spacing w:after="0"/>
              <w:rPr>
                <w:sz w:val="14"/>
                <w:szCs w:val="14"/>
                <w:color w:val="auto"/>
              </w:rPr>
            </w:pPr>
          </w:p>
        </w:tc>
        <w:tc>
          <w:tcPr>
            <w:tcW w:w="1240" w:type="dxa"/>
            <w:vAlign w:val="bottom"/>
          </w:tcPr>
          <w:p>
            <w:pPr>
              <w:jc w:val="right"/>
              <w:ind w:right="411"/>
              <w:spacing w:after="0"/>
              <w:rPr>
                <w:sz w:val="20"/>
                <w:szCs w:val="20"/>
                <w:color w:val="auto"/>
              </w:rPr>
            </w:pPr>
            <w:r>
              <w:rPr>
                <w:rFonts w:ascii="Arial" w:cs="Arial" w:eastAsia="Arial" w:hAnsi="Arial"/>
                <w:sz w:val="14"/>
                <w:szCs w:val="14"/>
                <w:b w:val="1"/>
                <w:bCs w:val="1"/>
                <w:color w:val="auto"/>
              </w:rPr>
              <w:t>2016</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72"/>
        </w:trPr>
        <w:tc>
          <w:tcPr>
            <w:tcW w:w="3340" w:type="dxa"/>
            <w:vAlign w:val="bottom"/>
          </w:tcPr>
          <w:p>
            <w:pPr>
              <w:spacing w:after="0"/>
              <w:rPr>
                <w:sz w:val="14"/>
                <w:szCs w:val="14"/>
                <w:color w:val="auto"/>
              </w:rPr>
            </w:pPr>
          </w:p>
        </w:tc>
        <w:tc>
          <w:tcPr>
            <w:tcW w:w="122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4"/>
                <w:szCs w:val="14"/>
                <w:color w:val="auto"/>
              </w:rPr>
            </w:pPr>
          </w:p>
        </w:tc>
        <w:tc>
          <w:tcPr>
            <w:tcW w:w="11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S/(000)</w:t>
            </w:r>
          </w:p>
        </w:tc>
        <w:tc>
          <w:tcPr>
            <w:tcW w:w="200" w:type="dxa"/>
            <w:vAlign w:val="bottom"/>
          </w:tcPr>
          <w:p>
            <w:pPr>
              <w:spacing w:after="0"/>
              <w:rPr>
                <w:sz w:val="14"/>
                <w:szCs w:val="14"/>
                <w:color w:val="auto"/>
              </w:rPr>
            </w:pPr>
          </w:p>
        </w:tc>
        <w:tc>
          <w:tcPr>
            <w:tcW w:w="124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S/(000)</w:t>
            </w:r>
          </w:p>
        </w:tc>
        <w:tc>
          <w:tcPr>
            <w:tcW w:w="100" w:type="dxa"/>
            <w:vAlign w:val="bottom"/>
            <w:gridSpan w:val="2"/>
          </w:tcPr>
          <w:p>
            <w:pPr>
              <w:spacing w:after="0"/>
              <w:rPr>
                <w:sz w:val="14"/>
                <w:szCs w:val="14"/>
                <w:color w:val="auto"/>
              </w:rPr>
            </w:pPr>
          </w:p>
        </w:tc>
      </w:tr>
      <w:tr>
        <w:trPr>
          <w:trHeight w:val="106"/>
        </w:trPr>
        <w:tc>
          <w:tcPr>
            <w:tcW w:w="334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r>
      <w:tr>
        <w:trPr>
          <w:trHeight w:val="143"/>
        </w:trPr>
        <w:tc>
          <w:tcPr>
            <w:tcW w:w="3340" w:type="dxa"/>
            <w:vAlign w:val="bottom"/>
            <w:shd w:val="clear" w:color="auto" w:fill="CCEEFF"/>
          </w:tcPr>
          <w:p>
            <w:pPr>
              <w:spacing w:after="0" w:line="143" w:lineRule="exact"/>
              <w:rPr>
                <w:sz w:val="20"/>
                <w:szCs w:val="20"/>
                <w:color w:val="auto"/>
              </w:rPr>
            </w:pPr>
            <w:r>
              <w:rPr>
                <w:rFonts w:ascii="Arial" w:cs="Arial" w:eastAsia="Arial" w:hAnsi="Arial"/>
                <w:sz w:val="14"/>
                <w:szCs w:val="14"/>
                <w:b w:val="1"/>
                <w:bCs w:val="1"/>
                <w:color w:val="auto"/>
              </w:rPr>
              <w:t>Subordinated bonds - BCP (iv)</w:t>
            </w:r>
          </w:p>
        </w:tc>
        <w:tc>
          <w:tcPr>
            <w:tcW w:w="1220" w:type="dxa"/>
            <w:vAlign w:val="bottom"/>
            <w:shd w:val="clear" w:color="auto" w:fill="CCEEFF"/>
          </w:tcPr>
          <w:p>
            <w:pPr>
              <w:jc w:val="center"/>
              <w:spacing w:after="0" w:line="143" w:lineRule="exact"/>
              <w:rPr>
                <w:sz w:val="20"/>
                <w:szCs w:val="20"/>
                <w:color w:val="auto"/>
              </w:rPr>
            </w:pPr>
            <w:r>
              <w:rPr>
                <w:rFonts w:ascii="Arial" w:cs="Arial" w:eastAsia="Arial" w:hAnsi="Arial"/>
                <w:sz w:val="14"/>
                <w:szCs w:val="14"/>
                <w:color w:val="auto"/>
                <w:w w:val="87"/>
              </w:rPr>
              <w:t>6.13</w:t>
            </w:r>
          </w:p>
        </w:tc>
        <w:tc>
          <w:tcPr>
            <w:tcW w:w="10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center"/>
              <w:ind w:right="100"/>
              <w:spacing w:after="0" w:line="143" w:lineRule="exact"/>
              <w:rPr>
                <w:sz w:val="20"/>
                <w:szCs w:val="20"/>
                <w:color w:val="auto"/>
              </w:rPr>
            </w:pPr>
            <w:r>
              <w:rPr>
                <w:rFonts w:ascii="Arial" w:cs="Arial" w:eastAsia="Arial" w:hAnsi="Arial"/>
                <w:sz w:val="14"/>
                <w:szCs w:val="14"/>
                <w:color w:val="auto"/>
                <w:w w:val="86"/>
              </w:rPr>
              <w:t>Semi-annual</w:t>
            </w:r>
          </w:p>
        </w:tc>
        <w:tc>
          <w:tcPr>
            <w:tcW w:w="1260" w:type="dxa"/>
            <w:vAlign w:val="bottom"/>
            <w:gridSpan w:val="2"/>
            <w:shd w:val="clear" w:color="auto" w:fill="CCEEFF"/>
          </w:tcPr>
          <w:p>
            <w:pPr>
              <w:jc w:val="center"/>
              <w:ind w:right="100"/>
              <w:spacing w:after="0" w:line="143" w:lineRule="exact"/>
              <w:rPr>
                <w:sz w:val="20"/>
                <w:szCs w:val="20"/>
                <w:color w:val="auto"/>
              </w:rPr>
            </w:pPr>
            <w:r>
              <w:rPr>
                <w:rFonts w:ascii="Arial" w:cs="Arial" w:eastAsia="Arial" w:hAnsi="Arial"/>
                <w:sz w:val="14"/>
                <w:szCs w:val="14"/>
                <w:color w:val="auto"/>
                <w:w w:val="95"/>
              </w:rPr>
              <w:t>April 2027</w:t>
            </w:r>
          </w:p>
        </w:tc>
        <w:tc>
          <w:tcPr>
            <w:tcW w:w="1460" w:type="dxa"/>
            <w:vAlign w:val="bottom"/>
            <w:gridSpan w:val="2"/>
            <w:shd w:val="clear" w:color="auto" w:fill="CCEEFF"/>
          </w:tcPr>
          <w:p>
            <w:pPr>
              <w:jc w:val="right"/>
              <w:ind w:right="200"/>
              <w:spacing w:after="0" w:line="143" w:lineRule="exact"/>
              <w:rPr>
                <w:sz w:val="20"/>
                <w:szCs w:val="20"/>
                <w:color w:val="auto"/>
              </w:rPr>
            </w:pPr>
            <w:r>
              <w:rPr>
                <w:rFonts w:ascii="Arial" w:cs="Arial" w:eastAsia="Arial" w:hAnsi="Arial"/>
                <w:sz w:val="14"/>
                <w:szCs w:val="14"/>
                <w:color w:val="auto"/>
              </w:rPr>
              <w:t>US$720,000</w:t>
            </w:r>
          </w:p>
        </w:tc>
        <w:tc>
          <w:tcPr>
            <w:tcW w:w="1440" w:type="dxa"/>
            <w:vAlign w:val="bottom"/>
            <w:gridSpan w:val="2"/>
            <w:shd w:val="clear" w:color="auto" w:fill="CCEEFF"/>
          </w:tcPr>
          <w:p>
            <w:pPr>
              <w:jc w:val="right"/>
              <w:ind w:right="200"/>
              <w:spacing w:after="0" w:line="143" w:lineRule="exact"/>
              <w:rPr>
                <w:sz w:val="20"/>
                <w:szCs w:val="20"/>
                <w:color w:val="auto"/>
              </w:rPr>
            </w:pPr>
            <w:r>
              <w:rPr>
                <w:rFonts w:ascii="Arial" w:cs="Arial" w:eastAsia="Arial" w:hAnsi="Arial"/>
                <w:sz w:val="14"/>
                <w:szCs w:val="14"/>
                <w:color w:val="auto"/>
              </w:rPr>
              <w:t>2,333,152</w:t>
            </w:r>
          </w:p>
        </w:tc>
        <w:tc>
          <w:tcPr>
            <w:tcW w:w="1260" w:type="dxa"/>
            <w:vAlign w:val="bottom"/>
            <w:gridSpan w:val="2"/>
            <w:shd w:val="clear" w:color="auto" w:fill="CCEEFF"/>
          </w:tcPr>
          <w:p>
            <w:pPr>
              <w:jc w:val="right"/>
              <w:ind w:right="20"/>
              <w:spacing w:after="0" w:line="143" w:lineRule="exact"/>
              <w:rPr>
                <w:sz w:val="20"/>
                <w:szCs w:val="20"/>
                <w:color w:val="auto"/>
              </w:rPr>
            </w:pPr>
            <w:r>
              <w:rPr>
                <w:rFonts w:ascii="Arial" w:cs="Arial" w:eastAsia="Arial" w:hAnsi="Arial"/>
                <w:sz w:val="14"/>
                <w:szCs w:val="14"/>
                <w:color w:val="auto"/>
              </w:rPr>
              <w:t>2,423,720</w:t>
            </w:r>
          </w:p>
        </w:tc>
        <w:tc>
          <w:tcPr>
            <w:tcW w:w="80" w:type="dxa"/>
            <w:vAlign w:val="bottom"/>
            <w:shd w:val="clear" w:color="auto" w:fill="CCEEFF"/>
          </w:tcPr>
          <w:p>
            <w:pPr>
              <w:spacing w:after="0"/>
              <w:rPr>
                <w:sz w:val="12"/>
                <w:szCs w:val="12"/>
                <w:color w:val="auto"/>
              </w:rPr>
            </w:pPr>
          </w:p>
        </w:tc>
      </w:tr>
      <w:tr>
        <w:trPr>
          <w:trHeight w:val="143"/>
        </w:trPr>
        <w:tc>
          <w:tcPr>
            <w:tcW w:w="33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43"/>
        </w:trPr>
        <w:tc>
          <w:tcPr>
            <w:tcW w:w="3340" w:type="dxa"/>
            <w:vAlign w:val="bottom"/>
            <w:shd w:val="clear" w:color="auto" w:fill="CCEEFF"/>
          </w:tcPr>
          <w:p>
            <w:pPr>
              <w:spacing w:after="0" w:line="143" w:lineRule="exact"/>
              <w:rPr>
                <w:sz w:val="20"/>
                <w:szCs w:val="20"/>
                <w:color w:val="auto"/>
              </w:rPr>
            </w:pPr>
            <w:r>
              <w:rPr>
                <w:rFonts w:ascii="Arial" w:cs="Arial" w:eastAsia="Arial" w:hAnsi="Arial"/>
                <w:sz w:val="14"/>
                <w:szCs w:val="14"/>
                <w:b w:val="1"/>
                <w:bCs w:val="1"/>
                <w:color w:val="auto"/>
              </w:rPr>
              <w:t>Subordinated bonds - BCP (v)</w:t>
            </w:r>
          </w:p>
        </w:tc>
        <w:tc>
          <w:tcPr>
            <w:tcW w:w="1220" w:type="dxa"/>
            <w:vAlign w:val="bottom"/>
            <w:shd w:val="clear" w:color="auto" w:fill="CCEEFF"/>
          </w:tcPr>
          <w:p>
            <w:pPr>
              <w:jc w:val="center"/>
              <w:spacing w:after="0" w:line="143" w:lineRule="exact"/>
              <w:rPr>
                <w:sz w:val="20"/>
                <w:szCs w:val="20"/>
                <w:color w:val="auto"/>
              </w:rPr>
            </w:pPr>
            <w:r>
              <w:rPr>
                <w:rFonts w:ascii="Arial" w:cs="Arial" w:eastAsia="Arial" w:hAnsi="Arial"/>
                <w:sz w:val="14"/>
                <w:szCs w:val="14"/>
                <w:color w:val="auto"/>
                <w:w w:val="87"/>
              </w:rPr>
              <w:t>6.88</w:t>
            </w:r>
          </w:p>
        </w:tc>
        <w:tc>
          <w:tcPr>
            <w:tcW w:w="10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center"/>
              <w:ind w:right="100"/>
              <w:spacing w:after="0" w:line="143" w:lineRule="exact"/>
              <w:rPr>
                <w:sz w:val="20"/>
                <w:szCs w:val="20"/>
                <w:color w:val="auto"/>
              </w:rPr>
            </w:pPr>
            <w:r>
              <w:rPr>
                <w:rFonts w:ascii="Arial" w:cs="Arial" w:eastAsia="Arial" w:hAnsi="Arial"/>
                <w:sz w:val="14"/>
                <w:szCs w:val="14"/>
                <w:color w:val="auto"/>
                <w:w w:val="86"/>
              </w:rPr>
              <w:t>Semi-annual</w:t>
            </w:r>
          </w:p>
        </w:tc>
        <w:tc>
          <w:tcPr>
            <w:tcW w:w="1260" w:type="dxa"/>
            <w:vAlign w:val="bottom"/>
            <w:gridSpan w:val="2"/>
            <w:shd w:val="clear" w:color="auto" w:fill="CCEEFF"/>
          </w:tcPr>
          <w:p>
            <w:pPr>
              <w:jc w:val="center"/>
              <w:ind w:right="100"/>
              <w:spacing w:after="0" w:line="143" w:lineRule="exact"/>
              <w:rPr>
                <w:sz w:val="20"/>
                <w:szCs w:val="20"/>
                <w:color w:val="auto"/>
              </w:rPr>
            </w:pPr>
            <w:r>
              <w:rPr>
                <w:rFonts w:ascii="Arial" w:cs="Arial" w:eastAsia="Arial" w:hAnsi="Arial"/>
                <w:sz w:val="14"/>
                <w:szCs w:val="14"/>
                <w:color w:val="auto"/>
                <w:w w:val="88"/>
              </w:rPr>
              <w:t>September 2026</w:t>
            </w:r>
          </w:p>
        </w:tc>
        <w:tc>
          <w:tcPr>
            <w:tcW w:w="1460" w:type="dxa"/>
            <w:vAlign w:val="bottom"/>
            <w:gridSpan w:val="2"/>
            <w:shd w:val="clear" w:color="auto" w:fill="CCEEFF"/>
          </w:tcPr>
          <w:p>
            <w:pPr>
              <w:jc w:val="right"/>
              <w:ind w:right="200"/>
              <w:spacing w:after="0" w:line="143" w:lineRule="exact"/>
              <w:rPr>
                <w:sz w:val="20"/>
                <w:szCs w:val="20"/>
                <w:color w:val="auto"/>
              </w:rPr>
            </w:pPr>
            <w:r>
              <w:rPr>
                <w:rFonts w:ascii="Arial" w:cs="Arial" w:eastAsia="Arial" w:hAnsi="Arial"/>
                <w:sz w:val="14"/>
                <w:szCs w:val="14"/>
                <w:color w:val="auto"/>
              </w:rPr>
              <w:t>US$350,000</w:t>
            </w:r>
          </w:p>
        </w:tc>
        <w:tc>
          <w:tcPr>
            <w:tcW w:w="1440" w:type="dxa"/>
            <w:vAlign w:val="bottom"/>
            <w:gridSpan w:val="2"/>
            <w:shd w:val="clear" w:color="auto" w:fill="CCEEFF"/>
          </w:tcPr>
          <w:p>
            <w:pPr>
              <w:jc w:val="right"/>
              <w:ind w:right="200"/>
              <w:spacing w:after="0" w:line="143" w:lineRule="exact"/>
              <w:rPr>
                <w:sz w:val="20"/>
                <w:szCs w:val="20"/>
                <w:color w:val="auto"/>
              </w:rPr>
            </w:pPr>
            <w:r>
              <w:rPr>
                <w:rFonts w:ascii="Arial" w:cs="Arial" w:eastAsia="Arial" w:hAnsi="Arial"/>
                <w:sz w:val="14"/>
                <w:szCs w:val="14"/>
                <w:color w:val="auto"/>
              </w:rPr>
              <w:t>1,135,050</w:t>
            </w:r>
          </w:p>
        </w:tc>
        <w:tc>
          <w:tcPr>
            <w:tcW w:w="1260" w:type="dxa"/>
            <w:vAlign w:val="bottom"/>
            <w:gridSpan w:val="2"/>
            <w:shd w:val="clear" w:color="auto" w:fill="CCEEFF"/>
          </w:tcPr>
          <w:p>
            <w:pPr>
              <w:jc w:val="right"/>
              <w:ind w:right="20"/>
              <w:spacing w:after="0" w:line="143" w:lineRule="exact"/>
              <w:rPr>
                <w:sz w:val="20"/>
                <w:szCs w:val="20"/>
                <w:color w:val="auto"/>
              </w:rPr>
            </w:pPr>
            <w:r>
              <w:rPr>
                <w:rFonts w:ascii="Arial" w:cs="Arial" w:eastAsia="Arial" w:hAnsi="Arial"/>
                <w:sz w:val="14"/>
                <w:szCs w:val="14"/>
                <w:color w:val="auto"/>
              </w:rPr>
              <w:t>1,194,773</w:t>
            </w:r>
          </w:p>
        </w:tc>
        <w:tc>
          <w:tcPr>
            <w:tcW w:w="80" w:type="dxa"/>
            <w:vAlign w:val="bottom"/>
            <w:shd w:val="clear" w:color="auto" w:fill="CCEEFF"/>
          </w:tcPr>
          <w:p>
            <w:pPr>
              <w:spacing w:after="0"/>
              <w:rPr>
                <w:sz w:val="12"/>
                <w:szCs w:val="12"/>
                <w:color w:val="auto"/>
              </w:rPr>
            </w:pPr>
          </w:p>
        </w:tc>
      </w:tr>
      <w:tr>
        <w:trPr>
          <w:trHeight w:val="143"/>
        </w:trPr>
        <w:tc>
          <w:tcPr>
            <w:tcW w:w="33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43"/>
        </w:trPr>
        <w:tc>
          <w:tcPr>
            <w:tcW w:w="3340" w:type="dxa"/>
            <w:vAlign w:val="bottom"/>
            <w:shd w:val="clear" w:color="auto" w:fill="CCEEFF"/>
          </w:tcPr>
          <w:p>
            <w:pPr>
              <w:spacing w:after="0" w:line="143" w:lineRule="exact"/>
              <w:rPr>
                <w:sz w:val="20"/>
                <w:szCs w:val="20"/>
                <w:color w:val="auto"/>
              </w:rPr>
            </w:pPr>
            <w:r>
              <w:rPr>
                <w:rFonts w:ascii="Arial" w:cs="Arial" w:eastAsia="Arial" w:hAnsi="Arial"/>
                <w:sz w:val="14"/>
                <w:szCs w:val="14"/>
                <w:b w:val="1"/>
                <w:bCs w:val="1"/>
                <w:color w:val="auto"/>
              </w:rPr>
              <w:t>Junior subordinated bonds - BCP (vi)</w:t>
            </w:r>
          </w:p>
        </w:tc>
        <w:tc>
          <w:tcPr>
            <w:tcW w:w="1220" w:type="dxa"/>
            <w:vAlign w:val="bottom"/>
            <w:shd w:val="clear" w:color="auto" w:fill="CCEEFF"/>
          </w:tcPr>
          <w:p>
            <w:pPr>
              <w:jc w:val="center"/>
              <w:spacing w:after="0" w:line="143" w:lineRule="exact"/>
              <w:rPr>
                <w:sz w:val="20"/>
                <w:szCs w:val="20"/>
                <w:color w:val="auto"/>
              </w:rPr>
            </w:pPr>
            <w:r>
              <w:rPr>
                <w:rFonts w:ascii="Arial" w:cs="Arial" w:eastAsia="Arial" w:hAnsi="Arial"/>
                <w:sz w:val="14"/>
                <w:szCs w:val="14"/>
                <w:color w:val="auto"/>
                <w:w w:val="87"/>
              </w:rPr>
              <w:t>9.75</w:t>
            </w:r>
          </w:p>
        </w:tc>
        <w:tc>
          <w:tcPr>
            <w:tcW w:w="10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center"/>
              <w:ind w:right="100"/>
              <w:spacing w:after="0" w:line="143" w:lineRule="exact"/>
              <w:rPr>
                <w:sz w:val="20"/>
                <w:szCs w:val="20"/>
                <w:color w:val="auto"/>
              </w:rPr>
            </w:pPr>
            <w:r>
              <w:rPr>
                <w:rFonts w:ascii="Arial" w:cs="Arial" w:eastAsia="Arial" w:hAnsi="Arial"/>
                <w:sz w:val="14"/>
                <w:szCs w:val="14"/>
                <w:color w:val="auto"/>
                <w:w w:val="86"/>
              </w:rPr>
              <w:t>Semi-annual</w:t>
            </w:r>
          </w:p>
        </w:tc>
        <w:tc>
          <w:tcPr>
            <w:tcW w:w="1260" w:type="dxa"/>
            <w:vAlign w:val="bottom"/>
            <w:gridSpan w:val="2"/>
            <w:shd w:val="clear" w:color="auto" w:fill="CCEEFF"/>
          </w:tcPr>
          <w:p>
            <w:pPr>
              <w:jc w:val="center"/>
              <w:ind w:right="100"/>
              <w:spacing w:after="0" w:line="143" w:lineRule="exact"/>
              <w:rPr>
                <w:sz w:val="20"/>
                <w:szCs w:val="20"/>
                <w:color w:val="auto"/>
              </w:rPr>
            </w:pPr>
            <w:r>
              <w:rPr>
                <w:rFonts w:ascii="Arial" w:cs="Arial" w:eastAsia="Arial" w:hAnsi="Arial"/>
                <w:sz w:val="14"/>
                <w:szCs w:val="14"/>
                <w:color w:val="auto"/>
                <w:w w:val="88"/>
              </w:rPr>
              <w:t>November 2069</w:t>
            </w:r>
          </w:p>
        </w:tc>
        <w:tc>
          <w:tcPr>
            <w:tcW w:w="1460" w:type="dxa"/>
            <w:vAlign w:val="bottom"/>
            <w:gridSpan w:val="2"/>
            <w:shd w:val="clear" w:color="auto" w:fill="CCEEFF"/>
          </w:tcPr>
          <w:p>
            <w:pPr>
              <w:jc w:val="right"/>
              <w:ind w:right="200"/>
              <w:spacing w:after="0" w:line="143" w:lineRule="exact"/>
              <w:rPr>
                <w:sz w:val="20"/>
                <w:szCs w:val="20"/>
                <w:color w:val="auto"/>
              </w:rPr>
            </w:pPr>
            <w:r>
              <w:rPr>
                <w:rFonts w:ascii="Arial" w:cs="Arial" w:eastAsia="Arial" w:hAnsi="Arial"/>
                <w:sz w:val="14"/>
                <w:szCs w:val="14"/>
                <w:color w:val="auto"/>
              </w:rPr>
              <w:t>US$250,000</w:t>
            </w:r>
          </w:p>
        </w:tc>
        <w:tc>
          <w:tcPr>
            <w:tcW w:w="1440" w:type="dxa"/>
            <w:vAlign w:val="bottom"/>
            <w:gridSpan w:val="2"/>
            <w:shd w:val="clear" w:color="auto" w:fill="CCEEFF"/>
          </w:tcPr>
          <w:p>
            <w:pPr>
              <w:jc w:val="right"/>
              <w:ind w:right="200"/>
              <w:spacing w:after="0" w:line="143" w:lineRule="exact"/>
              <w:rPr>
                <w:sz w:val="20"/>
                <w:szCs w:val="20"/>
                <w:color w:val="auto"/>
              </w:rPr>
            </w:pPr>
            <w:r>
              <w:rPr>
                <w:rFonts w:ascii="Arial" w:cs="Arial" w:eastAsia="Arial" w:hAnsi="Arial"/>
                <w:sz w:val="14"/>
                <w:szCs w:val="14"/>
                <w:color w:val="auto"/>
              </w:rPr>
              <w:t>813,695</w:t>
            </w:r>
          </w:p>
        </w:tc>
        <w:tc>
          <w:tcPr>
            <w:tcW w:w="1260" w:type="dxa"/>
            <w:vAlign w:val="bottom"/>
            <w:gridSpan w:val="2"/>
            <w:shd w:val="clear" w:color="auto" w:fill="CCEEFF"/>
          </w:tcPr>
          <w:p>
            <w:pPr>
              <w:jc w:val="right"/>
              <w:ind w:right="20"/>
              <w:spacing w:after="0" w:line="143" w:lineRule="exact"/>
              <w:rPr>
                <w:sz w:val="20"/>
                <w:szCs w:val="20"/>
                <w:color w:val="auto"/>
              </w:rPr>
            </w:pPr>
            <w:r>
              <w:rPr>
                <w:rFonts w:ascii="Arial" w:cs="Arial" w:eastAsia="Arial" w:hAnsi="Arial"/>
                <w:sz w:val="14"/>
                <w:szCs w:val="14"/>
                <w:color w:val="auto"/>
              </w:rPr>
              <w:t>851,423</w:t>
            </w:r>
          </w:p>
        </w:tc>
        <w:tc>
          <w:tcPr>
            <w:tcW w:w="80" w:type="dxa"/>
            <w:vAlign w:val="bottom"/>
            <w:shd w:val="clear" w:color="auto" w:fill="CCEEFF"/>
          </w:tcPr>
          <w:p>
            <w:pPr>
              <w:spacing w:after="0"/>
              <w:rPr>
                <w:sz w:val="12"/>
                <w:szCs w:val="12"/>
                <w:color w:val="auto"/>
              </w:rPr>
            </w:pPr>
          </w:p>
        </w:tc>
      </w:tr>
      <w:tr>
        <w:trPr>
          <w:trHeight w:val="143"/>
        </w:trPr>
        <w:tc>
          <w:tcPr>
            <w:tcW w:w="33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43"/>
        </w:trPr>
        <w:tc>
          <w:tcPr>
            <w:tcW w:w="3340" w:type="dxa"/>
            <w:vAlign w:val="bottom"/>
            <w:shd w:val="clear" w:color="auto" w:fill="CCEEFF"/>
          </w:tcPr>
          <w:p>
            <w:pPr>
              <w:spacing w:after="0" w:line="143" w:lineRule="exact"/>
              <w:rPr>
                <w:sz w:val="20"/>
                <w:szCs w:val="20"/>
                <w:color w:val="auto"/>
              </w:rPr>
            </w:pPr>
            <w:r>
              <w:rPr>
                <w:rFonts w:ascii="Arial" w:cs="Arial" w:eastAsia="Arial" w:hAnsi="Arial"/>
                <w:sz w:val="14"/>
                <w:szCs w:val="14"/>
                <w:b w:val="1"/>
                <w:bCs w:val="1"/>
                <w:color w:val="auto"/>
              </w:rPr>
              <w:t>Subordinated bonds -</w:t>
            </w:r>
          </w:p>
        </w:tc>
        <w:tc>
          <w:tcPr>
            <w:tcW w:w="1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143"/>
        </w:trPr>
        <w:tc>
          <w:tcPr>
            <w:tcW w:w="3340" w:type="dxa"/>
            <w:vAlign w:val="bottom"/>
          </w:tcPr>
          <w:p>
            <w:pPr>
              <w:ind w:left="180"/>
              <w:spacing w:after="0" w:line="143" w:lineRule="exact"/>
              <w:rPr>
                <w:sz w:val="20"/>
                <w:szCs w:val="20"/>
                <w:color w:val="auto"/>
              </w:rPr>
            </w:pPr>
            <w:r>
              <w:rPr>
                <w:rFonts w:ascii="Arial" w:cs="Arial" w:eastAsia="Arial" w:hAnsi="Arial"/>
                <w:sz w:val="14"/>
                <w:szCs w:val="14"/>
                <w:b w:val="1"/>
                <w:bCs w:val="1"/>
                <w:color w:val="auto"/>
              </w:rPr>
              <w:t>First program</w:t>
            </w: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43"/>
        </w:trPr>
        <w:tc>
          <w:tcPr>
            <w:tcW w:w="3340" w:type="dxa"/>
            <w:vAlign w:val="bottom"/>
            <w:shd w:val="clear" w:color="auto" w:fill="CCEEFF"/>
          </w:tcPr>
          <w:p>
            <w:pPr>
              <w:ind w:left="180"/>
              <w:spacing w:after="0" w:line="143" w:lineRule="exact"/>
              <w:rPr>
                <w:sz w:val="20"/>
                <w:szCs w:val="20"/>
                <w:color w:val="auto"/>
              </w:rPr>
            </w:pPr>
            <w:r>
              <w:rPr>
                <w:rFonts w:ascii="Arial" w:cs="Arial" w:eastAsia="Arial" w:hAnsi="Arial"/>
                <w:sz w:val="14"/>
                <w:szCs w:val="14"/>
                <w:color w:val="auto"/>
              </w:rPr>
              <w:t>First issuance (Series A) - BCP</w:t>
            </w:r>
          </w:p>
        </w:tc>
        <w:tc>
          <w:tcPr>
            <w:tcW w:w="1220" w:type="dxa"/>
            <w:vAlign w:val="bottom"/>
            <w:shd w:val="clear" w:color="auto" w:fill="CCEEFF"/>
          </w:tcPr>
          <w:p>
            <w:pPr>
              <w:jc w:val="center"/>
              <w:spacing w:after="0" w:line="143" w:lineRule="exact"/>
              <w:rPr>
                <w:sz w:val="20"/>
                <w:szCs w:val="20"/>
                <w:color w:val="auto"/>
              </w:rPr>
            </w:pPr>
            <w:r>
              <w:rPr>
                <w:rFonts w:ascii="Arial" w:cs="Arial" w:eastAsia="Arial" w:hAnsi="Arial"/>
                <w:sz w:val="14"/>
                <w:szCs w:val="14"/>
                <w:color w:val="auto"/>
                <w:w w:val="87"/>
              </w:rPr>
              <w:t>6.22</w:t>
            </w:r>
          </w:p>
        </w:tc>
        <w:tc>
          <w:tcPr>
            <w:tcW w:w="10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center"/>
              <w:ind w:right="100"/>
              <w:spacing w:after="0" w:line="143" w:lineRule="exact"/>
              <w:rPr>
                <w:sz w:val="20"/>
                <w:szCs w:val="20"/>
                <w:color w:val="auto"/>
              </w:rPr>
            </w:pPr>
            <w:r>
              <w:rPr>
                <w:rFonts w:ascii="Arial" w:cs="Arial" w:eastAsia="Arial" w:hAnsi="Arial"/>
                <w:sz w:val="14"/>
                <w:szCs w:val="14"/>
                <w:color w:val="auto"/>
                <w:w w:val="86"/>
              </w:rPr>
              <w:t>Semi-annual</w:t>
            </w:r>
          </w:p>
        </w:tc>
        <w:tc>
          <w:tcPr>
            <w:tcW w:w="1260" w:type="dxa"/>
            <w:vAlign w:val="bottom"/>
            <w:gridSpan w:val="2"/>
            <w:shd w:val="clear" w:color="auto" w:fill="CCEEFF"/>
          </w:tcPr>
          <w:p>
            <w:pPr>
              <w:jc w:val="center"/>
              <w:ind w:right="100"/>
              <w:spacing w:after="0" w:line="143" w:lineRule="exact"/>
              <w:rPr>
                <w:sz w:val="20"/>
                <w:szCs w:val="20"/>
                <w:color w:val="auto"/>
              </w:rPr>
            </w:pPr>
            <w:r>
              <w:rPr>
                <w:rFonts w:ascii="Arial" w:cs="Arial" w:eastAsia="Arial" w:hAnsi="Arial"/>
                <w:sz w:val="14"/>
                <w:szCs w:val="14"/>
                <w:color w:val="auto"/>
                <w:w w:val="91"/>
              </w:rPr>
              <w:t>May 2027</w:t>
            </w:r>
          </w:p>
        </w:tc>
        <w:tc>
          <w:tcPr>
            <w:tcW w:w="1460" w:type="dxa"/>
            <w:vAlign w:val="bottom"/>
            <w:gridSpan w:val="2"/>
            <w:shd w:val="clear" w:color="auto" w:fill="CCEEFF"/>
          </w:tcPr>
          <w:p>
            <w:pPr>
              <w:jc w:val="right"/>
              <w:ind w:right="200"/>
              <w:spacing w:after="0" w:line="143" w:lineRule="exact"/>
              <w:rPr>
                <w:sz w:val="20"/>
                <w:szCs w:val="20"/>
                <w:color w:val="auto"/>
              </w:rPr>
            </w:pPr>
            <w:r>
              <w:rPr>
                <w:rFonts w:ascii="Arial" w:cs="Arial" w:eastAsia="Arial" w:hAnsi="Arial"/>
                <w:sz w:val="14"/>
                <w:szCs w:val="14"/>
                <w:color w:val="auto"/>
              </w:rPr>
              <w:t>S/15,000</w:t>
            </w:r>
          </w:p>
        </w:tc>
        <w:tc>
          <w:tcPr>
            <w:tcW w:w="1440" w:type="dxa"/>
            <w:vAlign w:val="bottom"/>
            <w:gridSpan w:val="2"/>
            <w:shd w:val="clear" w:color="auto" w:fill="CCEEFF"/>
          </w:tcPr>
          <w:p>
            <w:pPr>
              <w:jc w:val="right"/>
              <w:ind w:right="200"/>
              <w:spacing w:after="0" w:line="143" w:lineRule="exact"/>
              <w:rPr>
                <w:sz w:val="20"/>
                <w:szCs w:val="20"/>
                <w:color w:val="auto"/>
              </w:rPr>
            </w:pPr>
            <w:r>
              <w:rPr>
                <w:rFonts w:ascii="Arial" w:cs="Arial" w:eastAsia="Arial" w:hAnsi="Arial"/>
                <w:sz w:val="14"/>
                <w:szCs w:val="14"/>
                <w:color w:val="auto"/>
              </w:rPr>
              <w:t>15,000</w:t>
            </w:r>
          </w:p>
        </w:tc>
        <w:tc>
          <w:tcPr>
            <w:tcW w:w="1260" w:type="dxa"/>
            <w:vAlign w:val="bottom"/>
            <w:gridSpan w:val="2"/>
            <w:shd w:val="clear" w:color="auto" w:fill="CCEEFF"/>
          </w:tcPr>
          <w:p>
            <w:pPr>
              <w:jc w:val="right"/>
              <w:ind w:right="20"/>
              <w:spacing w:after="0" w:line="143" w:lineRule="exact"/>
              <w:rPr>
                <w:sz w:val="20"/>
                <w:szCs w:val="20"/>
                <w:color w:val="auto"/>
              </w:rPr>
            </w:pPr>
            <w:r>
              <w:rPr>
                <w:rFonts w:ascii="Arial" w:cs="Arial" w:eastAsia="Arial" w:hAnsi="Arial"/>
                <w:sz w:val="14"/>
                <w:szCs w:val="14"/>
                <w:color w:val="auto"/>
              </w:rPr>
              <w:t>15,000</w:t>
            </w:r>
          </w:p>
        </w:tc>
        <w:tc>
          <w:tcPr>
            <w:tcW w:w="80" w:type="dxa"/>
            <w:vAlign w:val="bottom"/>
            <w:shd w:val="clear" w:color="auto" w:fill="CCEEFF"/>
          </w:tcPr>
          <w:p>
            <w:pPr>
              <w:spacing w:after="0"/>
              <w:rPr>
                <w:sz w:val="12"/>
                <w:szCs w:val="12"/>
                <w:color w:val="auto"/>
              </w:rPr>
            </w:pPr>
          </w:p>
        </w:tc>
      </w:tr>
      <w:tr>
        <w:trPr>
          <w:trHeight w:val="143"/>
        </w:trPr>
        <w:tc>
          <w:tcPr>
            <w:tcW w:w="3340" w:type="dxa"/>
            <w:vAlign w:val="bottom"/>
          </w:tcPr>
          <w:p>
            <w:pPr>
              <w:ind w:left="180"/>
              <w:spacing w:after="0" w:line="143" w:lineRule="exact"/>
              <w:rPr>
                <w:sz w:val="20"/>
                <w:szCs w:val="20"/>
                <w:color w:val="auto"/>
              </w:rPr>
            </w:pPr>
            <w:r>
              <w:rPr>
                <w:rFonts w:ascii="Arial" w:cs="Arial" w:eastAsia="Arial" w:hAnsi="Arial"/>
                <w:sz w:val="14"/>
                <w:szCs w:val="14"/>
                <w:color w:val="auto"/>
              </w:rPr>
              <w:t>First issuance (Series A) - Pacífico Seguros</w:t>
            </w:r>
          </w:p>
        </w:tc>
        <w:tc>
          <w:tcPr>
            <w:tcW w:w="1220" w:type="dxa"/>
            <w:vAlign w:val="bottom"/>
          </w:tcPr>
          <w:p>
            <w:pPr>
              <w:jc w:val="center"/>
              <w:spacing w:after="0" w:line="143" w:lineRule="exact"/>
              <w:rPr>
                <w:sz w:val="20"/>
                <w:szCs w:val="20"/>
                <w:color w:val="auto"/>
              </w:rPr>
            </w:pPr>
            <w:r>
              <w:rPr>
                <w:rFonts w:ascii="Arial" w:cs="Arial" w:eastAsia="Arial" w:hAnsi="Arial"/>
                <w:sz w:val="14"/>
                <w:szCs w:val="14"/>
                <w:color w:val="auto"/>
                <w:w w:val="87"/>
              </w:rPr>
              <w:t>6.97</w:t>
            </w:r>
          </w:p>
        </w:tc>
        <w:tc>
          <w:tcPr>
            <w:tcW w:w="100" w:type="dxa"/>
            <w:vAlign w:val="bottom"/>
          </w:tcPr>
          <w:p>
            <w:pPr>
              <w:spacing w:after="0"/>
              <w:rPr>
                <w:sz w:val="12"/>
                <w:szCs w:val="12"/>
                <w:color w:val="auto"/>
              </w:rPr>
            </w:pPr>
          </w:p>
        </w:tc>
        <w:tc>
          <w:tcPr>
            <w:tcW w:w="1260" w:type="dxa"/>
            <w:vAlign w:val="bottom"/>
            <w:gridSpan w:val="2"/>
          </w:tcPr>
          <w:p>
            <w:pPr>
              <w:jc w:val="center"/>
              <w:ind w:right="100"/>
              <w:spacing w:after="0" w:line="143" w:lineRule="exact"/>
              <w:rPr>
                <w:sz w:val="20"/>
                <w:szCs w:val="20"/>
                <w:color w:val="auto"/>
              </w:rPr>
            </w:pPr>
            <w:r>
              <w:rPr>
                <w:rFonts w:ascii="Arial" w:cs="Arial" w:eastAsia="Arial" w:hAnsi="Arial"/>
                <w:sz w:val="14"/>
                <w:szCs w:val="14"/>
                <w:color w:val="auto"/>
                <w:w w:val="90"/>
              </w:rPr>
              <w:t>Quarterly</w:t>
            </w:r>
          </w:p>
        </w:tc>
        <w:tc>
          <w:tcPr>
            <w:tcW w:w="1260" w:type="dxa"/>
            <w:vAlign w:val="bottom"/>
            <w:gridSpan w:val="2"/>
          </w:tcPr>
          <w:p>
            <w:pPr>
              <w:jc w:val="center"/>
              <w:ind w:right="100"/>
              <w:spacing w:after="0" w:line="143" w:lineRule="exact"/>
              <w:rPr>
                <w:sz w:val="20"/>
                <w:szCs w:val="20"/>
                <w:color w:val="auto"/>
              </w:rPr>
            </w:pPr>
            <w:r>
              <w:rPr>
                <w:rFonts w:ascii="Arial" w:cs="Arial" w:eastAsia="Arial" w:hAnsi="Arial"/>
                <w:sz w:val="14"/>
                <w:szCs w:val="14"/>
                <w:color w:val="auto"/>
                <w:w w:val="88"/>
              </w:rPr>
              <w:t>November 2026</w:t>
            </w:r>
          </w:p>
        </w:tc>
        <w:tc>
          <w:tcPr>
            <w:tcW w:w="1460" w:type="dxa"/>
            <w:vAlign w:val="bottom"/>
            <w:gridSpan w:val="2"/>
          </w:tcPr>
          <w:p>
            <w:pPr>
              <w:jc w:val="right"/>
              <w:ind w:right="200"/>
              <w:spacing w:after="0" w:line="143" w:lineRule="exact"/>
              <w:rPr>
                <w:sz w:val="20"/>
                <w:szCs w:val="20"/>
                <w:color w:val="auto"/>
              </w:rPr>
            </w:pPr>
            <w:r>
              <w:rPr>
                <w:rFonts w:ascii="Arial" w:cs="Arial" w:eastAsia="Arial" w:hAnsi="Arial"/>
                <w:sz w:val="14"/>
                <w:szCs w:val="14"/>
                <w:color w:val="auto"/>
              </w:rPr>
              <w:t>US$60,000</w:t>
            </w:r>
          </w:p>
        </w:tc>
        <w:tc>
          <w:tcPr>
            <w:tcW w:w="1440" w:type="dxa"/>
            <w:vAlign w:val="bottom"/>
            <w:gridSpan w:val="2"/>
          </w:tcPr>
          <w:p>
            <w:pPr>
              <w:jc w:val="right"/>
              <w:ind w:right="200"/>
              <w:spacing w:after="0" w:line="143" w:lineRule="exact"/>
              <w:rPr>
                <w:sz w:val="20"/>
                <w:szCs w:val="20"/>
                <w:color w:val="auto"/>
              </w:rPr>
            </w:pPr>
            <w:r>
              <w:rPr>
                <w:rFonts w:ascii="Arial" w:cs="Arial" w:eastAsia="Arial" w:hAnsi="Arial"/>
                <w:sz w:val="14"/>
                <w:szCs w:val="14"/>
                <w:color w:val="auto"/>
              </w:rPr>
              <w:t>193,900</w:t>
            </w:r>
          </w:p>
        </w:tc>
        <w:tc>
          <w:tcPr>
            <w:tcW w:w="1260" w:type="dxa"/>
            <w:vAlign w:val="bottom"/>
            <w:gridSpan w:val="2"/>
          </w:tcPr>
          <w:p>
            <w:pPr>
              <w:jc w:val="right"/>
              <w:ind w:right="20"/>
              <w:spacing w:after="0" w:line="143" w:lineRule="exact"/>
              <w:rPr>
                <w:sz w:val="20"/>
                <w:szCs w:val="20"/>
                <w:color w:val="auto"/>
              </w:rPr>
            </w:pPr>
            <w:r>
              <w:rPr>
                <w:rFonts w:ascii="Arial" w:cs="Arial" w:eastAsia="Arial" w:hAnsi="Arial"/>
                <w:sz w:val="14"/>
                <w:szCs w:val="14"/>
                <w:color w:val="auto"/>
              </w:rPr>
              <w:t>200,655</w:t>
            </w:r>
          </w:p>
        </w:tc>
        <w:tc>
          <w:tcPr>
            <w:tcW w:w="80" w:type="dxa"/>
            <w:vAlign w:val="bottom"/>
          </w:tcPr>
          <w:p>
            <w:pPr>
              <w:spacing w:after="0"/>
              <w:rPr>
                <w:sz w:val="12"/>
                <w:szCs w:val="12"/>
                <w:color w:val="auto"/>
              </w:rPr>
            </w:pPr>
          </w:p>
        </w:tc>
      </w:tr>
      <w:tr>
        <w:trPr>
          <w:trHeight w:val="143"/>
        </w:trPr>
        <w:tc>
          <w:tcPr>
            <w:tcW w:w="334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143"/>
        </w:trPr>
        <w:tc>
          <w:tcPr>
            <w:tcW w:w="3340" w:type="dxa"/>
            <w:vAlign w:val="bottom"/>
          </w:tcPr>
          <w:p>
            <w:pPr>
              <w:ind w:left="180"/>
              <w:spacing w:after="0" w:line="143" w:lineRule="exact"/>
              <w:rPr>
                <w:sz w:val="20"/>
                <w:szCs w:val="20"/>
                <w:color w:val="auto"/>
              </w:rPr>
            </w:pPr>
            <w:r>
              <w:rPr>
                <w:rFonts w:ascii="Arial" w:cs="Arial" w:eastAsia="Arial" w:hAnsi="Arial"/>
                <w:sz w:val="14"/>
                <w:szCs w:val="14"/>
                <w:b w:val="1"/>
                <w:bCs w:val="1"/>
                <w:color w:val="auto"/>
              </w:rPr>
              <w:t>Second program</w:t>
            </w: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43"/>
        </w:trPr>
        <w:tc>
          <w:tcPr>
            <w:tcW w:w="3340" w:type="dxa"/>
            <w:vAlign w:val="bottom"/>
            <w:shd w:val="clear" w:color="auto" w:fill="CCEEFF"/>
          </w:tcPr>
          <w:p>
            <w:pPr>
              <w:ind w:left="180"/>
              <w:spacing w:after="0" w:line="143" w:lineRule="exact"/>
              <w:rPr>
                <w:sz w:val="20"/>
                <w:szCs w:val="20"/>
                <w:color w:val="auto"/>
              </w:rPr>
            </w:pPr>
            <w:r>
              <w:rPr>
                <w:rFonts w:ascii="Arial" w:cs="Arial" w:eastAsia="Arial" w:hAnsi="Arial"/>
                <w:sz w:val="14"/>
                <w:szCs w:val="14"/>
                <w:color w:val="auto"/>
              </w:rPr>
              <w:t>First issuance (Series A) - Mibanco</w:t>
            </w:r>
          </w:p>
        </w:tc>
        <w:tc>
          <w:tcPr>
            <w:tcW w:w="1220" w:type="dxa"/>
            <w:vAlign w:val="bottom"/>
            <w:shd w:val="clear" w:color="auto" w:fill="CCEEFF"/>
          </w:tcPr>
          <w:p>
            <w:pPr>
              <w:jc w:val="center"/>
              <w:spacing w:after="0" w:line="143" w:lineRule="exact"/>
              <w:rPr>
                <w:sz w:val="20"/>
                <w:szCs w:val="20"/>
                <w:color w:val="auto"/>
              </w:rPr>
            </w:pPr>
            <w:r>
              <w:rPr>
                <w:rFonts w:ascii="Arial" w:cs="Arial" w:eastAsia="Arial" w:hAnsi="Arial"/>
                <w:sz w:val="14"/>
                <w:szCs w:val="14"/>
                <w:color w:val="auto"/>
                <w:w w:val="92"/>
              </w:rPr>
              <w:t>8.5</w:t>
            </w:r>
          </w:p>
        </w:tc>
        <w:tc>
          <w:tcPr>
            <w:tcW w:w="10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center"/>
              <w:ind w:right="100"/>
              <w:spacing w:after="0" w:line="143" w:lineRule="exact"/>
              <w:rPr>
                <w:sz w:val="20"/>
                <w:szCs w:val="20"/>
                <w:color w:val="auto"/>
              </w:rPr>
            </w:pPr>
            <w:r>
              <w:rPr>
                <w:rFonts w:ascii="Arial" w:cs="Arial" w:eastAsia="Arial" w:hAnsi="Arial"/>
                <w:sz w:val="14"/>
                <w:szCs w:val="14"/>
                <w:color w:val="auto"/>
                <w:w w:val="86"/>
              </w:rPr>
              <w:t>Semi-annual</w:t>
            </w:r>
          </w:p>
        </w:tc>
        <w:tc>
          <w:tcPr>
            <w:tcW w:w="1260" w:type="dxa"/>
            <w:vAlign w:val="bottom"/>
            <w:gridSpan w:val="2"/>
            <w:shd w:val="clear" w:color="auto" w:fill="CCEEFF"/>
          </w:tcPr>
          <w:p>
            <w:pPr>
              <w:jc w:val="center"/>
              <w:ind w:right="100"/>
              <w:spacing w:after="0" w:line="143" w:lineRule="exact"/>
              <w:rPr>
                <w:sz w:val="20"/>
                <w:szCs w:val="20"/>
                <w:color w:val="auto"/>
              </w:rPr>
            </w:pPr>
            <w:r>
              <w:rPr>
                <w:rFonts w:ascii="Arial" w:cs="Arial" w:eastAsia="Arial" w:hAnsi="Arial"/>
                <w:sz w:val="14"/>
                <w:szCs w:val="14"/>
                <w:color w:val="auto"/>
                <w:w w:val="91"/>
              </w:rPr>
              <w:t>May 2026</w:t>
            </w:r>
          </w:p>
        </w:tc>
        <w:tc>
          <w:tcPr>
            <w:tcW w:w="1460" w:type="dxa"/>
            <w:vAlign w:val="bottom"/>
            <w:gridSpan w:val="2"/>
            <w:shd w:val="clear" w:color="auto" w:fill="CCEEFF"/>
          </w:tcPr>
          <w:p>
            <w:pPr>
              <w:jc w:val="right"/>
              <w:ind w:right="200"/>
              <w:spacing w:after="0" w:line="143" w:lineRule="exact"/>
              <w:rPr>
                <w:sz w:val="20"/>
                <w:szCs w:val="20"/>
                <w:color w:val="auto"/>
              </w:rPr>
            </w:pPr>
            <w:r>
              <w:rPr>
                <w:rFonts w:ascii="Arial" w:cs="Arial" w:eastAsia="Arial" w:hAnsi="Arial"/>
                <w:sz w:val="14"/>
                <w:szCs w:val="14"/>
                <w:color w:val="auto"/>
              </w:rPr>
              <w:t>S/100,000</w:t>
            </w:r>
          </w:p>
        </w:tc>
        <w:tc>
          <w:tcPr>
            <w:tcW w:w="1440" w:type="dxa"/>
            <w:vAlign w:val="bottom"/>
            <w:gridSpan w:val="2"/>
            <w:shd w:val="clear" w:color="auto" w:fill="CCEEFF"/>
          </w:tcPr>
          <w:p>
            <w:pPr>
              <w:jc w:val="right"/>
              <w:ind w:right="200"/>
              <w:spacing w:after="0" w:line="143" w:lineRule="exact"/>
              <w:rPr>
                <w:sz w:val="20"/>
                <w:szCs w:val="20"/>
                <w:color w:val="auto"/>
              </w:rPr>
            </w:pPr>
            <w:r>
              <w:rPr>
                <w:rFonts w:ascii="Arial" w:cs="Arial" w:eastAsia="Arial" w:hAnsi="Arial"/>
                <w:sz w:val="14"/>
                <w:szCs w:val="14"/>
                <w:color w:val="auto"/>
              </w:rPr>
              <w:t>100,000</w:t>
            </w:r>
          </w:p>
        </w:tc>
        <w:tc>
          <w:tcPr>
            <w:tcW w:w="1260" w:type="dxa"/>
            <w:vAlign w:val="bottom"/>
            <w:gridSpan w:val="2"/>
            <w:shd w:val="clear" w:color="auto" w:fill="CCEEFF"/>
          </w:tcPr>
          <w:p>
            <w:pPr>
              <w:jc w:val="right"/>
              <w:ind w:right="20"/>
              <w:spacing w:after="0" w:line="143" w:lineRule="exact"/>
              <w:rPr>
                <w:sz w:val="20"/>
                <w:szCs w:val="20"/>
                <w:color w:val="auto"/>
              </w:rPr>
            </w:pPr>
            <w:r>
              <w:rPr>
                <w:rFonts w:ascii="Arial" w:cs="Arial" w:eastAsia="Arial" w:hAnsi="Arial"/>
                <w:sz w:val="14"/>
                <w:szCs w:val="14"/>
                <w:color w:val="auto"/>
              </w:rPr>
              <w:t>100,000</w:t>
            </w:r>
          </w:p>
        </w:tc>
        <w:tc>
          <w:tcPr>
            <w:tcW w:w="80" w:type="dxa"/>
            <w:vAlign w:val="bottom"/>
            <w:shd w:val="clear" w:color="auto" w:fill="CCEEFF"/>
          </w:tcPr>
          <w:p>
            <w:pPr>
              <w:spacing w:after="0"/>
              <w:rPr>
                <w:sz w:val="12"/>
                <w:szCs w:val="12"/>
                <w:color w:val="auto"/>
              </w:rPr>
            </w:pPr>
          </w:p>
        </w:tc>
      </w:tr>
      <w:tr>
        <w:trPr>
          <w:trHeight w:val="143"/>
        </w:trPr>
        <w:tc>
          <w:tcPr>
            <w:tcW w:w="3340" w:type="dxa"/>
            <w:vAlign w:val="bottom"/>
          </w:tcPr>
          <w:p>
            <w:pPr>
              <w:ind w:left="180"/>
              <w:spacing w:after="0" w:line="143" w:lineRule="exact"/>
              <w:rPr>
                <w:sz w:val="20"/>
                <w:szCs w:val="20"/>
                <w:color w:val="auto"/>
              </w:rPr>
            </w:pPr>
            <w:r>
              <w:rPr>
                <w:rFonts w:ascii="Arial" w:cs="Arial" w:eastAsia="Arial" w:hAnsi="Arial"/>
                <w:sz w:val="14"/>
                <w:szCs w:val="14"/>
                <w:color w:val="auto"/>
              </w:rPr>
              <w:t>First issuance (Series B) - Mibanco</w:t>
            </w:r>
          </w:p>
        </w:tc>
        <w:tc>
          <w:tcPr>
            <w:tcW w:w="1220" w:type="dxa"/>
            <w:vAlign w:val="bottom"/>
          </w:tcPr>
          <w:p>
            <w:pPr>
              <w:jc w:val="center"/>
              <w:spacing w:after="0" w:line="143" w:lineRule="exact"/>
              <w:rPr>
                <w:sz w:val="20"/>
                <w:szCs w:val="20"/>
                <w:color w:val="auto"/>
              </w:rPr>
            </w:pPr>
            <w:r>
              <w:rPr>
                <w:rFonts w:ascii="Arial" w:cs="Arial" w:eastAsia="Arial" w:hAnsi="Arial"/>
                <w:sz w:val="14"/>
                <w:szCs w:val="14"/>
                <w:color w:val="auto"/>
                <w:w w:val="87"/>
              </w:rPr>
              <w:t>7.22</w:t>
            </w:r>
          </w:p>
        </w:tc>
        <w:tc>
          <w:tcPr>
            <w:tcW w:w="100" w:type="dxa"/>
            <w:vAlign w:val="bottom"/>
          </w:tcPr>
          <w:p>
            <w:pPr>
              <w:spacing w:after="0"/>
              <w:rPr>
                <w:sz w:val="12"/>
                <w:szCs w:val="12"/>
                <w:color w:val="auto"/>
              </w:rPr>
            </w:pPr>
          </w:p>
        </w:tc>
        <w:tc>
          <w:tcPr>
            <w:tcW w:w="1260" w:type="dxa"/>
            <w:vAlign w:val="bottom"/>
            <w:gridSpan w:val="2"/>
          </w:tcPr>
          <w:p>
            <w:pPr>
              <w:jc w:val="center"/>
              <w:ind w:right="100"/>
              <w:spacing w:after="0" w:line="143" w:lineRule="exact"/>
              <w:rPr>
                <w:sz w:val="20"/>
                <w:szCs w:val="20"/>
                <w:color w:val="auto"/>
              </w:rPr>
            </w:pPr>
            <w:r>
              <w:rPr>
                <w:rFonts w:ascii="Arial" w:cs="Arial" w:eastAsia="Arial" w:hAnsi="Arial"/>
                <w:sz w:val="14"/>
                <w:szCs w:val="14"/>
                <w:color w:val="auto"/>
                <w:w w:val="86"/>
              </w:rPr>
              <w:t>Semi-annual</w:t>
            </w:r>
          </w:p>
        </w:tc>
        <w:tc>
          <w:tcPr>
            <w:tcW w:w="1260" w:type="dxa"/>
            <w:vAlign w:val="bottom"/>
            <w:gridSpan w:val="2"/>
          </w:tcPr>
          <w:p>
            <w:pPr>
              <w:jc w:val="center"/>
              <w:ind w:right="100"/>
              <w:spacing w:after="0" w:line="143" w:lineRule="exact"/>
              <w:rPr>
                <w:sz w:val="20"/>
                <w:szCs w:val="20"/>
                <w:color w:val="auto"/>
              </w:rPr>
            </w:pPr>
            <w:r>
              <w:rPr>
                <w:rFonts w:ascii="Arial" w:cs="Arial" w:eastAsia="Arial" w:hAnsi="Arial"/>
                <w:sz w:val="14"/>
                <w:szCs w:val="14"/>
                <w:color w:val="auto"/>
                <w:w w:val="85"/>
              </w:rPr>
              <w:t>June 2027</w:t>
            </w:r>
          </w:p>
        </w:tc>
        <w:tc>
          <w:tcPr>
            <w:tcW w:w="1460" w:type="dxa"/>
            <w:vAlign w:val="bottom"/>
            <w:gridSpan w:val="2"/>
          </w:tcPr>
          <w:p>
            <w:pPr>
              <w:jc w:val="right"/>
              <w:ind w:right="200"/>
              <w:spacing w:after="0" w:line="143" w:lineRule="exact"/>
              <w:rPr>
                <w:sz w:val="20"/>
                <w:szCs w:val="20"/>
                <w:color w:val="auto"/>
              </w:rPr>
            </w:pPr>
            <w:r>
              <w:rPr>
                <w:rFonts w:ascii="Arial" w:cs="Arial" w:eastAsia="Arial" w:hAnsi="Arial"/>
                <w:sz w:val="14"/>
                <w:szCs w:val="14"/>
                <w:color w:val="auto"/>
              </w:rPr>
              <w:t>S/30,000</w:t>
            </w:r>
          </w:p>
        </w:tc>
        <w:tc>
          <w:tcPr>
            <w:tcW w:w="1440" w:type="dxa"/>
            <w:vAlign w:val="bottom"/>
            <w:gridSpan w:val="2"/>
          </w:tcPr>
          <w:p>
            <w:pPr>
              <w:jc w:val="right"/>
              <w:ind w:right="200"/>
              <w:spacing w:after="0" w:line="143" w:lineRule="exact"/>
              <w:rPr>
                <w:sz w:val="20"/>
                <w:szCs w:val="20"/>
                <w:color w:val="auto"/>
              </w:rPr>
            </w:pPr>
            <w:r>
              <w:rPr>
                <w:rFonts w:ascii="Arial" w:cs="Arial" w:eastAsia="Arial" w:hAnsi="Arial"/>
                <w:sz w:val="14"/>
                <w:szCs w:val="14"/>
                <w:color w:val="auto"/>
              </w:rPr>
              <w:t>29,953</w:t>
            </w:r>
          </w:p>
        </w:tc>
        <w:tc>
          <w:tcPr>
            <w:tcW w:w="1260" w:type="dxa"/>
            <w:vAlign w:val="bottom"/>
            <w:gridSpan w:val="2"/>
          </w:tcPr>
          <w:p>
            <w:pPr>
              <w:jc w:val="right"/>
              <w:ind w:right="20"/>
              <w:spacing w:after="0" w:line="143"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r>
      <w:tr>
        <w:trPr>
          <w:trHeight w:val="143"/>
        </w:trPr>
        <w:tc>
          <w:tcPr>
            <w:tcW w:w="334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143"/>
        </w:trPr>
        <w:tc>
          <w:tcPr>
            <w:tcW w:w="3340" w:type="dxa"/>
            <w:vAlign w:val="bottom"/>
          </w:tcPr>
          <w:p>
            <w:pPr>
              <w:ind w:left="180"/>
              <w:spacing w:after="0" w:line="143" w:lineRule="exact"/>
              <w:rPr>
                <w:sz w:val="20"/>
                <w:szCs w:val="20"/>
                <w:color w:val="auto"/>
              </w:rPr>
            </w:pPr>
            <w:r>
              <w:rPr>
                <w:rFonts w:ascii="Arial" w:cs="Arial" w:eastAsia="Arial" w:hAnsi="Arial"/>
                <w:sz w:val="14"/>
                <w:szCs w:val="14"/>
                <w:b w:val="1"/>
                <w:bCs w:val="1"/>
                <w:color w:val="auto"/>
              </w:rPr>
              <w:t>Third program</w:t>
            </w: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24"/>
        </w:trPr>
        <w:tc>
          <w:tcPr>
            <w:tcW w:w="3340" w:type="dxa"/>
            <w:vAlign w:val="bottom"/>
            <w:shd w:val="clear" w:color="auto" w:fill="CCEEFF"/>
          </w:tcPr>
          <w:p>
            <w:pPr>
              <w:ind w:left="180"/>
              <w:spacing w:after="0" w:line="125" w:lineRule="exact"/>
              <w:rPr>
                <w:sz w:val="20"/>
                <w:szCs w:val="20"/>
                <w:color w:val="auto"/>
              </w:rPr>
            </w:pPr>
            <w:r>
              <w:rPr>
                <w:rFonts w:ascii="Arial" w:cs="Arial" w:eastAsia="Arial" w:hAnsi="Arial"/>
                <w:sz w:val="14"/>
                <w:szCs w:val="14"/>
                <w:color w:val="auto"/>
                <w:w w:val="92"/>
              </w:rPr>
              <w:t>First, second and fourth issuance (Series A) - Mibanco</w:t>
            </w:r>
          </w:p>
        </w:tc>
        <w:tc>
          <w:tcPr>
            <w:tcW w:w="12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1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60" w:type="dxa"/>
            <w:vAlign w:val="bottom"/>
            <w:gridSpan w:val="2"/>
            <w:shd w:val="clear" w:color="auto" w:fill="CCEEFF"/>
          </w:tcPr>
          <w:p>
            <w:pPr>
              <w:jc w:val="center"/>
              <w:ind w:right="100"/>
              <w:spacing w:after="0" w:line="125" w:lineRule="exact"/>
              <w:rPr>
                <w:sz w:val="20"/>
                <w:szCs w:val="20"/>
                <w:color w:val="auto"/>
              </w:rPr>
            </w:pPr>
            <w:r>
              <w:rPr>
                <w:rFonts w:ascii="Arial" w:cs="Arial" w:eastAsia="Arial" w:hAnsi="Arial"/>
                <w:sz w:val="14"/>
                <w:szCs w:val="14"/>
                <w:color w:val="auto"/>
                <w:w w:val="88"/>
              </w:rPr>
              <w:t>Between October</w:t>
            </w:r>
          </w:p>
        </w:tc>
        <w:tc>
          <w:tcPr>
            <w:tcW w:w="12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2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2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r>
      <w:tr>
        <w:trPr>
          <w:trHeight w:val="143"/>
        </w:trPr>
        <w:tc>
          <w:tcPr>
            <w:tcW w:w="334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center"/>
              <w:ind w:right="120"/>
              <w:spacing w:after="0" w:line="143" w:lineRule="exact"/>
              <w:rPr>
                <w:sz w:val="20"/>
                <w:szCs w:val="20"/>
                <w:color w:val="auto"/>
              </w:rPr>
            </w:pPr>
            <w:r>
              <w:rPr>
                <w:rFonts w:ascii="Arial" w:cs="Arial" w:eastAsia="Arial" w:hAnsi="Arial"/>
                <w:sz w:val="14"/>
                <w:szCs w:val="14"/>
                <w:color w:val="auto"/>
                <w:w w:val="88"/>
              </w:rPr>
              <w:t>Between 6.19 and</w:t>
            </w:r>
          </w:p>
        </w:tc>
        <w:tc>
          <w:tcPr>
            <w:tcW w:w="1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center"/>
              <w:ind w:right="100"/>
              <w:spacing w:after="0" w:line="143" w:lineRule="exact"/>
              <w:rPr>
                <w:sz w:val="20"/>
                <w:szCs w:val="20"/>
                <w:color w:val="auto"/>
              </w:rPr>
            </w:pPr>
            <w:r>
              <w:rPr>
                <w:rFonts w:ascii="Arial" w:cs="Arial" w:eastAsia="Arial" w:hAnsi="Arial"/>
                <w:sz w:val="14"/>
                <w:szCs w:val="14"/>
                <w:color w:val="auto"/>
                <w:w w:val="88"/>
              </w:rPr>
              <w:t>2021 and December</w:t>
            </w:r>
          </w:p>
        </w:tc>
        <w:tc>
          <w:tcPr>
            <w:tcW w:w="12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161"/>
        </w:trPr>
        <w:tc>
          <w:tcPr>
            <w:tcW w:w="3340" w:type="dxa"/>
            <w:vAlign w:val="bottom"/>
            <w:shd w:val="clear" w:color="auto" w:fill="CCEEFF"/>
          </w:tcPr>
          <w:p>
            <w:pPr>
              <w:spacing w:after="0"/>
              <w:rPr>
                <w:sz w:val="14"/>
                <w:szCs w:val="14"/>
                <w:color w:val="auto"/>
              </w:rPr>
            </w:pPr>
          </w:p>
        </w:tc>
        <w:tc>
          <w:tcPr>
            <w:tcW w:w="12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7"/>
              </w:rPr>
              <w:t>8.16</w:t>
            </w:r>
          </w:p>
        </w:tc>
        <w:tc>
          <w:tcPr>
            <w:tcW w:w="100" w:type="dxa"/>
            <w:vAlign w:val="bottom"/>
            <w:shd w:val="clear" w:color="auto" w:fill="CCEEFF"/>
          </w:tcPr>
          <w:p>
            <w:pPr>
              <w:spacing w:after="0"/>
              <w:rPr>
                <w:sz w:val="14"/>
                <w:szCs w:val="14"/>
                <w:color w:val="auto"/>
              </w:rPr>
            </w:pPr>
          </w:p>
        </w:tc>
        <w:tc>
          <w:tcPr>
            <w:tcW w:w="126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86"/>
              </w:rPr>
              <w:t>Semi-annual</w:t>
            </w:r>
          </w:p>
        </w:tc>
        <w:tc>
          <w:tcPr>
            <w:tcW w:w="11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2022</w:t>
            </w:r>
          </w:p>
        </w:tc>
        <w:tc>
          <w:tcPr>
            <w:tcW w:w="100" w:type="dxa"/>
            <w:vAlign w:val="bottom"/>
            <w:shd w:val="clear" w:color="auto" w:fill="CCEEFF"/>
          </w:tcPr>
          <w:p>
            <w:pPr>
              <w:spacing w:after="0"/>
              <w:rPr>
                <w:sz w:val="14"/>
                <w:szCs w:val="14"/>
                <w:color w:val="auto"/>
              </w:rPr>
            </w:pPr>
          </w:p>
        </w:tc>
        <w:tc>
          <w:tcPr>
            <w:tcW w:w="14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S/110,000</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39,978</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109,980</w:t>
            </w:r>
          </w:p>
        </w:tc>
        <w:tc>
          <w:tcPr>
            <w:tcW w:w="80" w:type="dxa"/>
            <w:vAlign w:val="bottom"/>
            <w:shd w:val="clear" w:color="auto" w:fill="CCEEFF"/>
          </w:tcPr>
          <w:p>
            <w:pPr>
              <w:spacing w:after="0"/>
              <w:rPr>
                <w:sz w:val="14"/>
                <w:szCs w:val="14"/>
                <w:color w:val="auto"/>
              </w:rPr>
            </w:pPr>
          </w:p>
        </w:tc>
      </w:tr>
      <w:tr>
        <w:trPr>
          <w:trHeight w:val="143"/>
        </w:trPr>
        <w:tc>
          <w:tcPr>
            <w:tcW w:w="3340" w:type="dxa"/>
            <w:vAlign w:val="bottom"/>
          </w:tcPr>
          <w:p>
            <w:pPr>
              <w:ind w:left="180"/>
              <w:spacing w:after="0" w:line="143" w:lineRule="exact"/>
              <w:rPr>
                <w:sz w:val="20"/>
                <w:szCs w:val="20"/>
                <w:color w:val="auto"/>
              </w:rPr>
            </w:pPr>
            <w:r>
              <w:rPr>
                <w:rFonts w:ascii="Arial" w:cs="Arial" w:eastAsia="Arial" w:hAnsi="Arial"/>
                <w:sz w:val="14"/>
                <w:szCs w:val="14"/>
                <w:color w:val="auto"/>
              </w:rPr>
              <w:t>Fifth issuance (Series A and B) - Mibanco</w:t>
            </w:r>
          </w:p>
        </w:tc>
        <w:tc>
          <w:tcPr>
            <w:tcW w:w="1220" w:type="dxa"/>
            <w:vAlign w:val="bottom"/>
          </w:tcPr>
          <w:p>
            <w:pPr>
              <w:jc w:val="center"/>
              <w:spacing w:after="0" w:line="143" w:lineRule="exact"/>
              <w:rPr>
                <w:sz w:val="20"/>
                <w:szCs w:val="20"/>
                <w:color w:val="auto"/>
              </w:rPr>
            </w:pPr>
            <w:r>
              <w:rPr>
                <w:rFonts w:ascii="Arial" w:cs="Arial" w:eastAsia="Arial" w:hAnsi="Arial"/>
                <w:sz w:val="14"/>
                <w:szCs w:val="14"/>
                <w:color w:val="auto"/>
                <w:w w:val="87"/>
              </w:rPr>
              <w:t>7.75</w:t>
            </w:r>
          </w:p>
        </w:tc>
        <w:tc>
          <w:tcPr>
            <w:tcW w:w="100" w:type="dxa"/>
            <w:vAlign w:val="bottom"/>
          </w:tcPr>
          <w:p>
            <w:pPr>
              <w:spacing w:after="0"/>
              <w:rPr>
                <w:sz w:val="12"/>
                <w:szCs w:val="12"/>
                <w:color w:val="auto"/>
              </w:rPr>
            </w:pPr>
          </w:p>
        </w:tc>
        <w:tc>
          <w:tcPr>
            <w:tcW w:w="1260" w:type="dxa"/>
            <w:vAlign w:val="bottom"/>
            <w:gridSpan w:val="2"/>
          </w:tcPr>
          <w:p>
            <w:pPr>
              <w:jc w:val="center"/>
              <w:ind w:right="100"/>
              <w:spacing w:after="0" w:line="143" w:lineRule="exact"/>
              <w:rPr>
                <w:sz w:val="20"/>
                <w:szCs w:val="20"/>
                <w:color w:val="auto"/>
              </w:rPr>
            </w:pPr>
            <w:r>
              <w:rPr>
                <w:rFonts w:ascii="Arial" w:cs="Arial" w:eastAsia="Arial" w:hAnsi="Arial"/>
                <w:sz w:val="14"/>
                <w:szCs w:val="14"/>
                <w:color w:val="auto"/>
                <w:w w:val="86"/>
              </w:rPr>
              <w:t>Semi-annual</w:t>
            </w:r>
          </w:p>
        </w:tc>
        <w:tc>
          <w:tcPr>
            <w:tcW w:w="1260" w:type="dxa"/>
            <w:vAlign w:val="bottom"/>
            <w:gridSpan w:val="2"/>
          </w:tcPr>
          <w:p>
            <w:pPr>
              <w:jc w:val="center"/>
              <w:ind w:right="100"/>
              <w:spacing w:after="0" w:line="143" w:lineRule="exact"/>
              <w:rPr>
                <w:sz w:val="20"/>
                <w:szCs w:val="20"/>
                <w:color w:val="auto"/>
              </w:rPr>
            </w:pPr>
            <w:r>
              <w:rPr>
                <w:rFonts w:ascii="Arial" w:cs="Arial" w:eastAsia="Arial" w:hAnsi="Arial"/>
                <w:sz w:val="14"/>
                <w:szCs w:val="14"/>
                <w:color w:val="auto"/>
                <w:w w:val="93"/>
              </w:rPr>
              <w:t>July 2024</w:t>
            </w:r>
          </w:p>
        </w:tc>
        <w:tc>
          <w:tcPr>
            <w:tcW w:w="1460" w:type="dxa"/>
            <w:vAlign w:val="bottom"/>
            <w:gridSpan w:val="2"/>
          </w:tcPr>
          <w:p>
            <w:pPr>
              <w:jc w:val="right"/>
              <w:ind w:right="200"/>
              <w:spacing w:after="0" w:line="143" w:lineRule="exact"/>
              <w:rPr>
                <w:sz w:val="20"/>
                <w:szCs w:val="20"/>
                <w:color w:val="auto"/>
              </w:rPr>
            </w:pPr>
            <w:r>
              <w:rPr>
                <w:rFonts w:ascii="Arial" w:cs="Arial" w:eastAsia="Arial" w:hAnsi="Arial"/>
                <w:sz w:val="14"/>
                <w:szCs w:val="14"/>
                <w:color w:val="auto"/>
              </w:rPr>
              <w:t>S/88,009</w:t>
            </w:r>
          </w:p>
        </w:tc>
        <w:tc>
          <w:tcPr>
            <w:tcW w:w="1440" w:type="dxa"/>
            <w:vAlign w:val="bottom"/>
            <w:gridSpan w:val="2"/>
          </w:tcPr>
          <w:p>
            <w:pPr>
              <w:jc w:val="right"/>
              <w:ind w:right="200"/>
              <w:spacing w:after="0" w:line="143" w:lineRule="exact"/>
              <w:rPr>
                <w:sz w:val="20"/>
                <w:szCs w:val="20"/>
                <w:color w:val="auto"/>
              </w:rPr>
            </w:pPr>
            <w:r>
              <w:rPr>
                <w:rFonts w:ascii="Arial" w:cs="Arial" w:eastAsia="Arial" w:hAnsi="Arial"/>
                <w:sz w:val="14"/>
                <w:szCs w:val="14"/>
                <w:color w:val="auto"/>
              </w:rPr>
              <w:t>87,869</w:t>
            </w:r>
          </w:p>
        </w:tc>
        <w:tc>
          <w:tcPr>
            <w:tcW w:w="1260" w:type="dxa"/>
            <w:vAlign w:val="bottom"/>
            <w:gridSpan w:val="2"/>
          </w:tcPr>
          <w:p>
            <w:pPr>
              <w:jc w:val="right"/>
              <w:ind w:right="20"/>
              <w:spacing w:after="0" w:line="143" w:lineRule="exact"/>
              <w:rPr>
                <w:sz w:val="20"/>
                <w:szCs w:val="20"/>
                <w:color w:val="auto"/>
              </w:rPr>
            </w:pPr>
            <w:r>
              <w:rPr>
                <w:rFonts w:ascii="Arial" w:cs="Arial" w:eastAsia="Arial" w:hAnsi="Arial"/>
                <w:sz w:val="14"/>
                <w:szCs w:val="14"/>
                <w:color w:val="auto"/>
              </w:rPr>
              <w:t>88,009</w:t>
            </w:r>
          </w:p>
        </w:tc>
        <w:tc>
          <w:tcPr>
            <w:tcW w:w="80" w:type="dxa"/>
            <w:vAlign w:val="bottom"/>
          </w:tcPr>
          <w:p>
            <w:pPr>
              <w:spacing w:after="0"/>
              <w:rPr>
                <w:sz w:val="12"/>
                <w:szCs w:val="12"/>
                <w:color w:val="auto"/>
              </w:rPr>
            </w:pPr>
          </w:p>
        </w:tc>
      </w:tr>
      <w:tr>
        <w:trPr>
          <w:trHeight w:val="143"/>
        </w:trPr>
        <w:tc>
          <w:tcPr>
            <w:tcW w:w="334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143"/>
        </w:trPr>
        <w:tc>
          <w:tcPr>
            <w:tcW w:w="3340" w:type="dxa"/>
            <w:vAlign w:val="bottom"/>
          </w:tcPr>
          <w:p>
            <w:pPr>
              <w:ind w:left="180"/>
              <w:spacing w:after="0" w:line="143" w:lineRule="exact"/>
              <w:rPr>
                <w:sz w:val="20"/>
                <w:szCs w:val="20"/>
                <w:color w:val="auto"/>
              </w:rPr>
            </w:pPr>
            <w:r>
              <w:rPr>
                <w:rFonts w:ascii="Arial" w:cs="Arial" w:eastAsia="Arial" w:hAnsi="Arial"/>
                <w:sz w:val="14"/>
                <w:szCs w:val="14"/>
                <w:color w:val="auto"/>
              </w:rPr>
              <w:t>Issuance I - Banco de Crédito de Bolivia</w:t>
            </w:r>
          </w:p>
        </w:tc>
        <w:tc>
          <w:tcPr>
            <w:tcW w:w="1220" w:type="dxa"/>
            <w:vAlign w:val="bottom"/>
          </w:tcPr>
          <w:p>
            <w:pPr>
              <w:jc w:val="center"/>
              <w:spacing w:after="0" w:line="143" w:lineRule="exact"/>
              <w:rPr>
                <w:sz w:val="20"/>
                <w:szCs w:val="20"/>
                <w:color w:val="auto"/>
              </w:rPr>
            </w:pPr>
            <w:r>
              <w:rPr>
                <w:rFonts w:ascii="Arial" w:cs="Arial" w:eastAsia="Arial" w:hAnsi="Arial"/>
                <w:sz w:val="14"/>
                <w:szCs w:val="14"/>
                <w:color w:val="auto"/>
                <w:w w:val="87"/>
              </w:rPr>
              <w:t>6.25</w:t>
            </w:r>
          </w:p>
        </w:tc>
        <w:tc>
          <w:tcPr>
            <w:tcW w:w="100" w:type="dxa"/>
            <w:vAlign w:val="bottom"/>
          </w:tcPr>
          <w:p>
            <w:pPr>
              <w:spacing w:after="0"/>
              <w:rPr>
                <w:sz w:val="12"/>
                <w:szCs w:val="12"/>
                <w:color w:val="auto"/>
              </w:rPr>
            </w:pPr>
          </w:p>
        </w:tc>
        <w:tc>
          <w:tcPr>
            <w:tcW w:w="1260" w:type="dxa"/>
            <w:vAlign w:val="bottom"/>
            <w:gridSpan w:val="2"/>
          </w:tcPr>
          <w:p>
            <w:pPr>
              <w:jc w:val="center"/>
              <w:ind w:right="100"/>
              <w:spacing w:after="0" w:line="143" w:lineRule="exact"/>
              <w:rPr>
                <w:sz w:val="20"/>
                <w:szCs w:val="20"/>
                <w:color w:val="auto"/>
              </w:rPr>
            </w:pPr>
            <w:r>
              <w:rPr>
                <w:rFonts w:ascii="Arial" w:cs="Arial" w:eastAsia="Arial" w:hAnsi="Arial"/>
                <w:sz w:val="14"/>
                <w:szCs w:val="14"/>
                <w:color w:val="auto"/>
                <w:w w:val="86"/>
              </w:rPr>
              <w:t>Semi-annual</w:t>
            </w:r>
          </w:p>
        </w:tc>
        <w:tc>
          <w:tcPr>
            <w:tcW w:w="1260" w:type="dxa"/>
            <w:vAlign w:val="bottom"/>
            <w:gridSpan w:val="2"/>
          </w:tcPr>
          <w:p>
            <w:pPr>
              <w:jc w:val="center"/>
              <w:ind w:right="100"/>
              <w:spacing w:after="0" w:line="143" w:lineRule="exact"/>
              <w:rPr>
                <w:sz w:val="20"/>
                <w:szCs w:val="20"/>
                <w:color w:val="auto"/>
              </w:rPr>
            </w:pPr>
            <w:r>
              <w:rPr>
                <w:rFonts w:ascii="Arial" w:cs="Arial" w:eastAsia="Arial" w:hAnsi="Arial"/>
                <w:sz w:val="14"/>
                <w:szCs w:val="14"/>
                <w:color w:val="auto"/>
                <w:w w:val="91"/>
              </w:rPr>
              <w:t>August 2028</w:t>
            </w:r>
          </w:p>
        </w:tc>
        <w:tc>
          <w:tcPr>
            <w:tcW w:w="1460" w:type="dxa"/>
            <w:vAlign w:val="bottom"/>
            <w:gridSpan w:val="2"/>
          </w:tcPr>
          <w:p>
            <w:pPr>
              <w:jc w:val="right"/>
              <w:ind w:right="200"/>
              <w:spacing w:after="0" w:line="143" w:lineRule="exact"/>
              <w:rPr>
                <w:sz w:val="20"/>
                <w:szCs w:val="20"/>
                <w:color w:val="auto"/>
              </w:rPr>
            </w:pPr>
            <w:r>
              <w:rPr>
                <w:rFonts w:ascii="Arial" w:cs="Arial" w:eastAsia="Arial" w:hAnsi="Arial"/>
                <w:sz w:val="14"/>
                <w:szCs w:val="14"/>
                <w:color w:val="auto"/>
              </w:rPr>
              <w:t>Bs70,000</w:t>
            </w:r>
          </w:p>
        </w:tc>
        <w:tc>
          <w:tcPr>
            <w:tcW w:w="1440" w:type="dxa"/>
            <w:vAlign w:val="bottom"/>
            <w:gridSpan w:val="2"/>
          </w:tcPr>
          <w:p>
            <w:pPr>
              <w:jc w:val="right"/>
              <w:ind w:right="200"/>
              <w:spacing w:after="0" w:line="143" w:lineRule="exact"/>
              <w:rPr>
                <w:sz w:val="20"/>
                <w:szCs w:val="20"/>
                <w:color w:val="auto"/>
              </w:rPr>
            </w:pPr>
            <w:r>
              <w:rPr>
                <w:rFonts w:ascii="Arial" w:cs="Arial" w:eastAsia="Arial" w:hAnsi="Arial"/>
                <w:sz w:val="14"/>
                <w:szCs w:val="14"/>
                <w:color w:val="auto"/>
              </w:rPr>
              <w:t>33,072</w:t>
            </w:r>
          </w:p>
        </w:tc>
        <w:tc>
          <w:tcPr>
            <w:tcW w:w="1260" w:type="dxa"/>
            <w:vAlign w:val="bottom"/>
            <w:gridSpan w:val="2"/>
          </w:tcPr>
          <w:p>
            <w:pPr>
              <w:jc w:val="right"/>
              <w:ind w:right="20"/>
              <w:spacing w:after="0" w:line="143" w:lineRule="exact"/>
              <w:rPr>
                <w:sz w:val="20"/>
                <w:szCs w:val="20"/>
                <w:color w:val="auto"/>
              </w:rPr>
            </w:pPr>
            <w:r>
              <w:rPr>
                <w:rFonts w:ascii="Arial" w:cs="Arial" w:eastAsia="Arial" w:hAnsi="Arial"/>
                <w:sz w:val="14"/>
                <w:szCs w:val="14"/>
                <w:color w:val="auto"/>
              </w:rPr>
              <w:t>34,196</w:t>
            </w:r>
          </w:p>
        </w:tc>
        <w:tc>
          <w:tcPr>
            <w:tcW w:w="80" w:type="dxa"/>
            <w:vAlign w:val="bottom"/>
          </w:tcPr>
          <w:p>
            <w:pPr>
              <w:spacing w:after="0"/>
              <w:rPr>
                <w:sz w:val="12"/>
                <w:szCs w:val="12"/>
                <w:color w:val="auto"/>
              </w:rPr>
            </w:pPr>
          </w:p>
        </w:tc>
      </w:tr>
      <w:tr>
        <w:trPr>
          <w:trHeight w:val="156"/>
        </w:trPr>
        <w:tc>
          <w:tcPr>
            <w:tcW w:w="3340" w:type="dxa"/>
            <w:vAlign w:val="bottom"/>
            <w:shd w:val="clear" w:color="auto" w:fill="CCEEFF"/>
          </w:tcPr>
          <w:p>
            <w:pPr>
              <w:ind w:left="180"/>
              <w:spacing w:after="0" w:line="156" w:lineRule="exact"/>
              <w:rPr>
                <w:sz w:val="20"/>
                <w:szCs w:val="20"/>
                <w:color w:val="auto"/>
              </w:rPr>
            </w:pPr>
            <w:r>
              <w:rPr>
                <w:rFonts w:ascii="Arial" w:cs="Arial" w:eastAsia="Arial" w:hAnsi="Arial"/>
                <w:sz w:val="14"/>
                <w:szCs w:val="14"/>
                <w:color w:val="auto"/>
              </w:rPr>
              <w:t>Issuance II - Banco de Crédito de Bolivia</w:t>
            </w:r>
          </w:p>
        </w:tc>
        <w:tc>
          <w:tcPr>
            <w:tcW w:w="1220" w:type="dxa"/>
            <w:vAlign w:val="bottom"/>
            <w:shd w:val="clear" w:color="auto" w:fill="CCEEFF"/>
          </w:tcPr>
          <w:p>
            <w:pPr>
              <w:jc w:val="center"/>
              <w:spacing w:after="0" w:line="156" w:lineRule="exact"/>
              <w:rPr>
                <w:sz w:val="20"/>
                <w:szCs w:val="20"/>
                <w:color w:val="auto"/>
              </w:rPr>
            </w:pPr>
            <w:r>
              <w:rPr>
                <w:rFonts w:ascii="Arial" w:cs="Arial" w:eastAsia="Arial" w:hAnsi="Arial"/>
                <w:sz w:val="14"/>
                <w:szCs w:val="14"/>
                <w:color w:val="auto"/>
                <w:w w:val="87"/>
              </w:rPr>
              <w:t>5.25</w:t>
            </w:r>
          </w:p>
        </w:tc>
        <w:tc>
          <w:tcPr>
            <w:tcW w:w="100" w:type="dxa"/>
            <w:vAlign w:val="bottom"/>
            <w:shd w:val="clear" w:color="auto" w:fill="CCEEFF"/>
          </w:tcPr>
          <w:p>
            <w:pPr>
              <w:spacing w:after="0"/>
              <w:rPr>
                <w:sz w:val="13"/>
                <w:szCs w:val="13"/>
                <w:color w:val="auto"/>
              </w:rPr>
            </w:pPr>
          </w:p>
        </w:tc>
        <w:tc>
          <w:tcPr>
            <w:tcW w:w="1260" w:type="dxa"/>
            <w:vAlign w:val="bottom"/>
            <w:gridSpan w:val="2"/>
            <w:shd w:val="clear" w:color="auto" w:fill="CCEEFF"/>
          </w:tcPr>
          <w:p>
            <w:pPr>
              <w:jc w:val="center"/>
              <w:ind w:right="100"/>
              <w:spacing w:after="0" w:line="156" w:lineRule="exact"/>
              <w:rPr>
                <w:sz w:val="20"/>
                <w:szCs w:val="20"/>
                <w:color w:val="auto"/>
              </w:rPr>
            </w:pPr>
            <w:r>
              <w:rPr>
                <w:rFonts w:ascii="Arial" w:cs="Arial" w:eastAsia="Arial" w:hAnsi="Arial"/>
                <w:sz w:val="14"/>
                <w:szCs w:val="14"/>
                <w:color w:val="auto"/>
                <w:w w:val="86"/>
              </w:rPr>
              <w:t>Semi-annual</w:t>
            </w:r>
          </w:p>
        </w:tc>
        <w:tc>
          <w:tcPr>
            <w:tcW w:w="1260" w:type="dxa"/>
            <w:vAlign w:val="bottom"/>
            <w:gridSpan w:val="2"/>
            <w:shd w:val="clear" w:color="auto" w:fill="CCEEFF"/>
          </w:tcPr>
          <w:p>
            <w:pPr>
              <w:jc w:val="center"/>
              <w:ind w:right="100"/>
              <w:spacing w:after="0" w:line="156" w:lineRule="exact"/>
              <w:rPr>
                <w:sz w:val="20"/>
                <w:szCs w:val="20"/>
                <w:color w:val="auto"/>
              </w:rPr>
            </w:pPr>
            <w:r>
              <w:rPr>
                <w:rFonts w:ascii="Arial" w:cs="Arial" w:eastAsia="Arial" w:hAnsi="Arial"/>
                <w:sz w:val="14"/>
                <w:szCs w:val="14"/>
                <w:color w:val="auto"/>
                <w:w w:val="91"/>
              </w:rPr>
              <w:t>August 2022</w:t>
            </w:r>
          </w:p>
        </w:tc>
        <w:tc>
          <w:tcPr>
            <w:tcW w:w="1460" w:type="dxa"/>
            <w:vAlign w:val="bottom"/>
            <w:gridSpan w:val="2"/>
            <w:shd w:val="clear" w:color="auto" w:fill="CCEEFF"/>
          </w:tcPr>
          <w:p>
            <w:pPr>
              <w:jc w:val="right"/>
              <w:ind w:right="200"/>
              <w:spacing w:after="0" w:line="156" w:lineRule="exact"/>
              <w:rPr>
                <w:sz w:val="20"/>
                <w:szCs w:val="20"/>
                <w:color w:val="auto"/>
              </w:rPr>
            </w:pPr>
            <w:r>
              <w:rPr>
                <w:rFonts w:ascii="Arial" w:cs="Arial" w:eastAsia="Arial" w:hAnsi="Arial"/>
                <w:sz w:val="14"/>
                <w:szCs w:val="14"/>
                <w:color w:val="auto"/>
              </w:rPr>
              <w:t>Bs137,200</w:t>
            </w:r>
          </w:p>
        </w:tc>
        <w:tc>
          <w:tcPr>
            <w:tcW w:w="1440" w:type="dxa"/>
            <w:vAlign w:val="bottom"/>
            <w:gridSpan w:val="2"/>
            <w:shd w:val="clear" w:color="auto" w:fill="CCEEFF"/>
          </w:tcPr>
          <w:p>
            <w:pPr>
              <w:jc w:val="right"/>
              <w:ind w:right="200"/>
              <w:spacing w:after="0" w:line="156" w:lineRule="exact"/>
              <w:rPr>
                <w:sz w:val="20"/>
                <w:szCs w:val="20"/>
                <w:color w:val="auto"/>
              </w:rPr>
            </w:pPr>
            <w:r>
              <w:rPr>
                <w:rFonts w:ascii="Arial" w:cs="Arial" w:eastAsia="Arial" w:hAnsi="Arial"/>
                <w:sz w:val="14"/>
                <w:szCs w:val="14"/>
                <w:color w:val="auto"/>
              </w:rPr>
              <w:t>65,677</w:t>
            </w:r>
          </w:p>
        </w:tc>
        <w:tc>
          <w:tcPr>
            <w:tcW w:w="1260" w:type="dxa"/>
            <w:vAlign w:val="bottom"/>
            <w:gridSpan w:val="2"/>
            <w:shd w:val="clear" w:color="auto" w:fill="CCEEFF"/>
          </w:tcPr>
          <w:p>
            <w:pPr>
              <w:jc w:val="right"/>
              <w:ind w:right="20"/>
              <w:spacing w:after="0" w:line="156" w:lineRule="exact"/>
              <w:rPr>
                <w:sz w:val="20"/>
                <w:szCs w:val="20"/>
                <w:color w:val="auto"/>
              </w:rPr>
            </w:pPr>
            <w:r>
              <w:rPr>
                <w:rFonts w:ascii="Arial" w:cs="Arial" w:eastAsia="Arial" w:hAnsi="Arial"/>
                <w:sz w:val="14"/>
                <w:szCs w:val="14"/>
                <w:color w:val="auto"/>
              </w:rPr>
              <w:t>68,180</w:t>
            </w:r>
          </w:p>
        </w:tc>
        <w:tc>
          <w:tcPr>
            <w:tcW w:w="80" w:type="dxa"/>
            <w:vAlign w:val="bottom"/>
            <w:shd w:val="clear" w:color="auto" w:fill="CCEEFF"/>
          </w:tcPr>
          <w:p>
            <w:pPr>
              <w:spacing w:after="0"/>
              <w:rPr>
                <w:sz w:val="13"/>
                <w:szCs w:val="13"/>
                <w:color w:val="auto"/>
              </w:rPr>
            </w:pPr>
          </w:p>
        </w:tc>
      </w:tr>
      <w:tr>
        <w:trPr>
          <w:trHeight w:val="136"/>
        </w:trPr>
        <w:tc>
          <w:tcPr>
            <w:tcW w:w="3340" w:type="dxa"/>
            <w:vAlign w:val="bottom"/>
            <w:tcBorders>
              <w:bottom w:val="single" w:sz="8" w:color="CCEEFF"/>
            </w:tcBorders>
          </w:tcPr>
          <w:p>
            <w:pPr>
              <w:spacing w:after="0"/>
              <w:rPr>
                <w:sz w:val="11"/>
                <w:szCs w:val="11"/>
                <w:color w:val="auto"/>
              </w:rPr>
            </w:pPr>
          </w:p>
        </w:tc>
        <w:tc>
          <w:tcPr>
            <w:tcW w:w="122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116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116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1260" w:type="dxa"/>
            <w:vAlign w:val="bottom"/>
            <w:tcBorders>
              <w:bottom w:val="single" w:sz="8" w:color="CCEEFF"/>
            </w:tcBorders>
          </w:tcPr>
          <w:p>
            <w:pPr>
              <w:spacing w:after="0"/>
              <w:rPr>
                <w:sz w:val="11"/>
                <w:szCs w:val="11"/>
                <w:color w:val="auto"/>
              </w:rPr>
            </w:pPr>
          </w:p>
        </w:tc>
        <w:tc>
          <w:tcPr>
            <w:tcW w:w="200" w:type="dxa"/>
            <w:vAlign w:val="bottom"/>
            <w:tcBorders>
              <w:bottom w:val="single" w:sz="8" w:color="CCEEFF"/>
            </w:tcBorders>
          </w:tcPr>
          <w:p>
            <w:pPr>
              <w:spacing w:after="0"/>
              <w:rPr>
                <w:sz w:val="11"/>
                <w:szCs w:val="11"/>
                <w:color w:val="auto"/>
              </w:rPr>
            </w:pPr>
          </w:p>
        </w:tc>
        <w:tc>
          <w:tcPr>
            <w:tcW w:w="1240" w:type="dxa"/>
            <w:vAlign w:val="bottom"/>
            <w:tcBorders>
              <w:top w:val="single" w:sz="8" w:color="auto"/>
              <w:bottom w:val="single" w:sz="8" w:color="auto"/>
            </w:tcBorders>
          </w:tcPr>
          <w:p>
            <w:pPr>
              <w:jc w:val="right"/>
              <w:spacing w:after="0" w:line="136" w:lineRule="exact"/>
              <w:rPr>
                <w:sz w:val="20"/>
                <w:szCs w:val="20"/>
                <w:color w:val="auto"/>
              </w:rPr>
            </w:pPr>
            <w:r>
              <w:rPr>
                <w:rFonts w:ascii="Arial" w:cs="Arial" w:eastAsia="Arial" w:hAnsi="Arial"/>
                <w:sz w:val="14"/>
                <w:szCs w:val="14"/>
                <w:color w:val="auto"/>
              </w:rPr>
              <w:t>565,449</w:t>
            </w:r>
          </w:p>
        </w:tc>
        <w:tc>
          <w:tcPr>
            <w:tcW w:w="200" w:type="dxa"/>
            <w:vAlign w:val="bottom"/>
            <w:tcBorders>
              <w:bottom w:val="single" w:sz="8" w:color="CCEEFF"/>
            </w:tcBorders>
          </w:tcPr>
          <w:p>
            <w:pPr>
              <w:spacing w:after="0"/>
              <w:rPr>
                <w:sz w:val="11"/>
                <w:szCs w:val="11"/>
                <w:color w:val="auto"/>
              </w:rPr>
            </w:pPr>
          </w:p>
        </w:tc>
        <w:tc>
          <w:tcPr>
            <w:tcW w:w="1240" w:type="dxa"/>
            <w:vAlign w:val="bottom"/>
            <w:tcBorders>
              <w:top w:val="single" w:sz="8" w:color="auto"/>
              <w:bottom w:val="single" w:sz="8" w:color="auto"/>
            </w:tcBorders>
          </w:tcPr>
          <w:p>
            <w:pPr>
              <w:jc w:val="right"/>
              <w:spacing w:after="0" w:line="136" w:lineRule="exact"/>
              <w:rPr>
                <w:sz w:val="20"/>
                <w:szCs w:val="20"/>
                <w:color w:val="auto"/>
              </w:rPr>
            </w:pPr>
            <w:r>
              <w:rPr>
                <w:rFonts w:ascii="Arial" w:cs="Arial" w:eastAsia="Arial" w:hAnsi="Arial"/>
                <w:sz w:val="14"/>
                <w:szCs w:val="14"/>
                <w:color w:val="auto"/>
              </w:rPr>
              <w:t>616,020</w:t>
            </w:r>
          </w:p>
        </w:tc>
        <w:tc>
          <w:tcPr>
            <w:tcW w:w="20" w:type="dxa"/>
            <w:vAlign w:val="bottom"/>
            <w:tcBorders>
              <w:bottom w:val="single" w:sz="8" w:color="CCEEFF"/>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r>
      <w:tr>
        <w:trPr>
          <w:trHeight w:val="136"/>
        </w:trPr>
        <w:tc>
          <w:tcPr>
            <w:tcW w:w="334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r>
      <w:tr>
        <w:trPr>
          <w:trHeight w:val="143"/>
        </w:trPr>
        <w:tc>
          <w:tcPr>
            <w:tcW w:w="3340" w:type="dxa"/>
            <w:vAlign w:val="bottom"/>
          </w:tcPr>
          <w:p>
            <w:pPr>
              <w:spacing w:after="0" w:line="143" w:lineRule="exact"/>
              <w:rPr>
                <w:sz w:val="20"/>
                <w:szCs w:val="20"/>
                <w:color w:val="auto"/>
              </w:rPr>
            </w:pPr>
            <w:r>
              <w:rPr>
                <w:rFonts w:ascii="Arial" w:cs="Arial" w:eastAsia="Arial" w:hAnsi="Arial"/>
                <w:sz w:val="14"/>
                <w:szCs w:val="14"/>
                <w:b w:val="1"/>
                <w:bCs w:val="1"/>
                <w:color w:val="auto"/>
              </w:rPr>
              <w:t>Negotiable certificate of deposit - BCP (vii)</w:t>
            </w:r>
          </w:p>
        </w:tc>
        <w:tc>
          <w:tcPr>
            <w:tcW w:w="1220" w:type="dxa"/>
            <w:vAlign w:val="bottom"/>
          </w:tcPr>
          <w:p>
            <w:pPr>
              <w:jc w:val="center"/>
              <w:spacing w:after="0" w:line="143" w:lineRule="exact"/>
              <w:rPr>
                <w:sz w:val="20"/>
                <w:szCs w:val="20"/>
                <w:color w:val="auto"/>
              </w:rPr>
            </w:pPr>
            <w:r>
              <w:rPr>
                <w:rFonts w:ascii="Arial" w:cs="Arial" w:eastAsia="Arial" w:hAnsi="Arial"/>
                <w:sz w:val="14"/>
                <w:szCs w:val="14"/>
                <w:color w:val="auto"/>
                <w:w w:val="87"/>
              </w:rPr>
              <w:t>7.17</w:t>
            </w:r>
          </w:p>
        </w:tc>
        <w:tc>
          <w:tcPr>
            <w:tcW w:w="100" w:type="dxa"/>
            <w:vAlign w:val="bottom"/>
          </w:tcPr>
          <w:p>
            <w:pPr>
              <w:spacing w:after="0"/>
              <w:rPr>
                <w:sz w:val="12"/>
                <w:szCs w:val="12"/>
                <w:color w:val="auto"/>
              </w:rPr>
            </w:pPr>
          </w:p>
        </w:tc>
        <w:tc>
          <w:tcPr>
            <w:tcW w:w="1260" w:type="dxa"/>
            <w:vAlign w:val="bottom"/>
            <w:gridSpan w:val="2"/>
          </w:tcPr>
          <w:p>
            <w:pPr>
              <w:jc w:val="center"/>
              <w:ind w:right="100"/>
              <w:spacing w:after="0" w:line="143" w:lineRule="exact"/>
              <w:rPr>
                <w:sz w:val="20"/>
                <w:szCs w:val="20"/>
                <w:color w:val="auto"/>
              </w:rPr>
            </w:pPr>
            <w:r>
              <w:rPr>
                <w:rFonts w:ascii="Arial" w:cs="Arial" w:eastAsia="Arial" w:hAnsi="Arial"/>
                <w:sz w:val="14"/>
                <w:szCs w:val="14"/>
                <w:color w:val="auto"/>
                <w:w w:val="86"/>
              </w:rPr>
              <w:t>Semi-annual</w:t>
            </w:r>
          </w:p>
        </w:tc>
        <w:tc>
          <w:tcPr>
            <w:tcW w:w="1260" w:type="dxa"/>
            <w:vAlign w:val="bottom"/>
            <w:gridSpan w:val="2"/>
          </w:tcPr>
          <w:p>
            <w:pPr>
              <w:jc w:val="center"/>
              <w:ind w:right="100"/>
              <w:spacing w:after="0" w:line="143" w:lineRule="exact"/>
              <w:rPr>
                <w:sz w:val="20"/>
                <w:szCs w:val="20"/>
                <w:color w:val="auto"/>
              </w:rPr>
            </w:pPr>
            <w:r>
              <w:rPr>
                <w:rFonts w:ascii="Arial" w:cs="Arial" w:eastAsia="Arial" w:hAnsi="Arial"/>
                <w:sz w:val="14"/>
                <w:szCs w:val="14"/>
                <w:color w:val="auto"/>
                <w:w w:val="89"/>
              </w:rPr>
              <w:t>October 2022</w:t>
            </w:r>
          </w:p>
        </w:tc>
        <w:tc>
          <w:tcPr>
            <w:tcW w:w="1460" w:type="dxa"/>
            <w:vAlign w:val="bottom"/>
            <w:gridSpan w:val="2"/>
          </w:tcPr>
          <w:p>
            <w:pPr>
              <w:jc w:val="right"/>
              <w:ind w:right="200"/>
              <w:spacing w:after="0" w:line="143" w:lineRule="exact"/>
              <w:rPr>
                <w:sz w:val="20"/>
                <w:szCs w:val="20"/>
                <w:color w:val="auto"/>
              </w:rPr>
            </w:pPr>
            <w:r>
              <w:rPr>
                <w:rFonts w:ascii="Arial" w:cs="Arial" w:eastAsia="Arial" w:hAnsi="Arial"/>
                <w:sz w:val="14"/>
                <w:szCs w:val="14"/>
                <w:color w:val="auto"/>
              </w:rPr>
              <w:t>S/483,280</w:t>
            </w:r>
          </w:p>
        </w:tc>
        <w:tc>
          <w:tcPr>
            <w:tcW w:w="1440" w:type="dxa"/>
            <w:vAlign w:val="bottom"/>
            <w:gridSpan w:val="2"/>
          </w:tcPr>
          <w:p>
            <w:pPr>
              <w:jc w:val="right"/>
              <w:ind w:right="200"/>
              <w:spacing w:after="0" w:line="143" w:lineRule="exact"/>
              <w:rPr>
                <w:sz w:val="20"/>
                <w:szCs w:val="20"/>
                <w:color w:val="auto"/>
              </w:rPr>
            </w:pPr>
            <w:r>
              <w:rPr>
                <w:rFonts w:ascii="Arial" w:cs="Arial" w:eastAsia="Arial" w:hAnsi="Arial"/>
                <w:sz w:val="14"/>
                <w:szCs w:val="14"/>
                <w:color w:val="auto"/>
              </w:rPr>
              <w:t>-</w:t>
            </w:r>
          </w:p>
        </w:tc>
        <w:tc>
          <w:tcPr>
            <w:tcW w:w="1260" w:type="dxa"/>
            <w:vAlign w:val="bottom"/>
            <w:gridSpan w:val="2"/>
          </w:tcPr>
          <w:p>
            <w:pPr>
              <w:jc w:val="right"/>
              <w:ind w:right="20"/>
              <w:spacing w:after="0" w:line="143" w:lineRule="exact"/>
              <w:rPr>
                <w:sz w:val="20"/>
                <w:szCs w:val="20"/>
                <w:color w:val="auto"/>
              </w:rPr>
            </w:pPr>
            <w:r>
              <w:rPr>
                <w:rFonts w:ascii="Arial" w:cs="Arial" w:eastAsia="Arial" w:hAnsi="Arial"/>
                <w:sz w:val="14"/>
                <w:szCs w:val="14"/>
                <w:color w:val="auto"/>
              </w:rPr>
              <w:t>478,837</w:t>
            </w:r>
          </w:p>
        </w:tc>
        <w:tc>
          <w:tcPr>
            <w:tcW w:w="80" w:type="dxa"/>
            <w:vAlign w:val="bottom"/>
          </w:tcPr>
          <w:p>
            <w:pPr>
              <w:spacing w:after="0"/>
              <w:rPr>
                <w:sz w:val="12"/>
                <w:szCs w:val="12"/>
                <w:color w:val="auto"/>
              </w:rPr>
            </w:pPr>
          </w:p>
        </w:tc>
      </w:tr>
      <w:tr>
        <w:trPr>
          <w:trHeight w:val="124"/>
        </w:trPr>
        <w:tc>
          <w:tcPr>
            <w:tcW w:w="3340" w:type="dxa"/>
            <w:vAlign w:val="bottom"/>
            <w:shd w:val="clear" w:color="auto" w:fill="CCEEFF"/>
          </w:tcPr>
          <w:p>
            <w:pPr>
              <w:spacing w:after="0" w:line="125" w:lineRule="exact"/>
              <w:rPr>
                <w:sz w:val="20"/>
                <w:szCs w:val="20"/>
                <w:color w:val="auto"/>
              </w:rPr>
            </w:pPr>
            <w:r>
              <w:rPr>
                <w:rFonts w:ascii="Arial" w:cs="Arial" w:eastAsia="Arial" w:hAnsi="Arial"/>
                <w:sz w:val="14"/>
                <w:szCs w:val="14"/>
                <w:b w:val="1"/>
                <w:bCs w:val="1"/>
                <w:color w:val="auto"/>
              </w:rPr>
              <w:t>Negotiable certificate of deposit - Mibanco</w:t>
            </w:r>
          </w:p>
        </w:tc>
        <w:tc>
          <w:tcPr>
            <w:tcW w:w="12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1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60" w:type="dxa"/>
            <w:vAlign w:val="bottom"/>
            <w:gridSpan w:val="2"/>
            <w:shd w:val="clear" w:color="auto" w:fill="CCEEFF"/>
          </w:tcPr>
          <w:p>
            <w:pPr>
              <w:jc w:val="center"/>
              <w:ind w:right="100"/>
              <w:spacing w:after="0" w:line="125" w:lineRule="exact"/>
              <w:rPr>
                <w:sz w:val="20"/>
                <w:szCs w:val="20"/>
                <w:color w:val="auto"/>
              </w:rPr>
            </w:pPr>
            <w:r>
              <w:rPr>
                <w:rFonts w:ascii="Arial" w:cs="Arial" w:eastAsia="Arial" w:hAnsi="Arial"/>
                <w:sz w:val="14"/>
                <w:szCs w:val="14"/>
                <w:color w:val="auto"/>
                <w:w w:val="88"/>
              </w:rPr>
              <w:t>Between January</w:t>
            </w:r>
          </w:p>
        </w:tc>
        <w:tc>
          <w:tcPr>
            <w:tcW w:w="12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2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2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r>
      <w:tr>
        <w:trPr>
          <w:trHeight w:val="143"/>
        </w:trPr>
        <w:tc>
          <w:tcPr>
            <w:tcW w:w="334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center"/>
              <w:ind w:right="100"/>
              <w:spacing w:after="0" w:line="143" w:lineRule="exact"/>
              <w:rPr>
                <w:sz w:val="20"/>
                <w:szCs w:val="20"/>
                <w:color w:val="auto"/>
              </w:rPr>
            </w:pPr>
            <w:r>
              <w:rPr>
                <w:rFonts w:ascii="Arial" w:cs="Arial" w:eastAsia="Arial" w:hAnsi="Arial"/>
                <w:sz w:val="14"/>
                <w:szCs w:val="14"/>
                <w:color w:val="auto"/>
                <w:w w:val="88"/>
              </w:rPr>
              <w:t>2017 and December</w:t>
            </w:r>
          </w:p>
        </w:tc>
        <w:tc>
          <w:tcPr>
            <w:tcW w:w="12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161"/>
        </w:trPr>
        <w:tc>
          <w:tcPr>
            <w:tcW w:w="3340" w:type="dxa"/>
            <w:vAlign w:val="bottom"/>
            <w:shd w:val="clear" w:color="auto" w:fill="CCEEFF"/>
          </w:tcPr>
          <w:p>
            <w:pPr>
              <w:spacing w:after="0"/>
              <w:rPr>
                <w:sz w:val="14"/>
                <w:szCs w:val="14"/>
                <w:color w:val="auto"/>
              </w:rPr>
            </w:pPr>
          </w:p>
        </w:tc>
        <w:tc>
          <w:tcPr>
            <w:tcW w:w="132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88"/>
              </w:rPr>
              <w:t>Between 1.8 and 5.9</w:t>
            </w:r>
          </w:p>
        </w:tc>
        <w:tc>
          <w:tcPr>
            <w:tcW w:w="126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1"/>
              </w:rPr>
              <w:t>Annual</w:t>
            </w:r>
          </w:p>
        </w:tc>
        <w:tc>
          <w:tcPr>
            <w:tcW w:w="11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2019</w:t>
            </w:r>
          </w:p>
        </w:tc>
        <w:tc>
          <w:tcPr>
            <w:tcW w:w="100" w:type="dxa"/>
            <w:vAlign w:val="bottom"/>
            <w:shd w:val="clear" w:color="auto" w:fill="CCEEFF"/>
          </w:tcPr>
          <w:p>
            <w:pPr>
              <w:spacing w:after="0"/>
              <w:rPr>
                <w:sz w:val="14"/>
                <w:szCs w:val="14"/>
                <w:color w:val="auto"/>
              </w:rPr>
            </w:pPr>
          </w:p>
        </w:tc>
        <w:tc>
          <w:tcPr>
            <w:tcW w:w="14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S/2,998</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1,461</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2,998</w:t>
            </w:r>
          </w:p>
        </w:tc>
        <w:tc>
          <w:tcPr>
            <w:tcW w:w="80" w:type="dxa"/>
            <w:vAlign w:val="bottom"/>
            <w:shd w:val="clear" w:color="auto" w:fill="CCEEFF"/>
          </w:tcPr>
          <w:p>
            <w:pPr>
              <w:spacing w:after="0"/>
              <w:rPr>
                <w:sz w:val="14"/>
                <w:szCs w:val="14"/>
                <w:color w:val="auto"/>
              </w:rPr>
            </w:pPr>
          </w:p>
        </w:tc>
      </w:tr>
      <w:tr>
        <w:trPr>
          <w:trHeight w:val="143"/>
        </w:trPr>
        <w:tc>
          <w:tcPr>
            <w:tcW w:w="33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43"/>
        </w:trPr>
        <w:tc>
          <w:tcPr>
            <w:tcW w:w="3340" w:type="dxa"/>
            <w:vAlign w:val="bottom"/>
            <w:shd w:val="clear" w:color="auto" w:fill="CCEEFF"/>
          </w:tcPr>
          <w:p>
            <w:pPr>
              <w:spacing w:after="0" w:line="143" w:lineRule="exact"/>
              <w:rPr>
                <w:sz w:val="20"/>
                <w:szCs w:val="20"/>
                <w:color w:val="auto"/>
              </w:rPr>
            </w:pPr>
            <w:r>
              <w:rPr>
                <w:rFonts w:ascii="Arial" w:cs="Arial" w:eastAsia="Arial" w:hAnsi="Arial"/>
                <w:sz w:val="14"/>
                <w:szCs w:val="14"/>
                <w:b w:val="1"/>
                <w:bCs w:val="1"/>
                <w:color w:val="auto"/>
              </w:rPr>
              <w:t>Subordinated negotiable certificates - BCP (viii)</w:t>
            </w:r>
          </w:p>
        </w:tc>
        <w:tc>
          <w:tcPr>
            <w:tcW w:w="1220" w:type="dxa"/>
            <w:vAlign w:val="bottom"/>
            <w:shd w:val="clear" w:color="auto" w:fill="CCEEFF"/>
          </w:tcPr>
          <w:p>
            <w:pPr>
              <w:jc w:val="center"/>
              <w:spacing w:after="0" w:line="143" w:lineRule="exact"/>
              <w:rPr>
                <w:sz w:val="20"/>
                <w:szCs w:val="20"/>
                <w:color w:val="auto"/>
              </w:rPr>
            </w:pPr>
            <w:r>
              <w:rPr>
                <w:rFonts w:ascii="Arial" w:cs="Arial" w:eastAsia="Arial" w:hAnsi="Arial"/>
                <w:sz w:val="14"/>
                <w:szCs w:val="14"/>
                <w:color w:val="auto"/>
                <w:w w:val="87"/>
              </w:rPr>
              <w:t>6.88</w:t>
            </w:r>
          </w:p>
        </w:tc>
        <w:tc>
          <w:tcPr>
            <w:tcW w:w="10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center"/>
              <w:ind w:right="100"/>
              <w:spacing w:after="0" w:line="143" w:lineRule="exact"/>
              <w:rPr>
                <w:sz w:val="20"/>
                <w:szCs w:val="20"/>
                <w:color w:val="auto"/>
              </w:rPr>
            </w:pPr>
            <w:r>
              <w:rPr>
                <w:rFonts w:ascii="Arial" w:cs="Arial" w:eastAsia="Arial" w:hAnsi="Arial"/>
                <w:sz w:val="14"/>
                <w:szCs w:val="14"/>
                <w:color w:val="auto"/>
                <w:w w:val="86"/>
              </w:rPr>
              <w:t>Semi-annual</w:t>
            </w:r>
          </w:p>
        </w:tc>
        <w:tc>
          <w:tcPr>
            <w:tcW w:w="1260" w:type="dxa"/>
            <w:vAlign w:val="bottom"/>
            <w:gridSpan w:val="2"/>
            <w:shd w:val="clear" w:color="auto" w:fill="CCEEFF"/>
          </w:tcPr>
          <w:p>
            <w:pPr>
              <w:jc w:val="center"/>
              <w:ind w:right="100"/>
              <w:spacing w:after="0" w:line="143" w:lineRule="exact"/>
              <w:rPr>
                <w:sz w:val="20"/>
                <w:szCs w:val="20"/>
                <w:color w:val="auto"/>
              </w:rPr>
            </w:pPr>
            <w:r>
              <w:rPr>
                <w:rFonts w:ascii="Arial" w:cs="Arial" w:eastAsia="Arial" w:hAnsi="Arial"/>
                <w:sz w:val="14"/>
                <w:szCs w:val="14"/>
                <w:color w:val="auto"/>
                <w:w w:val="88"/>
              </w:rPr>
              <w:t>September 2026</w:t>
            </w:r>
          </w:p>
        </w:tc>
        <w:tc>
          <w:tcPr>
            <w:tcW w:w="1460" w:type="dxa"/>
            <w:vAlign w:val="bottom"/>
            <w:gridSpan w:val="2"/>
            <w:shd w:val="clear" w:color="auto" w:fill="CCEEFF"/>
          </w:tcPr>
          <w:p>
            <w:pPr>
              <w:jc w:val="right"/>
              <w:ind w:right="200"/>
              <w:spacing w:after="0" w:line="143" w:lineRule="exact"/>
              <w:rPr>
                <w:sz w:val="20"/>
                <w:szCs w:val="20"/>
                <w:color w:val="auto"/>
              </w:rPr>
            </w:pPr>
            <w:r>
              <w:rPr>
                <w:rFonts w:ascii="Arial" w:cs="Arial" w:eastAsia="Arial" w:hAnsi="Arial"/>
                <w:sz w:val="14"/>
                <w:szCs w:val="14"/>
                <w:color w:val="auto"/>
              </w:rPr>
              <w:t>US$126,120</w:t>
            </w:r>
          </w:p>
        </w:tc>
        <w:tc>
          <w:tcPr>
            <w:tcW w:w="1440" w:type="dxa"/>
            <w:vAlign w:val="bottom"/>
            <w:gridSpan w:val="2"/>
            <w:shd w:val="clear" w:color="auto" w:fill="CCEEFF"/>
          </w:tcPr>
          <w:p>
            <w:pPr>
              <w:jc w:val="right"/>
              <w:ind w:right="200"/>
              <w:spacing w:after="0" w:line="143" w:lineRule="exact"/>
              <w:rPr>
                <w:sz w:val="20"/>
                <w:szCs w:val="20"/>
                <w:color w:val="auto"/>
              </w:rPr>
            </w:pPr>
            <w:r>
              <w:rPr>
                <w:rFonts w:ascii="Arial" w:cs="Arial" w:eastAsia="Arial" w:hAnsi="Arial"/>
                <w:sz w:val="14"/>
                <w:szCs w:val="14"/>
                <w:color w:val="auto"/>
              </w:rPr>
              <w:t>390,450</w:t>
            </w:r>
          </w:p>
        </w:tc>
        <w:tc>
          <w:tcPr>
            <w:tcW w:w="1260" w:type="dxa"/>
            <w:vAlign w:val="bottom"/>
            <w:gridSpan w:val="2"/>
            <w:shd w:val="clear" w:color="auto" w:fill="CCEEFF"/>
          </w:tcPr>
          <w:p>
            <w:pPr>
              <w:jc w:val="right"/>
              <w:ind w:right="20"/>
              <w:spacing w:after="0" w:line="143" w:lineRule="exact"/>
              <w:rPr>
                <w:sz w:val="20"/>
                <w:szCs w:val="20"/>
                <w:color w:val="auto"/>
              </w:rPr>
            </w:pPr>
            <w:r>
              <w:rPr>
                <w:rFonts w:ascii="Arial" w:cs="Arial" w:eastAsia="Arial" w:hAnsi="Arial"/>
                <w:sz w:val="14"/>
                <w:szCs w:val="14"/>
                <w:color w:val="auto"/>
              </w:rPr>
              <w:t>402,139</w:t>
            </w:r>
          </w:p>
        </w:tc>
        <w:tc>
          <w:tcPr>
            <w:tcW w:w="80" w:type="dxa"/>
            <w:vAlign w:val="bottom"/>
            <w:shd w:val="clear" w:color="auto" w:fill="CCEEFF"/>
          </w:tcPr>
          <w:p>
            <w:pPr>
              <w:spacing w:after="0"/>
              <w:rPr>
                <w:sz w:val="12"/>
                <w:szCs w:val="12"/>
                <w:color w:val="auto"/>
              </w:rPr>
            </w:pPr>
          </w:p>
        </w:tc>
      </w:tr>
      <w:tr>
        <w:trPr>
          <w:trHeight w:val="143"/>
        </w:trPr>
        <w:tc>
          <w:tcPr>
            <w:tcW w:w="3340" w:type="dxa"/>
            <w:vAlign w:val="bottom"/>
          </w:tcPr>
          <w:p>
            <w:pPr>
              <w:spacing w:after="0" w:line="143" w:lineRule="exact"/>
              <w:rPr>
                <w:sz w:val="20"/>
                <w:szCs w:val="20"/>
                <w:color w:val="auto"/>
              </w:rPr>
            </w:pPr>
            <w:r>
              <w:rPr>
                <w:rFonts w:ascii="Arial" w:cs="Arial" w:eastAsia="Arial" w:hAnsi="Arial"/>
                <w:sz w:val="14"/>
                <w:szCs w:val="14"/>
                <w:b w:val="1"/>
                <w:bCs w:val="1"/>
                <w:color w:val="auto"/>
              </w:rPr>
              <w:t>Subordinated negotiable certificates - BCP (viii)</w:t>
            </w:r>
          </w:p>
        </w:tc>
        <w:tc>
          <w:tcPr>
            <w:tcW w:w="1320" w:type="dxa"/>
            <w:vAlign w:val="bottom"/>
            <w:gridSpan w:val="2"/>
          </w:tcPr>
          <w:p>
            <w:pPr>
              <w:jc w:val="center"/>
              <w:ind w:right="100"/>
              <w:spacing w:after="0" w:line="143" w:lineRule="exact"/>
              <w:rPr>
                <w:sz w:val="20"/>
                <w:szCs w:val="20"/>
                <w:color w:val="auto"/>
              </w:rPr>
            </w:pPr>
            <w:r>
              <w:rPr>
                <w:rFonts w:ascii="Arial" w:cs="Arial" w:eastAsia="Arial" w:hAnsi="Arial"/>
                <w:sz w:val="14"/>
                <w:szCs w:val="14"/>
                <w:color w:val="auto"/>
                <w:w w:val="93"/>
              </w:rPr>
              <w:t>Libor 3M+ 279 bp</w:t>
            </w:r>
          </w:p>
        </w:tc>
        <w:tc>
          <w:tcPr>
            <w:tcW w:w="1260" w:type="dxa"/>
            <w:vAlign w:val="bottom"/>
            <w:gridSpan w:val="2"/>
          </w:tcPr>
          <w:p>
            <w:pPr>
              <w:jc w:val="center"/>
              <w:ind w:right="100"/>
              <w:spacing w:after="0" w:line="143" w:lineRule="exact"/>
              <w:rPr>
                <w:sz w:val="20"/>
                <w:szCs w:val="20"/>
                <w:color w:val="auto"/>
              </w:rPr>
            </w:pPr>
            <w:r>
              <w:rPr>
                <w:rFonts w:ascii="Arial" w:cs="Arial" w:eastAsia="Arial" w:hAnsi="Arial"/>
                <w:sz w:val="14"/>
                <w:szCs w:val="14"/>
                <w:color w:val="auto"/>
                <w:w w:val="86"/>
              </w:rPr>
              <w:t>Semi-annual</w:t>
            </w:r>
          </w:p>
        </w:tc>
        <w:tc>
          <w:tcPr>
            <w:tcW w:w="1260" w:type="dxa"/>
            <w:vAlign w:val="bottom"/>
            <w:gridSpan w:val="2"/>
          </w:tcPr>
          <w:p>
            <w:pPr>
              <w:jc w:val="center"/>
              <w:ind w:right="100"/>
              <w:spacing w:after="0" w:line="143" w:lineRule="exact"/>
              <w:rPr>
                <w:sz w:val="20"/>
                <w:szCs w:val="20"/>
                <w:color w:val="auto"/>
              </w:rPr>
            </w:pPr>
            <w:r>
              <w:rPr>
                <w:rFonts w:ascii="Arial" w:cs="Arial" w:eastAsia="Arial" w:hAnsi="Arial"/>
                <w:sz w:val="14"/>
                <w:szCs w:val="14"/>
                <w:color w:val="auto"/>
                <w:w w:val="88"/>
              </w:rPr>
              <w:t>November 2021</w:t>
            </w:r>
          </w:p>
        </w:tc>
        <w:tc>
          <w:tcPr>
            <w:tcW w:w="1460" w:type="dxa"/>
            <w:vAlign w:val="bottom"/>
            <w:gridSpan w:val="2"/>
          </w:tcPr>
          <w:p>
            <w:pPr>
              <w:jc w:val="right"/>
              <w:ind w:right="200"/>
              <w:spacing w:after="0" w:line="143" w:lineRule="exact"/>
              <w:rPr>
                <w:sz w:val="20"/>
                <w:szCs w:val="20"/>
                <w:color w:val="auto"/>
              </w:rPr>
            </w:pPr>
            <w:r>
              <w:rPr>
                <w:rFonts w:ascii="Arial" w:cs="Arial" w:eastAsia="Arial" w:hAnsi="Arial"/>
                <w:sz w:val="14"/>
                <w:szCs w:val="14"/>
                <w:color w:val="auto"/>
              </w:rPr>
              <w:t>US$2,960</w:t>
            </w:r>
          </w:p>
        </w:tc>
        <w:tc>
          <w:tcPr>
            <w:tcW w:w="1440" w:type="dxa"/>
            <w:vAlign w:val="bottom"/>
            <w:gridSpan w:val="2"/>
          </w:tcPr>
          <w:p>
            <w:pPr>
              <w:jc w:val="right"/>
              <w:ind w:right="200"/>
              <w:spacing w:after="0" w:line="143" w:lineRule="exact"/>
              <w:rPr>
                <w:sz w:val="20"/>
                <w:szCs w:val="20"/>
                <w:color w:val="auto"/>
              </w:rPr>
            </w:pPr>
            <w:r>
              <w:rPr>
                <w:rFonts w:ascii="Arial" w:cs="Arial" w:eastAsia="Arial" w:hAnsi="Arial"/>
                <w:sz w:val="14"/>
                <w:szCs w:val="14"/>
                <w:color w:val="auto"/>
              </w:rPr>
              <w:t>9,593</w:t>
            </w:r>
          </w:p>
        </w:tc>
        <w:tc>
          <w:tcPr>
            <w:tcW w:w="1260" w:type="dxa"/>
            <w:vAlign w:val="bottom"/>
            <w:gridSpan w:val="2"/>
          </w:tcPr>
          <w:p>
            <w:pPr>
              <w:jc w:val="right"/>
              <w:ind w:right="20"/>
              <w:spacing w:after="0" w:line="143" w:lineRule="exact"/>
              <w:rPr>
                <w:sz w:val="20"/>
                <w:szCs w:val="20"/>
                <w:color w:val="auto"/>
              </w:rPr>
            </w:pPr>
            <w:r>
              <w:rPr>
                <w:rFonts w:ascii="Arial" w:cs="Arial" w:eastAsia="Arial" w:hAnsi="Arial"/>
                <w:sz w:val="14"/>
                <w:szCs w:val="14"/>
                <w:color w:val="auto"/>
              </w:rPr>
              <w:t>9,934</w:t>
            </w:r>
          </w:p>
        </w:tc>
        <w:tc>
          <w:tcPr>
            <w:tcW w:w="80" w:type="dxa"/>
            <w:vAlign w:val="bottom"/>
          </w:tcPr>
          <w:p>
            <w:pPr>
              <w:spacing w:after="0"/>
              <w:rPr>
                <w:sz w:val="12"/>
                <w:szCs w:val="12"/>
                <w:color w:val="auto"/>
              </w:rPr>
            </w:pPr>
          </w:p>
        </w:tc>
      </w:tr>
      <w:tr>
        <w:trPr>
          <w:trHeight w:val="143"/>
        </w:trPr>
        <w:tc>
          <w:tcPr>
            <w:tcW w:w="3340" w:type="dxa"/>
            <w:vAlign w:val="bottom"/>
            <w:shd w:val="clear" w:color="auto" w:fill="CCEEFF"/>
          </w:tcPr>
          <w:p>
            <w:pPr>
              <w:spacing w:after="0" w:line="143" w:lineRule="exact"/>
              <w:rPr>
                <w:sz w:val="20"/>
                <w:szCs w:val="20"/>
                <w:color w:val="auto"/>
              </w:rPr>
            </w:pPr>
            <w:r>
              <w:rPr>
                <w:rFonts w:ascii="Arial" w:cs="Arial" w:eastAsia="Arial" w:hAnsi="Arial"/>
                <w:sz w:val="14"/>
                <w:szCs w:val="14"/>
                <w:b w:val="1"/>
                <w:bCs w:val="1"/>
                <w:color w:val="auto"/>
              </w:rPr>
              <w:t>Leasing bonds</w:t>
            </w:r>
          </w:p>
        </w:tc>
        <w:tc>
          <w:tcPr>
            <w:tcW w:w="1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143"/>
        </w:trPr>
        <w:tc>
          <w:tcPr>
            <w:tcW w:w="3340" w:type="dxa"/>
            <w:vAlign w:val="bottom"/>
          </w:tcPr>
          <w:p>
            <w:pPr>
              <w:ind w:left="180"/>
              <w:spacing w:after="0" w:line="143" w:lineRule="exact"/>
              <w:rPr>
                <w:sz w:val="20"/>
                <w:szCs w:val="20"/>
                <w:color w:val="auto"/>
              </w:rPr>
            </w:pPr>
            <w:r>
              <w:rPr>
                <w:rFonts w:ascii="Arial" w:cs="Arial" w:eastAsia="Arial" w:hAnsi="Arial"/>
                <w:sz w:val="14"/>
                <w:szCs w:val="14"/>
                <w:b w:val="1"/>
                <w:bCs w:val="1"/>
                <w:color w:val="auto"/>
              </w:rPr>
              <w:t>First program (ix)</w:t>
            </w: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56"/>
        </w:trPr>
        <w:tc>
          <w:tcPr>
            <w:tcW w:w="3340" w:type="dxa"/>
            <w:vAlign w:val="bottom"/>
            <w:shd w:val="clear" w:color="auto" w:fill="CCEEFF"/>
          </w:tcPr>
          <w:p>
            <w:pPr>
              <w:ind w:left="180"/>
              <w:spacing w:after="0" w:line="156" w:lineRule="exact"/>
              <w:rPr>
                <w:sz w:val="20"/>
                <w:szCs w:val="20"/>
                <w:color w:val="auto"/>
              </w:rPr>
            </w:pPr>
            <w:r>
              <w:rPr>
                <w:rFonts w:ascii="Arial" w:cs="Arial" w:eastAsia="Arial" w:hAnsi="Arial"/>
                <w:sz w:val="14"/>
                <w:szCs w:val="14"/>
                <w:color w:val="auto"/>
              </w:rPr>
              <w:t>Sixth issuance (Series A) – BCP</w:t>
            </w:r>
          </w:p>
        </w:tc>
        <w:tc>
          <w:tcPr>
            <w:tcW w:w="1220" w:type="dxa"/>
            <w:vAlign w:val="bottom"/>
            <w:shd w:val="clear" w:color="auto" w:fill="CCEEFF"/>
          </w:tcPr>
          <w:p>
            <w:pPr>
              <w:jc w:val="center"/>
              <w:spacing w:after="0" w:line="156" w:lineRule="exact"/>
              <w:rPr>
                <w:sz w:val="20"/>
                <w:szCs w:val="20"/>
                <w:color w:val="auto"/>
              </w:rPr>
            </w:pPr>
            <w:r>
              <w:rPr>
                <w:rFonts w:ascii="Arial" w:cs="Arial" w:eastAsia="Arial" w:hAnsi="Arial"/>
                <w:sz w:val="14"/>
                <w:szCs w:val="14"/>
                <w:color w:val="auto"/>
                <w:w w:val="87"/>
              </w:rPr>
              <w:t>8.72</w:t>
            </w:r>
          </w:p>
        </w:tc>
        <w:tc>
          <w:tcPr>
            <w:tcW w:w="100" w:type="dxa"/>
            <w:vAlign w:val="bottom"/>
            <w:shd w:val="clear" w:color="auto" w:fill="CCEEFF"/>
          </w:tcPr>
          <w:p>
            <w:pPr>
              <w:spacing w:after="0"/>
              <w:rPr>
                <w:sz w:val="13"/>
                <w:szCs w:val="13"/>
                <w:color w:val="auto"/>
              </w:rPr>
            </w:pPr>
          </w:p>
        </w:tc>
        <w:tc>
          <w:tcPr>
            <w:tcW w:w="1260" w:type="dxa"/>
            <w:vAlign w:val="bottom"/>
            <w:gridSpan w:val="2"/>
            <w:shd w:val="clear" w:color="auto" w:fill="CCEEFF"/>
          </w:tcPr>
          <w:p>
            <w:pPr>
              <w:jc w:val="center"/>
              <w:ind w:right="100"/>
              <w:spacing w:after="0" w:line="156" w:lineRule="exact"/>
              <w:rPr>
                <w:sz w:val="20"/>
                <w:szCs w:val="20"/>
                <w:color w:val="auto"/>
              </w:rPr>
            </w:pPr>
            <w:r>
              <w:rPr>
                <w:rFonts w:ascii="Arial" w:cs="Arial" w:eastAsia="Arial" w:hAnsi="Arial"/>
                <w:sz w:val="14"/>
                <w:szCs w:val="14"/>
                <w:color w:val="auto"/>
                <w:w w:val="90"/>
              </w:rPr>
              <w:t>Quarterly</w:t>
            </w:r>
          </w:p>
        </w:tc>
        <w:tc>
          <w:tcPr>
            <w:tcW w:w="1260" w:type="dxa"/>
            <w:vAlign w:val="bottom"/>
            <w:gridSpan w:val="2"/>
            <w:shd w:val="clear" w:color="auto" w:fill="CCEEFF"/>
          </w:tcPr>
          <w:p>
            <w:pPr>
              <w:jc w:val="center"/>
              <w:ind w:right="100"/>
              <w:spacing w:after="0" w:line="156" w:lineRule="exact"/>
              <w:rPr>
                <w:sz w:val="20"/>
                <w:szCs w:val="20"/>
                <w:color w:val="auto"/>
              </w:rPr>
            </w:pPr>
            <w:r>
              <w:rPr>
                <w:rFonts w:ascii="Arial" w:cs="Arial" w:eastAsia="Arial" w:hAnsi="Arial"/>
                <w:sz w:val="14"/>
                <w:szCs w:val="14"/>
                <w:color w:val="auto"/>
                <w:w w:val="91"/>
              </w:rPr>
              <w:t>August 2018</w:t>
            </w:r>
          </w:p>
        </w:tc>
        <w:tc>
          <w:tcPr>
            <w:tcW w:w="1460" w:type="dxa"/>
            <w:vAlign w:val="bottom"/>
            <w:gridSpan w:val="2"/>
            <w:shd w:val="clear" w:color="auto" w:fill="CCEEFF"/>
          </w:tcPr>
          <w:p>
            <w:pPr>
              <w:jc w:val="right"/>
              <w:ind w:right="200"/>
              <w:spacing w:after="0" w:line="156" w:lineRule="exact"/>
              <w:rPr>
                <w:sz w:val="20"/>
                <w:szCs w:val="20"/>
                <w:color w:val="auto"/>
              </w:rPr>
            </w:pPr>
            <w:r>
              <w:rPr>
                <w:rFonts w:ascii="Arial" w:cs="Arial" w:eastAsia="Arial" w:hAnsi="Arial"/>
                <w:sz w:val="14"/>
                <w:szCs w:val="14"/>
                <w:color w:val="auto"/>
              </w:rPr>
              <w:t>S/100,000</w:t>
            </w:r>
          </w:p>
        </w:tc>
        <w:tc>
          <w:tcPr>
            <w:tcW w:w="1440" w:type="dxa"/>
            <w:vAlign w:val="bottom"/>
            <w:gridSpan w:val="2"/>
            <w:shd w:val="clear" w:color="auto" w:fill="CCEEFF"/>
          </w:tcPr>
          <w:p>
            <w:pPr>
              <w:jc w:val="right"/>
              <w:ind w:right="200"/>
              <w:spacing w:after="0" w:line="156" w:lineRule="exact"/>
              <w:rPr>
                <w:sz w:val="20"/>
                <w:szCs w:val="20"/>
                <w:color w:val="auto"/>
              </w:rPr>
            </w:pPr>
            <w:r>
              <w:rPr>
                <w:rFonts w:ascii="Arial" w:cs="Arial" w:eastAsia="Arial" w:hAnsi="Arial"/>
                <w:sz w:val="14"/>
                <w:szCs w:val="14"/>
                <w:color w:val="auto"/>
              </w:rPr>
              <w:t>100,000</w:t>
            </w:r>
          </w:p>
        </w:tc>
        <w:tc>
          <w:tcPr>
            <w:tcW w:w="1260" w:type="dxa"/>
            <w:vAlign w:val="bottom"/>
            <w:gridSpan w:val="2"/>
            <w:shd w:val="clear" w:color="auto" w:fill="CCEEFF"/>
          </w:tcPr>
          <w:p>
            <w:pPr>
              <w:jc w:val="right"/>
              <w:ind w:right="20"/>
              <w:spacing w:after="0" w:line="156" w:lineRule="exact"/>
              <w:rPr>
                <w:sz w:val="20"/>
                <w:szCs w:val="20"/>
                <w:color w:val="auto"/>
              </w:rPr>
            </w:pPr>
            <w:r>
              <w:rPr>
                <w:rFonts w:ascii="Arial" w:cs="Arial" w:eastAsia="Arial" w:hAnsi="Arial"/>
                <w:sz w:val="14"/>
                <w:szCs w:val="14"/>
                <w:color w:val="auto"/>
              </w:rPr>
              <w:t>100,000</w:t>
            </w:r>
          </w:p>
        </w:tc>
        <w:tc>
          <w:tcPr>
            <w:tcW w:w="80" w:type="dxa"/>
            <w:vAlign w:val="bottom"/>
            <w:shd w:val="clear" w:color="auto" w:fill="CCEEFF"/>
          </w:tcPr>
          <w:p>
            <w:pPr>
              <w:spacing w:after="0"/>
              <w:rPr>
                <w:sz w:val="13"/>
                <w:szCs w:val="13"/>
                <w:color w:val="auto"/>
              </w:rPr>
            </w:pPr>
          </w:p>
        </w:tc>
      </w:tr>
      <w:tr>
        <w:trPr>
          <w:trHeight w:val="136"/>
        </w:trPr>
        <w:tc>
          <w:tcPr>
            <w:tcW w:w="334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40" w:type="dxa"/>
            <w:vAlign w:val="bottom"/>
            <w:tcBorders>
              <w:top w:val="single" w:sz="8" w:color="auto"/>
            </w:tcBorders>
          </w:tcPr>
          <w:p>
            <w:pPr>
              <w:jc w:val="right"/>
              <w:spacing w:after="0" w:line="136" w:lineRule="exact"/>
              <w:rPr>
                <w:sz w:val="20"/>
                <w:szCs w:val="20"/>
                <w:color w:val="auto"/>
              </w:rPr>
            </w:pPr>
            <w:r>
              <w:rPr>
                <w:rFonts w:ascii="Arial" w:cs="Arial" w:eastAsia="Arial" w:hAnsi="Arial"/>
                <w:sz w:val="14"/>
                <w:szCs w:val="14"/>
                <w:color w:val="auto"/>
              </w:rPr>
              <w:t>16,049,234</w:t>
            </w:r>
          </w:p>
        </w:tc>
        <w:tc>
          <w:tcPr>
            <w:tcW w:w="200" w:type="dxa"/>
            <w:vAlign w:val="bottom"/>
          </w:tcPr>
          <w:p>
            <w:pPr>
              <w:spacing w:after="0"/>
              <w:rPr>
                <w:sz w:val="11"/>
                <w:szCs w:val="11"/>
                <w:color w:val="auto"/>
              </w:rPr>
            </w:pPr>
          </w:p>
        </w:tc>
        <w:tc>
          <w:tcPr>
            <w:tcW w:w="1240" w:type="dxa"/>
            <w:vAlign w:val="bottom"/>
            <w:tcBorders>
              <w:top w:val="single" w:sz="8" w:color="auto"/>
            </w:tcBorders>
          </w:tcPr>
          <w:p>
            <w:pPr>
              <w:jc w:val="right"/>
              <w:spacing w:after="0" w:line="136" w:lineRule="exact"/>
              <w:rPr>
                <w:sz w:val="20"/>
                <w:szCs w:val="20"/>
                <w:color w:val="auto"/>
              </w:rPr>
            </w:pPr>
            <w:r>
              <w:rPr>
                <w:rFonts w:ascii="Arial" w:cs="Arial" w:eastAsia="Arial" w:hAnsi="Arial"/>
                <w:sz w:val="14"/>
                <w:szCs w:val="14"/>
                <w:color w:val="auto"/>
              </w:rPr>
              <w:t>15,750,467</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56"/>
        </w:trPr>
        <w:tc>
          <w:tcPr>
            <w:tcW w:w="3340" w:type="dxa"/>
            <w:vAlign w:val="bottom"/>
            <w:shd w:val="clear" w:color="auto" w:fill="CCEEFF"/>
          </w:tcPr>
          <w:p>
            <w:pPr>
              <w:spacing w:after="0" w:line="156" w:lineRule="exact"/>
              <w:rPr>
                <w:sz w:val="20"/>
                <w:szCs w:val="20"/>
                <w:color w:val="auto"/>
              </w:rPr>
            </w:pPr>
            <w:r>
              <w:rPr>
                <w:rFonts w:ascii="Arial" w:cs="Arial" w:eastAsia="Arial" w:hAnsi="Arial"/>
                <w:sz w:val="14"/>
                <w:szCs w:val="14"/>
                <w:color w:val="auto"/>
              </w:rPr>
              <w:t>Interest payable</w:t>
            </w:r>
          </w:p>
        </w:tc>
        <w:tc>
          <w:tcPr>
            <w:tcW w:w="1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440" w:type="dxa"/>
            <w:vAlign w:val="bottom"/>
            <w:gridSpan w:val="2"/>
            <w:shd w:val="clear" w:color="auto" w:fill="CCEEFF"/>
          </w:tcPr>
          <w:p>
            <w:pPr>
              <w:jc w:val="right"/>
              <w:ind w:right="200"/>
              <w:spacing w:after="0" w:line="156" w:lineRule="exact"/>
              <w:rPr>
                <w:sz w:val="20"/>
                <w:szCs w:val="20"/>
                <w:color w:val="auto"/>
              </w:rPr>
            </w:pPr>
            <w:r>
              <w:rPr>
                <w:rFonts w:ascii="Arial" w:cs="Arial" w:eastAsia="Arial" w:hAnsi="Arial"/>
                <w:sz w:val="14"/>
                <w:szCs w:val="14"/>
                <w:color w:val="auto"/>
              </w:rPr>
              <w:t>193,023</w:t>
            </w:r>
          </w:p>
        </w:tc>
        <w:tc>
          <w:tcPr>
            <w:tcW w:w="1260" w:type="dxa"/>
            <w:vAlign w:val="bottom"/>
            <w:gridSpan w:val="2"/>
            <w:shd w:val="clear" w:color="auto" w:fill="CCEEFF"/>
          </w:tcPr>
          <w:p>
            <w:pPr>
              <w:jc w:val="right"/>
              <w:ind w:right="20"/>
              <w:spacing w:after="0" w:line="156" w:lineRule="exact"/>
              <w:rPr>
                <w:sz w:val="20"/>
                <w:szCs w:val="20"/>
                <w:color w:val="auto"/>
              </w:rPr>
            </w:pPr>
            <w:r>
              <w:rPr>
                <w:rFonts w:ascii="Arial" w:cs="Arial" w:eastAsia="Arial" w:hAnsi="Arial"/>
                <w:sz w:val="14"/>
                <w:szCs w:val="14"/>
                <w:color w:val="auto"/>
              </w:rPr>
              <w:t>189,136</w:t>
            </w:r>
          </w:p>
        </w:tc>
        <w:tc>
          <w:tcPr>
            <w:tcW w:w="80" w:type="dxa"/>
            <w:vAlign w:val="bottom"/>
            <w:shd w:val="clear" w:color="auto" w:fill="CCEEFF"/>
          </w:tcPr>
          <w:p>
            <w:pPr>
              <w:spacing w:after="0"/>
              <w:rPr>
                <w:sz w:val="13"/>
                <w:szCs w:val="13"/>
                <w:color w:val="auto"/>
              </w:rPr>
            </w:pPr>
          </w:p>
        </w:tc>
      </w:tr>
      <w:tr>
        <w:trPr>
          <w:trHeight w:val="136"/>
        </w:trPr>
        <w:tc>
          <w:tcPr>
            <w:tcW w:w="3340" w:type="dxa"/>
            <w:vAlign w:val="bottom"/>
          </w:tcPr>
          <w:p>
            <w:pPr>
              <w:spacing w:after="0" w:line="136" w:lineRule="exact"/>
              <w:rPr>
                <w:sz w:val="20"/>
                <w:szCs w:val="20"/>
                <w:color w:val="auto"/>
              </w:rPr>
            </w:pPr>
            <w:r>
              <w:rPr>
                <w:rFonts w:ascii="Arial" w:cs="Arial" w:eastAsia="Arial" w:hAnsi="Arial"/>
                <w:sz w:val="14"/>
                <w:szCs w:val="14"/>
                <w:b w:val="1"/>
                <w:bCs w:val="1"/>
                <w:color w:val="auto"/>
              </w:rPr>
              <w:t>Total</w:t>
            </w:r>
          </w:p>
        </w:tc>
        <w:tc>
          <w:tcPr>
            <w:tcW w:w="1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40" w:type="dxa"/>
            <w:vAlign w:val="bottom"/>
            <w:tcBorders>
              <w:top w:val="single" w:sz="8" w:color="auto"/>
              <w:bottom w:val="single" w:sz="8" w:color="auto"/>
            </w:tcBorders>
          </w:tcPr>
          <w:p>
            <w:pPr>
              <w:jc w:val="right"/>
              <w:spacing w:after="0" w:line="136" w:lineRule="exact"/>
              <w:rPr>
                <w:sz w:val="20"/>
                <w:szCs w:val="20"/>
                <w:color w:val="auto"/>
              </w:rPr>
            </w:pPr>
            <w:r>
              <w:rPr>
                <w:rFonts w:ascii="Arial" w:cs="Arial" w:eastAsia="Arial" w:hAnsi="Arial"/>
                <w:sz w:val="14"/>
                <w:szCs w:val="14"/>
                <w:color w:val="auto"/>
              </w:rPr>
              <w:t>16,242,257</w:t>
            </w:r>
          </w:p>
        </w:tc>
        <w:tc>
          <w:tcPr>
            <w:tcW w:w="200" w:type="dxa"/>
            <w:vAlign w:val="bottom"/>
          </w:tcPr>
          <w:p>
            <w:pPr>
              <w:spacing w:after="0"/>
              <w:rPr>
                <w:sz w:val="11"/>
                <w:szCs w:val="11"/>
                <w:color w:val="auto"/>
              </w:rPr>
            </w:pPr>
          </w:p>
        </w:tc>
        <w:tc>
          <w:tcPr>
            <w:tcW w:w="1240" w:type="dxa"/>
            <w:vAlign w:val="bottom"/>
            <w:tcBorders>
              <w:top w:val="single" w:sz="8" w:color="auto"/>
              <w:bottom w:val="single" w:sz="8" w:color="auto"/>
            </w:tcBorders>
          </w:tcPr>
          <w:p>
            <w:pPr>
              <w:jc w:val="right"/>
              <w:spacing w:after="0" w:line="136" w:lineRule="exact"/>
              <w:rPr>
                <w:sz w:val="20"/>
                <w:szCs w:val="20"/>
                <w:color w:val="auto"/>
              </w:rPr>
            </w:pPr>
            <w:r>
              <w:rPr>
                <w:rFonts w:ascii="Arial" w:cs="Arial" w:eastAsia="Arial" w:hAnsi="Arial"/>
                <w:sz w:val="14"/>
                <w:szCs w:val="14"/>
                <w:color w:val="auto"/>
              </w:rPr>
              <w:t>15,939,603</w:t>
            </w:r>
          </w:p>
        </w:tc>
        <w:tc>
          <w:tcPr>
            <w:tcW w:w="2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r>
      <w:tr>
        <w:trPr>
          <w:trHeight w:val="20"/>
        </w:trPr>
        <w:tc>
          <w:tcPr>
            <w:tcW w:w="33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- 85 -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15875</wp:posOffset>
            </wp:positionV>
            <wp:extent cx="725170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51700" cy="8255"/>
                    </a:xfrm>
                    <a:prstGeom prst="rect">
                      <a:avLst/>
                    </a:prstGeom>
                    <a:noFill/>
                  </pic:spPr>
                </pic:pic>
              </a:graphicData>
            </a:graphic>
          </wp:anchor>
        </w:drawing>
      </w:r>
    </w:p>
    <w:p>
      <w:pPr>
        <w:sectPr>
          <w:pgSz w:w="11900" w:h="16838" w:orient="portrait"/>
          <w:cols w:equalWidth="0" w:num="1">
            <w:col w:w="11420"/>
          </w:cols>
          <w:pgMar w:left="240" w:top="884" w:right="239" w:bottom="1440" w:gutter="0" w:footer="0" w:header="0"/>
        </w:sectPr>
      </w:pPr>
    </w:p>
    <w:bookmarkStart w:id="91" w:name="page92"/>
    <w:bookmarkEnd w:id="91"/>
    <w:p>
      <w:pPr>
        <w:ind w:left="4" w:right="20"/>
        <w:spacing w:after="0" w:line="294" w:lineRule="auto"/>
        <w:rPr>
          <w:sz w:val="20"/>
          <w:szCs w:val="20"/>
          <w:color w:val="auto"/>
        </w:rPr>
      </w:pPr>
      <w:r>
        <w:rPr>
          <w:rFonts w:ascii="Arial" w:cs="Arial" w:eastAsia="Arial" w:hAnsi="Arial"/>
          <w:sz w:val="16"/>
          <w:szCs w:val="16"/>
          <w:color w:val="auto"/>
        </w:rPr>
        <w:t>At December 31, 2017 the Group holds IRS for a nominal amount totaling US$2,442.4 million, equivalent to S/7,915.9 million (US$2,442.4 million, equivalent to S/8,196.8 million at December 31, 2016), See Note 12(b), which were designated as fair value hedges of certain corporate bonds, subordinated bonds and Notes denominated in U.S. Dollars at fixed rate; through said IRS, these bonds and Notes were economically converted to variable interest rate.</w:t>
      </w:r>
    </w:p>
    <w:p>
      <w:pPr>
        <w:spacing w:after="0" w:line="155" w:lineRule="exact"/>
        <w:rPr>
          <w:sz w:val="20"/>
          <w:szCs w:val="20"/>
          <w:color w:val="auto"/>
        </w:rPr>
      </w:pPr>
    </w:p>
    <w:p>
      <w:pPr>
        <w:ind w:left="424" w:right="80" w:hanging="424"/>
        <w:spacing w:after="0" w:line="285" w:lineRule="auto"/>
        <w:tabs>
          <w:tab w:leader="none" w:pos="424" w:val="left"/>
        </w:tabs>
        <w:numPr>
          <w:ilvl w:val="0"/>
          <w:numId w:val="105"/>
        </w:numPr>
        <w:rPr>
          <w:rFonts w:ascii="Arial" w:cs="Arial" w:eastAsia="Arial" w:hAnsi="Arial"/>
          <w:sz w:val="17"/>
          <w:szCs w:val="17"/>
          <w:color w:val="auto"/>
        </w:rPr>
      </w:pPr>
      <w:r>
        <w:rPr>
          <w:rFonts w:ascii="Arial" w:cs="Arial" w:eastAsia="Arial" w:hAnsi="Arial"/>
          <w:sz w:val="17"/>
          <w:szCs w:val="17"/>
          <w:color w:val="auto"/>
        </w:rPr>
        <w:t>The Group can redeem these notes in whole or in a part at any time, with the penalty of the payment of an interest rate equivalent to that of the American Treasury plus 40 basis points. Payment of principal will take place at the date of maturity or redemption of the notes.</w:t>
      </w:r>
    </w:p>
    <w:p>
      <w:pPr>
        <w:spacing w:after="0" w:line="159" w:lineRule="exact"/>
        <w:rPr>
          <w:rFonts w:ascii="Arial" w:cs="Arial" w:eastAsia="Arial" w:hAnsi="Arial"/>
          <w:sz w:val="17"/>
          <w:szCs w:val="17"/>
          <w:color w:val="auto"/>
        </w:rPr>
      </w:pPr>
    </w:p>
    <w:p>
      <w:pPr>
        <w:ind w:left="424" w:right="200" w:hanging="424"/>
        <w:spacing w:after="0" w:line="285" w:lineRule="auto"/>
        <w:tabs>
          <w:tab w:leader="none" w:pos="424" w:val="left"/>
        </w:tabs>
        <w:numPr>
          <w:ilvl w:val="0"/>
          <w:numId w:val="105"/>
        </w:numPr>
        <w:rPr>
          <w:rFonts w:ascii="Arial" w:cs="Arial" w:eastAsia="Arial" w:hAnsi="Arial"/>
          <w:sz w:val="17"/>
          <w:szCs w:val="17"/>
          <w:color w:val="auto"/>
        </w:rPr>
      </w:pPr>
      <w:r>
        <w:rPr>
          <w:rFonts w:ascii="Arial" w:cs="Arial" w:eastAsia="Arial" w:hAnsi="Arial"/>
          <w:sz w:val="17"/>
          <w:szCs w:val="17"/>
          <w:color w:val="auto"/>
        </w:rPr>
        <w:t>The Group can redeem these notes in whole or in part at any time, with the penalty of the payment of an interest rate equivalent to that of the American Treasury plus 50 basis points. Payment of principal will take place at the date of maturity or redemption.</w:t>
      </w:r>
    </w:p>
    <w:p>
      <w:pPr>
        <w:spacing w:after="0" w:line="159" w:lineRule="exact"/>
        <w:rPr>
          <w:rFonts w:ascii="Arial" w:cs="Arial" w:eastAsia="Arial" w:hAnsi="Arial"/>
          <w:sz w:val="17"/>
          <w:szCs w:val="17"/>
          <w:color w:val="auto"/>
        </w:rPr>
      </w:pPr>
    </w:p>
    <w:p>
      <w:pPr>
        <w:ind w:left="424" w:right="60" w:hanging="424"/>
        <w:spacing w:after="0" w:line="270" w:lineRule="auto"/>
        <w:tabs>
          <w:tab w:leader="none" w:pos="424" w:val="left"/>
        </w:tabs>
        <w:numPr>
          <w:ilvl w:val="0"/>
          <w:numId w:val="105"/>
        </w:numPr>
        <w:rPr>
          <w:rFonts w:ascii="Arial" w:cs="Arial" w:eastAsia="Arial" w:hAnsi="Arial"/>
          <w:sz w:val="17"/>
          <w:szCs w:val="17"/>
          <w:color w:val="auto"/>
        </w:rPr>
      </w:pPr>
      <w:r>
        <w:rPr>
          <w:rFonts w:ascii="Arial" w:cs="Arial" w:eastAsia="Arial" w:hAnsi="Arial"/>
          <w:sz w:val="17"/>
          <w:szCs w:val="17"/>
          <w:color w:val="auto"/>
        </w:rPr>
        <w:t>All issuances are secured by the collection of BCP’s (including its foreign branches) future inflows from electronic messages sent through the Society for Worldwide Interbank Financial Telecommunications (“SWIFT”) network and utilized within the network to instruct correspondent banks to make a payment of a certain amount to a beneficiary that is not a financial institution.</w:t>
      </w:r>
    </w:p>
    <w:p>
      <w:pPr>
        <w:spacing w:after="0" w:line="171" w:lineRule="exact"/>
        <w:rPr>
          <w:rFonts w:ascii="Arial" w:cs="Arial" w:eastAsia="Arial" w:hAnsi="Arial"/>
          <w:sz w:val="17"/>
          <w:szCs w:val="17"/>
          <w:color w:val="auto"/>
        </w:rPr>
      </w:pPr>
    </w:p>
    <w:p>
      <w:pPr>
        <w:ind w:left="424" w:right="480"/>
        <w:spacing w:after="0" w:line="270" w:lineRule="auto"/>
        <w:rPr>
          <w:rFonts w:ascii="Arial" w:cs="Arial" w:eastAsia="Arial" w:hAnsi="Arial"/>
          <w:sz w:val="17"/>
          <w:szCs w:val="17"/>
          <w:color w:val="auto"/>
        </w:rPr>
      </w:pPr>
      <w:r>
        <w:rPr>
          <w:rFonts w:ascii="Arial" w:cs="Arial" w:eastAsia="Arial" w:hAnsi="Arial"/>
          <w:sz w:val="17"/>
          <w:szCs w:val="17"/>
          <w:color w:val="auto"/>
        </w:rPr>
        <w:t>At December 31, 2016, cash flows of issuances in 2010 with series “C”, which are subject to variable interest rates, have been hedged using an IRS designated as cash flows hedges for a nominal amount of S/179.2 million, See Note 12(b); through the IRS, said issuance was converted to a fixed interest rate. The issue matured in July 2017.</w:t>
      </w:r>
    </w:p>
    <w:p>
      <w:pPr>
        <w:spacing w:after="0" w:line="171" w:lineRule="exact"/>
        <w:rPr>
          <w:rFonts w:ascii="Arial" w:cs="Arial" w:eastAsia="Arial" w:hAnsi="Arial"/>
          <w:sz w:val="17"/>
          <w:szCs w:val="17"/>
          <w:color w:val="auto"/>
        </w:rPr>
      </w:pPr>
    </w:p>
    <w:p>
      <w:pPr>
        <w:ind w:left="424" w:right="140" w:hanging="424"/>
        <w:spacing w:after="0" w:line="265" w:lineRule="auto"/>
        <w:tabs>
          <w:tab w:leader="none" w:pos="424" w:val="left"/>
        </w:tabs>
        <w:numPr>
          <w:ilvl w:val="0"/>
          <w:numId w:val="105"/>
        </w:numPr>
        <w:rPr>
          <w:rFonts w:ascii="Arial" w:cs="Arial" w:eastAsia="Arial" w:hAnsi="Arial"/>
          <w:sz w:val="17"/>
          <w:szCs w:val="17"/>
          <w:color w:val="auto"/>
        </w:rPr>
      </w:pPr>
      <w:r>
        <w:rPr>
          <w:rFonts w:ascii="Arial" w:cs="Arial" w:eastAsia="Arial" w:hAnsi="Arial"/>
          <w:sz w:val="17"/>
          <w:szCs w:val="17"/>
          <w:color w:val="auto"/>
        </w:rPr>
        <w:t>From 2022, the Bank will pay a floating interest rate of three month Libor plus 704.3 basis points. Between April 24, 2017 and April 24, 2022, the Bank may redeem all or part of the subordinated bonds with the penalty of the payment of an interest rate equivalent to that of the American Treasury plus 50 basis points. Additionally, from April 25, 2022 or at any later date of coupon payment, the Bank will be able to redeem all or part of the bonds without penalty. Payment of principal will take place at the date of maturity of bonds or upon redemption.</w:t>
      </w:r>
    </w:p>
    <w:p>
      <w:pPr>
        <w:spacing w:after="0" w:line="176" w:lineRule="exact"/>
        <w:rPr>
          <w:rFonts w:ascii="Arial" w:cs="Arial" w:eastAsia="Arial" w:hAnsi="Arial"/>
          <w:sz w:val="17"/>
          <w:szCs w:val="17"/>
          <w:color w:val="auto"/>
        </w:rPr>
      </w:pPr>
    </w:p>
    <w:p>
      <w:pPr>
        <w:ind w:left="424" w:right="240"/>
        <w:spacing w:after="0" w:line="270" w:lineRule="auto"/>
        <w:rPr>
          <w:rFonts w:ascii="Arial" w:cs="Arial" w:eastAsia="Arial" w:hAnsi="Arial"/>
          <w:sz w:val="17"/>
          <w:szCs w:val="17"/>
          <w:color w:val="auto"/>
        </w:rPr>
      </w:pPr>
      <w:r>
        <w:rPr>
          <w:rFonts w:ascii="Arial" w:cs="Arial" w:eastAsia="Arial" w:hAnsi="Arial"/>
          <w:sz w:val="17"/>
          <w:szCs w:val="17"/>
          <w:color w:val="auto"/>
        </w:rPr>
        <w:t>In January 2014, the Bank, through its Panama Branch increased the issue of its subordinated bonds by an amount of US$200.0 million in the international market, as occurred in April 2013, when it carried out a first increase for an amount of US$170.0 million, with the same characteristics of the issue made in April 2012 for US$350.0 million.</w:t>
      </w:r>
    </w:p>
    <w:p>
      <w:pPr>
        <w:spacing w:after="0" w:line="171" w:lineRule="exact"/>
        <w:rPr>
          <w:rFonts w:ascii="Arial" w:cs="Arial" w:eastAsia="Arial" w:hAnsi="Arial"/>
          <w:sz w:val="17"/>
          <w:szCs w:val="17"/>
          <w:color w:val="auto"/>
        </w:rPr>
      </w:pPr>
    </w:p>
    <w:p>
      <w:pPr>
        <w:ind w:left="424" w:hanging="424"/>
        <w:spacing w:after="0" w:line="265" w:lineRule="auto"/>
        <w:tabs>
          <w:tab w:leader="none" w:pos="424" w:val="left"/>
        </w:tabs>
        <w:numPr>
          <w:ilvl w:val="0"/>
          <w:numId w:val="105"/>
        </w:numPr>
        <w:rPr>
          <w:rFonts w:ascii="Arial" w:cs="Arial" w:eastAsia="Arial" w:hAnsi="Arial"/>
          <w:sz w:val="17"/>
          <w:szCs w:val="17"/>
          <w:color w:val="auto"/>
        </w:rPr>
      </w:pPr>
      <w:r>
        <w:rPr>
          <w:rFonts w:ascii="Arial" w:cs="Arial" w:eastAsia="Arial" w:hAnsi="Arial"/>
          <w:sz w:val="17"/>
          <w:szCs w:val="17"/>
          <w:color w:val="auto"/>
        </w:rPr>
        <w:t>From September 16, 2021, the interest rate becomes a floating rate of three month Libor plus 770.8 basis points. Between September 16, 2016 and September 15, 2021, the Group may redeem all or part of the bonds, with the penalty of the payment of an interest equivalent to the American Treasury plus 50 basis points. Additionally, from September 16, 2021 or at any later date of coupon payment, the Group can redeem all or part of the bonds without penalty. Payment of principal will take place at the date of maturity of bonds or upon redemption.</w:t>
      </w:r>
    </w:p>
    <w:p>
      <w:pPr>
        <w:spacing w:after="0" w:line="176" w:lineRule="exact"/>
        <w:rPr>
          <w:rFonts w:ascii="Arial" w:cs="Arial" w:eastAsia="Arial" w:hAnsi="Arial"/>
          <w:sz w:val="17"/>
          <w:szCs w:val="17"/>
          <w:color w:val="auto"/>
        </w:rPr>
      </w:pPr>
    </w:p>
    <w:p>
      <w:pPr>
        <w:ind w:left="424" w:right="200" w:hanging="424"/>
        <w:spacing w:after="0" w:line="318" w:lineRule="auto"/>
        <w:tabs>
          <w:tab w:leader="none" w:pos="424" w:val="left"/>
        </w:tabs>
        <w:numPr>
          <w:ilvl w:val="0"/>
          <w:numId w:val="105"/>
        </w:numPr>
        <w:rPr>
          <w:rFonts w:ascii="Arial" w:cs="Arial" w:eastAsia="Arial" w:hAnsi="Arial"/>
          <w:sz w:val="16"/>
          <w:szCs w:val="16"/>
          <w:color w:val="auto"/>
        </w:rPr>
      </w:pPr>
      <w:r>
        <w:rPr>
          <w:rFonts w:ascii="Arial" w:cs="Arial" w:eastAsia="Arial" w:hAnsi="Arial"/>
          <w:sz w:val="16"/>
          <w:szCs w:val="16"/>
          <w:color w:val="auto"/>
        </w:rPr>
        <w:t>In November 2019, interest rate will become a variable rate of three month Libor plus 816.7 basis points. On that date and on any interest payment date the Bank can redeem 100 percent of the bonds without penalty. Payment of principal will take place at the date of maturity or upon redemption.</w:t>
      </w:r>
    </w:p>
    <w:p>
      <w:pPr>
        <w:spacing w:after="0" w:line="136" w:lineRule="exact"/>
        <w:rPr>
          <w:rFonts w:ascii="Arial" w:cs="Arial" w:eastAsia="Arial" w:hAnsi="Arial"/>
          <w:sz w:val="16"/>
          <w:szCs w:val="16"/>
          <w:color w:val="auto"/>
        </w:rPr>
      </w:pPr>
    </w:p>
    <w:p>
      <w:pPr>
        <w:ind w:left="424" w:right="380"/>
        <w:spacing w:after="0" w:line="285" w:lineRule="auto"/>
        <w:rPr>
          <w:rFonts w:ascii="Arial" w:cs="Arial" w:eastAsia="Arial" w:hAnsi="Arial"/>
          <w:sz w:val="16"/>
          <w:szCs w:val="16"/>
          <w:color w:val="auto"/>
        </w:rPr>
      </w:pPr>
      <w:r>
        <w:rPr>
          <w:rFonts w:ascii="Arial" w:cs="Arial" w:eastAsia="Arial" w:hAnsi="Arial"/>
          <w:sz w:val="17"/>
          <w:szCs w:val="17"/>
          <w:color w:val="auto"/>
        </w:rPr>
        <w:t>This issuance, as authorized by the SBS, qualifies as “Tier 1” equity in the determination of the regulatory capital (“patrimonio efectivo”) and has no related guarantees.</w:t>
      </w:r>
    </w:p>
    <w:p>
      <w:pPr>
        <w:spacing w:after="0" w:line="367" w:lineRule="exact"/>
        <w:rPr>
          <w:rFonts w:ascii="Arial" w:cs="Arial" w:eastAsia="Arial" w:hAnsi="Arial"/>
          <w:sz w:val="16"/>
          <w:szCs w:val="16"/>
          <w:color w:val="auto"/>
        </w:rPr>
      </w:pPr>
    </w:p>
    <w:p>
      <w:pPr>
        <w:ind w:left="5324" w:hanging="107"/>
        <w:spacing w:after="0"/>
        <w:tabs>
          <w:tab w:leader="none" w:pos="5324" w:val="left"/>
        </w:tabs>
        <w:numPr>
          <w:ilvl w:val="1"/>
          <w:numId w:val="105"/>
        </w:numPr>
        <w:rPr>
          <w:rFonts w:ascii="Arial" w:cs="Arial" w:eastAsia="Arial" w:hAnsi="Arial"/>
          <w:sz w:val="17"/>
          <w:szCs w:val="17"/>
          <w:color w:val="auto"/>
        </w:rPr>
      </w:pPr>
      <w:r>
        <w:rPr>
          <w:rFonts w:ascii="Arial" w:cs="Arial" w:eastAsia="Arial" w:hAnsi="Arial"/>
          <w:sz w:val="17"/>
          <w:szCs w:val="17"/>
          <w:color w:val="auto"/>
        </w:rPr>
        <w:t>86 -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-197485</wp:posOffset>
            </wp:positionH>
            <wp:positionV relativeFrom="paragraph">
              <wp:posOffset>15875</wp:posOffset>
            </wp:positionV>
            <wp:extent cx="725170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51700" cy="8255"/>
                    </a:xfrm>
                    <a:prstGeom prst="rect">
                      <a:avLst/>
                    </a:prstGeom>
                    <a:noFill/>
                  </pic:spPr>
                </pic:pic>
              </a:graphicData>
            </a:graphic>
          </wp:anchor>
        </w:drawing>
      </w:r>
    </w:p>
    <w:p>
      <w:pPr>
        <w:sectPr>
          <w:pgSz w:w="11900" w:h="16838" w:orient="portrait"/>
          <w:cols w:equalWidth="0" w:num="1">
            <w:col w:w="11104"/>
          </w:cols>
          <w:pgMar w:left="556" w:top="881" w:right="239" w:bottom="1440" w:gutter="0" w:footer="0" w:header="0"/>
        </w:sectPr>
      </w:pPr>
    </w:p>
    <w:bookmarkStart w:id="92" w:name="page93"/>
    <w:bookmarkEnd w:id="92"/>
    <w:p>
      <w:pPr>
        <w:jc w:val="both"/>
        <w:ind w:left="740" w:right="100" w:hanging="424"/>
        <w:spacing w:after="0" w:line="270" w:lineRule="auto"/>
        <w:tabs>
          <w:tab w:leader="none" w:pos="740" w:val="left"/>
        </w:tabs>
        <w:numPr>
          <w:ilvl w:val="1"/>
          <w:numId w:val="106"/>
        </w:numPr>
        <w:rPr>
          <w:rFonts w:ascii="Arial" w:cs="Arial" w:eastAsia="Arial" w:hAnsi="Arial"/>
          <w:sz w:val="17"/>
          <w:szCs w:val="17"/>
          <w:color w:val="auto"/>
        </w:rPr>
      </w:pPr>
      <w:r>
        <w:rPr>
          <w:rFonts w:ascii="Arial" w:cs="Arial" w:eastAsia="Arial" w:hAnsi="Arial"/>
          <w:sz w:val="17"/>
          <w:szCs w:val="17"/>
          <w:color w:val="auto"/>
        </w:rPr>
        <w:t>In October 2017, the interest rate became a variable rate, fixed as the average of at least three valuations of the internal rate of return for sovereign bonds issued by the Peruvian Government (with maturity in 2037), plus 150 basis points, with semiannual payments. The Group, using the powers conferred to it, on October 15, 2017, redeemed 100 percent of the negotiable certificates of deposit, without penalties.</w:t>
      </w:r>
    </w:p>
    <w:p>
      <w:pPr>
        <w:spacing w:after="0" w:line="171" w:lineRule="exact"/>
        <w:rPr>
          <w:rFonts w:ascii="Arial" w:cs="Arial" w:eastAsia="Arial" w:hAnsi="Arial"/>
          <w:sz w:val="17"/>
          <w:szCs w:val="17"/>
          <w:color w:val="auto"/>
        </w:rPr>
      </w:pPr>
    </w:p>
    <w:p>
      <w:pPr>
        <w:ind w:left="740" w:right="140" w:hanging="424"/>
        <w:spacing w:after="0" w:line="294" w:lineRule="auto"/>
        <w:tabs>
          <w:tab w:leader="none" w:pos="740" w:val="left"/>
        </w:tabs>
        <w:numPr>
          <w:ilvl w:val="1"/>
          <w:numId w:val="106"/>
        </w:numPr>
        <w:rPr>
          <w:rFonts w:ascii="Arial" w:cs="Arial" w:eastAsia="Arial" w:hAnsi="Arial"/>
          <w:sz w:val="16"/>
          <w:szCs w:val="16"/>
          <w:color w:val="auto"/>
        </w:rPr>
      </w:pPr>
      <w:r>
        <w:rPr>
          <w:rFonts w:ascii="Arial" w:cs="Arial" w:eastAsia="Arial" w:hAnsi="Arial"/>
          <w:sz w:val="16"/>
          <w:szCs w:val="16"/>
          <w:color w:val="auto"/>
        </w:rPr>
        <w:t>Until October 2016, said certificates bore interest at the fixed rate of 6.88 percent per annum. From November 2016, the interest rate will change to a floating interest rate, established as three month Libor plus 2.79 percent, with semiannual payments. Furthermore, from said date, the Group can redeem 100 percent of the debt, without penalties. Payment of principal will take place at the date of maturity of bonds or upon redemption.</w:t>
      </w:r>
    </w:p>
    <w:p>
      <w:pPr>
        <w:spacing w:after="0" w:line="155" w:lineRule="exact"/>
        <w:rPr>
          <w:rFonts w:ascii="Arial" w:cs="Arial" w:eastAsia="Arial" w:hAnsi="Arial"/>
          <w:sz w:val="16"/>
          <w:szCs w:val="16"/>
          <w:color w:val="auto"/>
        </w:rPr>
      </w:pPr>
    </w:p>
    <w:p>
      <w:pPr>
        <w:ind w:left="740" w:hanging="424"/>
        <w:spacing w:after="0"/>
        <w:tabs>
          <w:tab w:leader="none" w:pos="740" w:val="left"/>
        </w:tabs>
        <w:numPr>
          <w:ilvl w:val="1"/>
          <w:numId w:val="106"/>
        </w:numPr>
        <w:rPr>
          <w:rFonts w:ascii="Arial" w:cs="Arial" w:eastAsia="Arial" w:hAnsi="Arial"/>
          <w:sz w:val="17"/>
          <w:szCs w:val="17"/>
          <w:color w:val="auto"/>
        </w:rPr>
      </w:pPr>
      <w:r>
        <w:rPr>
          <w:rFonts w:ascii="Arial" w:cs="Arial" w:eastAsia="Arial" w:hAnsi="Arial"/>
          <w:sz w:val="17"/>
          <w:szCs w:val="17"/>
          <w:color w:val="auto"/>
        </w:rPr>
        <w:t>Leasing bonds are collateralized by the fixed assets financed by the Group.</w:t>
      </w:r>
    </w:p>
    <w:p>
      <w:pPr>
        <w:spacing w:after="0" w:line="220" w:lineRule="exact"/>
        <w:rPr>
          <w:rFonts w:ascii="Arial" w:cs="Arial" w:eastAsia="Arial" w:hAnsi="Arial"/>
          <w:sz w:val="17"/>
          <w:szCs w:val="17"/>
          <w:color w:val="auto"/>
        </w:rPr>
      </w:pPr>
    </w:p>
    <w:p>
      <w:pPr>
        <w:ind w:left="740" w:right="320" w:hanging="424"/>
        <w:spacing w:after="0" w:line="285" w:lineRule="auto"/>
        <w:tabs>
          <w:tab w:leader="none" w:pos="740" w:val="left"/>
        </w:tabs>
        <w:numPr>
          <w:ilvl w:val="1"/>
          <w:numId w:val="106"/>
        </w:numPr>
        <w:rPr>
          <w:rFonts w:ascii="Arial" w:cs="Arial" w:eastAsia="Arial" w:hAnsi="Arial"/>
          <w:sz w:val="17"/>
          <w:szCs w:val="17"/>
          <w:color w:val="auto"/>
        </w:rPr>
      </w:pPr>
      <w:r>
        <w:rPr>
          <w:rFonts w:ascii="Arial" w:cs="Arial" w:eastAsia="Arial" w:hAnsi="Arial"/>
          <w:sz w:val="17"/>
          <w:szCs w:val="17"/>
          <w:color w:val="auto"/>
        </w:rPr>
        <w:t>In June 2014, the Group offered an exchange to the holders of senior notes, by which the notes were partially replaced with new notes, at market rate, with the same characteristics of the senior notes indicated in (i) above.</w:t>
      </w:r>
    </w:p>
    <w:p>
      <w:pPr>
        <w:spacing w:after="0" w:line="159" w:lineRule="exact"/>
        <w:rPr>
          <w:rFonts w:ascii="Arial" w:cs="Arial" w:eastAsia="Arial" w:hAnsi="Arial"/>
          <w:sz w:val="17"/>
          <w:szCs w:val="17"/>
          <w:color w:val="auto"/>
        </w:rPr>
      </w:pPr>
    </w:p>
    <w:p>
      <w:pPr>
        <w:ind w:left="740" w:right="120" w:hanging="424"/>
        <w:spacing w:after="0" w:line="285" w:lineRule="auto"/>
        <w:tabs>
          <w:tab w:leader="none" w:pos="740" w:val="left"/>
        </w:tabs>
        <w:numPr>
          <w:ilvl w:val="1"/>
          <w:numId w:val="106"/>
        </w:numPr>
        <w:rPr>
          <w:rFonts w:ascii="Arial" w:cs="Arial" w:eastAsia="Arial" w:hAnsi="Arial"/>
          <w:sz w:val="17"/>
          <w:szCs w:val="17"/>
          <w:color w:val="auto"/>
        </w:rPr>
      </w:pPr>
      <w:r>
        <w:rPr>
          <w:rFonts w:ascii="Arial" w:cs="Arial" w:eastAsia="Arial" w:hAnsi="Arial"/>
          <w:sz w:val="17"/>
          <w:szCs w:val="17"/>
          <w:color w:val="auto"/>
        </w:rPr>
        <w:t>The Group may redeem all or part of the notes at any time, subject to a penalty of a rate of interest equal to that of the U.S. Treasury plus 20 base points. The payment of principal will take place on the maturity date of the notes or when the Group redeems them.</w:t>
      </w:r>
    </w:p>
    <w:p>
      <w:pPr>
        <w:spacing w:after="0" w:line="159" w:lineRule="exact"/>
        <w:rPr>
          <w:rFonts w:ascii="Arial" w:cs="Arial" w:eastAsia="Arial" w:hAnsi="Arial"/>
          <w:sz w:val="17"/>
          <w:szCs w:val="17"/>
          <w:color w:val="auto"/>
        </w:rPr>
      </w:pPr>
    </w:p>
    <w:p>
      <w:pPr>
        <w:ind w:left="740" w:right="280"/>
        <w:spacing w:after="0" w:line="294" w:lineRule="auto"/>
        <w:rPr>
          <w:rFonts w:ascii="Arial" w:cs="Arial" w:eastAsia="Arial" w:hAnsi="Arial"/>
          <w:sz w:val="17"/>
          <w:szCs w:val="17"/>
          <w:color w:val="auto"/>
        </w:rPr>
      </w:pPr>
      <w:r>
        <w:rPr>
          <w:rFonts w:ascii="Arial" w:cs="Arial" w:eastAsia="Arial" w:hAnsi="Arial"/>
          <w:sz w:val="16"/>
          <w:szCs w:val="16"/>
          <w:color w:val="auto"/>
        </w:rPr>
        <w:t>At December 31, 2017, the cash flows of the bond issued in U.S. dollars, subject to exchange rate risk have been hedged by means of three CCS designated as a cash flow hedge for a nominal amount of US$300.0 million, equivalent to S/972.3 million, (US$300.0 million, equivalent to S/1,006.8 million at December 31, 2016), See Note 12(b). By means of the CCS, the bond was economically converted to soles.</w:t>
      </w:r>
    </w:p>
    <w:p>
      <w:pPr>
        <w:spacing w:after="0" w:line="155" w:lineRule="exact"/>
        <w:rPr>
          <w:rFonts w:ascii="Arial" w:cs="Arial" w:eastAsia="Arial" w:hAnsi="Arial"/>
          <w:sz w:val="17"/>
          <w:szCs w:val="17"/>
          <w:color w:val="auto"/>
        </w:rPr>
      </w:pPr>
    </w:p>
    <w:p>
      <w:pPr>
        <w:ind w:left="320" w:hanging="316"/>
        <w:spacing w:after="0"/>
        <w:tabs>
          <w:tab w:leader="none" w:pos="320" w:val="left"/>
        </w:tabs>
        <w:numPr>
          <w:ilvl w:val="0"/>
          <w:numId w:val="107"/>
        </w:numPr>
        <w:rPr>
          <w:rFonts w:ascii="Arial" w:cs="Arial" w:eastAsia="Arial" w:hAnsi="Arial"/>
          <w:sz w:val="17"/>
          <w:szCs w:val="17"/>
          <w:color w:val="auto"/>
        </w:rPr>
      </w:pPr>
      <w:r>
        <w:rPr>
          <w:rFonts w:ascii="Arial" w:cs="Arial" w:eastAsia="Arial" w:hAnsi="Arial"/>
          <w:sz w:val="17"/>
          <w:szCs w:val="17"/>
          <w:color w:val="auto"/>
        </w:rPr>
        <w:t>The table below shows the bonds and notes issued, classified by maturity:</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320" w:type="dxa"/>
            <w:vAlign w:val="bottom"/>
          </w:tcPr>
          <w:p>
            <w:pPr>
              <w:spacing w:after="0"/>
              <w:rPr>
                <w:sz w:val="19"/>
                <w:szCs w:val="19"/>
                <w:color w:val="auto"/>
              </w:rPr>
            </w:pPr>
          </w:p>
        </w:tc>
        <w:tc>
          <w:tcPr>
            <w:tcW w:w="3460" w:type="dxa"/>
            <w:vAlign w:val="bottom"/>
          </w:tcPr>
          <w:p>
            <w:pPr>
              <w:spacing w:after="0"/>
              <w:rPr>
                <w:sz w:val="19"/>
                <w:szCs w:val="19"/>
                <w:color w:val="auto"/>
              </w:rPr>
            </w:pPr>
          </w:p>
        </w:tc>
        <w:tc>
          <w:tcPr>
            <w:tcW w:w="5980" w:type="dxa"/>
            <w:vAlign w:val="bottom"/>
            <w:gridSpan w:val="2"/>
          </w:tcPr>
          <w:p>
            <w:pPr>
              <w:jc w:val="right"/>
              <w:ind w:right="353"/>
              <w:spacing w:after="0"/>
              <w:rPr>
                <w:sz w:val="20"/>
                <w:szCs w:val="20"/>
                <w:color w:val="auto"/>
              </w:rPr>
            </w:pPr>
            <w:r>
              <w:rPr>
                <w:rFonts w:ascii="Arial" w:cs="Arial" w:eastAsia="Arial" w:hAnsi="Arial"/>
                <w:sz w:val="17"/>
                <w:szCs w:val="17"/>
                <w:b w:val="1"/>
                <w:bCs w:val="1"/>
                <w:color w:val="auto"/>
              </w:rPr>
              <w:t>2017</w:t>
            </w:r>
          </w:p>
        </w:tc>
        <w:tc>
          <w:tcPr>
            <w:tcW w:w="200" w:type="dxa"/>
            <w:vAlign w:val="bottom"/>
          </w:tcPr>
          <w:p>
            <w:pPr>
              <w:spacing w:after="0"/>
              <w:rPr>
                <w:sz w:val="19"/>
                <w:szCs w:val="19"/>
                <w:color w:val="auto"/>
              </w:rPr>
            </w:pPr>
          </w:p>
        </w:tc>
        <w:tc>
          <w:tcPr>
            <w:tcW w:w="1200" w:type="dxa"/>
            <w:vAlign w:val="bottom"/>
          </w:tcPr>
          <w:p>
            <w:pPr>
              <w:jc w:val="right"/>
              <w:ind w:right="333"/>
              <w:spacing w:after="0"/>
              <w:rPr>
                <w:sz w:val="20"/>
                <w:szCs w:val="20"/>
                <w:color w:val="auto"/>
              </w:rPr>
            </w:pPr>
            <w:r>
              <w:rPr>
                <w:rFonts w:ascii="Arial" w:cs="Arial" w:eastAsia="Arial" w:hAnsi="Arial"/>
                <w:sz w:val="17"/>
                <w:szCs w:val="17"/>
                <w:b w:val="1"/>
                <w:bCs w:val="1"/>
                <w:color w:val="auto"/>
              </w:rPr>
              <w:t>2016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20" w:type="dxa"/>
            <w:vAlign w:val="bottom"/>
          </w:tcPr>
          <w:p>
            <w:pPr>
              <w:spacing w:after="0"/>
              <w:rPr>
                <w:sz w:val="19"/>
                <w:szCs w:val="19"/>
                <w:color w:val="auto"/>
              </w:rPr>
            </w:pPr>
          </w:p>
        </w:tc>
        <w:tc>
          <w:tcPr>
            <w:tcW w:w="3460" w:type="dxa"/>
            <w:vAlign w:val="bottom"/>
          </w:tcPr>
          <w:p>
            <w:pPr>
              <w:spacing w:after="0"/>
              <w:rPr>
                <w:sz w:val="19"/>
                <w:szCs w:val="19"/>
                <w:color w:val="auto"/>
              </w:rPr>
            </w:pPr>
          </w:p>
        </w:tc>
        <w:tc>
          <w:tcPr>
            <w:tcW w:w="4760" w:type="dxa"/>
            <w:vAlign w:val="bottom"/>
          </w:tcPr>
          <w:p>
            <w:pPr>
              <w:spacing w:after="0"/>
              <w:rPr>
                <w:sz w:val="19"/>
                <w:szCs w:val="19"/>
                <w:color w:val="auto"/>
              </w:rPr>
            </w:pPr>
          </w:p>
        </w:tc>
        <w:tc>
          <w:tcPr>
            <w:tcW w:w="1220" w:type="dxa"/>
            <w:vAlign w:val="bottom"/>
            <w:tcBorders>
              <w:top w:val="single" w:sz="8" w:color="auto"/>
            </w:tcBorders>
          </w:tcPr>
          <w:p>
            <w:pPr>
              <w:jc w:val="center"/>
              <w:spacing w:after="0"/>
              <w:rPr>
                <w:sz w:val="20"/>
                <w:szCs w:val="20"/>
                <w:color w:val="auto"/>
              </w:rPr>
            </w:pPr>
            <w:r>
              <w:rPr>
                <w:rFonts w:ascii="Arial" w:cs="Arial" w:eastAsia="Arial" w:hAnsi="Arial"/>
                <w:sz w:val="17"/>
                <w:szCs w:val="17"/>
                <w:b w:val="1"/>
                <w:bCs w:val="1"/>
                <w:color w:val="auto"/>
                <w:w w:val="93"/>
              </w:rPr>
              <w:t>S/(000)</w:t>
            </w:r>
          </w:p>
        </w:tc>
        <w:tc>
          <w:tcPr>
            <w:tcW w:w="200" w:type="dxa"/>
            <w:vAlign w:val="bottom"/>
          </w:tcPr>
          <w:p>
            <w:pPr>
              <w:spacing w:after="0"/>
              <w:rPr>
                <w:sz w:val="19"/>
                <w:szCs w:val="19"/>
                <w:color w:val="auto"/>
              </w:rPr>
            </w:pPr>
          </w:p>
        </w:tc>
        <w:tc>
          <w:tcPr>
            <w:tcW w:w="1200" w:type="dxa"/>
            <w:vAlign w:val="bottom"/>
            <w:tcBorders>
              <w:top w:val="single" w:sz="8" w:color="auto"/>
            </w:tcBorders>
          </w:tcPr>
          <w:p>
            <w:pPr>
              <w:jc w:val="center"/>
              <w:spacing w:after="0"/>
              <w:rPr>
                <w:sz w:val="20"/>
                <w:szCs w:val="20"/>
                <w:color w:val="auto"/>
              </w:rPr>
            </w:pPr>
            <w:r>
              <w:rPr>
                <w:rFonts w:ascii="Arial" w:cs="Arial" w:eastAsia="Arial" w:hAnsi="Arial"/>
                <w:sz w:val="17"/>
                <w:szCs w:val="17"/>
                <w:b w:val="1"/>
                <w:bCs w:val="1"/>
                <w:color w:val="auto"/>
                <w:w w:val="93"/>
              </w:rPr>
              <w:t>S/(000)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320" w:type="dxa"/>
            <w:vAlign w:val="bottom"/>
          </w:tcPr>
          <w:p>
            <w:pPr>
              <w:spacing w:after="0"/>
              <w:rPr>
                <w:sz w:val="16"/>
                <w:szCs w:val="16"/>
                <w:color w:val="auto"/>
              </w:rPr>
            </w:pPr>
          </w:p>
        </w:tc>
        <w:tc>
          <w:tcPr>
            <w:tcW w:w="3460" w:type="dxa"/>
            <w:vAlign w:val="bottom"/>
          </w:tcPr>
          <w:p>
            <w:pPr>
              <w:spacing w:after="0"/>
              <w:rPr>
                <w:sz w:val="16"/>
                <w:szCs w:val="16"/>
                <w:color w:val="auto"/>
              </w:rPr>
            </w:pPr>
          </w:p>
        </w:tc>
        <w:tc>
          <w:tcPr>
            <w:tcW w:w="47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320" w:type="dxa"/>
            <w:vAlign w:val="bottom"/>
          </w:tcPr>
          <w:p>
            <w:pPr>
              <w:spacing w:after="0"/>
              <w:rPr>
                <w:sz w:val="18"/>
                <w:szCs w:val="18"/>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7"/>
                <w:szCs w:val="17"/>
                <w:color w:val="auto"/>
              </w:rPr>
              <w:t>Up to 3 months</w:t>
            </w:r>
          </w:p>
        </w:tc>
        <w:tc>
          <w:tcPr>
            <w:tcW w:w="6180" w:type="dxa"/>
            <w:vAlign w:val="bottom"/>
            <w:gridSpan w:val="3"/>
            <w:shd w:val="clear" w:color="auto" w:fill="CCEEFF"/>
          </w:tcPr>
          <w:p>
            <w:pPr>
              <w:jc w:val="right"/>
              <w:ind w:right="200"/>
              <w:spacing w:after="0"/>
              <w:rPr>
                <w:sz w:val="20"/>
                <w:szCs w:val="20"/>
                <w:color w:val="auto"/>
              </w:rPr>
            </w:pPr>
            <w:r>
              <w:rPr>
                <w:rFonts w:ascii="Arial" w:cs="Arial" w:eastAsia="Arial" w:hAnsi="Arial"/>
                <w:sz w:val="17"/>
                <w:szCs w:val="17"/>
                <w:color w:val="auto"/>
              </w:rPr>
              <w:t>36,687</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251,751</w:t>
            </w:r>
          </w:p>
        </w:tc>
        <w:tc>
          <w:tcPr>
            <w:tcW w:w="100" w:type="dxa"/>
            <w:vAlign w:val="bottom"/>
            <w:shd w:val="clear" w:color="auto" w:fill="CCEEFF"/>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20" w:type="dxa"/>
            <w:vAlign w:val="bottom"/>
          </w:tcPr>
          <w:p>
            <w:pPr>
              <w:spacing w:after="0"/>
              <w:rPr>
                <w:sz w:val="18"/>
                <w:szCs w:val="18"/>
                <w:color w:val="auto"/>
              </w:rPr>
            </w:pPr>
          </w:p>
        </w:tc>
        <w:tc>
          <w:tcPr>
            <w:tcW w:w="3460" w:type="dxa"/>
            <w:vAlign w:val="bottom"/>
          </w:tcPr>
          <w:p>
            <w:pPr>
              <w:spacing w:after="0"/>
              <w:rPr>
                <w:sz w:val="20"/>
                <w:szCs w:val="20"/>
                <w:color w:val="auto"/>
              </w:rPr>
            </w:pPr>
            <w:r>
              <w:rPr>
                <w:rFonts w:ascii="Arial" w:cs="Arial" w:eastAsia="Arial" w:hAnsi="Arial"/>
                <w:sz w:val="17"/>
                <w:szCs w:val="17"/>
                <w:color w:val="auto"/>
              </w:rPr>
              <w:t>From 3 months to 1 year</w:t>
            </w:r>
          </w:p>
        </w:tc>
        <w:tc>
          <w:tcPr>
            <w:tcW w:w="5980" w:type="dxa"/>
            <w:vAlign w:val="bottom"/>
            <w:gridSpan w:val="2"/>
          </w:tcPr>
          <w:p>
            <w:pPr>
              <w:jc w:val="right"/>
              <w:spacing w:after="0"/>
              <w:rPr>
                <w:sz w:val="20"/>
                <w:szCs w:val="20"/>
                <w:color w:val="auto"/>
              </w:rPr>
            </w:pPr>
            <w:r>
              <w:rPr>
                <w:rFonts w:ascii="Arial" w:cs="Arial" w:eastAsia="Arial" w:hAnsi="Arial"/>
                <w:sz w:val="17"/>
                <w:szCs w:val="17"/>
                <w:color w:val="auto"/>
              </w:rPr>
              <w:t>1,236,046</w:t>
            </w: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407,200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20" w:type="dxa"/>
            <w:vAlign w:val="bottom"/>
          </w:tcPr>
          <w:p>
            <w:pPr>
              <w:spacing w:after="0"/>
              <w:rPr>
                <w:sz w:val="18"/>
                <w:szCs w:val="18"/>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7"/>
                <w:szCs w:val="17"/>
                <w:color w:val="auto"/>
              </w:rPr>
              <w:t>From 1 to 3 years</w:t>
            </w:r>
          </w:p>
        </w:tc>
        <w:tc>
          <w:tcPr>
            <w:tcW w:w="59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6,508,352</w:t>
            </w: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3,009,004</w:t>
            </w:r>
          </w:p>
        </w:tc>
        <w:tc>
          <w:tcPr>
            <w:tcW w:w="100" w:type="dxa"/>
            <w:vAlign w:val="bottom"/>
            <w:shd w:val="clear" w:color="auto" w:fill="CCEEFF"/>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20" w:type="dxa"/>
            <w:vAlign w:val="bottom"/>
          </w:tcPr>
          <w:p>
            <w:pPr>
              <w:spacing w:after="0"/>
              <w:rPr>
                <w:sz w:val="18"/>
                <w:szCs w:val="18"/>
                <w:color w:val="auto"/>
              </w:rPr>
            </w:pPr>
          </w:p>
        </w:tc>
        <w:tc>
          <w:tcPr>
            <w:tcW w:w="3460" w:type="dxa"/>
            <w:vAlign w:val="bottom"/>
          </w:tcPr>
          <w:p>
            <w:pPr>
              <w:spacing w:after="0"/>
              <w:rPr>
                <w:sz w:val="20"/>
                <w:szCs w:val="20"/>
                <w:color w:val="auto"/>
              </w:rPr>
            </w:pPr>
            <w:r>
              <w:rPr>
                <w:rFonts w:ascii="Arial" w:cs="Arial" w:eastAsia="Arial" w:hAnsi="Arial"/>
                <w:sz w:val="17"/>
                <w:szCs w:val="17"/>
                <w:color w:val="auto"/>
              </w:rPr>
              <w:t>From 3 to 5 years</w:t>
            </w:r>
          </w:p>
        </w:tc>
        <w:tc>
          <w:tcPr>
            <w:tcW w:w="6180" w:type="dxa"/>
            <w:vAlign w:val="bottom"/>
            <w:gridSpan w:val="3"/>
          </w:tcPr>
          <w:p>
            <w:pPr>
              <w:jc w:val="right"/>
              <w:ind w:right="200"/>
              <w:spacing w:after="0"/>
              <w:rPr>
                <w:sz w:val="20"/>
                <w:szCs w:val="20"/>
                <w:color w:val="auto"/>
              </w:rPr>
            </w:pPr>
            <w:r>
              <w:rPr>
                <w:rFonts w:ascii="Arial" w:cs="Arial" w:eastAsia="Arial" w:hAnsi="Arial"/>
                <w:sz w:val="17"/>
                <w:szCs w:val="17"/>
                <w:color w:val="auto"/>
              </w:rPr>
              <w:t>760,102</w:t>
            </w:r>
          </w:p>
        </w:tc>
        <w:tc>
          <w:tcPr>
            <w:tcW w:w="1200" w:type="dxa"/>
            <w:vAlign w:val="bottom"/>
          </w:tcPr>
          <w:p>
            <w:pPr>
              <w:jc w:val="right"/>
              <w:spacing w:after="0"/>
              <w:rPr>
                <w:sz w:val="20"/>
                <w:szCs w:val="20"/>
                <w:color w:val="auto"/>
              </w:rPr>
            </w:pPr>
            <w:r>
              <w:rPr>
                <w:rFonts w:ascii="Arial" w:cs="Arial" w:eastAsia="Arial" w:hAnsi="Arial"/>
                <w:sz w:val="17"/>
                <w:szCs w:val="17"/>
                <w:color w:val="auto"/>
              </w:rPr>
              <w:t>3,271,925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320" w:type="dxa"/>
            <w:vAlign w:val="bottom"/>
          </w:tcPr>
          <w:p>
            <w:pPr>
              <w:spacing w:after="0"/>
              <w:rPr>
                <w:sz w:val="19"/>
                <w:szCs w:val="19"/>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7"/>
                <w:szCs w:val="17"/>
                <w:color w:val="auto"/>
              </w:rPr>
              <w:t>More than 5 years</w:t>
            </w:r>
          </w:p>
        </w:tc>
        <w:tc>
          <w:tcPr>
            <w:tcW w:w="59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7,508,047</w:t>
            </w: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8,810,587</w:t>
            </w:r>
          </w:p>
        </w:tc>
        <w:tc>
          <w:tcPr>
            <w:tcW w:w="100" w:type="dxa"/>
            <w:vAlign w:val="bottom"/>
            <w:shd w:val="clear" w:color="auto" w:fill="CCEEFF"/>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1"/>
        </w:trPr>
        <w:tc>
          <w:tcPr>
            <w:tcW w:w="320" w:type="dxa"/>
            <w:vAlign w:val="bottom"/>
          </w:tcPr>
          <w:p>
            <w:pPr>
              <w:spacing w:after="0"/>
              <w:rPr>
                <w:sz w:val="17"/>
                <w:szCs w:val="17"/>
                <w:color w:val="auto"/>
              </w:rPr>
            </w:pPr>
          </w:p>
        </w:tc>
        <w:tc>
          <w:tcPr>
            <w:tcW w:w="3460" w:type="dxa"/>
            <w:vAlign w:val="bottom"/>
          </w:tcPr>
          <w:p>
            <w:pPr>
              <w:spacing w:after="0"/>
              <w:rPr>
                <w:sz w:val="20"/>
                <w:szCs w:val="20"/>
                <w:color w:val="auto"/>
              </w:rPr>
            </w:pPr>
            <w:r>
              <w:rPr>
                <w:rFonts w:ascii="Arial" w:cs="Arial" w:eastAsia="Arial" w:hAnsi="Arial"/>
                <w:sz w:val="17"/>
                <w:szCs w:val="17"/>
                <w:color w:val="auto"/>
              </w:rPr>
              <w:t>Total</w:t>
            </w:r>
          </w:p>
        </w:tc>
        <w:tc>
          <w:tcPr>
            <w:tcW w:w="4760" w:type="dxa"/>
            <w:vAlign w:val="bottom"/>
          </w:tcPr>
          <w:p>
            <w:pPr>
              <w:spacing w:after="0"/>
              <w:rPr>
                <w:sz w:val="17"/>
                <w:szCs w:val="17"/>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16,049,234</w:t>
            </w:r>
          </w:p>
        </w:tc>
        <w:tc>
          <w:tcPr>
            <w:tcW w:w="200" w:type="dxa"/>
            <w:vAlign w:val="bottom"/>
          </w:tcPr>
          <w:p>
            <w:pPr>
              <w:spacing w:after="0"/>
              <w:rPr>
                <w:sz w:val="17"/>
                <w:szCs w:val="17"/>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15,750,467</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4760" w:type="dxa"/>
            <w:vAlign w:val="bottom"/>
            <w:vMerge w:val="restart"/>
          </w:tcPr>
          <w:p>
            <w:pPr>
              <w:jc w:val="right"/>
              <w:ind w:right="2553"/>
              <w:spacing w:after="0"/>
              <w:rPr>
                <w:sz w:val="20"/>
                <w:szCs w:val="20"/>
                <w:color w:val="auto"/>
              </w:rPr>
            </w:pPr>
            <w:r>
              <w:rPr>
                <w:rFonts w:ascii="Arial" w:cs="Arial" w:eastAsia="Arial" w:hAnsi="Arial"/>
                <w:sz w:val="17"/>
                <w:szCs w:val="17"/>
                <w:color w:val="auto"/>
              </w:rPr>
              <w:t>- 87 -</w:t>
            </w:r>
          </w:p>
        </w:tc>
        <w:tc>
          <w:tcPr>
            <w:tcW w:w="12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3"/>
        </w:trPr>
        <w:tc>
          <w:tcPr>
            <w:tcW w:w="320" w:type="dxa"/>
            <w:vAlign w:val="bottom"/>
            <w:tcBorders>
              <w:bottom w:val="single" w:sz="8" w:color="auto"/>
            </w:tcBorders>
          </w:tcPr>
          <w:p>
            <w:pPr>
              <w:spacing w:after="0"/>
              <w:rPr>
                <w:sz w:val="24"/>
                <w:szCs w:val="24"/>
                <w:color w:val="auto"/>
              </w:rPr>
            </w:pPr>
          </w:p>
        </w:tc>
        <w:tc>
          <w:tcPr>
            <w:tcW w:w="3460" w:type="dxa"/>
            <w:vAlign w:val="bottom"/>
            <w:tcBorders>
              <w:bottom w:val="single" w:sz="8" w:color="auto"/>
            </w:tcBorders>
          </w:tcPr>
          <w:p>
            <w:pPr>
              <w:spacing w:after="0"/>
              <w:rPr>
                <w:sz w:val="24"/>
                <w:szCs w:val="24"/>
                <w:color w:val="auto"/>
              </w:rPr>
            </w:pPr>
          </w:p>
        </w:tc>
        <w:tc>
          <w:tcPr>
            <w:tcW w:w="4760" w:type="dxa"/>
            <w:vAlign w:val="bottom"/>
            <w:tcBorders>
              <w:bottom w:val="single" w:sz="8" w:color="auto"/>
            </w:tcBorders>
            <w:vMerge w:val="continue"/>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81" w:right="239" w:bottom="1440" w:gutter="0" w:footer="0" w:header="0"/>
        </w:sectPr>
      </w:pPr>
    </w:p>
    <w:bookmarkStart w:id="93" w:name="page94"/>
    <w:bookmarkEnd w:id="93"/>
    <w:p>
      <w:pPr>
        <w:spacing w:after="0"/>
        <w:tabs>
          <w:tab w:leader="none" w:pos="300" w:val="left"/>
        </w:tabs>
        <w:rPr>
          <w:sz w:val="20"/>
          <w:szCs w:val="20"/>
          <w:color w:val="auto"/>
        </w:rPr>
      </w:pPr>
      <w:r>
        <w:rPr>
          <w:rFonts w:ascii="Arial" w:cs="Arial" w:eastAsia="Arial" w:hAnsi="Arial"/>
          <w:sz w:val="17"/>
          <w:szCs w:val="17"/>
          <w:b w:val="1"/>
          <w:bCs w:val="1"/>
          <w:color w:val="auto"/>
        </w:rPr>
        <w:t>17</w:t>
        <w:tab/>
        <w:t>EQUITY</w:t>
      </w:r>
    </w:p>
    <w:p>
      <w:pPr>
        <w:spacing w:after="0" w:line="226" w:lineRule="exact"/>
        <w:rPr>
          <w:sz w:val="20"/>
          <w:szCs w:val="20"/>
          <w:color w:val="auto"/>
        </w:rPr>
      </w:pPr>
    </w:p>
    <w:p>
      <w:pPr>
        <w:ind w:left="320" w:hanging="316"/>
        <w:spacing w:after="0"/>
        <w:tabs>
          <w:tab w:leader="none" w:pos="320" w:val="left"/>
        </w:tabs>
        <w:numPr>
          <w:ilvl w:val="0"/>
          <w:numId w:val="108"/>
        </w:numPr>
        <w:rPr>
          <w:rFonts w:ascii="Arial" w:cs="Arial" w:eastAsia="Arial" w:hAnsi="Arial"/>
          <w:sz w:val="17"/>
          <w:szCs w:val="17"/>
          <w:color w:val="auto"/>
        </w:rPr>
      </w:pPr>
      <w:r>
        <w:rPr>
          <w:rFonts w:ascii="Arial" w:cs="Arial" w:eastAsia="Arial" w:hAnsi="Arial"/>
          <w:sz w:val="17"/>
          <w:szCs w:val="17"/>
          <w:color w:val="auto"/>
        </w:rPr>
        <w:t>Share capital -</w:t>
      </w:r>
    </w:p>
    <w:p>
      <w:pPr>
        <w:spacing w:after="0" w:line="220" w:lineRule="exact"/>
        <w:rPr>
          <w:rFonts w:ascii="Arial" w:cs="Arial" w:eastAsia="Arial" w:hAnsi="Arial"/>
          <w:sz w:val="17"/>
          <w:szCs w:val="17"/>
          <w:color w:val="auto"/>
        </w:rPr>
      </w:pPr>
    </w:p>
    <w:p>
      <w:pPr>
        <w:ind w:left="320"/>
        <w:spacing w:after="0"/>
        <w:rPr>
          <w:rFonts w:ascii="Arial" w:cs="Arial" w:eastAsia="Arial" w:hAnsi="Arial"/>
          <w:sz w:val="17"/>
          <w:szCs w:val="17"/>
          <w:color w:val="auto"/>
        </w:rPr>
      </w:pPr>
      <w:r>
        <w:rPr>
          <w:rFonts w:ascii="Arial" w:cs="Arial" w:eastAsia="Arial" w:hAnsi="Arial"/>
          <w:sz w:val="17"/>
          <w:szCs w:val="17"/>
          <w:color w:val="auto"/>
        </w:rPr>
        <w:t>At December 31, 2017, 2016 and 2015 a total of 94,382,317 shares have been issued at US$5 par value each.</w:t>
      </w:r>
    </w:p>
    <w:p>
      <w:pPr>
        <w:spacing w:after="0" w:line="220" w:lineRule="exact"/>
        <w:rPr>
          <w:rFonts w:ascii="Arial" w:cs="Arial" w:eastAsia="Arial" w:hAnsi="Arial"/>
          <w:sz w:val="17"/>
          <w:szCs w:val="17"/>
          <w:color w:val="auto"/>
        </w:rPr>
      </w:pPr>
    </w:p>
    <w:p>
      <w:pPr>
        <w:ind w:left="320" w:hanging="316"/>
        <w:spacing w:after="0"/>
        <w:tabs>
          <w:tab w:leader="none" w:pos="320" w:val="left"/>
        </w:tabs>
        <w:numPr>
          <w:ilvl w:val="0"/>
          <w:numId w:val="108"/>
        </w:numPr>
        <w:rPr>
          <w:rFonts w:ascii="Arial" w:cs="Arial" w:eastAsia="Arial" w:hAnsi="Arial"/>
          <w:sz w:val="17"/>
          <w:szCs w:val="17"/>
          <w:color w:val="auto"/>
        </w:rPr>
      </w:pPr>
      <w:r>
        <w:rPr>
          <w:rFonts w:ascii="Arial" w:cs="Arial" w:eastAsia="Arial" w:hAnsi="Arial"/>
          <w:sz w:val="17"/>
          <w:szCs w:val="17"/>
          <w:color w:val="auto"/>
        </w:rPr>
        <w:t>Treasury stock -</w:t>
      </w:r>
    </w:p>
    <w:p>
      <w:pPr>
        <w:spacing w:after="0" w:line="220" w:lineRule="exact"/>
        <w:rPr>
          <w:rFonts w:ascii="Arial" w:cs="Arial" w:eastAsia="Arial" w:hAnsi="Arial"/>
          <w:sz w:val="17"/>
          <w:szCs w:val="17"/>
          <w:color w:val="auto"/>
        </w:rPr>
      </w:pPr>
    </w:p>
    <w:p>
      <w:pPr>
        <w:ind w:left="320"/>
        <w:spacing w:after="0"/>
        <w:rPr>
          <w:rFonts w:ascii="Arial" w:cs="Arial" w:eastAsia="Arial" w:hAnsi="Arial"/>
          <w:sz w:val="17"/>
          <w:szCs w:val="17"/>
          <w:color w:val="auto"/>
        </w:rPr>
      </w:pPr>
      <w:r>
        <w:rPr>
          <w:rFonts w:ascii="Arial" w:cs="Arial" w:eastAsia="Arial" w:hAnsi="Arial"/>
          <w:sz w:val="17"/>
          <w:szCs w:val="17"/>
          <w:color w:val="auto"/>
        </w:rPr>
        <w:t>We present below the treasury stock owned by the Group entities at December 31, 2017, 2016 and 2015:</w:t>
      </w:r>
    </w:p>
    <w:p>
      <w:pPr>
        <w:spacing w:after="0" w:line="227" w:lineRule="exact"/>
        <w:rPr>
          <w:sz w:val="20"/>
          <w:szCs w:val="20"/>
          <w:color w:val="auto"/>
        </w:rPr>
      </w:pPr>
    </w:p>
    <w:tbl>
      <w:tblPr>
        <w:tblLayout w:type="fixed"/>
        <w:tblInd w:w="320" w:type="dxa"/>
        <w:tblCellMar>
          <w:top w:w="0" w:type="dxa"/>
          <w:left w:w="0" w:type="dxa"/>
          <w:bottom w:w="0" w:type="dxa"/>
          <w:right w:w="0" w:type="dxa"/>
        </w:tblCellMar>
      </w:tblPr>
      <w:tr>
        <w:trPr>
          <w:trHeight w:val="226"/>
        </w:trPr>
        <w:tc>
          <w:tcPr>
            <w:tcW w:w="6800" w:type="dxa"/>
            <w:vAlign w:val="bottom"/>
          </w:tcPr>
          <w:p>
            <w:pPr>
              <w:spacing w:after="0"/>
              <w:rPr>
                <w:sz w:val="19"/>
                <w:szCs w:val="19"/>
                <w:color w:val="auto"/>
              </w:rPr>
            </w:pPr>
          </w:p>
        </w:tc>
        <w:tc>
          <w:tcPr>
            <w:tcW w:w="1220" w:type="dxa"/>
            <w:vAlign w:val="bottom"/>
            <w:tcBorders>
              <w:bottom w:val="single" w:sz="8" w:color="auto"/>
            </w:tcBorders>
          </w:tcPr>
          <w:p>
            <w:pPr>
              <w:jc w:val="right"/>
              <w:ind w:right="353"/>
              <w:spacing w:after="0"/>
              <w:rPr>
                <w:sz w:val="20"/>
                <w:szCs w:val="20"/>
                <w:color w:val="auto"/>
              </w:rPr>
            </w:pPr>
            <w:r>
              <w:rPr>
                <w:rFonts w:ascii="Arial" w:cs="Arial" w:eastAsia="Arial" w:hAnsi="Arial"/>
                <w:sz w:val="17"/>
                <w:szCs w:val="17"/>
                <w:b w:val="1"/>
                <w:bCs w:val="1"/>
                <w:color w:val="auto"/>
              </w:rPr>
              <w:t>2017</w:t>
            </w:r>
          </w:p>
        </w:tc>
        <w:tc>
          <w:tcPr>
            <w:tcW w:w="220" w:type="dxa"/>
            <w:vAlign w:val="bottom"/>
          </w:tcPr>
          <w:p>
            <w:pPr>
              <w:spacing w:after="0"/>
              <w:rPr>
                <w:sz w:val="19"/>
                <w:szCs w:val="19"/>
                <w:color w:val="auto"/>
              </w:rPr>
            </w:pPr>
          </w:p>
        </w:tc>
        <w:tc>
          <w:tcPr>
            <w:tcW w:w="1200" w:type="dxa"/>
            <w:vAlign w:val="bottom"/>
            <w:tcBorders>
              <w:bottom w:val="single" w:sz="8" w:color="auto"/>
            </w:tcBorders>
          </w:tcPr>
          <w:p>
            <w:pPr>
              <w:jc w:val="right"/>
              <w:ind w:right="333"/>
              <w:spacing w:after="0"/>
              <w:rPr>
                <w:sz w:val="20"/>
                <w:szCs w:val="20"/>
                <w:color w:val="auto"/>
              </w:rPr>
            </w:pPr>
            <w:r>
              <w:rPr>
                <w:rFonts w:ascii="Arial" w:cs="Arial" w:eastAsia="Arial" w:hAnsi="Arial"/>
                <w:sz w:val="17"/>
                <w:szCs w:val="17"/>
                <w:b w:val="1"/>
                <w:bCs w:val="1"/>
                <w:color w:val="auto"/>
              </w:rPr>
              <w:t>2016</w:t>
            </w:r>
          </w:p>
        </w:tc>
        <w:tc>
          <w:tcPr>
            <w:tcW w:w="200" w:type="dxa"/>
            <w:vAlign w:val="bottom"/>
          </w:tcPr>
          <w:p>
            <w:pPr>
              <w:spacing w:after="0"/>
              <w:rPr>
                <w:sz w:val="19"/>
                <w:szCs w:val="19"/>
                <w:color w:val="auto"/>
              </w:rPr>
            </w:pPr>
          </w:p>
        </w:tc>
        <w:tc>
          <w:tcPr>
            <w:tcW w:w="1200" w:type="dxa"/>
            <w:vAlign w:val="bottom"/>
            <w:tcBorders>
              <w:bottom w:val="single" w:sz="8" w:color="auto"/>
            </w:tcBorders>
          </w:tcPr>
          <w:p>
            <w:pPr>
              <w:jc w:val="right"/>
              <w:ind w:right="333"/>
              <w:spacing w:after="0"/>
              <w:rPr>
                <w:sz w:val="20"/>
                <w:szCs w:val="20"/>
                <w:color w:val="auto"/>
              </w:rPr>
            </w:pPr>
            <w:r>
              <w:rPr>
                <w:rFonts w:ascii="Arial" w:cs="Arial" w:eastAsia="Arial" w:hAnsi="Arial"/>
                <w:sz w:val="17"/>
                <w:szCs w:val="17"/>
                <w:b w:val="1"/>
                <w:bCs w:val="1"/>
                <w:color w:val="auto"/>
              </w:rPr>
              <w:t>2015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01"/>
        </w:trPr>
        <w:tc>
          <w:tcPr>
            <w:tcW w:w="68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8"/>
        </w:trPr>
        <w:tc>
          <w:tcPr>
            <w:tcW w:w="6800" w:type="dxa"/>
            <w:vAlign w:val="bottom"/>
            <w:shd w:val="clear" w:color="auto" w:fill="CCEEFF"/>
          </w:tcPr>
          <w:p>
            <w:pPr>
              <w:spacing w:after="0"/>
              <w:rPr>
                <w:sz w:val="20"/>
                <w:szCs w:val="20"/>
                <w:color w:val="auto"/>
              </w:rPr>
            </w:pPr>
            <w:r>
              <w:rPr>
                <w:rFonts w:ascii="Arial" w:cs="Arial" w:eastAsia="Arial" w:hAnsi="Arial"/>
                <w:sz w:val="17"/>
                <w:szCs w:val="17"/>
                <w:color w:val="auto"/>
              </w:rPr>
              <w:t>Atlantic Security Holding Corporation</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14,620,845</w:t>
            </w: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14,620,845</w:t>
            </w:r>
          </w:p>
        </w:tc>
        <w:tc>
          <w:tcPr>
            <w:tcW w:w="12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14,620,845</w:t>
            </w:r>
          </w:p>
        </w:tc>
        <w:tc>
          <w:tcPr>
            <w:tcW w:w="80" w:type="dxa"/>
            <w:vAlign w:val="bottom"/>
            <w:shd w:val="clear" w:color="auto" w:fill="CCEEFF"/>
          </w:tcPr>
          <w:p>
            <w:pPr>
              <w:spacing w:after="0"/>
              <w:rPr>
                <w:sz w:val="18"/>
                <w:szCs w:val="18"/>
                <w:color w:val="auto"/>
              </w:rPr>
            </w:pPr>
          </w:p>
        </w:tc>
      </w:tr>
      <w:tr>
        <w:trPr>
          <w:trHeight w:val="208"/>
        </w:trPr>
        <w:tc>
          <w:tcPr>
            <w:tcW w:w="6800" w:type="dxa"/>
            <w:vAlign w:val="bottom"/>
          </w:tcPr>
          <w:p>
            <w:pPr>
              <w:spacing w:after="0"/>
              <w:rPr>
                <w:sz w:val="20"/>
                <w:szCs w:val="20"/>
                <w:color w:val="auto"/>
              </w:rPr>
            </w:pPr>
            <w:r>
              <w:rPr>
                <w:rFonts w:ascii="Arial" w:cs="Arial" w:eastAsia="Arial" w:hAnsi="Arial"/>
                <w:sz w:val="17"/>
                <w:szCs w:val="17"/>
                <w:color w:val="auto"/>
              </w:rPr>
              <w:t>Share-based compensation plans, Note 19</w:t>
            </w:r>
          </w:p>
        </w:tc>
        <w:tc>
          <w:tcPr>
            <w:tcW w:w="1440" w:type="dxa"/>
            <w:vAlign w:val="bottom"/>
            <w:gridSpan w:val="2"/>
          </w:tcPr>
          <w:p>
            <w:pPr>
              <w:jc w:val="right"/>
              <w:ind w:right="220"/>
              <w:spacing w:after="0"/>
              <w:rPr>
                <w:sz w:val="20"/>
                <w:szCs w:val="20"/>
                <w:color w:val="auto"/>
              </w:rPr>
            </w:pPr>
            <w:r>
              <w:rPr>
                <w:rFonts w:ascii="Arial" w:cs="Arial" w:eastAsia="Arial" w:hAnsi="Arial"/>
                <w:sz w:val="17"/>
                <w:szCs w:val="17"/>
                <w:color w:val="auto"/>
              </w:rPr>
              <w:t>276,011</w:t>
            </w:r>
          </w:p>
        </w:tc>
        <w:tc>
          <w:tcPr>
            <w:tcW w:w="1400" w:type="dxa"/>
            <w:vAlign w:val="bottom"/>
            <w:gridSpan w:val="2"/>
          </w:tcPr>
          <w:p>
            <w:pPr>
              <w:jc w:val="right"/>
              <w:ind w:right="200"/>
              <w:spacing w:after="0"/>
              <w:rPr>
                <w:sz w:val="20"/>
                <w:szCs w:val="20"/>
                <w:color w:val="auto"/>
              </w:rPr>
            </w:pPr>
            <w:r>
              <w:rPr>
                <w:rFonts w:ascii="Arial" w:cs="Arial" w:eastAsia="Arial" w:hAnsi="Arial"/>
                <w:sz w:val="17"/>
                <w:szCs w:val="17"/>
                <w:color w:val="auto"/>
              </w:rPr>
              <w:t>277,436</w:t>
            </w:r>
          </w:p>
        </w:tc>
        <w:tc>
          <w:tcPr>
            <w:tcW w:w="1200" w:type="dxa"/>
            <w:vAlign w:val="bottom"/>
          </w:tcPr>
          <w:p>
            <w:pPr>
              <w:jc w:val="right"/>
              <w:spacing w:after="0"/>
              <w:rPr>
                <w:sz w:val="20"/>
                <w:szCs w:val="20"/>
                <w:color w:val="auto"/>
              </w:rPr>
            </w:pPr>
            <w:r>
              <w:rPr>
                <w:rFonts w:ascii="Arial" w:cs="Arial" w:eastAsia="Arial" w:hAnsi="Arial"/>
                <w:sz w:val="17"/>
                <w:szCs w:val="17"/>
                <w:color w:val="auto"/>
              </w:rPr>
              <w:t>269,832</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21"/>
        </w:trPr>
        <w:tc>
          <w:tcPr>
            <w:tcW w:w="6800" w:type="dxa"/>
            <w:vAlign w:val="bottom"/>
            <w:shd w:val="clear" w:color="auto" w:fill="CCEEFF"/>
          </w:tcPr>
          <w:p>
            <w:pPr>
              <w:spacing w:after="0"/>
              <w:rPr>
                <w:sz w:val="20"/>
                <w:szCs w:val="20"/>
                <w:color w:val="auto"/>
              </w:rPr>
            </w:pPr>
            <w:r>
              <w:rPr>
                <w:rFonts w:ascii="Arial" w:cs="Arial" w:eastAsia="Arial" w:hAnsi="Arial"/>
                <w:sz w:val="17"/>
                <w:szCs w:val="17"/>
                <w:color w:val="auto"/>
              </w:rPr>
              <w:t>Others</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5,152</w:t>
            </w: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17,256</w:t>
            </w:r>
          </w:p>
        </w:tc>
        <w:tc>
          <w:tcPr>
            <w:tcW w:w="12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13,156</w:t>
            </w:r>
          </w:p>
        </w:tc>
        <w:tc>
          <w:tcPr>
            <w:tcW w:w="80" w:type="dxa"/>
            <w:vAlign w:val="bottom"/>
            <w:shd w:val="clear" w:color="auto" w:fill="CCEEFF"/>
          </w:tcPr>
          <w:p>
            <w:pPr>
              <w:spacing w:after="0"/>
              <w:rPr>
                <w:sz w:val="19"/>
                <w:szCs w:val="19"/>
                <w:color w:val="auto"/>
              </w:rPr>
            </w:pPr>
          </w:p>
        </w:tc>
      </w:tr>
      <w:tr>
        <w:trPr>
          <w:trHeight w:val="201"/>
        </w:trPr>
        <w:tc>
          <w:tcPr>
            <w:tcW w:w="6800" w:type="dxa"/>
            <w:vAlign w:val="bottom"/>
          </w:tcPr>
          <w:p>
            <w:pPr>
              <w:spacing w:after="0"/>
              <w:rPr>
                <w:sz w:val="17"/>
                <w:szCs w:val="17"/>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14,902,008</w:t>
            </w:r>
          </w:p>
        </w:tc>
        <w:tc>
          <w:tcPr>
            <w:tcW w:w="220" w:type="dxa"/>
            <w:vAlign w:val="bottom"/>
          </w:tcPr>
          <w:p>
            <w:pPr>
              <w:spacing w:after="0"/>
              <w:rPr>
                <w:sz w:val="17"/>
                <w:szCs w:val="17"/>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14,915,537</w:t>
            </w:r>
          </w:p>
        </w:tc>
        <w:tc>
          <w:tcPr>
            <w:tcW w:w="200" w:type="dxa"/>
            <w:vAlign w:val="bottom"/>
          </w:tcPr>
          <w:p>
            <w:pPr>
              <w:spacing w:after="0"/>
              <w:rPr>
                <w:sz w:val="17"/>
                <w:szCs w:val="17"/>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14,903,833</w:t>
            </w:r>
          </w:p>
        </w:tc>
        <w:tc>
          <w:tcPr>
            <w:tcW w:w="2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r>
      <w:tr>
        <w:trPr>
          <w:trHeight w:val="20"/>
        </w:trPr>
        <w:tc>
          <w:tcPr>
            <w:tcW w:w="68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5" w:lineRule="exact"/>
        <w:rPr>
          <w:sz w:val="20"/>
          <w:szCs w:val="20"/>
          <w:color w:val="auto"/>
        </w:rPr>
      </w:pPr>
    </w:p>
    <w:p>
      <w:pPr>
        <w:ind w:left="320"/>
        <w:spacing w:after="0" w:line="285" w:lineRule="auto"/>
        <w:rPr>
          <w:sz w:val="20"/>
          <w:szCs w:val="20"/>
          <w:color w:val="auto"/>
        </w:rPr>
      </w:pPr>
      <w:r>
        <w:rPr>
          <w:rFonts w:ascii="Arial" w:cs="Arial" w:eastAsia="Arial" w:hAnsi="Arial"/>
          <w:sz w:val="17"/>
          <w:szCs w:val="17"/>
          <w:color w:val="auto"/>
        </w:rPr>
        <w:t>During 2017, 2016 and 2015, the Group bought 132,110, 156,603 and 145,871 shares of Credicorp Ltd., respectively, for a total of US$21.9 million (equivalent to S/71.0 million ), US$20.0 million (equivalent to S/66.5 million ) and US$21.7 million (equivalent to S/72.9 million), respectively.</w:t>
      </w:r>
    </w:p>
    <w:p>
      <w:pPr>
        <w:spacing w:after="0" w:line="367"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- 88 -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15875</wp:posOffset>
            </wp:positionV>
            <wp:extent cx="725170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51700" cy="8255"/>
                    </a:xfrm>
                    <a:prstGeom prst="rect">
                      <a:avLst/>
                    </a:prstGeom>
                    <a:noFill/>
                  </pic:spPr>
                </pic:pic>
              </a:graphicData>
            </a:graphic>
          </wp:anchor>
        </w:drawing>
      </w:r>
    </w:p>
    <w:p>
      <w:pPr>
        <w:sectPr>
          <w:pgSz w:w="11900" w:h="16838" w:orient="portrait"/>
          <w:cols w:equalWidth="0" w:num="1">
            <w:col w:w="11380"/>
          </w:cols>
          <w:pgMar w:left="240" w:top="875" w:right="279" w:bottom="1440" w:gutter="0" w:footer="0" w:header="0"/>
        </w:sectPr>
      </w:pPr>
    </w:p>
    <w:bookmarkStart w:id="94" w:name="page95"/>
    <w:bookmarkEnd w:id="94"/>
    <w:p>
      <w:pPr>
        <w:ind w:left="320" w:hanging="316"/>
        <w:spacing w:after="0"/>
        <w:tabs>
          <w:tab w:leader="none" w:pos="320" w:val="left"/>
        </w:tabs>
        <w:numPr>
          <w:ilvl w:val="0"/>
          <w:numId w:val="109"/>
        </w:numPr>
        <w:rPr>
          <w:rFonts w:ascii="Arial" w:cs="Arial" w:eastAsia="Arial" w:hAnsi="Arial"/>
          <w:sz w:val="17"/>
          <w:szCs w:val="17"/>
          <w:color w:val="auto"/>
        </w:rPr>
      </w:pPr>
      <w:r>
        <w:rPr>
          <w:rFonts w:ascii="Arial" w:cs="Arial" w:eastAsia="Arial" w:hAnsi="Arial"/>
          <w:sz w:val="17"/>
          <w:szCs w:val="17"/>
          <w:color w:val="auto"/>
        </w:rPr>
        <w:t>Reserves -</w:t>
      </w:r>
    </w:p>
    <w:p>
      <w:pPr>
        <w:spacing w:after="0" w:line="220" w:lineRule="exact"/>
        <w:rPr>
          <w:rFonts w:ascii="Arial" w:cs="Arial" w:eastAsia="Arial" w:hAnsi="Arial"/>
          <w:sz w:val="17"/>
          <w:szCs w:val="17"/>
          <w:color w:val="auto"/>
        </w:rPr>
      </w:pPr>
    </w:p>
    <w:p>
      <w:pPr>
        <w:ind w:left="320" w:right="140"/>
        <w:spacing w:after="0" w:line="294" w:lineRule="auto"/>
        <w:rPr>
          <w:rFonts w:ascii="Arial" w:cs="Arial" w:eastAsia="Arial" w:hAnsi="Arial"/>
          <w:sz w:val="17"/>
          <w:szCs w:val="17"/>
          <w:color w:val="auto"/>
        </w:rPr>
      </w:pPr>
      <w:r>
        <w:rPr>
          <w:rFonts w:ascii="Arial" w:cs="Arial" w:eastAsia="Arial" w:hAnsi="Arial"/>
          <w:sz w:val="16"/>
          <w:szCs w:val="16"/>
          <w:color w:val="auto"/>
        </w:rPr>
        <w:t>Certain of the Group’s subsidiaries are required to keep a reserve that equals a percentage of paid-in capital (20, 30 or 50 percent, depending on its activities and country in which production takes place); this reserve must be constituted with annual transfers of not less than 10 percent of net profits. At December 31, 2017, 2016 and 2015, the balance of reserves amounts to approximately S/4,480.3, S/3,987.5 million and S/2,996.7 million, respectively.</w:t>
      </w:r>
    </w:p>
    <w:p>
      <w:pPr>
        <w:spacing w:after="0" w:line="155" w:lineRule="exact"/>
        <w:rPr>
          <w:rFonts w:ascii="Arial" w:cs="Arial" w:eastAsia="Arial" w:hAnsi="Arial"/>
          <w:sz w:val="17"/>
          <w:szCs w:val="17"/>
          <w:color w:val="auto"/>
        </w:rPr>
      </w:pPr>
    </w:p>
    <w:p>
      <w:pPr>
        <w:ind w:left="320" w:right="300"/>
        <w:spacing w:after="0" w:line="285" w:lineRule="auto"/>
        <w:rPr>
          <w:rFonts w:ascii="Arial" w:cs="Arial" w:eastAsia="Arial" w:hAnsi="Arial"/>
          <w:sz w:val="17"/>
          <w:szCs w:val="17"/>
          <w:color w:val="auto"/>
        </w:rPr>
      </w:pPr>
      <w:r>
        <w:rPr>
          <w:rFonts w:ascii="Arial" w:cs="Arial" w:eastAsia="Arial" w:hAnsi="Arial"/>
          <w:sz w:val="17"/>
          <w:szCs w:val="17"/>
          <w:color w:val="auto"/>
        </w:rPr>
        <w:t>At the Board meetings held on February 22, 2017, February 24, 2016 and February 25, 2015, the decision was made to transfer from “Retained earnings” to “Reserves” S/2,355.0 million, S/2,316.4 million and S/1,820.5 million, respectively.</w:t>
      </w:r>
    </w:p>
    <w:p>
      <w:pPr>
        <w:spacing w:after="0" w:line="159" w:lineRule="exact"/>
        <w:rPr>
          <w:rFonts w:ascii="Arial" w:cs="Arial" w:eastAsia="Arial" w:hAnsi="Arial"/>
          <w:sz w:val="17"/>
          <w:szCs w:val="17"/>
          <w:color w:val="auto"/>
        </w:rPr>
      </w:pPr>
    </w:p>
    <w:p>
      <w:pPr>
        <w:ind w:left="320" w:right="200"/>
        <w:spacing w:after="0" w:line="285" w:lineRule="auto"/>
        <w:rPr>
          <w:rFonts w:ascii="Arial" w:cs="Arial" w:eastAsia="Arial" w:hAnsi="Arial"/>
          <w:sz w:val="17"/>
          <w:szCs w:val="17"/>
          <w:color w:val="auto"/>
        </w:rPr>
      </w:pPr>
      <w:r>
        <w:rPr>
          <w:rFonts w:ascii="Arial" w:cs="Arial" w:eastAsia="Arial" w:hAnsi="Arial"/>
          <w:sz w:val="17"/>
          <w:szCs w:val="17"/>
          <w:color w:val="auto"/>
        </w:rPr>
        <w:t>“Other reserves” include unrealized gains (losses) on Available-for-sale investments and on cash flow hedges, net of deferred income tax and non-controlling interest. Movement was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320" w:type="dxa"/>
            <w:vAlign w:val="bottom"/>
          </w:tcPr>
          <w:p>
            <w:pPr>
              <w:spacing w:after="0"/>
              <w:rPr>
                <w:sz w:val="19"/>
                <w:szCs w:val="19"/>
                <w:color w:val="auto"/>
              </w:rPr>
            </w:pPr>
          </w:p>
        </w:tc>
        <w:tc>
          <w:tcPr>
            <w:tcW w:w="5120" w:type="dxa"/>
            <w:vAlign w:val="bottom"/>
          </w:tcPr>
          <w:p>
            <w:pPr>
              <w:spacing w:after="0"/>
              <w:rPr>
                <w:sz w:val="19"/>
                <w:szCs w:val="19"/>
                <w:color w:val="auto"/>
              </w:rPr>
            </w:pPr>
          </w:p>
        </w:tc>
        <w:tc>
          <w:tcPr>
            <w:tcW w:w="13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3020" w:type="dxa"/>
            <w:vAlign w:val="bottom"/>
            <w:tcBorders>
              <w:bottom w:val="single" w:sz="8" w:color="auto"/>
            </w:tcBorders>
            <w:gridSpan w:val="4"/>
          </w:tcPr>
          <w:p>
            <w:pPr>
              <w:jc w:val="right"/>
              <w:ind w:right="519"/>
              <w:spacing w:after="0"/>
              <w:rPr>
                <w:sz w:val="20"/>
                <w:szCs w:val="20"/>
                <w:color w:val="auto"/>
              </w:rPr>
            </w:pPr>
            <w:r>
              <w:rPr>
                <w:rFonts w:ascii="Arial" w:cs="Arial" w:eastAsia="Arial" w:hAnsi="Arial"/>
                <w:sz w:val="17"/>
                <w:szCs w:val="17"/>
                <w:b w:val="1"/>
                <w:bCs w:val="1"/>
                <w:color w:val="auto"/>
                <w:w w:val="99"/>
              </w:rPr>
              <w:t>Net unrealized gains (losses):</w:t>
            </w:r>
          </w:p>
        </w:tc>
        <w:tc>
          <w:tcPr>
            <w:tcW w:w="11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182"/>
        </w:trPr>
        <w:tc>
          <w:tcPr>
            <w:tcW w:w="320" w:type="dxa"/>
            <w:vAlign w:val="bottom"/>
          </w:tcPr>
          <w:p>
            <w:pPr>
              <w:spacing w:after="0"/>
              <w:rPr>
                <w:sz w:val="15"/>
                <w:szCs w:val="15"/>
                <w:color w:val="auto"/>
              </w:rPr>
            </w:pPr>
          </w:p>
        </w:tc>
        <w:tc>
          <w:tcPr>
            <w:tcW w:w="5120" w:type="dxa"/>
            <w:vAlign w:val="bottom"/>
          </w:tcPr>
          <w:p>
            <w:pPr>
              <w:spacing w:after="0"/>
              <w:rPr>
                <w:sz w:val="15"/>
                <w:szCs w:val="15"/>
                <w:color w:val="auto"/>
              </w:rPr>
            </w:pPr>
          </w:p>
        </w:tc>
        <w:tc>
          <w:tcPr>
            <w:tcW w:w="1520" w:type="dxa"/>
            <w:vAlign w:val="bottom"/>
            <w:gridSpan w:val="2"/>
          </w:tcPr>
          <w:p>
            <w:pPr>
              <w:jc w:val="right"/>
              <w:ind w:right="460"/>
              <w:spacing w:after="0" w:line="183" w:lineRule="exact"/>
              <w:rPr>
                <w:sz w:val="20"/>
                <w:szCs w:val="20"/>
                <w:color w:val="auto"/>
              </w:rPr>
            </w:pPr>
            <w:r>
              <w:rPr>
                <w:rFonts w:ascii="Arial" w:cs="Arial" w:eastAsia="Arial" w:hAnsi="Arial"/>
                <w:sz w:val="17"/>
                <w:szCs w:val="17"/>
                <w:b w:val="1"/>
                <w:bCs w:val="1"/>
                <w:color w:val="auto"/>
              </w:rPr>
              <w:t>Reserve for</w:t>
            </w:r>
          </w:p>
        </w:tc>
        <w:tc>
          <w:tcPr>
            <w:tcW w:w="1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r>
      <w:tr>
        <w:trPr>
          <w:trHeight w:val="208"/>
        </w:trPr>
        <w:tc>
          <w:tcPr>
            <w:tcW w:w="320" w:type="dxa"/>
            <w:vAlign w:val="bottom"/>
          </w:tcPr>
          <w:p>
            <w:pPr>
              <w:spacing w:after="0"/>
              <w:rPr>
                <w:sz w:val="18"/>
                <w:szCs w:val="18"/>
                <w:color w:val="auto"/>
              </w:rPr>
            </w:pPr>
          </w:p>
        </w:tc>
        <w:tc>
          <w:tcPr>
            <w:tcW w:w="5120" w:type="dxa"/>
            <w:vAlign w:val="bottom"/>
          </w:tcPr>
          <w:p>
            <w:pPr>
              <w:spacing w:after="0"/>
              <w:rPr>
                <w:sz w:val="18"/>
                <w:szCs w:val="18"/>
                <w:color w:val="auto"/>
              </w:rPr>
            </w:pPr>
          </w:p>
        </w:tc>
        <w:tc>
          <w:tcPr>
            <w:tcW w:w="1520" w:type="dxa"/>
            <w:vAlign w:val="bottom"/>
            <w:gridSpan w:val="2"/>
          </w:tcPr>
          <w:p>
            <w:pPr>
              <w:jc w:val="center"/>
              <w:ind w:right="200"/>
              <w:spacing w:after="0"/>
              <w:rPr>
                <w:sz w:val="20"/>
                <w:szCs w:val="20"/>
                <w:color w:val="auto"/>
              </w:rPr>
            </w:pPr>
            <w:r>
              <w:rPr>
                <w:rFonts w:ascii="Arial" w:cs="Arial" w:eastAsia="Arial" w:hAnsi="Arial"/>
                <w:sz w:val="17"/>
                <w:szCs w:val="17"/>
                <w:b w:val="1"/>
                <w:bCs w:val="1"/>
                <w:color w:val="auto"/>
                <w:w w:val="92"/>
              </w:rPr>
              <w:t>available-for-sale</w:t>
            </w:r>
          </w:p>
        </w:tc>
        <w:tc>
          <w:tcPr>
            <w:tcW w:w="1480" w:type="dxa"/>
            <w:vAlign w:val="bottom"/>
            <w:gridSpan w:val="2"/>
          </w:tcPr>
          <w:p>
            <w:pPr>
              <w:jc w:val="center"/>
              <w:ind w:right="139"/>
              <w:spacing w:after="0"/>
              <w:rPr>
                <w:sz w:val="20"/>
                <w:szCs w:val="20"/>
                <w:color w:val="auto"/>
              </w:rPr>
            </w:pPr>
            <w:r>
              <w:rPr>
                <w:rFonts w:ascii="Arial" w:cs="Arial" w:eastAsia="Arial" w:hAnsi="Arial"/>
                <w:sz w:val="17"/>
                <w:szCs w:val="17"/>
                <w:b w:val="1"/>
                <w:bCs w:val="1"/>
                <w:color w:val="auto"/>
                <w:w w:val="89"/>
              </w:rPr>
              <w:t>Reserve for cash</w:t>
            </w:r>
          </w:p>
        </w:tc>
        <w:tc>
          <w:tcPr>
            <w:tcW w:w="1540" w:type="dxa"/>
            <w:vAlign w:val="bottom"/>
            <w:gridSpan w:val="2"/>
          </w:tcPr>
          <w:p>
            <w:pPr>
              <w:jc w:val="center"/>
              <w:ind w:right="119"/>
              <w:spacing w:after="0"/>
              <w:rPr>
                <w:sz w:val="20"/>
                <w:szCs w:val="20"/>
                <w:color w:val="auto"/>
              </w:rPr>
            </w:pPr>
            <w:r>
              <w:rPr>
                <w:rFonts w:ascii="Arial" w:cs="Arial" w:eastAsia="Arial" w:hAnsi="Arial"/>
                <w:sz w:val="17"/>
                <w:szCs w:val="17"/>
                <w:b w:val="1"/>
                <w:bCs w:val="1"/>
                <w:color w:val="auto"/>
                <w:w w:val="89"/>
              </w:rPr>
              <w:t>Foreign exchange</w:t>
            </w: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26"/>
        </w:trPr>
        <w:tc>
          <w:tcPr>
            <w:tcW w:w="320" w:type="dxa"/>
            <w:vAlign w:val="bottom"/>
          </w:tcPr>
          <w:p>
            <w:pPr>
              <w:spacing w:after="0"/>
              <w:rPr>
                <w:sz w:val="19"/>
                <w:szCs w:val="19"/>
                <w:color w:val="auto"/>
              </w:rPr>
            </w:pPr>
          </w:p>
        </w:tc>
        <w:tc>
          <w:tcPr>
            <w:tcW w:w="5120" w:type="dxa"/>
            <w:vAlign w:val="bottom"/>
          </w:tcPr>
          <w:p>
            <w:pPr>
              <w:spacing w:after="0"/>
              <w:rPr>
                <w:sz w:val="19"/>
                <w:szCs w:val="19"/>
                <w:color w:val="auto"/>
              </w:rPr>
            </w:pPr>
          </w:p>
        </w:tc>
        <w:tc>
          <w:tcPr>
            <w:tcW w:w="1520" w:type="dxa"/>
            <w:vAlign w:val="bottom"/>
            <w:gridSpan w:val="2"/>
          </w:tcPr>
          <w:p>
            <w:pPr>
              <w:jc w:val="center"/>
              <w:ind w:right="200"/>
              <w:spacing w:after="0"/>
              <w:rPr>
                <w:sz w:val="20"/>
                <w:szCs w:val="20"/>
                <w:color w:val="auto"/>
              </w:rPr>
            </w:pPr>
            <w:r>
              <w:rPr>
                <w:rFonts w:ascii="Arial" w:cs="Arial" w:eastAsia="Arial" w:hAnsi="Arial"/>
                <w:sz w:val="17"/>
                <w:szCs w:val="17"/>
                <w:b w:val="1"/>
                <w:bCs w:val="1"/>
                <w:color w:val="auto"/>
                <w:w w:val="88"/>
              </w:rPr>
              <w:t>investments</w:t>
            </w:r>
          </w:p>
        </w:tc>
        <w:tc>
          <w:tcPr>
            <w:tcW w:w="1480" w:type="dxa"/>
            <w:vAlign w:val="bottom"/>
            <w:gridSpan w:val="2"/>
          </w:tcPr>
          <w:p>
            <w:pPr>
              <w:jc w:val="center"/>
              <w:ind w:right="139"/>
              <w:spacing w:after="0"/>
              <w:rPr>
                <w:sz w:val="20"/>
                <w:szCs w:val="20"/>
                <w:color w:val="auto"/>
              </w:rPr>
            </w:pPr>
            <w:r>
              <w:rPr>
                <w:rFonts w:ascii="Arial" w:cs="Arial" w:eastAsia="Arial" w:hAnsi="Arial"/>
                <w:sz w:val="17"/>
                <w:szCs w:val="17"/>
                <w:b w:val="1"/>
                <w:bCs w:val="1"/>
                <w:color w:val="auto"/>
                <w:w w:val="87"/>
              </w:rPr>
              <w:t>flow hedges</w:t>
            </w:r>
          </w:p>
        </w:tc>
        <w:tc>
          <w:tcPr>
            <w:tcW w:w="1540" w:type="dxa"/>
            <w:vAlign w:val="bottom"/>
            <w:gridSpan w:val="2"/>
          </w:tcPr>
          <w:p>
            <w:pPr>
              <w:jc w:val="center"/>
              <w:ind w:right="139"/>
              <w:spacing w:after="0"/>
              <w:rPr>
                <w:sz w:val="20"/>
                <w:szCs w:val="20"/>
                <w:color w:val="auto"/>
              </w:rPr>
            </w:pPr>
            <w:r>
              <w:rPr>
                <w:rFonts w:ascii="Arial" w:cs="Arial" w:eastAsia="Arial" w:hAnsi="Arial"/>
                <w:sz w:val="17"/>
                <w:szCs w:val="17"/>
                <w:b w:val="1"/>
                <w:bCs w:val="1"/>
                <w:color w:val="auto"/>
                <w:w w:val="91"/>
              </w:rPr>
              <w:t>translation</w:t>
            </w:r>
          </w:p>
        </w:tc>
        <w:tc>
          <w:tcPr>
            <w:tcW w:w="1280" w:type="dxa"/>
            <w:vAlign w:val="bottom"/>
            <w:gridSpan w:val="2"/>
          </w:tcPr>
          <w:p>
            <w:pPr>
              <w:jc w:val="right"/>
              <w:ind w:right="500"/>
              <w:spacing w:after="0"/>
              <w:rPr>
                <w:sz w:val="20"/>
                <w:szCs w:val="20"/>
                <w:color w:val="auto"/>
              </w:rPr>
            </w:pPr>
            <w:r>
              <w:rPr>
                <w:rFonts w:ascii="Arial" w:cs="Arial" w:eastAsia="Arial" w:hAnsi="Arial"/>
                <w:sz w:val="17"/>
                <w:szCs w:val="17"/>
                <w:b w:val="1"/>
                <w:bCs w:val="1"/>
                <w:color w:val="auto"/>
              </w:rPr>
              <w:t>Total</w:t>
            </w:r>
          </w:p>
        </w:tc>
        <w:tc>
          <w:tcPr>
            <w:tcW w:w="160" w:type="dxa"/>
            <w:vAlign w:val="bottom"/>
          </w:tcPr>
          <w:p>
            <w:pPr>
              <w:spacing w:after="0"/>
              <w:rPr>
                <w:sz w:val="19"/>
                <w:szCs w:val="19"/>
                <w:color w:val="auto"/>
              </w:rPr>
            </w:pPr>
          </w:p>
        </w:tc>
      </w:tr>
      <w:tr>
        <w:trPr>
          <w:trHeight w:val="219"/>
        </w:trPr>
        <w:tc>
          <w:tcPr>
            <w:tcW w:w="320" w:type="dxa"/>
            <w:vAlign w:val="bottom"/>
          </w:tcPr>
          <w:p>
            <w:pPr>
              <w:spacing w:after="0"/>
              <w:rPr>
                <w:sz w:val="19"/>
                <w:szCs w:val="19"/>
                <w:color w:val="auto"/>
              </w:rPr>
            </w:pPr>
          </w:p>
        </w:tc>
        <w:tc>
          <w:tcPr>
            <w:tcW w:w="5120" w:type="dxa"/>
            <w:vAlign w:val="bottom"/>
          </w:tcPr>
          <w:p>
            <w:pPr>
              <w:spacing w:after="0"/>
              <w:rPr>
                <w:sz w:val="19"/>
                <w:szCs w:val="19"/>
                <w:color w:val="auto"/>
              </w:rPr>
            </w:pPr>
          </w:p>
        </w:tc>
        <w:tc>
          <w:tcPr>
            <w:tcW w:w="1320" w:type="dxa"/>
            <w:vAlign w:val="bottom"/>
            <w:tcBorders>
              <w:top w:val="single" w:sz="8" w:color="auto"/>
            </w:tcBorders>
          </w:tcPr>
          <w:p>
            <w:pPr>
              <w:jc w:val="center"/>
              <w:spacing w:after="0"/>
              <w:rPr>
                <w:sz w:val="20"/>
                <w:szCs w:val="20"/>
                <w:color w:val="auto"/>
              </w:rPr>
            </w:pPr>
            <w:r>
              <w:rPr>
                <w:rFonts w:ascii="Arial" w:cs="Arial" w:eastAsia="Arial" w:hAnsi="Arial"/>
                <w:sz w:val="17"/>
                <w:szCs w:val="17"/>
                <w:b w:val="1"/>
                <w:bCs w:val="1"/>
                <w:color w:val="auto"/>
                <w:w w:val="93"/>
              </w:rPr>
              <w:t>S/(000)</w:t>
            </w:r>
          </w:p>
        </w:tc>
        <w:tc>
          <w:tcPr>
            <w:tcW w:w="200" w:type="dxa"/>
            <w:vAlign w:val="bottom"/>
          </w:tcPr>
          <w:p>
            <w:pPr>
              <w:spacing w:after="0"/>
              <w:rPr>
                <w:sz w:val="19"/>
                <w:szCs w:val="19"/>
                <w:color w:val="auto"/>
              </w:rPr>
            </w:pPr>
          </w:p>
        </w:tc>
        <w:tc>
          <w:tcPr>
            <w:tcW w:w="1260" w:type="dxa"/>
            <w:vAlign w:val="bottom"/>
            <w:tcBorders>
              <w:top w:val="single" w:sz="8" w:color="auto"/>
            </w:tcBorders>
          </w:tcPr>
          <w:p>
            <w:pPr>
              <w:jc w:val="center"/>
              <w:spacing w:after="0"/>
              <w:rPr>
                <w:sz w:val="20"/>
                <w:szCs w:val="20"/>
                <w:color w:val="auto"/>
              </w:rPr>
            </w:pPr>
            <w:r>
              <w:rPr>
                <w:rFonts w:ascii="Arial" w:cs="Arial" w:eastAsia="Arial" w:hAnsi="Arial"/>
                <w:sz w:val="17"/>
                <w:szCs w:val="17"/>
                <w:b w:val="1"/>
                <w:bCs w:val="1"/>
                <w:color w:val="auto"/>
                <w:w w:val="93"/>
              </w:rPr>
              <w:t>S/(000)</w:t>
            </w:r>
          </w:p>
        </w:tc>
        <w:tc>
          <w:tcPr>
            <w:tcW w:w="220" w:type="dxa"/>
            <w:vAlign w:val="bottom"/>
          </w:tcPr>
          <w:p>
            <w:pPr>
              <w:spacing w:after="0"/>
              <w:rPr>
                <w:sz w:val="19"/>
                <w:szCs w:val="19"/>
                <w:color w:val="auto"/>
              </w:rPr>
            </w:pPr>
          </w:p>
        </w:tc>
        <w:tc>
          <w:tcPr>
            <w:tcW w:w="1340" w:type="dxa"/>
            <w:vAlign w:val="bottom"/>
            <w:tcBorders>
              <w:top w:val="single" w:sz="8" w:color="auto"/>
            </w:tcBorders>
          </w:tcPr>
          <w:p>
            <w:pPr>
              <w:jc w:val="center"/>
              <w:spacing w:after="0"/>
              <w:rPr>
                <w:sz w:val="20"/>
                <w:szCs w:val="20"/>
                <w:color w:val="auto"/>
              </w:rPr>
            </w:pPr>
            <w:r>
              <w:rPr>
                <w:rFonts w:ascii="Arial" w:cs="Arial" w:eastAsia="Arial" w:hAnsi="Arial"/>
                <w:sz w:val="17"/>
                <w:szCs w:val="17"/>
                <w:b w:val="1"/>
                <w:bCs w:val="1"/>
                <w:color w:val="auto"/>
                <w:w w:val="93"/>
              </w:rPr>
              <w:t>S/(000)</w:t>
            </w:r>
          </w:p>
        </w:tc>
        <w:tc>
          <w:tcPr>
            <w:tcW w:w="200" w:type="dxa"/>
            <w:vAlign w:val="bottom"/>
          </w:tcPr>
          <w:p>
            <w:pPr>
              <w:spacing w:after="0"/>
              <w:rPr>
                <w:sz w:val="19"/>
                <w:szCs w:val="19"/>
                <w:color w:val="auto"/>
              </w:rPr>
            </w:pPr>
          </w:p>
        </w:tc>
        <w:tc>
          <w:tcPr>
            <w:tcW w:w="1180" w:type="dxa"/>
            <w:vAlign w:val="bottom"/>
            <w:tcBorders>
              <w:top w:val="single" w:sz="8" w:color="auto"/>
            </w:tcBorders>
          </w:tcPr>
          <w:p>
            <w:pPr>
              <w:jc w:val="right"/>
              <w:ind w:right="233"/>
              <w:spacing w:after="0"/>
              <w:rPr>
                <w:sz w:val="20"/>
                <w:szCs w:val="20"/>
                <w:color w:val="auto"/>
              </w:rPr>
            </w:pPr>
            <w:r>
              <w:rPr>
                <w:rFonts w:ascii="Arial" w:cs="Arial" w:eastAsia="Arial" w:hAnsi="Arial"/>
                <w:sz w:val="17"/>
                <w:szCs w:val="17"/>
                <w:b w:val="1"/>
                <w:bCs w:val="1"/>
                <w:color w:val="auto"/>
              </w:rPr>
              <w:t>S/(000)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189"/>
        </w:trPr>
        <w:tc>
          <w:tcPr>
            <w:tcW w:w="320" w:type="dxa"/>
            <w:vAlign w:val="bottom"/>
          </w:tcPr>
          <w:p>
            <w:pPr>
              <w:spacing w:after="0"/>
              <w:rPr>
                <w:sz w:val="16"/>
                <w:szCs w:val="16"/>
                <w:color w:val="auto"/>
              </w:rPr>
            </w:pPr>
          </w:p>
        </w:tc>
        <w:tc>
          <w:tcPr>
            <w:tcW w:w="51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208"/>
        </w:trPr>
        <w:tc>
          <w:tcPr>
            <w:tcW w:w="32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Balances at January 1, 2015</w:t>
            </w: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1,223,615</w:t>
            </w:r>
          </w:p>
        </w:tc>
        <w:tc>
          <w:tcPr>
            <w:tcW w:w="2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39"/>
              <w:spacing w:after="0"/>
              <w:rPr>
                <w:sz w:val="20"/>
                <w:szCs w:val="20"/>
                <w:color w:val="auto"/>
              </w:rPr>
            </w:pPr>
            <w:r>
              <w:rPr>
                <w:rFonts w:ascii="Arial" w:cs="Arial" w:eastAsia="Arial" w:hAnsi="Arial"/>
                <w:sz w:val="17"/>
                <w:szCs w:val="17"/>
                <w:color w:val="auto"/>
              </w:rPr>
              <w:t>5,937</w:t>
            </w:r>
          </w:p>
        </w:tc>
        <w:tc>
          <w:tcPr>
            <w:tcW w:w="1540" w:type="dxa"/>
            <w:vAlign w:val="bottom"/>
            <w:gridSpan w:val="2"/>
            <w:shd w:val="clear" w:color="auto" w:fill="CCEEFF"/>
          </w:tcPr>
          <w:p>
            <w:pPr>
              <w:jc w:val="right"/>
              <w:ind w:right="59"/>
              <w:spacing w:after="0"/>
              <w:rPr>
                <w:sz w:val="20"/>
                <w:szCs w:val="20"/>
                <w:color w:val="auto"/>
              </w:rPr>
            </w:pPr>
            <w:r>
              <w:rPr>
                <w:rFonts w:ascii="Arial" w:cs="Arial" w:eastAsia="Arial" w:hAnsi="Arial"/>
                <w:sz w:val="17"/>
                <w:szCs w:val="17"/>
                <w:color w:val="auto"/>
              </w:rPr>
              <w:t>(206,166)</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1,023,386</w:t>
            </w:r>
          </w:p>
        </w:tc>
        <w:tc>
          <w:tcPr>
            <w:tcW w:w="100" w:type="dxa"/>
            <w:vAlign w:val="bottom"/>
            <w:shd w:val="clear" w:color="auto" w:fill="CCEEFF"/>
          </w:tcPr>
          <w:p>
            <w:pPr>
              <w:spacing w:after="0"/>
              <w:rPr>
                <w:sz w:val="18"/>
                <w:szCs w:val="18"/>
                <w:color w:val="auto"/>
              </w:rPr>
            </w:pPr>
          </w:p>
        </w:tc>
        <w:tc>
          <w:tcPr>
            <w:tcW w:w="160" w:type="dxa"/>
            <w:vAlign w:val="bottom"/>
          </w:tcPr>
          <w:p>
            <w:pPr>
              <w:spacing w:after="0"/>
              <w:rPr>
                <w:sz w:val="18"/>
                <w:szCs w:val="18"/>
                <w:color w:val="auto"/>
              </w:rPr>
            </w:pPr>
          </w:p>
        </w:tc>
      </w:tr>
      <w:tr>
        <w:trPr>
          <w:trHeight w:val="208"/>
        </w:trPr>
        <w:tc>
          <w:tcPr>
            <w:tcW w:w="32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Arial" w:cs="Arial" w:eastAsia="Arial" w:hAnsi="Arial"/>
                <w:sz w:val="17"/>
                <w:szCs w:val="17"/>
                <w:color w:val="auto"/>
              </w:rPr>
              <w:t>Decrease in net unrealized gains on Available-for-sale investments</w:t>
            </w:r>
          </w:p>
        </w:tc>
        <w:tc>
          <w:tcPr>
            <w:tcW w:w="1520" w:type="dxa"/>
            <w:vAlign w:val="bottom"/>
            <w:gridSpan w:val="2"/>
          </w:tcPr>
          <w:p>
            <w:pPr>
              <w:jc w:val="right"/>
              <w:ind w:right="140"/>
              <w:spacing w:after="0"/>
              <w:rPr>
                <w:sz w:val="20"/>
                <w:szCs w:val="20"/>
                <w:color w:val="auto"/>
              </w:rPr>
            </w:pPr>
            <w:r>
              <w:rPr>
                <w:rFonts w:ascii="Arial" w:cs="Arial" w:eastAsia="Arial" w:hAnsi="Arial"/>
                <w:sz w:val="17"/>
                <w:szCs w:val="17"/>
                <w:color w:val="auto"/>
              </w:rPr>
              <w:t>(323,348)</w:t>
            </w:r>
          </w:p>
        </w:tc>
        <w:tc>
          <w:tcPr>
            <w:tcW w:w="1480" w:type="dxa"/>
            <w:vAlign w:val="bottom"/>
            <w:gridSpan w:val="2"/>
          </w:tcPr>
          <w:p>
            <w:pPr>
              <w:jc w:val="right"/>
              <w:ind w:right="139"/>
              <w:spacing w:after="0"/>
              <w:rPr>
                <w:sz w:val="20"/>
                <w:szCs w:val="20"/>
                <w:color w:val="auto"/>
              </w:rPr>
            </w:pPr>
            <w:r>
              <w:rPr>
                <w:rFonts w:ascii="Arial" w:cs="Arial" w:eastAsia="Arial" w:hAnsi="Arial"/>
                <w:sz w:val="17"/>
                <w:szCs w:val="17"/>
                <w:color w:val="auto"/>
              </w:rPr>
              <w:t>-</w:t>
            </w:r>
          </w:p>
        </w:tc>
        <w:tc>
          <w:tcPr>
            <w:tcW w:w="1340" w:type="dxa"/>
            <w:vAlign w:val="bottom"/>
          </w:tcPr>
          <w:p>
            <w:pPr>
              <w:jc w:val="right"/>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8"/>
                <w:szCs w:val="18"/>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7"/>
                <w:szCs w:val="17"/>
                <w:color w:val="auto"/>
              </w:rPr>
              <w:t>(323,348)</w:t>
            </w:r>
          </w:p>
        </w:tc>
        <w:tc>
          <w:tcPr>
            <w:tcW w:w="160" w:type="dxa"/>
            <w:vAlign w:val="bottom"/>
          </w:tcPr>
          <w:p>
            <w:pPr>
              <w:spacing w:after="0"/>
              <w:rPr>
                <w:sz w:val="18"/>
                <w:szCs w:val="18"/>
                <w:color w:val="auto"/>
              </w:rPr>
            </w:pPr>
          </w:p>
        </w:tc>
      </w:tr>
      <w:tr>
        <w:trPr>
          <w:trHeight w:val="195"/>
        </w:trPr>
        <w:tc>
          <w:tcPr>
            <w:tcW w:w="320" w:type="dxa"/>
            <w:vAlign w:val="bottom"/>
          </w:tcPr>
          <w:p>
            <w:pPr>
              <w:spacing w:after="0"/>
              <w:rPr>
                <w:sz w:val="16"/>
                <w:szCs w:val="16"/>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7"/>
                <w:szCs w:val="17"/>
                <w:color w:val="auto"/>
                <w:w w:val="95"/>
              </w:rPr>
              <w:t>Transfer of net realized gains on Available-for-sale investments to profit</w:t>
            </w:r>
          </w:p>
        </w:tc>
        <w:tc>
          <w:tcPr>
            <w:tcW w:w="13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tcPr>
          <w:p>
            <w:pPr>
              <w:spacing w:after="0"/>
              <w:rPr>
                <w:sz w:val="16"/>
                <w:szCs w:val="16"/>
                <w:color w:val="auto"/>
              </w:rPr>
            </w:pPr>
          </w:p>
        </w:tc>
      </w:tr>
      <w:tr>
        <w:trPr>
          <w:trHeight w:val="220"/>
        </w:trPr>
        <w:tc>
          <w:tcPr>
            <w:tcW w:w="320" w:type="dxa"/>
            <w:vAlign w:val="bottom"/>
          </w:tcPr>
          <w:p>
            <w:pPr>
              <w:spacing w:after="0"/>
              <w:rPr>
                <w:sz w:val="19"/>
                <w:szCs w:val="19"/>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7"/>
                <w:szCs w:val="17"/>
                <w:color w:val="auto"/>
              </w:rPr>
              <w:t>or loss, net of realized loss</w:t>
            </w:r>
          </w:p>
        </w:tc>
        <w:tc>
          <w:tcPr>
            <w:tcW w:w="15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(191,716)</w:t>
            </w:r>
          </w:p>
        </w:tc>
        <w:tc>
          <w:tcPr>
            <w:tcW w:w="1480" w:type="dxa"/>
            <w:vAlign w:val="bottom"/>
            <w:gridSpan w:val="2"/>
            <w:shd w:val="clear" w:color="auto" w:fill="CCEEFF"/>
          </w:tcPr>
          <w:p>
            <w:pPr>
              <w:jc w:val="right"/>
              <w:ind w:right="139"/>
              <w:spacing w:after="0"/>
              <w:rPr>
                <w:sz w:val="20"/>
                <w:szCs w:val="20"/>
                <w:color w:val="auto"/>
              </w:rPr>
            </w:pPr>
            <w:r>
              <w:rPr>
                <w:rFonts w:ascii="Arial" w:cs="Arial" w:eastAsia="Arial" w:hAnsi="Arial"/>
                <w:sz w:val="17"/>
                <w:szCs w:val="17"/>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(191,716)</w:t>
            </w:r>
          </w:p>
        </w:tc>
        <w:tc>
          <w:tcPr>
            <w:tcW w:w="160" w:type="dxa"/>
            <w:vAlign w:val="bottom"/>
          </w:tcPr>
          <w:p>
            <w:pPr>
              <w:spacing w:after="0"/>
              <w:rPr>
                <w:sz w:val="19"/>
                <w:szCs w:val="19"/>
                <w:color w:val="auto"/>
              </w:rPr>
            </w:pPr>
          </w:p>
        </w:tc>
      </w:tr>
      <w:tr>
        <w:trPr>
          <w:trHeight w:val="195"/>
        </w:trPr>
        <w:tc>
          <w:tcPr>
            <w:tcW w:w="320" w:type="dxa"/>
            <w:vAlign w:val="bottom"/>
          </w:tcPr>
          <w:p>
            <w:pPr>
              <w:spacing w:after="0"/>
              <w:rPr>
                <w:sz w:val="16"/>
                <w:szCs w:val="16"/>
                <w:color w:val="auto"/>
              </w:rPr>
            </w:pPr>
          </w:p>
        </w:tc>
        <w:tc>
          <w:tcPr>
            <w:tcW w:w="5120" w:type="dxa"/>
            <w:vAlign w:val="bottom"/>
          </w:tcPr>
          <w:p>
            <w:pPr>
              <w:spacing w:after="0"/>
              <w:rPr>
                <w:sz w:val="20"/>
                <w:szCs w:val="20"/>
                <w:color w:val="auto"/>
              </w:rPr>
            </w:pPr>
            <w:r>
              <w:rPr>
                <w:rFonts w:ascii="Arial" w:cs="Arial" w:eastAsia="Arial" w:hAnsi="Arial"/>
                <w:sz w:val="17"/>
                <w:szCs w:val="17"/>
                <w:color w:val="auto"/>
              </w:rPr>
              <w:t>Transfer of the impairment loss on Available-for-sale investments to</w:t>
            </w:r>
          </w:p>
        </w:tc>
        <w:tc>
          <w:tcPr>
            <w:tcW w:w="1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220"/>
        </w:trPr>
        <w:tc>
          <w:tcPr>
            <w:tcW w:w="320" w:type="dxa"/>
            <w:vAlign w:val="bottom"/>
          </w:tcPr>
          <w:p>
            <w:pPr>
              <w:spacing w:after="0"/>
              <w:rPr>
                <w:sz w:val="19"/>
                <w:szCs w:val="19"/>
                <w:color w:val="auto"/>
              </w:rPr>
            </w:pPr>
          </w:p>
        </w:tc>
        <w:tc>
          <w:tcPr>
            <w:tcW w:w="5120" w:type="dxa"/>
            <w:vAlign w:val="bottom"/>
          </w:tcPr>
          <w:p>
            <w:pPr>
              <w:spacing w:after="0"/>
              <w:rPr>
                <w:sz w:val="20"/>
                <w:szCs w:val="20"/>
                <w:color w:val="auto"/>
              </w:rPr>
            </w:pPr>
            <w:r>
              <w:rPr>
                <w:rFonts w:ascii="Arial" w:cs="Arial" w:eastAsia="Arial" w:hAnsi="Arial"/>
                <w:sz w:val="17"/>
                <w:szCs w:val="17"/>
                <w:color w:val="auto"/>
              </w:rPr>
              <w:t>profit or loss, Note 6(a)</w:t>
            </w:r>
          </w:p>
        </w:tc>
        <w:tc>
          <w:tcPr>
            <w:tcW w:w="1520" w:type="dxa"/>
            <w:vAlign w:val="bottom"/>
            <w:gridSpan w:val="2"/>
          </w:tcPr>
          <w:p>
            <w:pPr>
              <w:jc w:val="right"/>
              <w:ind w:right="140"/>
              <w:spacing w:after="0"/>
              <w:rPr>
                <w:sz w:val="20"/>
                <w:szCs w:val="20"/>
                <w:color w:val="auto"/>
              </w:rPr>
            </w:pPr>
            <w:r>
              <w:rPr>
                <w:rFonts w:ascii="Arial" w:cs="Arial" w:eastAsia="Arial" w:hAnsi="Arial"/>
                <w:sz w:val="17"/>
                <w:szCs w:val="17"/>
                <w:color w:val="auto"/>
              </w:rPr>
              <w:t>(55,647)</w:t>
            </w:r>
          </w:p>
        </w:tc>
        <w:tc>
          <w:tcPr>
            <w:tcW w:w="1480" w:type="dxa"/>
            <w:vAlign w:val="bottom"/>
            <w:gridSpan w:val="2"/>
          </w:tcPr>
          <w:p>
            <w:pPr>
              <w:jc w:val="right"/>
              <w:ind w:right="139"/>
              <w:spacing w:after="0"/>
              <w:rPr>
                <w:sz w:val="20"/>
                <w:szCs w:val="20"/>
                <w:color w:val="auto"/>
              </w:rPr>
            </w:pPr>
            <w:r>
              <w:rPr>
                <w:rFonts w:ascii="Arial" w:cs="Arial" w:eastAsia="Arial" w:hAnsi="Arial"/>
                <w:sz w:val="17"/>
                <w:szCs w:val="17"/>
                <w:color w:val="auto"/>
              </w:rPr>
              <w:t>-</w:t>
            </w:r>
          </w:p>
        </w:tc>
        <w:tc>
          <w:tcPr>
            <w:tcW w:w="1340" w:type="dxa"/>
            <w:vAlign w:val="bottom"/>
          </w:tcPr>
          <w:p>
            <w:pPr>
              <w:jc w:val="right"/>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9"/>
                <w:szCs w:val="19"/>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7"/>
                <w:szCs w:val="17"/>
                <w:color w:val="auto"/>
              </w:rPr>
              <w:t>(55,647)</w:t>
            </w:r>
          </w:p>
        </w:tc>
        <w:tc>
          <w:tcPr>
            <w:tcW w:w="160" w:type="dxa"/>
            <w:vAlign w:val="bottom"/>
          </w:tcPr>
          <w:p>
            <w:pPr>
              <w:spacing w:after="0"/>
              <w:rPr>
                <w:sz w:val="19"/>
                <w:szCs w:val="19"/>
                <w:color w:val="auto"/>
              </w:rPr>
            </w:pPr>
          </w:p>
        </w:tc>
      </w:tr>
      <w:tr>
        <w:trPr>
          <w:trHeight w:val="208"/>
        </w:trPr>
        <w:tc>
          <w:tcPr>
            <w:tcW w:w="32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7"/>
                <w:szCs w:val="17"/>
                <w:color w:val="auto"/>
                <w:w w:val="97"/>
              </w:rPr>
              <w:t>Change from net unrealized gains on cash flow hedges, Note 12(b)(ii)</w:t>
            </w: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39"/>
              <w:spacing w:after="0"/>
              <w:rPr>
                <w:sz w:val="20"/>
                <w:szCs w:val="20"/>
                <w:color w:val="auto"/>
              </w:rPr>
            </w:pPr>
            <w:r>
              <w:rPr>
                <w:rFonts w:ascii="Arial" w:cs="Arial" w:eastAsia="Arial" w:hAnsi="Arial"/>
                <w:sz w:val="17"/>
                <w:szCs w:val="17"/>
                <w:color w:val="auto"/>
              </w:rPr>
              <w:t>50,273</w:t>
            </w: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50,273</w:t>
            </w:r>
          </w:p>
        </w:tc>
        <w:tc>
          <w:tcPr>
            <w:tcW w:w="160" w:type="dxa"/>
            <w:vAlign w:val="bottom"/>
          </w:tcPr>
          <w:p>
            <w:pPr>
              <w:spacing w:after="0"/>
              <w:rPr>
                <w:sz w:val="18"/>
                <w:szCs w:val="18"/>
                <w:color w:val="auto"/>
              </w:rPr>
            </w:pPr>
          </w:p>
        </w:tc>
      </w:tr>
      <w:tr>
        <w:trPr>
          <w:trHeight w:val="195"/>
        </w:trPr>
        <w:tc>
          <w:tcPr>
            <w:tcW w:w="320" w:type="dxa"/>
            <w:vAlign w:val="bottom"/>
          </w:tcPr>
          <w:p>
            <w:pPr>
              <w:spacing w:after="0"/>
              <w:rPr>
                <w:sz w:val="16"/>
                <w:szCs w:val="16"/>
                <w:color w:val="auto"/>
              </w:rPr>
            </w:pPr>
          </w:p>
        </w:tc>
        <w:tc>
          <w:tcPr>
            <w:tcW w:w="5120" w:type="dxa"/>
            <w:vAlign w:val="bottom"/>
          </w:tcPr>
          <w:p>
            <w:pPr>
              <w:spacing w:after="0"/>
              <w:rPr>
                <w:sz w:val="20"/>
                <w:szCs w:val="20"/>
                <w:color w:val="auto"/>
              </w:rPr>
            </w:pPr>
            <w:r>
              <w:rPr>
                <w:rFonts w:ascii="Arial" w:cs="Arial" w:eastAsia="Arial" w:hAnsi="Arial"/>
                <w:sz w:val="17"/>
                <w:szCs w:val="17"/>
                <w:color w:val="auto"/>
                <w:w w:val="94"/>
              </w:rPr>
              <w:t>Transfer of net realized gains on cash flow hedges to profit or loss, Note</w:t>
            </w:r>
          </w:p>
        </w:tc>
        <w:tc>
          <w:tcPr>
            <w:tcW w:w="1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220"/>
        </w:trPr>
        <w:tc>
          <w:tcPr>
            <w:tcW w:w="320" w:type="dxa"/>
            <w:vAlign w:val="bottom"/>
          </w:tcPr>
          <w:p>
            <w:pPr>
              <w:spacing w:after="0"/>
              <w:rPr>
                <w:sz w:val="19"/>
                <w:szCs w:val="19"/>
                <w:color w:val="auto"/>
              </w:rPr>
            </w:pPr>
          </w:p>
        </w:tc>
        <w:tc>
          <w:tcPr>
            <w:tcW w:w="5120" w:type="dxa"/>
            <w:vAlign w:val="bottom"/>
          </w:tcPr>
          <w:p>
            <w:pPr>
              <w:spacing w:after="0"/>
              <w:rPr>
                <w:sz w:val="20"/>
                <w:szCs w:val="20"/>
                <w:color w:val="auto"/>
              </w:rPr>
            </w:pPr>
            <w:r>
              <w:rPr>
                <w:rFonts w:ascii="Arial" w:cs="Arial" w:eastAsia="Arial" w:hAnsi="Arial"/>
                <w:sz w:val="17"/>
                <w:szCs w:val="17"/>
                <w:color w:val="auto"/>
              </w:rPr>
              <w:t>12(b)(ii)</w:t>
            </w:r>
          </w:p>
        </w:tc>
        <w:tc>
          <w:tcPr>
            <w:tcW w:w="1320" w:type="dxa"/>
            <w:vAlign w:val="bottom"/>
          </w:tcPr>
          <w:p>
            <w:pPr>
              <w:jc w:val="right"/>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9"/>
                <w:szCs w:val="19"/>
                <w:color w:val="auto"/>
              </w:rPr>
            </w:pPr>
          </w:p>
        </w:tc>
        <w:tc>
          <w:tcPr>
            <w:tcW w:w="1480" w:type="dxa"/>
            <w:vAlign w:val="bottom"/>
            <w:gridSpan w:val="2"/>
          </w:tcPr>
          <w:p>
            <w:pPr>
              <w:jc w:val="right"/>
              <w:ind w:right="79"/>
              <w:spacing w:after="0"/>
              <w:rPr>
                <w:sz w:val="20"/>
                <w:szCs w:val="20"/>
                <w:color w:val="auto"/>
              </w:rPr>
            </w:pPr>
            <w:r>
              <w:rPr>
                <w:rFonts w:ascii="Arial" w:cs="Arial" w:eastAsia="Arial" w:hAnsi="Arial"/>
                <w:sz w:val="17"/>
                <w:szCs w:val="17"/>
                <w:color w:val="auto"/>
              </w:rPr>
              <w:t>(11,160)</w:t>
            </w:r>
          </w:p>
        </w:tc>
        <w:tc>
          <w:tcPr>
            <w:tcW w:w="1340" w:type="dxa"/>
            <w:vAlign w:val="bottom"/>
          </w:tcPr>
          <w:p>
            <w:pPr>
              <w:jc w:val="right"/>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9"/>
                <w:szCs w:val="19"/>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7"/>
                <w:szCs w:val="17"/>
                <w:color w:val="auto"/>
              </w:rPr>
              <w:t>(11,160)</w:t>
            </w:r>
          </w:p>
        </w:tc>
        <w:tc>
          <w:tcPr>
            <w:tcW w:w="160" w:type="dxa"/>
            <w:vAlign w:val="bottom"/>
          </w:tcPr>
          <w:p>
            <w:pPr>
              <w:spacing w:after="0"/>
              <w:rPr>
                <w:sz w:val="19"/>
                <w:szCs w:val="19"/>
                <w:color w:val="auto"/>
              </w:rPr>
            </w:pPr>
          </w:p>
        </w:tc>
      </w:tr>
      <w:tr>
        <w:trPr>
          <w:trHeight w:val="221"/>
        </w:trPr>
        <w:tc>
          <w:tcPr>
            <w:tcW w:w="320" w:type="dxa"/>
            <w:vAlign w:val="bottom"/>
          </w:tcPr>
          <w:p>
            <w:pPr>
              <w:spacing w:after="0"/>
              <w:rPr>
                <w:sz w:val="19"/>
                <w:szCs w:val="19"/>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7"/>
                <w:szCs w:val="17"/>
                <w:color w:val="auto"/>
              </w:rPr>
              <w:t>Foreign exchange translation</w:t>
            </w: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39"/>
              <w:spacing w:after="0"/>
              <w:rPr>
                <w:sz w:val="20"/>
                <w:szCs w:val="20"/>
                <w:color w:val="auto"/>
              </w:rPr>
            </w:pPr>
            <w:r>
              <w:rPr>
                <w:rFonts w:ascii="Arial" w:cs="Arial" w:eastAsia="Arial" w:hAnsi="Arial"/>
                <w:sz w:val="17"/>
                <w:szCs w:val="17"/>
                <w:color w:val="auto"/>
              </w:rPr>
              <w:t>-</w:t>
            </w:r>
          </w:p>
        </w:tc>
        <w:tc>
          <w:tcPr>
            <w:tcW w:w="1540" w:type="dxa"/>
            <w:vAlign w:val="bottom"/>
            <w:gridSpan w:val="2"/>
            <w:shd w:val="clear" w:color="auto" w:fill="CCEEFF"/>
          </w:tcPr>
          <w:p>
            <w:pPr>
              <w:jc w:val="right"/>
              <w:ind w:right="119"/>
              <w:spacing w:after="0"/>
              <w:rPr>
                <w:sz w:val="20"/>
                <w:szCs w:val="20"/>
                <w:color w:val="auto"/>
              </w:rPr>
            </w:pPr>
            <w:r>
              <w:rPr>
                <w:rFonts w:ascii="Arial" w:cs="Arial" w:eastAsia="Arial" w:hAnsi="Arial"/>
                <w:sz w:val="17"/>
                <w:szCs w:val="17"/>
                <w:color w:val="auto"/>
              </w:rPr>
              <w:t>270,907</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270,907</w:t>
            </w:r>
          </w:p>
        </w:tc>
        <w:tc>
          <w:tcPr>
            <w:tcW w:w="100" w:type="dxa"/>
            <w:vAlign w:val="bottom"/>
            <w:shd w:val="clear" w:color="auto" w:fill="CCEEFF"/>
          </w:tcPr>
          <w:p>
            <w:pPr>
              <w:spacing w:after="0"/>
              <w:rPr>
                <w:sz w:val="19"/>
                <w:szCs w:val="19"/>
                <w:color w:val="auto"/>
              </w:rPr>
            </w:pPr>
          </w:p>
        </w:tc>
        <w:tc>
          <w:tcPr>
            <w:tcW w:w="160" w:type="dxa"/>
            <w:vAlign w:val="bottom"/>
          </w:tcPr>
          <w:p>
            <w:pPr>
              <w:spacing w:after="0"/>
              <w:rPr>
                <w:sz w:val="19"/>
                <w:szCs w:val="19"/>
                <w:color w:val="auto"/>
              </w:rPr>
            </w:pPr>
          </w:p>
        </w:tc>
      </w:tr>
      <w:tr>
        <w:trPr>
          <w:trHeight w:val="201"/>
        </w:trPr>
        <w:tc>
          <w:tcPr>
            <w:tcW w:w="320" w:type="dxa"/>
            <w:vAlign w:val="bottom"/>
          </w:tcPr>
          <w:p>
            <w:pPr>
              <w:spacing w:after="0"/>
              <w:rPr>
                <w:sz w:val="17"/>
                <w:szCs w:val="17"/>
                <w:color w:val="auto"/>
              </w:rPr>
            </w:pPr>
          </w:p>
        </w:tc>
        <w:tc>
          <w:tcPr>
            <w:tcW w:w="5120" w:type="dxa"/>
            <w:vAlign w:val="bottom"/>
          </w:tcPr>
          <w:p>
            <w:pPr>
              <w:spacing w:after="0"/>
              <w:rPr>
                <w:sz w:val="20"/>
                <w:szCs w:val="20"/>
                <w:color w:val="auto"/>
              </w:rPr>
            </w:pPr>
            <w:r>
              <w:rPr>
                <w:rFonts w:ascii="Arial" w:cs="Arial" w:eastAsia="Arial" w:hAnsi="Arial"/>
                <w:sz w:val="17"/>
                <w:szCs w:val="17"/>
                <w:b w:val="1"/>
                <w:bCs w:val="1"/>
                <w:color w:val="auto"/>
              </w:rPr>
              <w:t>Balances at December 31, 2015</w:t>
            </w: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652,904</w:t>
            </w:r>
          </w:p>
        </w:tc>
        <w:tc>
          <w:tcPr>
            <w:tcW w:w="200" w:type="dxa"/>
            <w:vAlign w:val="bottom"/>
          </w:tcPr>
          <w:p>
            <w:pPr>
              <w:spacing w:after="0"/>
              <w:rPr>
                <w:sz w:val="17"/>
                <w:szCs w:val="17"/>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45,050</w:t>
            </w:r>
          </w:p>
        </w:tc>
        <w:tc>
          <w:tcPr>
            <w:tcW w:w="220" w:type="dxa"/>
            <w:vAlign w:val="bottom"/>
          </w:tcPr>
          <w:p>
            <w:pPr>
              <w:spacing w:after="0"/>
              <w:rPr>
                <w:sz w:val="17"/>
                <w:szCs w:val="17"/>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64,741</w:t>
            </w:r>
          </w:p>
        </w:tc>
        <w:tc>
          <w:tcPr>
            <w:tcW w:w="200" w:type="dxa"/>
            <w:vAlign w:val="bottom"/>
          </w:tcPr>
          <w:p>
            <w:pPr>
              <w:spacing w:after="0"/>
              <w:rPr>
                <w:sz w:val="17"/>
                <w:szCs w:val="17"/>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762,695</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08"/>
        </w:trPr>
        <w:tc>
          <w:tcPr>
            <w:tcW w:w="32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7"/>
                <w:szCs w:val="17"/>
                <w:color w:val="auto"/>
              </w:rPr>
              <w:t>Increase in net unrealized gains on Available-for-sale investments</w:t>
            </w:r>
          </w:p>
        </w:tc>
        <w:tc>
          <w:tcPr>
            <w:tcW w:w="15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554,869</w:t>
            </w:r>
          </w:p>
        </w:tc>
        <w:tc>
          <w:tcPr>
            <w:tcW w:w="1480" w:type="dxa"/>
            <w:vAlign w:val="bottom"/>
            <w:gridSpan w:val="2"/>
            <w:shd w:val="clear" w:color="auto" w:fill="CCEEFF"/>
          </w:tcPr>
          <w:p>
            <w:pPr>
              <w:jc w:val="right"/>
              <w:ind w:right="139"/>
              <w:spacing w:after="0"/>
              <w:rPr>
                <w:sz w:val="20"/>
                <w:szCs w:val="20"/>
                <w:color w:val="auto"/>
              </w:rPr>
            </w:pPr>
            <w:r>
              <w:rPr>
                <w:rFonts w:ascii="Arial" w:cs="Arial" w:eastAsia="Arial" w:hAnsi="Arial"/>
                <w:sz w:val="17"/>
                <w:szCs w:val="17"/>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554,869</w:t>
            </w:r>
          </w:p>
        </w:tc>
        <w:tc>
          <w:tcPr>
            <w:tcW w:w="100" w:type="dxa"/>
            <w:vAlign w:val="bottom"/>
            <w:shd w:val="clear" w:color="auto" w:fill="CCEEFF"/>
          </w:tcPr>
          <w:p>
            <w:pPr>
              <w:spacing w:after="0"/>
              <w:rPr>
                <w:sz w:val="18"/>
                <w:szCs w:val="18"/>
                <w:color w:val="auto"/>
              </w:rPr>
            </w:pPr>
          </w:p>
        </w:tc>
        <w:tc>
          <w:tcPr>
            <w:tcW w:w="160" w:type="dxa"/>
            <w:vAlign w:val="bottom"/>
          </w:tcPr>
          <w:p>
            <w:pPr>
              <w:spacing w:after="0"/>
              <w:rPr>
                <w:sz w:val="18"/>
                <w:szCs w:val="18"/>
                <w:color w:val="auto"/>
              </w:rPr>
            </w:pPr>
          </w:p>
        </w:tc>
      </w:tr>
      <w:tr>
        <w:trPr>
          <w:trHeight w:val="195"/>
        </w:trPr>
        <w:tc>
          <w:tcPr>
            <w:tcW w:w="320" w:type="dxa"/>
            <w:vAlign w:val="bottom"/>
          </w:tcPr>
          <w:p>
            <w:pPr>
              <w:spacing w:after="0"/>
              <w:rPr>
                <w:sz w:val="16"/>
                <w:szCs w:val="16"/>
                <w:color w:val="auto"/>
              </w:rPr>
            </w:pPr>
          </w:p>
        </w:tc>
        <w:tc>
          <w:tcPr>
            <w:tcW w:w="5120" w:type="dxa"/>
            <w:vAlign w:val="bottom"/>
          </w:tcPr>
          <w:p>
            <w:pPr>
              <w:spacing w:after="0"/>
              <w:rPr>
                <w:sz w:val="20"/>
                <w:szCs w:val="20"/>
                <w:color w:val="auto"/>
              </w:rPr>
            </w:pPr>
            <w:r>
              <w:rPr>
                <w:rFonts w:ascii="Arial" w:cs="Arial" w:eastAsia="Arial" w:hAnsi="Arial"/>
                <w:sz w:val="17"/>
                <w:szCs w:val="17"/>
                <w:color w:val="auto"/>
                <w:w w:val="95"/>
              </w:rPr>
              <w:t>Transfer of net realized gains on Available-for-sale investments to profit</w:t>
            </w:r>
          </w:p>
        </w:tc>
        <w:tc>
          <w:tcPr>
            <w:tcW w:w="1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220"/>
        </w:trPr>
        <w:tc>
          <w:tcPr>
            <w:tcW w:w="320" w:type="dxa"/>
            <w:vAlign w:val="bottom"/>
          </w:tcPr>
          <w:p>
            <w:pPr>
              <w:spacing w:after="0"/>
              <w:rPr>
                <w:sz w:val="19"/>
                <w:szCs w:val="19"/>
                <w:color w:val="auto"/>
              </w:rPr>
            </w:pPr>
          </w:p>
        </w:tc>
        <w:tc>
          <w:tcPr>
            <w:tcW w:w="5120" w:type="dxa"/>
            <w:vAlign w:val="bottom"/>
          </w:tcPr>
          <w:p>
            <w:pPr>
              <w:spacing w:after="0"/>
              <w:rPr>
                <w:sz w:val="20"/>
                <w:szCs w:val="20"/>
                <w:color w:val="auto"/>
              </w:rPr>
            </w:pPr>
            <w:r>
              <w:rPr>
                <w:rFonts w:ascii="Arial" w:cs="Arial" w:eastAsia="Arial" w:hAnsi="Arial"/>
                <w:sz w:val="17"/>
                <w:szCs w:val="17"/>
                <w:color w:val="auto"/>
              </w:rPr>
              <w:t>or loss, net of realized loss</w:t>
            </w:r>
          </w:p>
        </w:tc>
        <w:tc>
          <w:tcPr>
            <w:tcW w:w="1520" w:type="dxa"/>
            <w:vAlign w:val="bottom"/>
            <w:gridSpan w:val="2"/>
          </w:tcPr>
          <w:p>
            <w:pPr>
              <w:jc w:val="right"/>
              <w:ind w:right="140"/>
              <w:spacing w:after="0"/>
              <w:rPr>
                <w:sz w:val="20"/>
                <w:szCs w:val="20"/>
                <w:color w:val="auto"/>
              </w:rPr>
            </w:pPr>
            <w:r>
              <w:rPr>
                <w:rFonts w:ascii="Arial" w:cs="Arial" w:eastAsia="Arial" w:hAnsi="Arial"/>
                <w:sz w:val="17"/>
                <w:szCs w:val="17"/>
                <w:color w:val="auto"/>
              </w:rPr>
              <w:t>(75,444)</w:t>
            </w:r>
          </w:p>
        </w:tc>
        <w:tc>
          <w:tcPr>
            <w:tcW w:w="1480" w:type="dxa"/>
            <w:vAlign w:val="bottom"/>
            <w:gridSpan w:val="2"/>
          </w:tcPr>
          <w:p>
            <w:pPr>
              <w:jc w:val="right"/>
              <w:ind w:right="139"/>
              <w:spacing w:after="0"/>
              <w:rPr>
                <w:sz w:val="20"/>
                <w:szCs w:val="20"/>
                <w:color w:val="auto"/>
              </w:rPr>
            </w:pPr>
            <w:r>
              <w:rPr>
                <w:rFonts w:ascii="Arial" w:cs="Arial" w:eastAsia="Arial" w:hAnsi="Arial"/>
                <w:sz w:val="17"/>
                <w:szCs w:val="17"/>
                <w:color w:val="auto"/>
              </w:rPr>
              <w:t>-</w:t>
            </w:r>
          </w:p>
        </w:tc>
        <w:tc>
          <w:tcPr>
            <w:tcW w:w="1340" w:type="dxa"/>
            <w:vAlign w:val="bottom"/>
          </w:tcPr>
          <w:p>
            <w:pPr>
              <w:jc w:val="right"/>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9"/>
                <w:szCs w:val="19"/>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7"/>
                <w:szCs w:val="17"/>
                <w:color w:val="auto"/>
              </w:rPr>
              <w:t>(75,444)</w:t>
            </w:r>
          </w:p>
        </w:tc>
        <w:tc>
          <w:tcPr>
            <w:tcW w:w="160" w:type="dxa"/>
            <w:vAlign w:val="bottom"/>
          </w:tcPr>
          <w:p>
            <w:pPr>
              <w:spacing w:after="0"/>
              <w:rPr>
                <w:sz w:val="19"/>
                <w:szCs w:val="19"/>
                <w:color w:val="auto"/>
              </w:rPr>
            </w:pPr>
          </w:p>
        </w:tc>
      </w:tr>
      <w:tr>
        <w:trPr>
          <w:trHeight w:val="195"/>
        </w:trPr>
        <w:tc>
          <w:tcPr>
            <w:tcW w:w="320" w:type="dxa"/>
            <w:vAlign w:val="bottom"/>
          </w:tcPr>
          <w:p>
            <w:pPr>
              <w:spacing w:after="0"/>
              <w:rPr>
                <w:sz w:val="16"/>
                <w:szCs w:val="16"/>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7"/>
                <w:szCs w:val="17"/>
                <w:color w:val="auto"/>
              </w:rPr>
              <w:t>Transfer of the impairment loss on Available-for-sale investments to</w:t>
            </w:r>
          </w:p>
        </w:tc>
        <w:tc>
          <w:tcPr>
            <w:tcW w:w="13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tcPr>
          <w:p>
            <w:pPr>
              <w:spacing w:after="0"/>
              <w:rPr>
                <w:sz w:val="16"/>
                <w:szCs w:val="16"/>
                <w:color w:val="auto"/>
              </w:rPr>
            </w:pPr>
          </w:p>
        </w:tc>
      </w:tr>
      <w:tr>
        <w:trPr>
          <w:trHeight w:val="220"/>
        </w:trPr>
        <w:tc>
          <w:tcPr>
            <w:tcW w:w="320" w:type="dxa"/>
            <w:vAlign w:val="bottom"/>
          </w:tcPr>
          <w:p>
            <w:pPr>
              <w:spacing w:after="0"/>
              <w:rPr>
                <w:sz w:val="19"/>
                <w:szCs w:val="19"/>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7"/>
                <w:szCs w:val="17"/>
                <w:color w:val="auto"/>
              </w:rPr>
              <w:t>profit or loss Note 6(a)</w:t>
            </w:r>
          </w:p>
        </w:tc>
        <w:tc>
          <w:tcPr>
            <w:tcW w:w="15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14,459</w:t>
            </w:r>
          </w:p>
        </w:tc>
        <w:tc>
          <w:tcPr>
            <w:tcW w:w="1480" w:type="dxa"/>
            <w:vAlign w:val="bottom"/>
            <w:gridSpan w:val="2"/>
            <w:shd w:val="clear" w:color="auto" w:fill="CCEEFF"/>
          </w:tcPr>
          <w:p>
            <w:pPr>
              <w:jc w:val="right"/>
              <w:ind w:right="139"/>
              <w:spacing w:after="0"/>
              <w:rPr>
                <w:sz w:val="20"/>
                <w:szCs w:val="20"/>
                <w:color w:val="auto"/>
              </w:rPr>
            </w:pPr>
            <w:r>
              <w:rPr>
                <w:rFonts w:ascii="Arial" w:cs="Arial" w:eastAsia="Arial" w:hAnsi="Arial"/>
                <w:sz w:val="17"/>
                <w:szCs w:val="17"/>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14,459</w:t>
            </w:r>
          </w:p>
        </w:tc>
        <w:tc>
          <w:tcPr>
            <w:tcW w:w="160" w:type="dxa"/>
            <w:vAlign w:val="bottom"/>
          </w:tcPr>
          <w:p>
            <w:pPr>
              <w:spacing w:after="0"/>
              <w:rPr>
                <w:sz w:val="19"/>
                <w:szCs w:val="19"/>
                <w:color w:val="auto"/>
              </w:rPr>
            </w:pPr>
          </w:p>
        </w:tc>
      </w:tr>
      <w:tr>
        <w:trPr>
          <w:trHeight w:val="208"/>
        </w:trPr>
        <w:tc>
          <w:tcPr>
            <w:tcW w:w="32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Arial" w:cs="Arial" w:eastAsia="Arial" w:hAnsi="Arial"/>
                <w:sz w:val="17"/>
                <w:szCs w:val="17"/>
                <w:color w:val="auto"/>
              </w:rPr>
              <w:t>Change in net unrealized gains on cash flow hedges, Note 12(b)(ii)</w:t>
            </w:r>
          </w:p>
        </w:tc>
        <w:tc>
          <w:tcPr>
            <w:tcW w:w="1320" w:type="dxa"/>
            <w:vAlign w:val="bottom"/>
          </w:tcPr>
          <w:p>
            <w:pPr>
              <w:jc w:val="right"/>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8"/>
                <w:szCs w:val="18"/>
                <w:color w:val="auto"/>
              </w:rPr>
            </w:pPr>
          </w:p>
        </w:tc>
        <w:tc>
          <w:tcPr>
            <w:tcW w:w="1480" w:type="dxa"/>
            <w:vAlign w:val="bottom"/>
            <w:gridSpan w:val="2"/>
          </w:tcPr>
          <w:p>
            <w:pPr>
              <w:jc w:val="right"/>
              <w:ind w:right="79"/>
              <w:spacing w:after="0"/>
              <w:rPr>
                <w:sz w:val="20"/>
                <w:szCs w:val="20"/>
                <w:color w:val="auto"/>
              </w:rPr>
            </w:pPr>
            <w:r>
              <w:rPr>
                <w:rFonts w:ascii="Arial" w:cs="Arial" w:eastAsia="Arial" w:hAnsi="Arial"/>
                <w:sz w:val="17"/>
                <w:szCs w:val="17"/>
                <w:color w:val="auto"/>
              </w:rPr>
              <w:t>(16,724)</w:t>
            </w:r>
          </w:p>
        </w:tc>
        <w:tc>
          <w:tcPr>
            <w:tcW w:w="1340" w:type="dxa"/>
            <w:vAlign w:val="bottom"/>
          </w:tcPr>
          <w:p>
            <w:pPr>
              <w:jc w:val="right"/>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8"/>
                <w:szCs w:val="18"/>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7"/>
                <w:szCs w:val="17"/>
                <w:color w:val="auto"/>
              </w:rPr>
              <w:t>(16,724)</w:t>
            </w:r>
          </w:p>
        </w:tc>
        <w:tc>
          <w:tcPr>
            <w:tcW w:w="160" w:type="dxa"/>
            <w:vAlign w:val="bottom"/>
          </w:tcPr>
          <w:p>
            <w:pPr>
              <w:spacing w:after="0"/>
              <w:rPr>
                <w:sz w:val="18"/>
                <w:szCs w:val="18"/>
                <w:color w:val="auto"/>
              </w:rPr>
            </w:pPr>
          </w:p>
        </w:tc>
      </w:tr>
      <w:tr>
        <w:trPr>
          <w:trHeight w:val="195"/>
        </w:trPr>
        <w:tc>
          <w:tcPr>
            <w:tcW w:w="320" w:type="dxa"/>
            <w:vAlign w:val="bottom"/>
          </w:tcPr>
          <w:p>
            <w:pPr>
              <w:spacing w:after="0"/>
              <w:rPr>
                <w:sz w:val="16"/>
                <w:szCs w:val="16"/>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7"/>
                <w:szCs w:val="17"/>
                <w:color w:val="auto"/>
              </w:rPr>
              <w:t>Transfer of net realized losses on cash flow hedges to profit or loss,</w:t>
            </w:r>
          </w:p>
        </w:tc>
        <w:tc>
          <w:tcPr>
            <w:tcW w:w="13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tcPr>
          <w:p>
            <w:pPr>
              <w:spacing w:after="0"/>
              <w:rPr>
                <w:sz w:val="16"/>
                <w:szCs w:val="16"/>
                <w:color w:val="auto"/>
              </w:rPr>
            </w:pPr>
          </w:p>
        </w:tc>
      </w:tr>
      <w:tr>
        <w:trPr>
          <w:trHeight w:val="220"/>
        </w:trPr>
        <w:tc>
          <w:tcPr>
            <w:tcW w:w="320" w:type="dxa"/>
            <w:vAlign w:val="bottom"/>
          </w:tcPr>
          <w:p>
            <w:pPr>
              <w:spacing w:after="0"/>
              <w:rPr>
                <w:sz w:val="19"/>
                <w:szCs w:val="19"/>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7"/>
                <w:szCs w:val="17"/>
                <w:color w:val="auto"/>
              </w:rPr>
              <w:t>Note 12(b)(ii)</w:t>
            </w: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79"/>
              <w:spacing w:after="0"/>
              <w:rPr>
                <w:sz w:val="20"/>
                <w:szCs w:val="20"/>
                <w:color w:val="auto"/>
              </w:rPr>
            </w:pPr>
            <w:r>
              <w:rPr>
                <w:rFonts w:ascii="Arial" w:cs="Arial" w:eastAsia="Arial" w:hAnsi="Arial"/>
                <w:sz w:val="17"/>
                <w:szCs w:val="17"/>
                <w:color w:val="auto"/>
              </w:rPr>
              <w:t>(3,676)</w:t>
            </w: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(3,676)</w:t>
            </w:r>
          </w:p>
        </w:tc>
        <w:tc>
          <w:tcPr>
            <w:tcW w:w="160" w:type="dxa"/>
            <w:vAlign w:val="bottom"/>
          </w:tcPr>
          <w:p>
            <w:pPr>
              <w:spacing w:after="0"/>
              <w:rPr>
                <w:sz w:val="19"/>
                <w:szCs w:val="19"/>
                <w:color w:val="auto"/>
              </w:rPr>
            </w:pPr>
          </w:p>
        </w:tc>
      </w:tr>
      <w:tr>
        <w:trPr>
          <w:trHeight w:val="221"/>
        </w:trPr>
        <w:tc>
          <w:tcPr>
            <w:tcW w:w="320" w:type="dxa"/>
            <w:vAlign w:val="bottom"/>
          </w:tcPr>
          <w:p>
            <w:pPr>
              <w:spacing w:after="0"/>
              <w:rPr>
                <w:sz w:val="19"/>
                <w:szCs w:val="19"/>
                <w:color w:val="auto"/>
              </w:rPr>
            </w:pPr>
          </w:p>
        </w:tc>
        <w:tc>
          <w:tcPr>
            <w:tcW w:w="5120" w:type="dxa"/>
            <w:vAlign w:val="bottom"/>
          </w:tcPr>
          <w:p>
            <w:pPr>
              <w:spacing w:after="0"/>
              <w:rPr>
                <w:sz w:val="20"/>
                <w:szCs w:val="20"/>
                <w:color w:val="auto"/>
              </w:rPr>
            </w:pPr>
            <w:r>
              <w:rPr>
                <w:rFonts w:ascii="Arial" w:cs="Arial" w:eastAsia="Arial" w:hAnsi="Arial"/>
                <w:sz w:val="17"/>
                <w:szCs w:val="17"/>
                <w:color w:val="auto"/>
              </w:rPr>
              <w:t>Foreign exchange translation</w:t>
            </w:r>
          </w:p>
        </w:tc>
        <w:tc>
          <w:tcPr>
            <w:tcW w:w="1320" w:type="dxa"/>
            <w:vAlign w:val="bottom"/>
          </w:tcPr>
          <w:p>
            <w:pPr>
              <w:jc w:val="right"/>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9"/>
                <w:szCs w:val="19"/>
                <w:color w:val="auto"/>
              </w:rPr>
            </w:pPr>
          </w:p>
        </w:tc>
        <w:tc>
          <w:tcPr>
            <w:tcW w:w="1480" w:type="dxa"/>
            <w:vAlign w:val="bottom"/>
            <w:gridSpan w:val="2"/>
          </w:tcPr>
          <w:p>
            <w:pPr>
              <w:jc w:val="right"/>
              <w:ind w:right="139"/>
              <w:spacing w:after="0"/>
              <w:rPr>
                <w:sz w:val="20"/>
                <w:szCs w:val="20"/>
                <w:color w:val="auto"/>
              </w:rPr>
            </w:pPr>
            <w:r>
              <w:rPr>
                <w:rFonts w:ascii="Arial" w:cs="Arial" w:eastAsia="Arial" w:hAnsi="Arial"/>
                <w:sz w:val="17"/>
                <w:szCs w:val="17"/>
                <w:color w:val="auto"/>
              </w:rPr>
              <w:t>-</w:t>
            </w:r>
          </w:p>
        </w:tc>
        <w:tc>
          <w:tcPr>
            <w:tcW w:w="1540" w:type="dxa"/>
            <w:vAlign w:val="bottom"/>
            <w:gridSpan w:val="2"/>
          </w:tcPr>
          <w:p>
            <w:pPr>
              <w:jc w:val="right"/>
              <w:ind w:right="59"/>
              <w:spacing w:after="0"/>
              <w:rPr>
                <w:sz w:val="20"/>
                <w:szCs w:val="20"/>
                <w:color w:val="auto"/>
              </w:rPr>
            </w:pPr>
            <w:r>
              <w:rPr>
                <w:rFonts w:ascii="Arial" w:cs="Arial" w:eastAsia="Arial" w:hAnsi="Arial"/>
                <w:sz w:val="17"/>
                <w:szCs w:val="17"/>
                <w:color w:val="auto"/>
              </w:rPr>
              <w:t>(26,448)</w:t>
            </w:r>
          </w:p>
        </w:tc>
        <w:tc>
          <w:tcPr>
            <w:tcW w:w="1280" w:type="dxa"/>
            <w:vAlign w:val="bottom"/>
            <w:gridSpan w:val="2"/>
          </w:tcPr>
          <w:p>
            <w:pPr>
              <w:jc w:val="right"/>
              <w:ind w:right="40"/>
              <w:spacing w:after="0"/>
              <w:rPr>
                <w:sz w:val="20"/>
                <w:szCs w:val="20"/>
                <w:color w:val="auto"/>
              </w:rPr>
            </w:pPr>
            <w:r>
              <w:rPr>
                <w:rFonts w:ascii="Arial" w:cs="Arial" w:eastAsia="Arial" w:hAnsi="Arial"/>
                <w:sz w:val="17"/>
                <w:szCs w:val="17"/>
                <w:color w:val="auto"/>
              </w:rPr>
              <w:t>(26,448)</w:t>
            </w:r>
          </w:p>
        </w:tc>
        <w:tc>
          <w:tcPr>
            <w:tcW w:w="160" w:type="dxa"/>
            <w:vAlign w:val="bottom"/>
          </w:tcPr>
          <w:p>
            <w:pPr>
              <w:spacing w:after="0"/>
              <w:rPr>
                <w:sz w:val="19"/>
                <w:szCs w:val="19"/>
                <w:color w:val="auto"/>
              </w:rPr>
            </w:pPr>
          </w:p>
        </w:tc>
      </w:tr>
      <w:tr>
        <w:trPr>
          <w:trHeight w:val="201"/>
        </w:trPr>
        <w:tc>
          <w:tcPr>
            <w:tcW w:w="320" w:type="dxa"/>
            <w:vAlign w:val="bottom"/>
          </w:tcPr>
          <w:p>
            <w:pPr>
              <w:spacing w:after="0"/>
              <w:rPr>
                <w:sz w:val="17"/>
                <w:szCs w:val="17"/>
                <w:color w:val="auto"/>
              </w:rPr>
            </w:pPr>
          </w:p>
        </w:tc>
        <w:tc>
          <w:tcPr>
            <w:tcW w:w="51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b w:val="1"/>
                <w:bCs w:val="1"/>
                <w:color w:val="auto"/>
              </w:rPr>
              <w:t>Balance at December 31, 2016</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1,146,788</w:t>
            </w:r>
          </w:p>
        </w:tc>
        <w:tc>
          <w:tcPr>
            <w:tcW w:w="200" w:type="dxa"/>
            <w:vAlign w:val="bottom"/>
            <w:tcBorders>
              <w:top w:val="single" w:sz="8" w:color="CCEEFF"/>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24,650</w:t>
            </w:r>
          </w:p>
        </w:tc>
        <w:tc>
          <w:tcPr>
            <w:tcW w:w="220" w:type="dxa"/>
            <w:vAlign w:val="bottom"/>
            <w:tcBorders>
              <w:top w:val="single" w:sz="8" w:color="CCEEFF"/>
            </w:tcBorders>
            <w:shd w:val="clear" w:color="auto" w:fill="CCEEFF"/>
          </w:tcPr>
          <w:p>
            <w:pPr>
              <w:spacing w:after="0"/>
              <w:rPr>
                <w:sz w:val="17"/>
                <w:szCs w:val="17"/>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38,293</w:t>
            </w:r>
          </w:p>
        </w:tc>
        <w:tc>
          <w:tcPr>
            <w:tcW w:w="200" w:type="dxa"/>
            <w:vAlign w:val="bottom"/>
            <w:tcBorders>
              <w:top w:val="single" w:sz="8" w:color="CCEEFF"/>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1,209,731</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Pr>
          <w:p>
            <w:pPr>
              <w:spacing w:after="0"/>
              <w:rPr>
                <w:sz w:val="17"/>
                <w:szCs w:val="17"/>
                <w:color w:val="auto"/>
              </w:rPr>
            </w:pPr>
          </w:p>
        </w:tc>
      </w:tr>
      <w:tr>
        <w:trPr>
          <w:trHeight w:val="208"/>
        </w:trPr>
        <w:tc>
          <w:tcPr>
            <w:tcW w:w="32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Arial" w:cs="Arial" w:eastAsia="Arial" w:hAnsi="Arial"/>
                <w:sz w:val="17"/>
                <w:szCs w:val="17"/>
                <w:color w:val="auto"/>
              </w:rPr>
              <w:t>Increase in net unrealized gains on Available-for-sale investments</w:t>
            </w:r>
          </w:p>
        </w:tc>
        <w:tc>
          <w:tcPr>
            <w:tcW w:w="1520" w:type="dxa"/>
            <w:vAlign w:val="bottom"/>
            <w:gridSpan w:val="2"/>
          </w:tcPr>
          <w:p>
            <w:pPr>
              <w:jc w:val="right"/>
              <w:ind w:right="200"/>
              <w:spacing w:after="0"/>
              <w:rPr>
                <w:sz w:val="20"/>
                <w:szCs w:val="20"/>
                <w:color w:val="auto"/>
              </w:rPr>
            </w:pPr>
            <w:r>
              <w:rPr>
                <w:rFonts w:ascii="Arial" w:cs="Arial" w:eastAsia="Arial" w:hAnsi="Arial"/>
                <w:sz w:val="17"/>
                <w:szCs w:val="17"/>
                <w:color w:val="auto"/>
              </w:rPr>
              <w:t>873,868</w:t>
            </w:r>
          </w:p>
        </w:tc>
        <w:tc>
          <w:tcPr>
            <w:tcW w:w="1480" w:type="dxa"/>
            <w:vAlign w:val="bottom"/>
            <w:gridSpan w:val="2"/>
          </w:tcPr>
          <w:p>
            <w:pPr>
              <w:jc w:val="right"/>
              <w:ind w:right="139"/>
              <w:spacing w:after="0"/>
              <w:rPr>
                <w:sz w:val="20"/>
                <w:szCs w:val="20"/>
                <w:color w:val="auto"/>
              </w:rPr>
            </w:pPr>
            <w:r>
              <w:rPr>
                <w:rFonts w:ascii="Arial" w:cs="Arial" w:eastAsia="Arial" w:hAnsi="Arial"/>
                <w:sz w:val="17"/>
                <w:szCs w:val="17"/>
                <w:color w:val="auto"/>
              </w:rPr>
              <w:t>-</w:t>
            </w:r>
          </w:p>
        </w:tc>
        <w:tc>
          <w:tcPr>
            <w:tcW w:w="1340" w:type="dxa"/>
            <w:vAlign w:val="bottom"/>
          </w:tcPr>
          <w:p>
            <w:pPr>
              <w:jc w:val="right"/>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873,868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195"/>
        </w:trPr>
        <w:tc>
          <w:tcPr>
            <w:tcW w:w="320" w:type="dxa"/>
            <w:vAlign w:val="bottom"/>
          </w:tcPr>
          <w:p>
            <w:pPr>
              <w:spacing w:after="0"/>
              <w:rPr>
                <w:sz w:val="16"/>
                <w:szCs w:val="16"/>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7"/>
                <w:szCs w:val="17"/>
                <w:color w:val="auto"/>
                <w:w w:val="95"/>
              </w:rPr>
              <w:t>Transfer of net realized gains on Available-for-sale investments to profit</w:t>
            </w:r>
          </w:p>
        </w:tc>
        <w:tc>
          <w:tcPr>
            <w:tcW w:w="13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tcPr>
          <w:p>
            <w:pPr>
              <w:spacing w:after="0"/>
              <w:rPr>
                <w:sz w:val="16"/>
                <w:szCs w:val="16"/>
                <w:color w:val="auto"/>
              </w:rPr>
            </w:pPr>
          </w:p>
        </w:tc>
      </w:tr>
      <w:tr>
        <w:trPr>
          <w:trHeight w:val="220"/>
        </w:trPr>
        <w:tc>
          <w:tcPr>
            <w:tcW w:w="320" w:type="dxa"/>
            <w:vAlign w:val="bottom"/>
          </w:tcPr>
          <w:p>
            <w:pPr>
              <w:spacing w:after="0"/>
              <w:rPr>
                <w:sz w:val="19"/>
                <w:szCs w:val="19"/>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7"/>
                <w:szCs w:val="17"/>
                <w:color w:val="auto"/>
              </w:rPr>
              <w:t>or loss, net of realized loss</w:t>
            </w:r>
          </w:p>
        </w:tc>
        <w:tc>
          <w:tcPr>
            <w:tcW w:w="15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(517,006)</w:t>
            </w:r>
          </w:p>
        </w:tc>
        <w:tc>
          <w:tcPr>
            <w:tcW w:w="1480" w:type="dxa"/>
            <w:vAlign w:val="bottom"/>
            <w:gridSpan w:val="2"/>
            <w:shd w:val="clear" w:color="auto" w:fill="CCEEFF"/>
          </w:tcPr>
          <w:p>
            <w:pPr>
              <w:jc w:val="right"/>
              <w:ind w:right="139"/>
              <w:spacing w:after="0"/>
              <w:rPr>
                <w:sz w:val="20"/>
                <w:szCs w:val="20"/>
                <w:color w:val="auto"/>
              </w:rPr>
            </w:pPr>
            <w:r>
              <w:rPr>
                <w:rFonts w:ascii="Arial" w:cs="Arial" w:eastAsia="Arial" w:hAnsi="Arial"/>
                <w:sz w:val="17"/>
                <w:szCs w:val="17"/>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(517,006)</w:t>
            </w:r>
          </w:p>
        </w:tc>
        <w:tc>
          <w:tcPr>
            <w:tcW w:w="160" w:type="dxa"/>
            <w:vAlign w:val="bottom"/>
          </w:tcPr>
          <w:p>
            <w:pPr>
              <w:spacing w:after="0"/>
              <w:rPr>
                <w:sz w:val="19"/>
                <w:szCs w:val="19"/>
                <w:color w:val="auto"/>
              </w:rPr>
            </w:pPr>
          </w:p>
        </w:tc>
      </w:tr>
      <w:tr>
        <w:trPr>
          <w:trHeight w:val="195"/>
        </w:trPr>
        <w:tc>
          <w:tcPr>
            <w:tcW w:w="320" w:type="dxa"/>
            <w:vAlign w:val="bottom"/>
          </w:tcPr>
          <w:p>
            <w:pPr>
              <w:spacing w:after="0"/>
              <w:rPr>
                <w:sz w:val="16"/>
                <w:szCs w:val="16"/>
                <w:color w:val="auto"/>
              </w:rPr>
            </w:pPr>
          </w:p>
        </w:tc>
        <w:tc>
          <w:tcPr>
            <w:tcW w:w="5120" w:type="dxa"/>
            <w:vAlign w:val="bottom"/>
          </w:tcPr>
          <w:p>
            <w:pPr>
              <w:spacing w:after="0"/>
              <w:rPr>
                <w:sz w:val="20"/>
                <w:szCs w:val="20"/>
                <w:color w:val="auto"/>
              </w:rPr>
            </w:pPr>
            <w:r>
              <w:rPr>
                <w:rFonts w:ascii="Arial" w:cs="Arial" w:eastAsia="Arial" w:hAnsi="Arial"/>
                <w:sz w:val="17"/>
                <w:szCs w:val="17"/>
                <w:color w:val="auto"/>
              </w:rPr>
              <w:t>Transfer of the impairment loss on Available-for-sale investments to</w:t>
            </w:r>
          </w:p>
        </w:tc>
        <w:tc>
          <w:tcPr>
            <w:tcW w:w="1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220"/>
        </w:trPr>
        <w:tc>
          <w:tcPr>
            <w:tcW w:w="320" w:type="dxa"/>
            <w:vAlign w:val="bottom"/>
          </w:tcPr>
          <w:p>
            <w:pPr>
              <w:spacing w:after="0"/>
              <w:rPr>
                <w:sz w:val="19"/>
                <w:szCs w:val="19"/>
                <w:color w:val="auto"/>
              </w:rPr>
            </w:pPr>
          </w:p>
        </w:tc>
        <w:tc>
          <w:tcPr>
            <w:tcW w:w="5120" w:type="dxa"/>
            <w:vAlign w:val="bottom"/>
          </w:tcPr>
          <w:p>
            <w:pPr>
              <w:spacing w:after="0"/>
              <w:rPr>
                <w:sz w:val="20"/>
                <w:szCs w:val="20"/>
                <w:color w:val="auto"/>
              </w:rPr>
            </w:pPr>
            <w:r>
              <w:rPr>
                <w:rFonts w:ascii="Arial" w:cs="Arial" w:eastAsia="Arial" w:hAnsi="Arial"/>
                <w:sz w:val="17"/>
                <w:szCs w:val="17"/>
                <w:color w:val="auto"/>
              </w:rPr>
              <w:t>profit or loss Note 6(a)</w:t>
            </w:r>
          </w:p>
        </w:tc>
        <w:tc>
          <w:tcPr>
            <w:tcW w:w="1520" w:type="dxa"/>
            <w:vAlign w:val="bottom"/>
            <w:gridSpan w:val="2"/>
          </w:tcPr>
          <w:p>
            <w:pPr>
              <w:jc w:val="right"/>
              <w:ind w:right="200"/>
              <w:spacing w:after="0"/>
              <w:rPr>
                <w:sz w:val="20"/>
                <w:szCs w:val="20"/>
                <w:color w:val="auto"/>
              </w:rPr>
            </w:pPr>
            <w:r>
              <w:rPr>
                <w:rFonts w:ascii="Arial" w:cs="Arial" w:eastAsia="Arial" w:hAnsi="Arial"/>
                <w:sz w:val="17"/>
                <w:szCs w:val="17"/>
                <w:color w:val="auto"/>
              </w:rPr>
              <w:t>766</w:t>
            </w:r>
          </w:p>
        </w:tc>
        <w:tc>
          <w:tcPr>
            <w:tcW w:w="1480" w:type="dxa"/>
            <w:vAlign w:val="bottom"/>
            <w:gridSpan w:val="2"/>
          </w:tcPr>
          <w:p>
            <w:pPr>
              <w:jc w:val="right"/>
              <w:ind w:right="139"/>
              <w:spacing w:after="0"/>
              <w:rPr>
                <w:sz w:val="20"/>
                <w:szCs w:val="20"/>
                <w:color w:val="auto"/>
              </w:rPr>
            </w:pPr>
            <w:r>
              <w:rPr>
                <w:rFonts w:ascii="Arial" w:cs="Arial" w:eastAsia="Arial" w:hAnsi="Arial"/>
                <w:sz w:val="17"/>
                <w:szCs w:val="17"/>
                <w:color w:val="auto"/>
              </w:rPr>
              <w:t>-</w:t>
            </w:r>
          </w:p>
        </w:tc>
        <w:tc>
          <w:tcPr>
            <w:tcW w:w="1340" w:type="dxa"/>
            <w:vAlign w:val="bottom"/>
          </w:tcPr>
          <w:p>
            <w:pPr>
              <w:jc w:val="right"/>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9"/>
                <w:szCs w:val="19"/>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7"/>
                <w:szCs w:val="17"/>
                <w:color w:val="auto"/>
              </w:rPr>
              <w:t>766</w:t>
            </w:r>
          </w:p>
        </w:tc>
        <w:tc>
          <w:tcPr>
            <w:tcW w:w="160" w:type="dxa"/>
            <w:vAlign w:val="bottom"/>
          </w:tcPr>
          <w:p>
            <w:pPr>
              <w:spacing w:after="0"/>
              <w:rPr>
                <w:sz w:val="19"/>
                <w:szCs w:val="19"/>
                <w:color w:val="auto"/>
              </w:rPr>
            </w:pPr>
          </w:p>
        </w:tc>
      </w:tr>
      <w:tr>
        <w:trPr>
          <w:trHeight w:val="208"/>
        </w:trPr>
        <w:tc>
          <w:tcPr>
            <w:tcW w:w="32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7"/>
                <w:szCs w:val="17"/>
                <w:color w:val="auto"/>
              </w:rPr>
              <w:t>Change in net unrealized gains on cash flow hedges, Note 12(b)(ii)</w:t>
            </w: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79"/>
              <w:spacing w:after="0"/>
              <w:rPr>
                <w:sz w:val="20"/>
                <w:szCs w:val="20"/>
                <w:color w:val="auto"/>
              </w:rPr>
            </w:pPr>
            <w:r>
              <w:rPr>
                <w:rFonts w:ascii="Arial" w:cs="Arial" w:eastAsia="Arial" w:hAnsi="Arial"/>
                <w:sz w:val="17"/>
                <w:szCs w:val="17"/>
                <w:color w:val="auto"/>
              </w:rPr>
              <w:t>(59,709)</w:t>
            </w: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(59,709)</w:t>
            </w:r>
          </w:p>
        </w:tc>
        <w:tc>
          <w:tcPr>
            <w:tcW w:w="160" w:type="dxa"/>
            <w:vAlign w:val="bottom"/>
          </w:tcPr>
          <w:p>
            <w:pPr>
              <w:spacing w:after="0"/>
              <w:rPr>
                <w:sz w:val="18"/>
                <w:szCs w:val="18"/>
                <w:color w:val="auto"/>
              </w:rPr>
            </w:pPr>
          </w:p>
        </w:tc>
      </w:tr>
      <w:tr>
        <w:trPr>
          <w:trHeight w:val="195"/>
        </w:trPr>
        <w:tc>
          <w:tcPr>
            <w:tcW w:w="320" w:type="dxa"/>
            <w:vAlign w:val="bottom"/>
          </w:tcPr>
          <w:p>
            <w:pPr>
              <w:spacing w:after="0"/>
              <w:rPr>
                <w:sz w:val="16"/>
                <w:szCs w:val="16"/>
                <w:color w:val="auto"/>
              </w:rPr>
            </w:pPr>
          </w:p>
        </w:tc>
        <w:tc>
          <w:tcPr>
            <w:tcW w:w="5120" w:type="dxa"/>
            <w:vAlign w:val="bottom"/>
          </w:tcPr>
          <w:p>
            <w:pPr>
              <w:spacing w:after="0"/>
              <w:rPr>
                <w:sz w:val="20"/>
                <w:szCs w:val="20"/>
                <w:color w:val="auto"/>
              </w:rPr>
            </w:pPr>
            <w:r>
              <w:rPr>
                <w:rFonts w:ascii="Arial" w:cs="Arial" w:eastAsia="Arial" w:hAnsi="Arial"/>
                <w:sz w:val="17"/>
                <w:szCs w:val="17"/>
                <w:color w:val="auto"/>
              </w:rPr>
              <w:t>Transfer of net realized losses on cash flow hedges to profit or loss,</w:t>
            </w:r>
          </w:p>
        </w:tc>
        <w:tc>
          <w:tcPr>
            <w:tcW w:w="1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220"/>
        </w:trPr>
        <w:tc>
          <w:tcPr>
            <w:tcW w:w="320" w:type="dxa"/>
            <w:vAlign w:val="bottom"/>
          </w:tcPr>
          <w:p>
            <w:pPr>
              <w:spacing w:after="0"/>
              <w:rPr>
                <w:sz w:val="19"/>
                <w:szCs w:val="19"/>
                <w:color w:val="auto"/>
              </w:rPr>
            </w:pPr>
          </w:p>
        </w:tc>
        <w:tc>
          <w:tcPr>
            <w:tcW w:w="5120" w:type="dxa"/>
            <w:vAlign w:val="bottom"/>
          </w:tcPr>
          <w:p>
            <w:pPr>
              <w:spacing w:after="0"/>
              <w:rPr>
                <w:sz w:val="20"/>
                <w:szCs w:val="20"/>
                <w:color w:val="auto"/>
              </w:rPr>
            </w:pPr>
            <w:r>
              <w:rPr>
                <w:rFonts w:ascii="Arial" w:cs="Arial" w:eastAsia="Arial" w:hAnsi="Arial"/>
                <w:sz w:val="17"/>
                <w:szCs w:val="17"/>
                <w:color w:val="auto"/>
              </w:rPr>
              <w:t>Note 12(b)(ii)</w:t>
            </w:r>
          </w:p>
        </w:tc>
        <w:tc>
          <w:tcPr>
            <w:tcW w:w="1320" w:type="dxa"/>
            <w:vAlign w:val="bottom"/>
          </w:tcPr>
          <w:p>
            <w:pPr>
              <w:jc w:val="right"/>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9"/>
                <w:szCs w:val="19"/>
                <w:color w:val="auto"/>
              </w:rPr>
            </w:pPr>
          </w:p>
        </w:tc>
        <w:tc>
          <w:tcPr>
            <w:tcW w:w="1480" w:type="dxa"/>
            <w:vAlign w:val="bottom"/>
            <w:gridSpan w:val="2"/>
          </w:tcPr>
          <w:p>
            <w:pPr>
              <w:jc w:val="right"/>
              <w:ind w:right="139"/>
              <w:spacing w:after="0"/>
              <w:rPr>
                <w:sz w:val="20"/>
                <w:szCs w:val="20"/>
                <w:color w:val="auto"/>
              </w:rPr>
            </w:pPr>
            <w:r>
              <w:rPr>
                <w:rFonts w:ascii="Arial" w:cs="Arial" w:eastAsia="Arial" w:hAnsi="Arial"/>
                <w:sz w:val="17"/>
                <w:szCs w:val="17"/>
                <w:color w:val="auto"/>
              </w:rPr>
              <w:t>2,278</w:t>
            </w:r>
          </w:p>
        </w:tc>
        <w:tc>
          <w:tcPr>
            <w:tcW w:w="1340" w:type="dxa"/>
            <w:vAlign w:val="bottom"/>
          </w:tcPr>
          <w:p>
            <w:pPr>
              <w:jc w:val="right"/>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2,278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221"/>
        </w:trPr>
        <w:tc>
          <w:tcPr>
            <w:tcW w:w="320" w:type="dxa"/>
            <w:vAlign w:val="bottom"/>
          </w:tcPr>
          <w:p>
            <w:pPr>
              <w:spacing w:after="0"/>
              <w:rPr>
                <w:sz w:val="19"/>
                <w:szCs w:val="19"/>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7"/>
                <w:szCs w:val="17"/>
                <w:color w:val="auto"/>
              </w:rPr>
              <w:t>Foreign exchange translation</w:t>
            </w: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39"/>
              <w:spacing w:after="0"/>
              <w:rPr>
                <w:sz w:val="20"/>
                <w:szCs w:val="20"/>
                <w:color w:val="auto"/>
              </w:rPr>
            </w:pPr>
            <w:r>
              <w:rPr>
                <w:rFonts w:ascii="Arial" w:cs="Arial" w:eastAsia="Arial" w:hAnsi="Arial"/>
                <w:sz w:val="17"/>
                <w:szCs w:val="17"/>
                <w:color w:val="auto"/>
              </w:rPr>
              <w:t>-</w:t>
            </w:r>
          </w:p>
        </w:tc>
        <w:tc>
          <w:tcPr>
            <w:tcW w:w="1540" w:type="dxa"/>
            <w:vAlign w:val="bottom"/>
            <w:gridSpan w:val="2"/>
            <w:shd w:val="clear" w:color="auto" w:fill="CCEEFF"/>
          </w:tcPr>
          <w:p>
            <w:pPr>
              <w:jc w:val="right"/>
              <w:ind w:right="59"/>
              <w:spacing w:after="0"/>
              <w:rPr>
                <w:sz w:val="20"/>
                <w:szCs w:val="20"/>
                <w:color w:val="auto"/>
              </w:rPr>
            </w:pPr>
            <w:r>
              <w:rPr>
                <w:rFonts w:ascii="Arial" w:cs="Arial" w:eastAsia="Arial" w:hAnsi="Arial"/>
                <w:sz w:val="17"/>
                <w:szCs w:val="17"/>
                <w:color w:val="auto"/>
              </w:rPr>
              <w:t>(54,334)</w:t>
            </w:r>
          </w:p>
        </w:tc>
        <w:tc>
          <w:tcPr>
            <w:tcW w:w="12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(54,334)</w:t>
            </w:r>
          </w:p>
        </w:tc>
        <w:tc>
          <w:tcPr>
            <w:tcW w:w="160" w:type="dxa"/>
            <w:vAlign w:val="bottom"/>
          </w:tcPr>
          <w:p>
            <w:pPr>
              <w:spacing w:after="0"/>
              <w:rPr>
                <w:sz w:val="19"/>
                <w:szCs w:val="19"/>
                <w:color w:val="auto"/>
              </w:rPr>
            </w:pPr>
          </w:p>
        </w:tc>
      </w:tr>
      <w:tr>
        <w:trPr>
          <w:trHeight w:val="214"/>
        </w:trPr>
        <w:tc>
          <w:tcPr>
            <w:tcW w:w="32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Arial" w:cs="Arial" w:eastAsia="Arial" w:hAnsi="Arial"/>
                <w:sz w:val="17"/>
                <w:szCs w:val="17"/>
                <w:b w:val="1"/>
                <w:bCs w:val="1"/>
                <w:color w:val="auto"/>
              </w:rPr>
              <w:t>Balance at December 31, 2017</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1,504,416</w:t>
            </w:r>
          </w:p>
        </w:tc>
        <w:tc>
          <w:tcPr>
            <w:tcW w:w="200" w:type="dxa"/>
            <w:vAlign w:val="bottom"/>
          </w:tcPr>
          <w:p>
            <w:pPr>
              <w:spacing w:after="0"/>
              <w:rPr>
                <w:sz w:val="18"/>
                <w:szCs w:val="18"/>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(32,781</w:t>
            </w:r>
          </w:p>
        </w:tc>
        <w:tc>
          <w:tcPr>
            <w:tcW w:w="220" w:type="dxa"/>
            <w:vAlign w:val="bottom"/>
          </w:tcPr>
          <w:p>
            <w:pPr>
              <w:jc w:val="right"/>
              <w:ind w:right="79"/>
              <w:spacing w:after="0"/>
              <w:rPr>
                <w:sz w:val="20"/>
                <w:szCs w:val="20"/>
                <w:color w:val="auto"/>
              </w:rPr>
            </w:pPr>
            <w:r>
              <w:rPr>
                <w:rFonts w:ascii="Arial" w:cs="Arial" w:eastAsia="Arial" w:hAnsi="Arial"/>
                <w:sz w:val="16"/>
                <w:szCs w:val="16"/>
                <w:color w:val="auto"/>
                <w:w w:val="74"/>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(16,041</w:t>
            </w:r>
          </w:p>
        </w:tc>
        <w:tc>
          <w:tcPr>
            <w:tcW w:w="200" w:type="dxa"/>
            <w:vAlign w:val="bottom"/>
          </w:tcPr>
          <w:p>
            <w:pPr>
              <w:jc w:val="right"/>
              <w:ind w:right="59"/>
              <w:spacing w:after="0"/>
              <w:rPr>
                <w:sz w:val="20"/>
                <w:szCs w:val="20"/>
                <w:color w:val="auto"/>
              </w:rPr>
            </w:pPr>
            <w:r>
              <w:rPr>
                <w:rFonts w:ascii="Arial" w:cs="Arial" w:eastAsia="Arial" w:hAnsi="Arial"/>
                <w:sz w:val="16"/>
                <w:szCs w:val="16"/>
                <w:color w:val="auto"/>
                <w:w w:val="74"/>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1,455,594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0"/>
        </w:trPr>
        <w:tc>
          <w:tcPr>
            <w:tcW w:w="32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603"/>
        </w:trPr>
        <w:tc>
          <w:tcPr>
            <w:tcW w:w="320" w:type="dxa"/>
            <w:vAlign w:val="bottom"/>
            <w:tcBorders>
              <w:bottom w:val="single" w:sz="8" w:color="auto"/>
            </w:tcBorders>
          </w:tcPr>
          <w:p>
            <w:pPr>
              <w:spacing w:after="0"/>
              <w:rPr>
                <w:sz w:val="24"/>
                <w:szCs w:val="24"/>
                <w:color w:val="auto"/>
              </w:rPr>
            </w:pPr>
          </w:p>
        </w:tc>
        <w:tc>
          <w:tcPr>
            <w:tcW w:w="512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ind w:right="773"/>
              <w:spacing w:after="0"/>
              <w:rPr>
                <w:sz w:val="20"/>
                <w:szCs w:val="20"/>
                <w:color w:val="auto"/>
              </w:rPr>
            </w:pPr>
            <w:r>
              <w:rPr>
                <w:rFonts w:ascii="Arial" w:cs="Arial" w:eastAsia="Arial" w:hAnsi="Arial"/>
                <w:sz w:val="17"/>
                <w:szCs w:val="17"/>
                <w:color w:val="auto"/>
              </w:rPr>
              <w:t>- 89 -</w:t>
            </w:r>
          </w:p>
        </w:tc>
        <w:tc>
          <w:tcPr>
            <w:tcW w:w="2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881" w:right="239" w:bottom="1440" w:gutter="0" w:footer="0" w:header="0"/>
        </w:sectPr>
      </w:pPr>
    </w:p>
    <w:bookmarkStart w:id="95" w:name="page96"/>
    <w:bookmarkEnd w:id="95"/>
    <w:p>
      <w:pPr>
        <w:ind w:left="316" w:hanging="316"/>
        <w:spacing w:after="0"/>
        <w:tabs>
          <w:tab w:leader="none" w:pos="316" w:val="left"/>
        </w:tabs>
        <w:numPr>
          <w:ilvl w:val="0"/>
          <w:numId w:val="110"/>
        </w:numPr>
        <w:rPr>
          <w:rFonts w:ascii="Arial" w:cs="Arial" w:eastAsia="Arial" w:hAnsi="Arial"/>
          <w:sz w:val="17"/>
          <w:szCs w:val="17"/>
          <w:color w:val="auto"/>
        </w:rPr>
      </w:pPr>
      <w:r>
        <w:rPr>
          <w:rFonts w:ascii="Arial" w:cs="Arial" w:eastAsia="Arial" w:hAnsi="Arial"/>
          <w:sz w:val="17"/>
          <w:szCs w:val="17"/>
          <w:color w:val="auto"/>
        </w:rPr>
        <w:t>Components of other comprehensive income -</w:t>
      </w:r>
    </w:p>
    <w:p>
      <w:pPr>
        <w:spacing w:after="0" w:line="220" w:lineRule="exact"/>
        <w:rPr>
          <w:rFonts w:ascii="Arial" w:cs="Arial" w:eastAsia="Arial" w:hAnsi="Arial"/>
          <w:sz w:val="17"/>
          <w:szCs w:val="17"/>
          <w:color w:val="auto"/>
        </w:rPr>
      </w:pPr>
    </w:p>
    <w:p>
      <w:pPr>
        <w:ind w:left="316" w:right="140"/>
        <w:spacing w:after="0" w:line="285" w:lineRule="auto"/>
        <w:rPr>
          <w:rFonts w:ascii="Arial" w:cs="Arial" w:eastAsia="Arial" w:hAnsi="Arial"/>
          <w:sz w:val="17"/>
          <w:szCs w:val="17"/>
          <w:color w:val="auto"/>
        </w:rPr>
      </w:pPr>
      <w:r>
        <w:rPr>
          <w:rFonts w:ascii="Arial" w:cs="Arial" w:eastAsia="Arial" w:hAnsi="Arial"/>
          <w:sz w:val="17"/>
          <w:szCs w:val="17"/>
          <w:color w:val="auto"/>
        </w:rPr>
        <w:t>The consolidated statement of comprehensive income includes other comprehensive income from available-for-sale investments and from derivative financial instruments used as cash flow hedges; their movements are as follows:</w:t>
      </w:r>
    </w:p>
    <w:p>
      <w:pPr>
        <w:spacing w:after="0" w:line="166" w:lineRule="exact"/>
        <w:rPr>
          <w:sz w:val="20"/>
          <w:szCs w:val="20"/>
          <w:color w:val="auto"/>
        </w:rPr>
      </w:pPr>
    </w:p>
    <w:tbl>
      <w:tblPr>
        <w:tblLayout w:type="fixed"/>
        <w:tblInd w:w="316" w:type="dxa"/>
        <w:tblCellMar>
          <w:top w:w="0" w:type="dxa"/>
          <w:left w:w="0" w:type="dxa"/>
          <w:bottom w:w="0" w:type="dxa"/>
          <w:right w:w="0" w:type="dxa"/>
        </w:tblCellMar>
      </w:tblPr>
      <w:tr>
        <w:trPr>
          <w:trHeight w:val="226"/>
        </w:trPr>
        <w:tc>
          <w:tcPr>
            <w:tcW w:w="6800" w:type="dxa"/>
            <w:vAlign w:val="bottom"/>
          </w:tcPr>
          <w:p>
            <w:pPr>
              <w:spacing w:after="0"/>
              <w:rPr>
                <w:sz w:val="19"/>
                <w:szCs w:val="19"/>
                <w:color w:val="auto"/>
              </w:rPr>
            </w:pPr>
          </w:p>
        </w:tc>
        <w:tc>
          <w:tcPr>
            <w:tcW w:w="1220" w:type="dxa"/>
            <w:vAlign w:val="bottom"/>
            <w:tcBorders>
              <w:bottom w:val="single" w:sz="8" w:color="auto"/>
            </w:tcBorders>
          </w:tcPr>
          <w:p>
            <w:pPr>
              <w:jc w:val="right"/>
              <w:ind w:right="353"/>
              <w:spacing w:after="0"/>
              <w:rPr>
                <w:sz w:val="20"/>
                <w:szCs w:val="20"/>
                <w:color w:val="auto"/>
              </w:rPr>
            </w:pPr>
            <w:r>
              <w:rPr>
                <w:rFonts w:ascii="Arial" w:cs="Arial" w:eastAsia="Arial" w:hAnsi="Arial"/>
                <w:sz w:val="17"/>
                <w:szCs w:val="17"/>
                <w:b w:val="1"/>
                <w:bCs w:val="1"/>
                <w:color w:val="auto"/>
              </w:rPr>
              <w:t>2017</w:t>
            </w:r>
          </w:p>
        </w:tc>
        <w:tc>
          <w:tcPr>
            <w:tcW w:w="220" w:type="dxa"/>
            <w:vAlign w:val="bottom"/>
          </w:tcPr>
          <w:p>
            <w:pPr>
              <w:spacing w:after="0"/>
              <w:rPr>
                <w:sz w:val="19"/>
                <w:szCs w:val="19"/>
                <w:color w:val="auto"/>
              </w:rPr>
            </w:pPr>
          </w:p>
        </w:tc>
        <w:tc>
          <w:tcPr>
            <w:tcW w:w="1200" w:type="dxa"/>
            <w:vAlign w:val="bottom"/>
            <w:tcBorders>
              <w:bottom w:val="single" w:sz="8" w:color="auto"/>
            </w:tcBorders>
          </w:tcPr>
          <w:p>
            <w:pPr>
              <w:jc w:val="right"/>
              <w:ind w:right="333"/>
              <w:spacing w:after="0"/>
              <w:rPr>
                <w:sz w:val="20"/>
                <w:szCs w:val="20"/>
                <w:color w:val="auto"/>
              </w:rPr>
            </w:pPr>
            <w:r>
              <w:rPr>
                <w:rFonts w:ascii="Arial" w:cs="Arial" w:eastAsia="Arial" w:hAnsi="Arial"/>
                <w:sz w:val="17"/>
                <w:szCs w:val="17"/>
                <w:b w:val="1"/>
                <w:bCs w:val="1"/>
                <w:color w:val="auto"/>
              </w:rPr>
              <w:t>2016</w:t>
            </w:r>
          </w:p>
        </w:tc>
        <w:tc>
          <w:tcPr>
            <w:tcW w:w="200" w:type="dxa"/>
            <w:vAlign w:val="bottom"/>
          </w:tcPr>
          <w:p>
            <w:pPr>
              <w:spacing w:after="0"/>
              <w:rPr>
                <w:sz w:val="19"/>
                <w:szCs w:val="19"/>
                <w:color w:val="auto"/>
              </w:rPr>
            </w:pPr>
          </w:p>
        </w:tc>
        <w:tc>
          <w:tcPr>
            <w:tcW w:w="1200" w:type="dxa"/>
            <w:vAlign w:val="bottom"/>
            <w:tcBorders>
              <w:bottom w:val="single" w:sz="8" w:color="auto"/>
            </w:tcBorders>
          </w:tcPr>
          <w:p>
            <w:pPr>
              <w:jc w:val="right"/>
              <w:ind w:right="333"/>
              <w:spacing w:after="0"/>
              <w:rPr>
                <w:sz w:val="20"/>
                <w:szCs w:val="20"/>
                <w:color w:val="auto"/>
              </w:rPr>
            </w:pPr>
            <w:r>
              <w:rPr>
                <w:rFonts w:ascii="Arial" w:cs="Arial" w:eastAsia="Arial" w:hAnsi="Arial"/>
                <w:sz w:val="17"/>
                <w:szCs w:val="17"/>
                <w:b w:val="1"/>
                <w:bCs w:val="1"/>
                <w:color w:val="auto"/>
              </w:rPr>
              <w:t>2015</w:t>
            </w:r>
          </w:p>
        </w:tc>
        <w:tc>
          <w:tcPr>
            <w:tcW w:w="100" w:type="dxa"/>
            <w:vAlign w:val="bottom"/>
          </w:tcPr>
          <w:p>
            <w:pPr>
              <w:spacing w:after="0"/>
              <w:rPr>
                <w:sz w:val="19"/>
                <w:szCs w:val="19"/>
                <w:color w:val="auto"/>
              </w:rPr>
            </w:pPr>
          </w:p>
        </w:tc>
      </w:tr>
      <w:tr>
        <w:trPr>
          <w:trHeight w:val="201"/>
        </w:trPr>
        <w:tc>
          <w:tcPr>
            <w:tcW w:w="6800" w:type="dxa"/>
            <w:vAlign w:val="bottom"/>
          </w:tcPr>
          <w:p>
            <w:pPr>
              <w:spacing w:after="0"/>
              <w:rPr>
                <w:sz w:val="17"/>
                <w:szCs w:val="17"/>
                <w:color w:val="auto"/>
              </w:rPr>
            </w:pPr>
          </w:p>
        </w:tc>
        <w:tc>
          <w:tcPr>
            <w:tcW w:w="1220" w:type="dxa"/>
            <w:vAlign w:val="bottom"/>
          </w:tcPr>
          <w:p>
            <w:pPr>
              <w:jc w:val="center"/>
              <w:spacing w:after="0"/>
              <w:rPr>
                <w:sz w:val="20"/>
                <w:szCs w:val="20"/>
                <w:color w:val="auto"/>
              </w:rPr>
            </w:pPr>
            <w:r>
              <w:rPr>
                <w:rFonts w:ascii="Arial" w:cs="Arial" w:eastAsia="Arial" w:hAnsi="Arial"/>
                <w:sz w:val="17"/>
                <w:szCs w:val="17"/>
                <w:b w:val="1"/>
                <w:bCs w:val="1"/>
                <w:color w:val="auto"/>
                <w:w w:val="93"/>
              </w:rPr>
              <w:t>S/(000)</w:t>
            </w:r>
          </w:p>
        </w:tc>
        <w:tc>
          <w:tcPr>
            <w:tcW w:w="220" w:type="dxa"/>
            <w:vAlign w:val="bottom"/>
          </w:tcPr>
          <w:p>
            <w:pPr>
              <w:spacing w:after="0"/>
              <w:rPr>
                <w:sz w:val="17"/>
                <w:szCs w:val="17"/>
                <w:color w:val="auto"/>
              </w:rPr>
            </w:pPr>
          </w:p>
        </w:tc>
        <w:tc>
          <w:tcPr>
            <w:tcW w:w="1200" w:type="dxa"/>
            <w:vAlign w:val="bottom"/>
          </w:tcPr>
          <w:p>
            <w:pPr>
              <w:jc w:val="center"/>
              <w:spacing w:after="0"/>
              <w:rPr>
                <w:sz w:val="20"/>
                <w:szCs w:val="20"/>
                <w:color w:val="auto"/>
              </w:rPr>
            </w:pPr>
            <w:r>
              <w:rPr>
                <w:rFonts w:ascii="Arial" w:cs="Arial" w:eastAsia="Arial" w:hAnsi="Arial"/>
                <w:sz w:val="17"/>
                <w:szCs w:val="17"/>
                <w:b w:val="1"/>
                <w:bCs w:val="1"/>
                <w:color w:val="auto"/>
                <w:w w:val="93"/>
              </w:rPr>
              <w:t>S/(000)</w:t>
            </w:r>
          </w:p>
        </w:tc>
        <w:tc>
          <w:tcPr>
            <w:tcW w:w="200" w:type="dxa"/>
            <w:vAlign w:val="bottom"/>
          </w:tcPr>
          <w:p>
            <w:pPr>
              <w:spacing w:after="0"/>
              <w:rPr>
                <w:sz w:val="17"/>
                <w:szCs w:val="17"/>
                <w:color w:val="auto"/>
              </w:rPr>
            </w:pPr>
          </w:p>
        </w:tc>
        <w:tc>
          <w:tcPr>
            <w:tcW w:w="1200" w:type="dxa"/>
            <w:vAlign w:val="bottom"/>
          </w:tcPr>
          <w:p>
            <w:pPr>
              <w:jc w:val="center"/>
              <w:spacing w:after="0"/>
              <w:rPr>
                <w:sz w:val="20"/>
                <w:szCs w:val="20"/>
                <w:color w:val="auto"/>
              </w:rPr>
            </w:pPr>
            <w:r>
              <w:rPr>
                <w:rFonts w:ascii="Arial" w:cs="Arial" w:eastAsia="Arial" w:hAnsi="Arial"/>
                <w:sz w:val="17"/>
                <w:szCs w:val="17"/>
                <w:b w:val="1"/>
                <w:bCs w:val="1"/>
                <w:color w:val="auto"/>
                <w:w w:val="93"/>
              </w:rPr>
              <w:t>S/(000)</w:t>
            </w:r>
          </w:p>
        </w:tc>
        <w:tc>
          <w:tcPr>
            <w:tcW w:w="100" w:type="dxa"/>
            <w:vAlign w:val="bottom"/>
          </w:tcPr>
          <w:p>
            <w:pPr>
              <w:spacing w:after="0"/>
              <w:rPr>
                <w:sz w:val="17"/>
                <w:szCs w:val="17"/>
                <w:color w:val="auto"/>
              </w:rPr>
            </w:pPr>
          </w:p>
        </w:tc>
      </w:tr>
      <w:tr>
        <w:trPr>
          <w:trHeight w:val="208"/>
        </w:trPr>
        <w:tc>
          <w:tcPr>
            <w:tcW w:w="680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Available-for-sale investments:</w:t>
            </w: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8"/>
        </w:trPr>
        <w:tc>
          <w:tcPr>
            <w:tcW w:w="6800" w:type="dxa"/>
            <w:vAlign w:val="bottom"/>
          </w:tcPr>
          <w:p>
            <w:pPr>
              <w:spacing w:after="0"/>
              <w:rPr>
                <w:sz w:val="20"/>
                <w:szCs w:val="20"/>
                <w:color w:val="auto"/>
              </w:rPr>
            </w:pPr>
            <w:r>
              <w:rPr>
                <w:rFonts w:ascii="Arial" w:cs="Arial" w:eastAsia="Arial" w:hAnsi="Arial"/>
                <w:sz w:val="17"/>
                <w:szCs w:val="17"/>
                <w:color w:val="auto"/>
              </w:rPr>
              <w:t>Unrealized gains (losses) on available-for-sale investments</w:t>
            </w:r>
          </w:p>
        </w:tc>
        <w:tc>
          <w:tcPr>
            <w:tcW w:w="1440" w:type="dxa"/>
            <w:vAlign w:val="bottom"/>
            <w:gridSpan w:val="2"/>
          </w:tcPr>
          <w:p>
            <w:pPr>
              <w:jc w:val="right"/>
              <w:ind w:right="139"/>
              <w:spacing w:after="0"/>
              <w:rPr>
                <w:sz w:val="20"/>
                <w:szCs w:val="20"/>
                <w:color w:val="auto"/>
              </w:rPr>
            </w:pPr>
            <w:r>
              <w:rPr>
                <w:rFonts w:ascii="Arial" w:cs="Arial" w:eastAsia="Arial" w:hAnsi="Arial"/>
                <w:sz w:val="17"/>
                <w:szCs w:val="17"/>
                <w:color w:val="auto"/>
              </w:rPr>
              <w:t>873,868</w:t>
            </w:r>
          </w:p>
        </w:tc>
        <w:tc>
          <w:tcPr>
            <w:tcW w:w="1400" w:type="dxa"/>
            <w:vAlign w:val="bottom"/>
            <w:gridSpan w:val="2"/>
          </w:tcPr>
          <w:p>
            <w:pPr>
              <w:jc w:val="right"/>
              <w:ind w:right="119"/>
              <w:spacing w:after="0"/>
              <w:rPr>
                <w:sz w:val="20"/>
                <w:szCs w:val="20"/>
                <w:color w:val="auto"/>
              </w:rPr>
            </w:pPr>
            <w:r>
              <w:rPr>
                <w:rFonts w:ascii="Arial" w:cs="Arial" w:eastAsia="Arial" w:hAnsi="Arial"/>
                <w:sz w:val="17"/>
                <w:szCs w:val="17"/>
                <w:color w:val="auto"/>
              </w:rPr>
              <w:t>554,869</w:t>
            </w:r>
          </w:p>
        </w:tc>
        <w:tc>
          <w:tcPr>
            <w:tcW w:w="1300" w:type="dxa"/>
            <w:vAlign w:val="bottom"/>
            <w:gridSpan w:val="2"/>
          </w:tcPr>
          <w:p>
            <w:pPr>
              <w:jc w:val="right"/>
              <w:spacing w:after="0"/>
              <w:rPr>
                <w:sz w:val="20"/>
                <w:szCs w:val="20"/>
                <w:color w:val="auto"/>
              </w:rPr>
            </w:pPr>
            <w:r>
              <w:rPr>
                <w:rFonts w:ascii="Arial" w:cs="Arial" w:eastAsia="Arial" w:hAnsi="Arial"/>
                <w:sz w:val="17"/>
                <w:szCs w:val="17"/>
                <w:color w:val="auto"/>
              </w:rPr>
              <w:t>(323,348)</w:t>
            </w:r>
          </w:p>
        </w:tc>
      </w:tr>
      <w:tr>
        <w:trPr>
          <w:trHeight w:val="195"/>
        </w:trPr>
        <w:tc>
          <w:tcPr>
            <w:tcW w:w="6800" w:type="dxa"/>
            <w:vAlign w:val="bottom"/>
            <w:shd w:val="clear" w:color="auto" w:fill="CCEEFF"/>
          </w:tcPr>
          <w:p>
            <w:pPr>
              <w:spacing w:after="0"/>
              <w:rPr>
                <w:sz w:val="20"/>
                <w:szCs w:val="20"/>
                <w:color w:val="auto"/>
              </w:rPr>
            </w:pPr>
            <w:r>
              <w:rPr>
                <w:rFonts w:ascii="Arial" w:cs="Arial" w:eastAsia="Arial" w:hAnsi="Arial"/>
                <w:sz w:val="17"/>
                <w:szCs w:val="17"/>
                <w:color w:val="auto"/>
              </w:rPr>
              <w:t>Transfer of realized gains on available-for-sale investments to profit or loss, net of realized</w:t>
            </w:r>
          </w:p>
        </w:tc>
        <w:tc>
          <w:tcPr>
            <w:tcW w:w="12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20"/>
        </w:trPr>
        <w:tc>
          <w:tcPr>
            <w:tcW w:w="6800" w:type="dxa"/>
            <w:vAlign w:val="bottom"/>
            <w:shd w:val="clear" w:color="auto" w:fill="CCEEFF"/>
          </w:tcPr>
          <w:p>
            <w:pPr>
              <w:spacing w:after="0"/>
              <w:rPr>
                <w:sz w:val="20"/>
                <w:szCs w:val="20"/>
                <w:color w:val="auto"/>
              </w:rPr>
            </w:pPr>
            <w:r>
              <w:rPr>
                <w:rFonts w:ascii="Arial" w:cs="Arial" w:eastAsia="Arial" w:hAnsi="Arial"/>
                <w:sz w:val="17"/>
                <w:szCs w:val="17"/>
                <w:color w:val="auto"/>
              </w:rPr>
              <w:t>losses</w:t>
            </w:r>
          </w:p>
        </w:tc>
        <w:tc>
          <w:tcPr>
            <w:tcW w:w="1440" w:type="dxa"/>
            <w:vAlign w:val="bottom"/>
            <w:gridSpan w:val="2"/>
            <w:shd w:val="clear" w:color="auto" w:fill="CCEEFF"/>
          </w:tcPr>
          <w:p>
            <w:pPr>
              <w:jc w:val="right"/>
              <w:ind w:right="79"/>
              <w:spacing w:after="0"/>
              <w:rPr>
                <w:sz w:val="20"/>
                <w:szCs w:val="20"/>
                <w:color w:val="auto"/>
              </w:rPr>
            </w:pPr>
            <w:r>
              <w:rPr>
                <w:rFonts w:ascii="Arial" w:cs="Arial" w:eastAsia="Arial" w:hAnsi="Arial"/>
                <w:sz w:val="17"/>
                <w:szCs w:val="17"/>
                <w:color w:val="auto"/>
              </w:rPr>
              <w:t>(517,006)</w:t>
            </w:r>
          </w:p>
        </w:tc>
        <w:tc>
          <w:tcPr>
            <w:tcW w:w="1400" w:type="dxa"/>
            <w:vAlign w:val="bottom"/>
            <w:gridSpan w:val="2"/>
            <w:shd w:val="clear" w:color="auto" w:fill="CCEEFF"/>
          </w:tcPr>
          <w:p>
            <w:pPr>
              <w:jc w:val="right"/>
              <w:ind w:right="59"/>
              <w:spacing w:after="0"/>
              <w:rPr>
                <w:sz w:val="20"/>
                <w:szCs w:val="20"/>
                <w:color w:val="auto"/>
              </w:rPr>
            </w:pPr>
            <w:r>
              <w:rPr>
                <w:rFonts w:ascii="Arial" w:cs="Arial" w:eastAsia="Arial" w:hAnsi="Arial"/>
                <w:sz w:val="17"/>
                <w:szCs w:val="17"/>
                <w:color w:val="auto"/>
              </w:rPr>
              <w:t>(75,444)</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(191,716)</w:t>
            </w:r>
          </w:p>
        </w:tc>
      </w:tr>
      <w:tr>
        <w:trPr>
          <w:trHeight w:val="221"/>
        </w:trPr>
        <w:tc>
          <w:tcPr>
            <w:tcW w:w="6800" w:type="dxa"/>
            <w:vAlign w:val="bottom"/>
          </w:tcPr>
          <w:p>
            <w:pPr>
              <w:spacing w:after="0"/>
              <w:rPr>
                <w:sz w:val="20"/>
                <w:szCs w:val="20"/>
                <w:color w:val="auto"/>
              </w:rPr>
            </w:pPr>
            <w:r>
              <w:rPr>
                <w:rFonts w:ascii="Arial" w:cs="Arial" w:eastAsia="Arial" w:hAnsi="Arial"/>
                <w:sz w:val="17"/>
                <w:szCs w:val="17"/>
                <w:color w:val="auto"/>
              </w:rPr>
              <w:t>Transfer of impairment losses on available-for-sale investments to profit or loss</w:t>
            </w:r>
          </w:p>
        </w:tc>
        <w:tc>
          <w:tcPr>
            <w:tcW w:w="1440" w:type="dxa"/>
            <w:vAlign w:val="bottom"/>
            <w:gridSpan w:val="2"/>
          </w:tcPr>
          <w:p>
            <w:pPr>
              <w:jc w:val="right"/>
              <w:ind w:right="139"/>
              <w:spacing w:after="0"/>
              <w:rPr>
                <w:sz w:val="20"/>
                <w:szCs w:val="20"/>
                <w:color w:val="auto"/>
              </w:rPr>
            </w:pPr>
            <w:r>
              <w:rPr>
                <w:rFonts w:ascii="Arial" w:cs="Arial" w:eastAsia="Arial" w:hAnsi="Arial"/>
                <w:sz w:val="17"/>
                <w:szCs w:val="17"/>
                <w:color w:val="auto"/>
              </w:rPr>
              <w:t>766</w:t>
            </w:r>
          </w:p>
        </w:tc>
        <w:tc>
          <w:tcPr>
            <w:tcW w:w="1400" w:type="dxa"/>
            <w:vAlign w:val="bottom"/>
            <w:gridSpan w:val="2"/>
          </w:tcPr>
          <w:p>
            <w:pPr>
              <w:jc w:val="right"/>
              <w:ind w:right="119"/>
              <w:spacing w:after="0"/>
              <w:rPr>
                <w:sz w:val="20"/>
                <w:szCs w:val="20"/>
                <w:color w:val="auto"/>
              </w:rPr>
            </w:pPr>
            <w:r>
              <w:rPr>
                <w:rFonts w:ascii="Arial" w:cs="Arial" w:eastAsia="Arial" w:hAnsi="Arial"/>
                <w:sz w:val="17"/>
                <w:szCs w:val="17"/>
                <w:color w:val="auto"/>
              </w:rPr>
              <w:t>14,459</w:t>
            </w:r>
          </w:p>
        </w:tc>
        <w:tc>
          <w:tcPr>
            <w:tcW w:w="1300" w:type="dxa"/>
            <w:vAlign w:val="bottom"/>
            <w:gridSpan w:val="2"/>
          </w:tcPr>
          <w:p>
            <w:pPr>
              <w:jc w:val="right"/>
              <w:spacing w:after="0"/>
              <w:rPr>
                <w:sz w:val="20"/>
                <w:szCs w:val="20"/>
                <w:color w:val="auto"/>
              </w:rPr>
            </w:pPr>
            <w:r>
              <w:rPr>
                <w:rFonts w:ascii="Arial" w:cs="Arial" w:eastAsia="Arial" w:hAnsi="Arial"/>
                <w:sz w:val="17"/>
                <w:szCs w:val="17"/>
                <w:color w:val="auto"/>
              </w:rPr>
              <w:t>(55,647)</w:t>
            </w:r>
          </w:p>
        </w:tc>
      </w:tr>
      <w:tr>
        <w:trPr>
          <w:trHeight w:val="201"/>
        </w:trPr>
        <w:tc>
          <w:tcPr>
            <w:tcW w:w="68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b w:val="1"/>
                <w:bCs w:val="1"/>
                <w:color w:val="auto"/>
              </w:rPr>
              <w:t>Sub total</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357,628</w:t>
            </w:r>
          </w:p>
        </w:tc>
        <w:tc>
          <w:tcPr>
            <w:tcW w:w="220" w:type="dxa"/>
            <w:vAlign w:val="bottom"/>
            <w:tcBorders>
              <w:top w:val="single" w:sz="8" w:color="CCEEFF"/>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493,884</w:t>
            </w:r>
          </w:p>
        </w:tc>
        <w:tc>
          <w:tcPr>
            <w:tcW w:w="200" w:type="dxa"/>
            <w:vAlign w:val="bottom"/>
            <w:tcBorders>
              <w:top w:val="single" w:sz="8" w:color="CCEEFF"/>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(570,711)</w:t>
            </w:r>
          </w:p>
        </w:tc>
        <w:tc>
          <w:tcPr>
            <w:tcW w:w="100" w:type="dxa"/>
            <w:vAlign w:val="bottom"/>
            <w:tcBorders>
              <w:top w:val="single" w:sz="8" w:color="CCEEFF"/>
            </w:tcBorders>
            <w:shd w:val="clear" w:color="auto" w:fill="CCEEFF"/>
          </w:tcPr>
          <w:p>
            <w:pPr>
              <w:spacing w:after="0"/>
              <w:rPr>
                <w:sz w:val="17"/>
                <w:szCs w:val="17"/>
                <w:color w:val="auto"/>
              </w:rPr>
            </w:pPr>
          </w:p>
        </w:tc>
      </w:tr>
      <w:tr>
        <w:trPr>
          <w:trHeight w:val="208"/>
        </w:trPr>
        <w:tc>
          <w:tcPr>
            <w:tcW w:w="6800" w:type="dxa"/>
            <w:vAlign w:val="bottom"/>
          </w:tcPr>
          <w:p>
            <w:pPr>
              <w:spacing w:after="0"/>
              <w:rPr>
                <w:sz w:val="20"/>
                <w:szCs w:val="20"/>
                <w:color w:val="auto"/>
              </w:rPr>
            </w:pPr>
            <w:r>
              <w:rPr>
                <w:rFonts w:ascii="Arial" w:cs="Arial" w:eastAsia="Arial" w:hAnsi="Arial"/>
                <w:sz w:val="17"/>
                <w:szCs w:val="17"/>
                <w:color w:val="auto"/>
              </w:rPr>
              <w:t>Non-controlling interest</w:t>
            </w:r>
          </w:p>
        </w:tc>
        <w:tc>
          <w:tcPr>
            <w:tcW w:w="1440" w:type="dxa"/>
            <w:vAlign w:val="bottom"/>
            <w:gridSpan w:val="2"/>
          </w:tcPr>
          <w:p>
            <w:pPr>
              <w:jc w:val="right"/>
              <w:ind w:right="139"/>
              <w:spacing w:after="0"/>
              <w:rPr>
                <w:sz w:val="20"/>
                <w:szCs w:val="20"/>
                <w:color w:val="auto"/>
              </w:rPr>
            </w:pPr>
            <w:r>
              <w:rPr>
                <w:rFonts w:ascii="Arial" w:cs="Arial" w:eastAsia="Arial" w:hAnsi="Arial"/>
                <w:sz w:val="17"/>
                <w:szCs w:val="17"/>
                <w:color w:val="auto"/>
              </w:rPr>
              <w:t>4,120</w:t>
            </w:r>
          </w:p>
        </w:tc>
        <w:tc>
          <w:tcPr>
            <w:tcW w:w="1400" w:type="dxa"/>
            <w:vAlign w:val="bottom"/>
            <w:gridSpan w:val="2"/>
          </w:tcPr>
          <w:p>
            <w:pPr>
              <w:jc w:val="right"/>
              <w:ind w:right="119"/>
              <w:spacing w:after="0"/>
              <w:rPr>
                <w:sz w:val="20"/>
                <w:szCs w:val="20"/>
                <w:color w:val="auto"/>
              </w:rPr>
            </w:pPr>
            <w:r>
              <w:rPr>
                <w:rFonts w:ascii="Arial" w:cs="Arial" w:eastAsia="Arial" w:hAnsi="Arial"/>
                <w:sz w:val="17"/>
                <w:szCs w:val="17"/>
                <w:color w:val="auto"/>
              </w:rPr>
              <w:t>1,799</w:t>
            </w:r>
          </w:p>
        </w:tc>
        <w:tc>
          <w:tcPr>
            <w:tcW w:w="1300" w:type="dxa"/>
            <w:vAlign w:val="bottom"/>
            <w:gridSpan w:val="2"/>
          </w:tcPr>
          <w:p>
            <w:pPr>
              <w:jc w:val="right"/>
              <w:spacing w:after="0"/>
              <w:rPr>
                <w:sz w:val="20"/>
                <w:szCs w:val="20"/>
                <w:color w:val="auto"/>
              </w:rPr>
            </w:pPr>
            <w:r>
              <w:rPr>
                <w:rFonts w:ascii="Arial" w:cs="Arial" w:eastAsia="Arial" w:hAnsi="Arial"/>
                <w:sz w:val="17"/>
                <w:szCs w:val="17"/>
                <w:color w:val="auto"/>
              </w:rPr>
              <w:t>(46,529)</w:t>
            </w:r>
          </w:p>
        </w:tc>
      </w:tr>
      <w:tr>
        <w:trPr>
          <w:trHeight w:val="221"/>
        </w:trPr>
        <w:tc>
          <w:tcPr>
            <w:tcW w:w="6800" w:type="dxa"/>
            <w:vAlign w:val="bottom"/>
            <w:shd w:val="clear" w:color="auto" w:fill="CCEEFF"/>
          </w:tcPr>
          <w:p>
            <w:pPr>
              <w:spacing w:after="0"/>
              <w:rPr>
                <w:sz w:val="20"/>
                <w:szCs w:val="20"/>
                <w:color w:val="auto"/>
              </w:rPr>
            </w:pPr>
            <w:r>
              <w:rPr>
                <w:rFonts w:ascii="Arial" w:cs="Arial" w:eastAsia="Arial" w:hAnsi="Arial"/>
                <w:sz w:val="17"/>
                <w:szCs w:val="17"/>
                <w:color w:val="auto"/>
              </w:rPr>
              <w:t>Income tax</w:t>
            </w:r>
          </w:p>
        </w:tc>
        <w:tc>
          <w:tcPr>
            <w:tcW w:w="1440" w:type="dxa"/>
            <w:vAlign w:val="bottom"/>
            <w:gridSpan w:val="2"/>
            <w:shd w:val="clear" w:color="auto" w:fill="CCEEFF"/>
          </w:tcPr>
          <w:p>
            <w:pPr>
              <w:jc w:val="right"/>
              <w:ind w:right="139"/>
              <w:spacing w:after="0"/>
              <w:rPr>
                <w:sz w:val="20"/>
                <w:szCs w:val="20"/>
                <w:color w:val="auto"/>
              </w:rPr>
            </w:pPr>
            <w:r>
              <w:rPr>
                <w:rFonts w:ascii="Arial" w:cs="Arial" w:eastAsia="Arial" w:hAnsi="Arial"/>
                <w:sz w:val="17"/>
                <w:szCs w:val="17"/>
                <w:color w:val="auto"/>
              </w:rPr>
              <w:t>13,962</w:t>
            </w:r>
          </w:p>
        </w:tc>
        <w:tc>
          <w:tcPr>
            <w:tcW w:w="1400" w:type="dxa"/>
            <w:vAlign w:val="bottom"/>
            <w:gridSpan w:val="2"/>
            <w:shd w:val="clear" w:color="auto" w:fill="CCEEFF"/>
          </w:tcPr>
          <w:p>
            <w:pPr>
              <w:jc w:val="right"/>
              <w:ind w:right="119"/>
              <w:spacing w:after="0"/>
              <w:rPr>
                <w:sz w:val="20"/>
                <w:szCs w:val="20"/>
                <w:color w:val="auto"/>
              </w:rPr>
            </w:pPr>
            <w:r>
              <w:rPr>
                <w:rFonts w:ascii="Arial" w:cs="Arial" w:eastAsia="Arial" w:hAnsi="Arial"/>
                <w:sz w:val="17"/>
                <w:szCs w:val="17"/>
                <w:color w:val="auto"/>
              </w:rPr>
              <w:t>22,975</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(18,503)</w:t>
            </w:r>
          </w:p>
        </w:tc>
      </w:tr>
      <w:tr>
        <w:trPr>
          <w:trHeight w:val="201"/>
        </w:trPr>
        <w:tc>
          <w:tcPr>
            <w:tcW w:w="6800" w:type="dxa"/>
            <w:vAlign w:val="bottom"/>
            <w:tcBorders>
              <w:bottom w:val="single" w:sz="8" w:color="CCEEFF"/>
            </w:tcBorders>
          </w:tcPr>
          <w:p>
            <w:pPr>
              <w:spacing w:after="0"/>
              <w:rPr>
                <w:sz w:val="17"/>
                <w:szCs w:val="17"/>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375,710</w:t>
            </w:r>
          </w:p>
        </w:tc>
        <w:tc>
          <w:tcPr>
            <w:tcW w:w="220" w:type="dxa"/>
            <w:vAlign w:val="bottom"/>
            <w:tcBorders>
              <w:bottom w:val="single" w:sz="8" w:color="CCEEFF"/>
            </w:tcBorders>
          </w:tcPr>
          <w:p>
            <w:pPr>
              <w:spacing w:after="0"/>
              <w:rPr>
                <w:sz w:val="17"/>
                <w:szCs w:val="17"/>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518,658</w:t>
            </w:r>
          </w:p>
        </w:tc>
        <w:tc>
          <w:tcPr>
            <w:tcW w:w="200" w:type="dxa"/>
            <w:vAlign w:val="bottom"/>
            <w:tcBorders>
              <w:bottom w:val="single" w:sz="8" w:color="CCEEFF"/>
            </w:tcBorders>
          </w:tcPr>
          <w:p>
            <w:pPr>
              <w:spacing w:after="0"/>
              <w:rPr>
                <w:sz w:val="17"/>
                <w:szCs w:val="17"/>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(635,743</w:t>
            </w:r>
          </w:p>
        </w:tc>
        <w:tc>
          <w:tcPr>
            <w:tcW w:w="1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r>
      <w:tr>
        <w:trPr>
          <w:trHeight w:val="201"/>
        </w:trPr>
        <w:tc>
          <w:tcPr>
            <w:tcW w:w="68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8"/>
        </w:trPr>
        <w:tc>
          <w:tcPr>
            <w:tcW w:w="6800" w:type="dxa"/>
            <w:vAlign w:val="bottom"/>
          </w:tcPr>
          <w:p>
            <w:pPr>
              <w:spacing w:after="0"/>
              <w:rPr>
                <w:sz w:val="20"/>
                <w:szCs w:val="20"/>
                <w:color w:val="auto"/>
              </w:rPr>
            </w:pPr>
            <w:r>
              <w:rPr>
                <w:rFonts w:ascii="Arial" w:cs="Arial" w:eastAsia="Arial" w:hAnsi="Arial"/>
                <w:sz w:val="17"/>
                <w:szCs w:val="17"/>
                <w:b w:val="1"/>
                <w:bCs w:val="1"/>
                <w:color w:val="auto"/>
              </w:rPr>
              <w:t>Cash flow hedge:</w:t>
            </w: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8"/>
        </w:trPr>
        <w:tc>
          <w:tcPr>
            <w:tcW w:w="6800" w:type="dxa"/>
            <w:vAlign w:val="bottom"/>
            <w:shd w:val="clear" w:color="auto" w:fill="CCEEFF"/>
          </w:tcPr>
          <w:p>
            <w:pPr>
              <w:spacing w:after="0"/>
              <w:rPr>
                <w:sz w:val="20"/>
                <w:szCs w:val="20"/>
                <w:color w:val="auto"/>
              </w:rPr>
            </w:pPr>
            <w:r>
              <w:rPr>
                <w:rFonts w:ascii="Arial" w:cs="Arial" w:eastAsia="Arial" w:hAnsi="Arial"/>
                <w:sz w:val="17"/>
                <w:szCs w:val="17"/>
                <w:color w:val="auto"/>
              </w:rPr>
              <w:t>Net (loss) gains on cash flow hedges</w:t>
            </w:r>
          </w:p>
        </w:tc>
        <w:tc>
          <w:tcPr>
            <w:tcW w:w="1440" w:type="dxa"/>
            <w:vAlign w:val="bottom"/>
            <w:gridSpan w:val="2"/>
            <w:shd w:val="clear" w:color="auto" w:fill="CCEEFF"/>
          </w:tcPr>
          <w:p>
            <w:pPr>
              <w:jc w:val="right"/>
              <w:ind w:right="79"/>
              <w:spacing w:after="0"/>
              <w:rPr>
                <w:sz w:val="20"/>
                <w:szCs w:val="20"/>
                <w:color w:val="auto"/>
              </w:rPr>
            </w:pPr>
            <w:r>
              <w:rPr>
                <w:rFonts w:ascii="Arial" w:cs="Arial" w:eastAsia="Arial" w:hAnsi="Arial"/>
                <w:sz w:val="17"/>
                <w:szCs w:val="17"/>
                <w:color w:val="auto"/>
              </w:rPr>
              <w:t>(59,709)</w:t>
            </w:r>
          </w:p>
        </w:tc>
        <w:tc>
          <w:tcPr>
            <w:tcW w:w="1400" w:type="dxa"/>
            <w:vAlign w:val="bottom"/>
            <w:gridSpan w:val="2"/>
            <w:shd w:val="clear" w:color="auto" w:fill="CCEEFF"/>
          </w:tcPr>
          <w:p>
            <w:pPr>
              <w:jc w:val="right"/>
              <w:ind w:right="59"/>
              <w:spacing w:after="0"/>
              <w:rPr>
                <w:sz w:val="20"/>
                <w:szCs w:val="20"/>
                <w:color w:val="auto"/>
              </w:rPr>
            </w:pPr>
            <w:r>
              <w:rPr>
                <w:rFonts w:ascii="Arial" w:cs="Arial" w:eastAsia="Arial" w:hAnsi="Arial"/>
                <w:sz w:val="17"/>
                <w:szCs w:val="17"/>
                <w:color w:val="auto"/>
              </w:rPr>
              <w:t>(16,724)</w:t>
            </w:r>
          </w:p>
        </w:tc>
        <w:tc>
          <w:tcPr>
            <w:tcW w:w="1300" w:type="dxa"/>
            <w:vAlign w:val="bottom"/>
            <w:gridSpan w:val="2"/>
            <w:shd w:val="clear" w:color="auto" w:fill="CCEEFF"/>
          </w:tcPr>
          <w:p>
            <w:pPr>
              <w:jc w:val="right"/>
              <w:ind w:right="19"/>
              <w:spacing w:after="0"/>
              <w:rPr>
                <w:sz w:val="20"/>
                <w:szCs w:val="20"/>
                <w:color w:val="auto"/>
              </w:rPr>
            </w:pPr>
            <w:r>
              <w:rPr>
                <w:rFonts w:ascii="Arial" w:cs="Arial" w:eastAsia="Arial" w:hAnsi="Arial"/>
                <w:sz w:val="17"/>
                <w:szCs w:val="17"/>
                <w:color w:val="auto"/>
              </w:rPr>
              <w:t>50,273</w:t>
            </w:r>
          </w:p>
        </w:tc>
      </w:tr>
      <w:tr>
        <w:trPr>
          <w:trHeight w:val="221"/>
        </w:trPr>
        <w:tc>
          <w:tcPr>
            <w:tcW w:w="6800" w:type="dxa"/>
            <w:vAlign w:val="bottom"/>
          </w:tcPr>
          <w:p>
            <w:pPr>
              <w:spacing w:after="0"/>
              <w:rPr>
                <w:sz w:val="20"/>
                <w:szCs w:val="20"/>
                <w:color w:val="auto"/>
              </w:rPr>
            </w:pPr>
            <w:r>
              <w:rPr>
                <w:rFonts w:ascii="Arial" w:cs="Arial" w:eastAsia="Arial" w:hAnsi="Arial"/>
                <w:sz w:val="17"/>
                <w:szCs w:val="17"/>
                <w:color w:val="auto"/>
              </w:rPr>
              <w:t>Transfer of net realized losses (gains) on cash flow hedges to profit or loss</w:t>
            </w:r>
          </w:p>
        </w:tc>
        <w:tc>
          <w:tcPr>
            <w:tcW w:w="1440" w:type="dxa"/>
            <w:vAlign w:val="bottom"/>
            <w:gridSpan w:val="2"/>
          </w:tcPr>
          <w:p>
            <w:pPr>
              <w:jc w:val="right"/>
              <w:ind w:right="139"/>
              <w:spacing w:after="0"/>
              <w:rPr>
                <w:sz w:val="20"/>
                <w:szCs w:val="20"/>
                <w:color w:val="auto"/>
              </w:rPr>
            </w:pPr>
            <w:r>
              <w:rPr>
                <w:rFonts w:ascii="Arial" w:cs="Arial" w:eastAsia="Arial" w:hAnsi="Arial"/>
                <w:sz w:val="17"/>
                <w:szCs w:val="17"/>
                <w:color w:val="auto"/>
              </w:rPr>
              <w:t>2,278</w:t>
            </w:r>
          </w:p>
        </w:tc>
        <w:tc>
          <w:tcPr>
            <w:tcW w:w="1400" w:type="dxa"/>
            <w:vAlign w:val="bottom"/>
            <w:gridSpan w:val="2"/>
          </w:tcPr>
          <w:p>
            <w:pPr>
              <w:jc w:val="right"/>
              <w:ind w:right="59"/>
              <w:spacing w:after="0"/>
              <w:rPr>
                <w:sz w:val="20"/>
                <w:szCs w:val="20"/>
                <w:color w:val="auto"/>
              </w:rPr>
            </w:pPr>
            <w:r>
              <w:rPr>
                <w:rFonts w:ascii="Arial" w:cs="Arial" w:eastAsia="Arial" w:hAnsi="Arial"/>
                <w:sz w:val="17"/>
                <w:szCs w:val="17"/>
                <w:color w:val="auto"/>
              </w:rPr>
              <w:t>(3,676)</w:t>
            </w:r>
          </w:p>
        </w:tc>
        <w:tc>
          <w:tcPr>
            <w:tcW w:w="1300" w:type="dxa"/>
            <w:vAlign w:val="bottom"/>
            <w:gridSpan w:val="2"/>
          </w:tcPr>
          <w:p>
            <w:pPr>
              <w:jc w:val="right"/>
              <w:spacing w:after="0"/>
              <w:rPr>
                <w:sz w:val="20"/>
                <w:szCs w:val="20"/>
                <w:color w:val="auto"/>
              </w:rPr>
            </w:pPr>
            <w:r>
              <w:rPr>
                <w:rFonts w:ascii="Arial" w:cs="Arial" w:eastAsia="Arial" w:hAnsi="Arial"/>
                <w:sz w:val="17"/>
                <w:szCs w:val="17"/>
                <w:color w:val="auto"/>
              </w:rPr>
              <w:t>(11,160)</w:t>
            </w:r>
          </w:p>
        </w:tc>
      </w:tr>
      <w:tr>
        <w:trPr>
          <w:trHeight w:val="201"/>
        </w:trPr>
        <w:tc>
          <w:tcPr>
            <w:tcW w:w="68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b w:val="1"/>
                <w:bCs w:val="1"/>
                <w:color w:val="auto"/>
              </w:rPr>
              <w:t>Sub total</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(57,431)</w:t>
            </w:r>
          </w:p>
        </w:tc>
        <w:tc>
          <w:tcPr>
            <w:tcW w:w="220" w:type="dxa"/>
            <w:vAlign w:val="bottom"/>
            <w:tcBorders>
              <w:top w:val="single" w:sz="8" w:color="CCEEFF"/>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(20,400)</w:t>
            </w:r>
          </w:p>
        </w:tc>
        <w:tc>
          <w:tcPr>
            <w:tcW w:w="200" w:type="dxa"/>
            <w:vAlign w:val="bottom"/>
            <w:tcBorders>
              <w:top w:val="single" w:sz="8" w:color="CCEEFF"/>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39,113</w:t>
            </w:r>
          </w:p>
        </w:tc>
        <w:tc>
          <w:tcPr>
            <w:tcW w:w="100" w:type="dxa"/>
            <w:vAlign w:val="bottom"/>
            <w:tcBorders>
              <w:top w:val="single" w:sz="8" w:color="CCEEFF"/>
            </w:tcBorders>
            <w:shd w:val="clear" w:color="auto" w:fill="CCEEFF"/>
          </w:tcPr>
          <w:p>
            <w:pPr>
              <w:spacing w:after="0"/>
              <w:rPr>
                <w:sz w:val="17"/>
                <w:szCs w:val="17"/>
                <w:color w:val="auto"/>
              </w:rPr>
            </w:pPr>
          </w:p>
        </w:tc>
      </w:tr>
      <w:tr>
        <w:trPr>
          <w:trHeight w:val="208"/>
        </w:trPr>
        <w:tc>
          <w:tcPr>
            <w:tcW w:w="6800" w:type="dxa"/>
            <w:vAlign w:val="bottom"/>
          </w:tcPr>
          <w:p>
            <w:pPr>
              <w:spacing w:after="0"/>
              <w:rPr>
                <w:sz w:val="20"/>
                <w:szCs w:val="20"/>
                <w:color w:val="auto"/>
              </w:rPr>
            </w:pPr>
            <w:r>
              <w:rPr>
                <w:rFonts w:ascii="Arial" w:cs="Arial" w:eastAsia="Arial" w:hAnsi="Arial"/>
                <w:sz w:val="17"/>
                <w:szCs w:val="17"/>
                <w:color w:val="auto"/>
              </w:rPr>
              <w:t>Non-controlling interest</w:t>
            </w:r>
          </w:p>
        </w:tc>
        <w:tc>
          <w:tcPr>
            <w:tcW w:w="1440" w:type="dxa"/>
            <w:vAlign w:val="bottom"/>
            <w:gridSpan w:val="2"/>
          </w:tcPr>
          <w:p>
            <w:pPr>
              <w:jc w:val="right"/>
              <w:ind w:right="79"/>
              <w:spacing w:after="0"/>
              <w:rPr>
                <w:sz w:val="20"/>
                <w:szCs w:val="20"/>
                <w:color w:val="auto"/>
              </w:rPr>
            </w:pPr>
            <w:r>
              <w:rPr>
                <w:rFonts w:ascii="Arial" w:cs="Arial" w:eastAsia="Arial" w:hAnsi="Arial"/>
                <w:sz w:val="17"/>
                <w:szCs w:val="17"/>
                <w:color w:val="auto"/>
              </w:rPr>
              <w:t>(1,219)</w:t>
            </w:r>
          </w:p>
        </w:tc>
        <w:tc>
          <w:tcPr>
            <w:tcW w:w="1400" w:type="dxa"/>
            <w:vAlign w:val="bottom"/>
            <w:gridSpan w:val="2"/>
          </w:tcPr>
          <w:p>
            <w:pPr>
              <w:jc w:val="right"/>
              <w:ind w:right="119"/>
              <w:spacing w:after="0"/>
              <w:rPr>
                <w:sz w:val="20"/>
                <w:szCs w:val="20"/>
                <w:color w:val="auto"/>
              </w:rPr>
            </w:pPr>
            <w:r>
              <w:rPr>
                <w:rFonts w:ascii="Arial" w:cs="Arial" w:eastAsia="Arial" w:hAnsi="Arial"/>
                <w:sz w:val="17"/>
                <w:szCs w:val="17"/>
                <w:color w:val="auto"/>
              </w:rPr>
              <w:t>585</w:t>
            </w:r>
          </w:p>
        </w:tc>
        <w:tc>
          <w:tcPr>
            <w:tcW w:w="120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r>
      <w:tr>
        <w:trPr>
          <w:trHeight w:val="221"/>
        </w:trPr>
        <w:tc>
          <w:tcPr>
            <w:tcW w:w="6800" w:type="dxa"/>
            <w:vAlign w:val="bottom"/>
            <w:shd w:val="clear" w:color="auto" w:fill="CCEEFF"/>
          </w:tcPr>
          <w:p>
            <w:pPr>
              <w:spacing w:after="0"/>
              <w:rPr>
                <w:sz w:val="20"/>
                <w:szCs w:val="20"/>
                <w:color w:val="auto"/>
              </w:rPr>
            </w:pPr>
            <w:r>
              <w:rPr>
                <w:rFonts w:ascii="Arial" w:cs="Arial" w:eastAsia="Arial" w:hAnsi="Arial"/>
                <w:sz w:val="17"/>
                <w:szCs w:val="17"/>
                <w:color w:val="auto"/>
              </w:rPr>
              <w:t>Income tax</w:t>
            </w:r>
          </w:p>
        </w:tc>
        <w:tc>
          <w:tcPr>
            <w:tcW w:w="1440" w:type="dxa"/>
            <w:vAlign w:val="bottom"/>
            <w:gridSpan w:val="2"/>
            <w:shd w:val="clear" w:color="auto" w:fill="CCEEFF"/>
          </w:tcPr>
          <w:p>
            <w:pPr>
              <w:jc w:val="right"/>
              <w:ind w:right="79"/>
              <w:spacing w:after="0"/>
              <w:rPr>
                <w:sz w:val="20"/>
                <w:szCs w:val="20"/>
                <w:color w:val="auto"/>
              </w:rPr>
            </w:pPr>
            <w:r>
              <w:rPr>
                <w:rFonts w:ascii="Arial" w:cs="Arial" w:eastAsia="Arial" w:hAnsi="Arial"/>
                <w:sz w:val="17"/>
                <w:szCs w:val="17"/>
                <w:color w:val="auto"/>
              </w:rPr>
              <w:t>(18,719)</w:t>
            </w:r>
          </w:p>
        </w:tc>
        <w:tc>
          <w:tcPr>
            <w:tcW w:w="1400" w:type="dxa"/>
            <w:vAlign w:val="bottom"/>
            <w:gridSpan w:val="2"/>
            <w:shd w:val="clear" w:color="auto" w:fill="CCEEFF"/>
          </w:tcPr>
          <w:p>
            <w:pPr>
              <w:jc w:val="right"/>
              <w:ind w:right="59"/>
              <w:spacing w:after="0"/>
              <w:rPr>
                <w:sz w:val="20"/>
                <w:szCs w:val="20"/>
                <w:color w:val="auto"/>
              </w:rPr>
            </w:pPr>
            <w:r>
              <w:rPr>
                <w:rFonts w:ascii="Arial" w:cs="Arial" w:eastAsia="Arial" w:hAnsi="Arial"/>
                <w:sz w:val="17"/>
                <w:szCs w:val="17"/>
                <w:color w:val="auto"/>
              </w:rPr>
              <w:t>(2,294)</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1,956</w:t>
            </w:r>
          </w:p>
        </w:tc>
        <w:tc>
          <w:tcPr>
            <w:tcW w:w="100" w:type="dxa"/>
            <w:vAlign w:val="bottom"/>
            <w:shd w:val="clear" w:color="auto" w:fill="CCEEFF"/>
          </w:tcPr>
          <w:p>
            <w:pPr>
              <w:spacing w:after="0"/>
              <w:rPr>
                <w:sz w:val="19"/>
                <w:szCs w:val="19"/>
                <w:color w:val="auto"/>
              </w:rPr>
            </w:pPr>
          </w:p>
        </w:tc>
      </w:tr>
      <w:tr>
        <w:trPr>
          <w:trHeight w:val="241"/>
        </w:trPr>
        <w:tc>
          <w:tcPr>
            <w:tcW w:w="6800" w:type="dxa"/>
            <w:vAlign w:val="bottom"/>
            <w:tcBorders>
              <w:bottom w:val="single" w:sz="8" w:color="CCEEFF"/>
            </w:tcBorders>
          </w:tcPr>
          <w:p>
            <w:pPr>
              <w:spacing w:after="0"/>
              <w:rPr>
                <w:sz w:val="20"/>
                <w:szCs w:val="20"/>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(77,369</w:t>
            </w:r>
          </w:p>
        </w:tc>
        <w:tc>
          <w:tcPr>
            <w:tcW w:w="220" w:type="dxa"/>
            <w:vAlign w:val="bottom"/>
            <w:tcBorders>
              <w:bottom w:val="single" w:sz="8" w:color="CCEEFF"/>
            </w:tcBorders>
          </w:tcPr>
          <w:p>
            <w:pPr>
              <w:jc w:val="right"/>
              <w:ind w:right="79"/>
              <w:spacing w:after="0"/>
              <w:rPr>
                <w:sz w:val="20"/>
                <w:szCs w:val="20"/>
                <w:color w:val="auto"/>
              </w:rPr>
            </w:pPr>
            <w:r>
              <w:rPr>
                <w:rFonts w:ascii="Arial" w:cs="Arial" w:eastAsia="Arial" w:hAnsi="Arial"/>
                <w:sz w:val="16"/>
                <w:szCs w:val="16"/>
                <w:color w:val="auto"/>
                <w:w w:val="74"/>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(22,109</w:t>
            </w:r>
          </w:p>
        </w:tc>
        <w:tc>
          <w:tcPr>
            <w:tcW w:w="200" w:type="dxa"/>
            <w:vAlign w:val="bottom"/>
            <w:tcBorders>
              <w:bottom w:val="single" w:sz="8" w:color="CCEEFF"/>
            </w:tcBorders>
          </w:tcPr>
          <w:p>
            <w:pPr>
              <w:jc w:val="right"/>
              <w:ind w:right="59"/>
              <w:spacing w:after="0"/>
              <w:rPr>
                <w:sz w:val="20"/>
                <w:szCs w:val="20"/>
                <w:color w:val="auto"/>
              </w:rPr>
            </w:pPr>
            <w:r>
              <w:rPr>
                <w:rFonts w:ascii="Arial" w:cs="Arial" w:eastAsia="Arial" w:hAnsi="Arial"/>
                <w:sz w:val="16"/>
                <w:szCs w:val="16"/>
                <w:color w:val="auto"/>
                <w:w w:val="74"/>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41,069</w:t>
            </w:r>
          </w:p>
        </w:tc>
        <w:tc>
          <w:tcPr>
            <w:tcW w:w="100" w:type="dxa"/>
            <w:vAlign w:val="bottom"/>
            <w:tcBorders>
              <w:bottom w:val="single" w:sz="8" w:color="CCEEFF"/>
            </w:tcBorders>
          </w:tcPr>
          <w:p>
            <w:pPr>
              <w:spacing w:after="0"/>
              <w:rPr>
                <w:sz w:val="20"/>
                <w:szCs w:val="20"/>
                <w:color w:val="auto"/>
              </w:rPr>
            </w:pPr>
          </w:p>
        </w:tc>
      </w:tr>
      <w:tr>
        <w:trPr>
          <w:trHeight w:val="187"/>
        </w:trPr>
        <w:tc>
          <w:tcPr>
            <w:tcW w:w="680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08"/>
        </w:trPr>
        <w:tc>
          <w:tcPr>
            <w:tcW w:w="6800" w:type="dxa"/>
            <w:vAlign w:val="bottom"/>
          </w:tcPr>
          <w:p>
            <w:pPr>
              <w:spacing w:after="0"/>
              <w:rPr>
                <w:sz w:val="20"/>
                <w:szCs w:val="20"/>
                <w:color w:val="auto"/>
              </w:rPr>
            </w:pPr>
            <w:r>
              <w:rPr>
                <w:rFonts w:ascii="Arial" w:cs="Arial" w:eastAsia="Arial" w:hAnsi="Arial"/>
                <w:sz w:val="17"/>
                <w:szCs w:val="17"/>
                <w:b w:val="1"/>
                <w:bCs w:val="1"/>
                <w:color w:val="auto"/>
              </w:rPr>
              <w:t>Foreign exchange translation:</w:t>
            </w: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8"/>
        </w:trPr>
        <w:tc>
          <w:tcPr>
            <w:tcW w:w="6800" w:type="dxa"/>
            <w:vAlign w:val="bottom"/>
            <w:shd w:val="clear" w:color="auto" w:fill="CCEEFF"/>
          </w:tcPr>
          <w:p>
            <w:pPr>
              <w:spacing w:after="0"/>
              <w:rPr>
                <w:sz w:val="20"/>
                <w:szCs w:val="20"/>
                <w:color w:val="auto"/>
              </w:rPr>
            </w:pPr>
            <w:r>
              <w:rPr>
                <w:rFonts w:ascii="Arial" w:cs="Arial" w:eastAsia="Arial" w:hAnsi="Arial"/>
                <w:sz w:val="17"/>
                <w:szCs w:val="17"/>
                <w:color w:val="auto"/>
              </w:rPr>
              <w:t>Exchange gains or losses</w:t>
            </w:r>
          </w:p>
        </w:tc>
        <w:tc>
          <w:tcPr>
            <w:tcW w:w="1440" w:type="dxa"/>
            <w:vAlign w:val="bottom"/>
            <w:gridSpan w:val="2"/>
            <w:shd w:val="clear" w:color="auto" w:fill="CCEEFF"/>
          </w:tcPr>
          <w:p>
            <w:pPr>
              <w:jc w:val="right"/>
              <w:ind w:right="79"/>
              <w:spacing w:after="0"/>
              <w:rPr>
                <w:sz w:val="20"/>
                <w:szCs w:val="20"/>
                <w:color w:val="auto"/>
              </w:rPr>
            </w:pPr>
            <w:r>
              <w:rPr>
                <w:rFonts w:ascii="Arial" w:cs="Arial" w:eastAsia="Arial" w:hAnsi="Arial"/>
                <w:sz w:val="17"/>
                <w:szCs w:val="17"/>
                <w:color w:val="auto"/>
              </w:rPr>
              <w:t>(54,334)</w:t>
            </w:r>
          </w:p>
        </w:tc>
        <w:tc>
          <w:tcPr>
            <w:tcW w:w="1400" w:type="dxa"/>
            <w:vAlign w:val="bottom"/>
            <w:gridSpan w:val="2"/>
            <w:shd w:val="clear" w:color="auto" w:fill="CCEEFF"/>
          </w:tcPr>
          <w:p>
            <w:pPr>
              <w:jc w:val="right"/>
              <w:ind w:right="59"/>
              <w:spacing w:after="0"/>
              <w:rPr>
                <w:sz w:val="20"/>
                <w:szCs w:val="20"/>
                <w:color w:val="auto"/>
              </w:rPr>
            </w:pPr>
            <w:r>
              <w:rPr>
                <w:rFonts w:ascii="Arial" w:cs="Arial" w:eastAsia="Arial" w:hAnsi="Arial"/>
                <w:sz w:val="17"/>
                <w:szCs w:val="17"/>
                <w:color w:val="auto"/>
              </w:rPr>
              <w:t>(26,448)</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270,907</w:t>
            </w:r>
          </w:p>
        </w:tc>
        <w:tc>
          <w:tcPr>
            <w:tcW w:w="100" w:type="dxa"/>
            <w:vAlign w:val="bottom"/>
            <w:shd w:val="clear" w:color="auto" w:fill="CCEEFF"/>
          </w:tcPr>
          <w:p>
            <w:pPr>
              <w:spacing w:after="0"/>
              <w:rPr>
                <w:sz w:val="18"/>
                <w:szCs w:val="18"/>
                <w:color w:val="auto"/>
              </w:rPr>
            </w:pPr>
          </w:p>
        </w:tc>
      </w:tr>
      <w:tr>
        <w:trPr>
          <w:trHeight w:val="221"/>
        </w:trPr>
        <w:tc>
          <w:tcPr>
            <w:tcW w:w="6800" w:type="dxa"/>
            <w:vAlign w:val="bottom"/>
          </w:tcPr>
          <w:p>
            <w:pPr>
              <w:spacing w:after="0"/>
              <w:rPr>
                <w:sz w:val="20"/>
                <w:szCs w:val="20"/>
                <w:color w:val="auto"/>
              </w:rPr>
            </w:pPr>
            <w:r>
              <w:rPr>
                <w:rFonts w:ascii="Arial" w:cs="Arial" w:eastAsia="Arial" w:hAnsi="Arial"/>
                <w:sz w:val="17"/>
                <w:szCs w:val="17"/>
                <w:color w:val="auto"/>
              </w:rPr>
              <w:t>Non-controlling interest</w:t>
            </w:r>
          </w:p>
        </w:tc>
        <w:tc>
          <w:tcPr>
            <w:tcW w:w="1440" w:type="dxa"/>
            <w:vAlign w:val="bottom"/>
            <w:gridSpan w:val="2"/>
          </w:tcPr>
          <w:p>
            <w:pPr>
              <w:jc w:val="right"/>
              <w:ind w:right="139"/>
              <w:spacing w:after="0"/>
              <w:rPr>
                <w:sz w:val="20"/>
                <w:szCs w:val="20"/>
                <w:color w:val="auto"/>
              </w:rPr>
            </w:pPr>
            <w:r>
              <w:rPr>
                <w:rFonts w:ascii="Arial" w:cs="Arial" w:eastAsia="Arial" w:hAnsi="Arial"/>
                <w:sz w:val="17"/>
                <w:szCs w:val="17"/>
                <w:color w:val="auto"/>
              </w:rPr>
              <w:t>107</w:t>
            </w:r>
          </w:p>
        </w:tc>
        <w:tc>
          <w:tcPr>
            <w:tcW w:w="1400" w:type="dxa"/>
            <w:vAlign w:val="bottom"/>
            <w:gridSpan w:val="2"/>
          </w:tcPr>
          <w:p>
            <w:pPr>
              <w:jc w:val="right"/>
              <w:ind w:right="59"/>
              <w:spacing w:after="0"/>
              <w:rPr>
                <w:sz w:val="20"/>
                <w:szCs w:val="20"/>
                <w:color w:val="auto"/>
              </w:rPr>
            </w:pPr>
            <w:r>
              <w:rPr>
                <w:rFonts w:ascii="Arial" w:cs="Arial" w:eastAsia="Arial" w:hAnsi="Arial"/>
                <w:sz w:val="17"/>
                <w:szCs w:val="17"/>
                <w:color w:val="auto"/>
              </w:rPr>
              <w:t>(123)</w:t>
            </w:r>
          </w:p>
        </w:tc>
        <w:tc>
          <w:tcPr>
            <w:tcW w:w="120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r>
      <w:tr>
        <w:trPr>
          <w:trHeight w:val="201"/>
        </w:trPr>
        <w:tc>
          <w:tcPr>
            <w:tcW w:w="6800" w:type="dxa"/>
            <w:vAlign w:val="bottom"/>
            <w:tcBorders>
              <w:top w:val="single" w:sz="8" w:color="CCEEFF"/>
              <w:bottom w:val="single" w:sz="8" w:color="CCEEFF"/>
            </w:tcBorders>
            <w:shd w:val="clear" w:color="auto" w:fill="CCEEFF"/>
          </w:tcPr>
          <w:p>
            <w:pPr>
              <w:spacing w:after="0"/>
              <w:rPr>
                <w:sz w:val="17"/>
                <w:szCs w:val="17"/>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(54,227)</w:t>
            </w: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(26,571)</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270,907</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r>
      <w:tr>
        <w:trPr>
          <w:trHeight w:val="20"/>
        </w:trPr>
        <w:tc>
          <w:tcPr>
            <w:tcW w:w="68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5" w:lineRule="exact"/>
        <w:rPr>
          <w:sz w:val="20"/>
          <w:szCs w:val="20"/>
          <w:color w:val="auto"/>
        </w:rPr>
      </w:pPr>
    </w:p>
    <w:p>
      <w:pPr>
        <w:ind w:left="316" w:hanging="316"/>
        <w:spacing w:after="0"/>
        <w:tabs>
          <w:tab w:leader="none" w:pos="316" w:val="left"/>
        </w:tabs>
        <w:numPr>
          <w:ilvl w:val="0"/>
          <w:numId w:val="111"/>
        </w:numPr>
        <w:rPr>
          <w:rFonts w:ascii="Arial" w:cs="Arial" w:eastAsia="Arial" w:hAnsi="Arial"/>
          <w:sz w:val="17"/>
          <w:szCs w:val="17"/>
          <w:color w:val="auto"/>
        </w:rPr>
      </w:pPr>
      <w:r>
        <w:rPr>
          <w:rFonts w:ascii="Arial" w:cs="Arial" w:eastAsia="Arial" w:hAnsi="Arial"/>
          <w:sz w:val="17"/>
          <w:szCs w:val="17"/>
          <w:color w:val="auto"/>
        </w:rPr>
        <w:t>Dividend distribution -</w:t>
      </w:r>
    </w:p>
    <w:p>
      <w:pPr>
        <w:spacing w:after="0" w:line="220" w:lineRule="exact"/>
        <w:rPr>
          <w:rFonts w:ascii="Arial" w:cs="Arial" w:eastAsia="Arial" w:hAnsi="Arial"/>
          <w:sz w:val="17"/>
          <w:szCs w:val="17"/>
          <w:color w:val="auto"/>
        </w:rPr>
      </w:pPr>
    </w:p>
    <w:p>
      <w:pPr>
        <w:ind w:left="316"/>
        <w:spacing w:after="0"/>
        <w:rPr>
          <w:rFonts w:ascii="Arial" w:cs="Arial" w:eastAsia="Arial" w:hAnsi="Arial"/>
          <w:sz w:val="17"/>
          <w:szCs w:val="17"/>
          <w:color w:val="auto"/>
        </w:rPr>
      </w:pPr>
      <w:r>
        <w:rPr>
          <w:rFonts w:ascii="Arial" w:cs="Arial" w:eastAsia="Arial" w:hAnsi="Arial"/>
          <w:sz w:val="16"/>
          <w:szCs w:val="16"/>
          <w:color w:val="auto"/>
        </w:rPr>
        <w:t>At December 31, 2017, 2016 and 2015, Credicorp paid cash dividends, net of the effect of treasury shares, for approximately US$298.1, US$184.7 and</w:t>
      </w:r>
    </w:p>
    <w:p>
      <w:pPr>
        <w:spacing w:after="0" w:line="36" w:lineRule="exact"/>
        <w:rPr>
          <w:rFonts w:ascii="Arial" w:cs="Arial" w:eastAsia="Arial" w:hAnsi="Arial"/>
          <w:sz w:val="17"/>
          <w:szCs w:val="17"/>
          <w:color w:val="auto"/>
        </w:rPr>
      </w:pPr>
    </w:p>
    <w:p>
      <w:pPr>
        <w:ind w:left="316"/>
        <w:spacing w:after="0" w:line="270" w:lineRule="auto"/>
        <w:rPr>
          <w:rFonts w:ascii="Arial" w:cs="Arial" w:eastAsia="Arial" w:hAnsi="Arial"/>
          <w:sz w:val="17"/>
          <w:szCs w:val="17"/>
          <w:color w:val="auto"/>
        </w:rPr>
      </w:pPr>
      <w:r>
        <w:rPr>
          <w:rFonts w:ascii="Arial" w:cs="Arial" w:eastAsia="Arial" w:hAnsi="Arial"/>
          <w:sz w:val="17"/>
          <w:szCs w:val="17"/>
          <w:color w:val="auto"/>
        </w:rPr>
        <w:t>US$174.4 million, respectively (equivalent to approximately S/980.0, S/653.3 and S/540.0 million, respectively). In this sense, at December 31, 2017, 2016 and 2015, cash dividend payouts per share totaled US$3.7, US$2.3 and US$1.8, respectively.</w:t>
      </w:r>
    </w:p>
    <w:p>
      <w:pPr>
        <w:spacing w:after="0" w:line="171" w:lineRule="exact"/>
        <w:rPr>
          <w:rFonts w:ascii="Arial" w:cs="Arial" w:eastAsia="Arial" w:hAnsi="Arial"/>
          <w:sz w:val="17"/>
          <w:szCs w:val="17"/>
          <w:color w:val="auto"/>
        </w:rPr>
      </w:pPr>
    </w:p>
    <w:p>
      <w:pPr>
        <w:ind w:left="316" w:right="420"/>
        <w:spacing w:after="0" w:line="318" w:lineRule="auto"/>
        <w:rPr>
          <w:rFonts w:ascii="Arial" w:cs="Arial" w:eastAsia="Arial" w:hAnsi="Arial"/>
          <w:sz w:val="17"/>
          <w:szCs w:val="17"/>
          <w:color w:val="auto"/>
        </w:rPr>
      </w:pPr>
      <w:r>
        <w:rPr>
          <w:rFonts w:ascii="Arial" w:cs="Arial" w:eastAsia="Arial" w:hAnsi="Arial"/>
          <w:sz w:val="16"/>
          <w:szCs w:val="16"/>
          <w:color w:val="auto"/>
        </w:rPr>
        <w:t>Furthermore, at the meeting of the Board of Directors held on October 25, 2017, agreed to make an interim dividend payment, net of the effect of treasury stock, for approximately US$386.5 million (equivalent to S/1,252.3 million) from the reserves. Said dividends were paid in November 2017.</w:t>
      </w:r>
    </w:p>
    <w:p>
      <w:pPr>
        <w:spacing w:after="0" w:line="343" w:lineRule="exact"/>
        <w:rPr>
          <w:rFonts w:ascii="Arial" w:cs="Arial" w:eastAsia="Arial" w:hAnsi="Arial"/>
          <w:sz w:val="17"/>
          <w:szCs w:val="17"/>
          <w:color w:val="auto"/>
        </w:rPr>
      </w:pPr>
    </w:p>
    <w:p>
      <w:pPr>
        <w:ind w:left="5636" w:hanging="107"/>
        <w:spacing w:after="0"/>
        <w:tabs>
          <w:tab w:leader="none" w:pos="5636" w:val="left"/>
        </w:tabs>
        <w:numPr>
          <w:ilvl w:val="1"/>
          <w:numId w:val="111"/>
        </w:numPr>
        <w:rPr>
          <w:rFonts w:ascii="Arial" w:cs="Arial" w:eastAsia="Arial" w:hAnsi="Arial"/>
          <w:sz w:val="17"/>
          <w:szCs w:val="17"/>
          <w:color w:val="auto"/>
        </w:rPr>
      </w:pPr>
      <w:r>
        <w:rPr>
          <w:rFonts w:ascii="Arial" w:cs="Arial" w:eastAsia="Arial" w:hAnsi="Arial"/>
          <w:sz w:val="17"/>
          <w:szCs w:val="17"/>
          <w:color w:val="auto"/>
        </w:rPr>
        <w:t>90 -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15875</wp:posOffset>
            </wp:positionV>
            <wp:extent cx="725170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51700" cy="8255"/>
                    </a:xfrm>
                    <a:prstGeom prst="rect">
                      <a:avLst/>
                    </a:prstGeom>
                    <a:noFill/>
                  </pic:spPr>
                </pic:pic>
              </a:graphicData>
            </a:graphic>
          </wp:anchor>
        </w:drawing>
      </w:r>
    </w:p>
    <w:p>
      <w:pPr>
        <w:sectPr>
          <w:pgSz w:w="11900" w:h="16838" w:orient="portrait"/>
          <w:cols w:equalWidth="0" w:num="1">
            <w:col w:w="11396"/>
          </w:cols>
          <w:pgMar w:left="244" w:top="881" w:right="259" w:bottom="1440" w:gutter="0" w:footer="0" w:header="0"/>
        </w:sectPr>
      </w:pPr>
    </w:p>
    <w:bookmarkStart w:id="96" w:name="page97"/>
    <w:bookmarkEnd w:id="96"/>
    <w:p>
      <w:pPr>
        <w:ind w:left="320" w:right="100"/>
        <w:spacing w:after="0" w:line="270" w:lineRule="auto"/>
        <w:rPr>
          <w:sz w:val="20"/>
          <w:szCs w:val="20"/>
          <w:color w:val="auto"/>
        </w:rPr>
      </w:pPr>
      <w:r>
        <w:rPr>
          <w:rFonts w:ascii="Arial" w:cs="Arial" w:eastAsia="Arial" w:hAnsi="Arial"/>
          <w:sz w:val="17"/>
          <w:szCs w:val="17"/>
          <w:color w:val="auto"/>
        </w:rPr>
        <w:t>In accordance with current Peruvian legislation, there is no restriction for overseas remittance of dividends or the repatriation of foreign investment. At December 31, 2017 dividends paid by the Peruvian subsidiaries to Credicorp are subject to a 5.0 percent withholding tax and at December 31, 2016 and 2015, the withholding rate was 6.8 percent.</w:t>
      </w:r>
    </w:p>
    <w:p>
      <w:pPr>
        <w:spacing w:after="0" w:line="172" w:lineRule="exact"/>
        <w:rPr>
          <w:sz w:val="20"/>
          <w:szCs w:val="20"/>
          <w:color w:val="auto"/>
        </w:rPr>
      </w:pPr>
    </w:p>
    <w:p>
      <w:pPr>
        <w:ind w:left="320" w:hanging="316"/>
        <w:spacing w:after="0"/>
        <w:tabs>
          <w:tab w:leader="none" w:pos="320" w:val="left"/>
        </w:tabs>
        <w:numPr>
          <w:ilvl w:val="0"/>
          <w:numId w:val="112"/>
        </w:numPr>
        <w:rPr>
          <w:rFonts w:ascii="Arial" w:cs="Arial" w:eastAsia="Arial" w:hAnsi="Arial"/>
          <w:sz w:val="17"/>
          <w:szCs w:val="17"/>
          <w:color w:val="auto"/>
        </w:rPr>
      </w:pPr>
      <w:r>
        <w:rPr>
          <w:rFonts w:ascii="Arial" w:cs="Arial" w:eastAsia="Arial" w:hAnsi="Arial"/>
          <w:sz w:val="17"/>
          <w:szCs w:val="17"/>
          <w:color w:val="auto"/>
        </w:rPr>
        <w:t>Regulatory capital -</w:t>
      </w:r>
    </w:p>
    <w:p>
      <w:pPr>
        <w:spacing w:after="0" w:line="220" w:lineRule="exact"/>
        <w:rPr>
          <w:sz w:val="20"/>
          <w:szCs w:val="20"/>
          <w:color w:val="auto"/>
        </w:rPr>
      </w:pPr>
    </w:p>
    <w:p>
      <w:pPr>
        <w:ind w:left="320" w:right="160"/>
        <w:spacing w:after="0" w:line="265" w:lineRule="auto"/>
        <w:rPr>
          <w:sz w:val="20"/>
          <w:szCs w:val="20"/>
          <w:color w:val="auto"/>
        </w:rPr>
      </w:pPr>
      <w:r>
        <w:rPr>
          <w:rFonts w:ascii="Arial" w:cs="Arial" w:eastAsia="Arial" w:hAnsi="Arial"/>
          <w:sz w:val="17"/>
          <w:szCs w:val="17"/>
          <w:color w:val="auto"/>
        </w:rPr>
        <w:t>At December 31, 2017 and 2016, the regulatory capital requirement (“patrimonio efectivo” in Peru) applicable to Credicorp subsidiaries engaged in financial services and insurance activities in Peru, determined under the provisions of the Peruvian banking and insurance regulator, SBS, totals approximately S/21,723.0 million and S/21,174.7 million, respectively. At those dates, the Group’s regulatory requirement exceeds by approximately S/3,710.3 million and S/3,915.7 million, respectively, the minimum regulatory capital required by the SBS.</w:t>
      </w:r>
    </w:p>
    <w:p>
      <w:pPr>
        <w:spacing w:after="0" w:line="170" w:lineRule="exact"/>
        <w:rPr>
          <w:sz w:val="20"/>
          <w:szCs w:val="20"/>
          <w:color w:val="auto"/>
        </w:rPr>
      </w:pPr>
    </w:p>
    <w:p>
      <w:pPr>
        <w:spacing w:after="0"/>
        <w:tabs>
          <w:tab w:leader="none" w:pos="300" w:val="left"/>
        </w:tabs>
        <w:rPr>
          <w:sz w:val="20"/>
          <w:szCs w:val="20"/>
          <w:color w:val="auto"/>
        </w:rPr>
      </w:pPr>
      <w:r>
        <w:rPr>
          <w:rFonts w:ascii="Arial" w:cs="Arial" w:eastAsia="Arial" w:hAnsi="Arial"/>
          <w:sz w:val="17"/>
          <w:szCs w:val="17"/>
          <w:b w:val="1"/>
          <w:bCs w:val="1"/>
          <w:color w:val="auto"/>
        </w:rPr>
        <w:t>18</w:t>
        <w:tab/>
        <w:t>TAX SITUATION</w:t>
      </w:r>
    </w:p>
    <w:p>
      <w:pPr>
        <w:spacing w:after="0" w:line="226" w:lineRule="exact"/>
        <w:rPr>
          <w:sz w:val="20"/>
          <w:szCs w:val="20"/>
          <w:color w:val="auto"/>
        </w:rPr>
      </w:pPr>
    </w:p>
    <w:p>
      <w:pPr>
        <w:ind w:left="320" w:right="580" w:hanging="316"/>
        <w:spacing w:after="0" w:line="285" w:lineRule="auto"/>
        <w:tabs>
          <w:tab w:leader="none" w:pos="320" w:val="left"/>
        </w:tabs>
        <w:numPr>
          <w:ilvl w:val="0"/>
          <w:numId w:val="113"/>
        </w:numPr>
        <w:rPr>
          <w:rFonts w:ascii="Arial" w:cs="Arial" w:eastAsia="Arial" w:hAnsi="Arial"/>
          <w:sz w:val="17"/>
          <w:szCs w:val="17"/>
          <w:color w:val="auto"/>
        </w:rPr>
      </w:pPr>
      <w:r>
        <w:rPr>
          <w:rFonts w:ascii="Arial" w:cs="Arial" w:eastAsia="Arial" w:hAnsi="Arial"/>
          <w:sz w:val="17"/>
          <w:szCs w:val="17"/>
          <w:color w:val="auto"/>
        </w:rPr>
        <w:t>Credicorp is not subject to income tax or any taxes on capital gains, equity or property in Bermuda. Credicorp’s Peruvian subsidiaries are subject to the Peruvian tax regime.</w:t>
      </w:r>
    </w:p>
    <w:p>
      <w:pPr>
        <w:spacing w:after="0" w:line="159" w:lineRule="exact"/>
        <w:rPr>
          <w:rFonts w:ascii="Arial" w:cs="Arial" w:eastAsia="Arial" w:hAnsi="Arial"/>
          <w:sz w:val="17"/>
          <w:szCs w:val="17"/>
          <w:color w:val="auto"/>
        </w:rPr>
      </w:pPr>
    </w:p>
    <w:p>
      <w:pPr>
        <w:ind w:left="320"/>
        <w:spacing w:after="0" w:line="285" w:lineRule="auto"/>
        <w:rPr>
          <w:rFonts w:ascii="Arial" w:cs="Arial" w:eastAsia="Arial" w:hAnsi="Arial"/>
          <w:sz w:val="17"/>
          <w:szCs w:val="17"/>
          <w:color w:val="auto"/>
        </w:rPr>
      </w:pPr>
      <w:r>
        <w:rPr>
          <w:rFonts w:ascii="Arial" w:cs="Arial" w:eastAsia="Arial" w:hAnsi="Arial"/>
          <w:sz w:val="17"/>
          <w:szCs w:val="17"/>
          <w:color w:val="auto"/>
        </w:rPr>
        <w:t>At December 31, 2017, Peruvian statutory Income Tax rate was 29.5 percent on taxable profit after calculating the workers’ profit sharing, which is determined using a 5 percent rate. At December 31, 2016, Peruvian statutory Income Tax rate was 28.0 percent.</w:t>
      </w:r>
    </w:p>
    <w:p>
      <w:pPr>
        <w:spacing w:after="0" w:line="159" w:lineRule="exact"/>
        <w:rPr>
          <w:rFonts w:ascii="Arial" w:cs="Arial" w:eastAsia="Arial" w:hAnsi="Arial"/>
          <w:sz w:val="17"/>
          <w:szCs w:val="17"/>
          <w:color w:val="auto"/>
        </w:rPr>
      </w:pPr>
    </w:p>
    <w:p>
      <w:pPr>
        <w:ind w:left="320" w:right="360"/>
        <w:spacing w:after="0" w:line="285" w:lineRule="auto"/>
        <w:rPr>
          <w:rFonts w:ascii="Arial" w:cs="Arial" w:eastAsia="Arial" w:hAnsi="Arial"/>
          <w:sz w:val="17"/>
          <w:szCs w:val="17"/>
          <w:color w:val="auto"/>
        </w:rPr>
      </w:pPr>
      <w:r>
        <w:rPr>
          <w:rFonts w:ascii="Arial" w:cs="Arial" w:eastAsia="Arial" w:hAnsi="Arial"/>
          <w:sz w:val="17"/>
          <w:szCs w:val="17"/>
          <w:color w:val="auto"/>
        </w:rPr>
        <w:t>The Bolivian statutory Income Tax rate is 25 percent. Financial entities have an additional rate if the ROE exceeds 6 percent. In that case, an additional 22 percent must be considered, with which the rate becomes 47 percent.</w:t>
      </w:r>
    </w:p>
    <w:p>
      <w:pPr>
        <w:spacing w:after="0" w:line="159" w:lineRule="exact"/>
        <w:rPr>
          <w:rFonts w:ascii="Arial" w:cs="Arial" w:eastAsia="Arial" w:hAnsi="Arial"/>
          <w:sz w:val="17"/>
          <w:szCs w:val="17"/>
          <w:color w:val="auto"/>
        </w:rPr>
      </w:pPr>
    </w:p>
    <w:p>
      <w:pPr>
        <w:ind w:left="320" w:right="40"/>
        <w:spacing w:after="0" w:line="265" w:lineRule="auto"/>
        <w:rPr>
          <w:rFonts w:ascii="Arial" w:cs="Arial" w:eastAsia="Arial" w:hAnsi="Arial"/>
          <w:sz w:val="17"/>
          <w:szCs w:val="17"/>
          <w:color w:val="auto"/>
        </w:rPr>
      </w:pPr>
      <w:r>
        <w:rPr>
          <w:rFonts w:ascii="Arial" w:cs="Arial" w:eastAsia="Arial" w:hAnsi="Arial"/>
          <w:sz w:val="17"/>
          <w:szCs w:val="17"/>
          <w:color w:val="auto"/>
        </w:rPr>
        <w:t>In the case of Chile, the first category income tax rate for domiciled legal entities who have opted for the attributed regime, is 25.0 percent for the year 2017 onwards, and for those under the partially integrated system, it is 25.5 percent for the year 2017 and 27.0 percent for the year 2018 onward. On the other hand, individuals or legal entities non-domiciled in Chile will be subject to an additional tax of 35.0 percent. Credicorp Capital Holding Chile, together with all of its subsidiaries opted for the partially integrated regime.</w:t>
      </w:r>
    </w:p>
    <w:p>
      <w:pPr>
        <w:spacing w:after="0" w:line="176" w:lineRule="exact"/>
        <w:rPr>
          <w:rFonts w:ascii="Arial" w:cs="Arial" w:eastAsia="Arial" w:hAnsi="Arial"/>
          <w:sz w:val="17"/>
          <w:szCs w:val="17"/>
          <w:color w:val="auto"/>
        </w:rPr>
      </w:pPr>
    </w:p>
    <w:p>
      <w:pPr>
        <w:ind w:left="320" w:right="120"/>
        <w:spacing w:after="0" w:line="318" w:lineRule="auto"/>
        <w:rPr>
          <w:rFonts w:ascii="Arial" w:cs="Arial" w:eastAsia="Arial" w:hAnsi="Arial"/>
          <w:sz w:val="17"/>
          <w:szCs w:val="17"/>
          <w:color w:val="auto"/>
        </w:rPr>
      </w:pPr>
      <w:r>
        <w:rPr>
          <w:rFonts w:ascii="Arial" w:cs="Arial" w:eastAsia="Arial" w:hAnsi="Arial"/>
          <w:sz w:val="16"/>
          <w:szCs w:val="16"/>
          <w:color w:val="auto"/>
        </w:rPr>
        <w:t>In the case of Colombia, the income tax rate for the year 2017 was 34.0 percent plus a surcharge of 6.0 percent and at December 31, 2016 it was 25.0 percent. In the year 2018, the rate will be 33.0 percent plus a surcharge of 4.0 percent, and as from the year 2019, the rate will be only 33.0 percent.</w:t>
      </w:r>
    </w:p>
    <w:p>
      <w:pPr>
        <w:spacing w:after="0" w:line="136" w:lineRule="exact"/>
        <w:rPr>
          <w:rFonts w:ascii="Arial" w:cs="Arial" w:eastAsia="Arial" w:hAnsi="Arial"/>
          <w:sz w:val="17"/>
          <w:szCs w:val="17"/>
          <w:color w:val="auto"/>
        </w:rPr>
      </w:pPr>
    </w:p>
    <w:p>
      <w:pPr>
        <w:ind w:left="320" w:right="100"/>
        <w:spacing w:after="0" w:line="285" w:lineRule="auto"/>
        <w:rPr>
          <w:rFonts w:ascii="Arial" w:cs="Arial" w:eastAsia="Arial" w:hAnsi="Arial"/>
          <w:sz w:val="17"/>
          <w:szCs w:val="17"/>
          <w:color w:val="auto"/>
        </w:rPr>
      </w:pPr>
      <w:r>
        <w:rPr>
          <w:rFonts w:ascii="Arial" w:cs="Arial" w:eastAsia="Arial" w:hAnsi="Arial"/>
          <w:sz w:val="17"/>
          <w:szCs w:val="17"/>
          <w:color w:val="auto"/>
        </w:rPr>
        <w:t>Atlantic Security Holding Corporation and its Subsidiaries are not subject to taxes in the Cayman Islands or Panama. For the years ended December 31, 2017, 2016 and 2015, no taxable income was generated from the operations in the United States of America.</w:t>
      </w:r>
    </w:p>
    <w:p>
      <w:pPr>
        <w:spacing w:after="0" w:line="367" w:lineRule="exact"/>
        <w:rPr>
          <w:rFonts w:ascii="Arial" w:cs="Arial" w:eastAsia="Arial" w:hAnsi="Arial"/>
          <w:sz w:val="17"/>
          <w:szCs w:val="17"/>
          <w:color w:val="auto"/>
        </w:rPr>
      </w:pPr>
    </w:p>
    <w:p>
      <w:pPr>
        <w:ind w:left="5640" w:hanging="107"/>
        <w:spacing w:after="0"/>
        <w:tabs>
          <w:tab w:leader="none" w:pos="5640" w:val="left"/>
        </w:tabs>
        <w:numPr>
          <w:ilvl w:val="1"/>
          <w:numId w:val="113"/>
        </w:numPr>
        <w:rPr>
          <w:rFonts w:ascii="Arial" w:cs="Arial" w:eastAsia="Arial" w:hAnsi="Arial"/>
          <w:sz w:val="17"/>
          <w:szCs w:val="17"/>
          <w:color w:val="auto"/>
        </w:rPr>
      </w:pPr>
      <w:r>
        <w:rPr>
          <w:rFonts w:ascii="Arial" w:cs="Arial" w:eastAsia="Arial" w:hAnsi="Arial"/>
          <w:sz w:val="17"/>
          <w:szCs w:val="17"/>
          <w:color w:val="auto"/>
        </w:rPr>
        <w:t>91 -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15875</wp:posOffset>
            </wp:positionV>
            <wp:extent cx="725170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51700" cy="8255"/>
                    </a:xfrm>
                    <a:prstGeom prst="rect">
                      <a:avLst/>
                    </a:prstGeom>
                    <a:noFill/>
                  </pic:spPr>
                </pic:pic>
              </a:graphicData>
            </a:graphic>
          </wp:anchor>
        </w:drawing>
      </w:r>
    </w:p>
    <w:p>
      <w:pPr>
        <w:sectPr>
          <w:pgSz w:w="11900" w:h="16838" w:orient="portrait"/>
          <w:cols w:equalWidth="0" w:num="1">
            <w:col w:w="11360"/>
          </w:cols>
          <w:pgMar w:left="240" w:top="881" w:right="299" w:bottom="1440" w:gutter="0" w:footer="0" w:header="0"/>
        </w:sectPr>
      </w:pPr>
    </w:p>
    <w:bookmarkStart w:id="97" w:name="page98"/>
    <w:bookmarkEnd w:id="97"/>
    <w:p>
      <w:pPr>
        <w:ind w:left="320"/>
        <w:spacing w:after="0"/>
        <w:rPr>
          <w:sz w:val="20"/>
          <w:szCs w:val="20"/>
          <w:color w:val="auto"/>
        </w:rPr>
      </w:pPr>
      <w:r>
        <w:rPr>
          <w:rFonts w:ascii="Arial" w:cs="Arial" w:eastAsia="Arial" w:hAnsi="Arial"/>
          <w:sz w:val="17"/>
          <w:szCs w:val="17"/>
          <w:color w:val="auto"/>
        </w:rPr>
        <w:t>The reconciliation between the statutory income tax rate and the effective tax rate for the Group is as follows: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320" w:type="dxa"/>
            <w:vAlign w:val="bottom"/>
          </w:tcPr>
          <w:p>
            <w:pPr>
              <w:spacing w:after="0"/>
              <w:rPr>
                <w:sz w:val="19"/>
                <w:szCs w:val="19"/>
                <w:color w:val="auto"/>
              </w:rPr>
            </w:pPr>
          </w:p>
        </w:tc>
        <w:tc>
          <w:tcPr>
            <w:tcW w:w="6800" w:type="dxa"/>
            <w:vAlign w:val="bottom"/>
          </w:tcPr>
          <w:p>
            <w:pPr>
              <w:spacing w:after="0"/>
              <w:rPr>
                <w:sz w:val="19"/>
                <w:szCs w:val="19"/>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89"/>
              </w:rPr>
              <w:t>2017</w:t>
            </w:r>
          </w:p>
        </w:tc>
        <w:tc>
          <w:tcPr>
            <w:tcW w:w="220" w:type="dxa"/>
            <w:vAlign w:val="bottom"/>
          </w:tcPr>
          <w:p>
            <w:pPr>
              <w:spacing w:after="0"/>
              <w:rPr>
                <w:sz w:val="19"/>
                <w:szCs w:val="19"/>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89"/>
              </w:rPr>
              <w:t>2016</w:t>
            </w:r>
          </w:p>
        </w:tc>
        <w:tc>
          <w:tcPr>
            <w:tcW w:w="200" w:type="dxa"/>
            <w:vAlign w:val="bottom"/>
          </w:tcPr>
          <w:p>
            <w:pPr>
              <w:spacing w:after="0"/>
              <w:rPr>
                <w:sz w:val="19"/>
                <w:szCs w:val="19"/>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89"/>
              </w:rPr>
              <w:t>2015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20" w:type="dxa"/>
            <w:vAlign w:val="bottom"/>
          </w:tcPr>
          <w:p>
            <w:pPr>
              <w:spacing w:after="0"/>
              <w:rPr>
                <w:sz w:val="19"/>
                <w:szCs w:val="19"/>
                <w:color w:val="auto"/>
              </w:rPr>
            </w:pPr>
          </w:p>
        </w:tc>
        <w:tc>
          <w:tcPr>
            <w:tcW w:w="6800" w:type="dxa"/>
            <w:vAlign w:val="bottom"/>
          </w:tcPr>
          <w:p>
            <w:pPr>
              <w:spacing w:after="0"/>
              <w:rPr>
                <w:sz w:val="19"/>
                <w:szCs w:val="19"/>
                <w:color w:val="auto"/>
              </w:rPr>
            </w:pPr>
          </w:p>
        </w:tc>
        <w:tc>
          <w:tcPr>
            <w:tcW w:w="1220" w:type="dxa"/>
            <w:vAlign w:val="bottom"/>
          </w:tcPr>
          <w:p>
            <w:pPr>
              <w:jc w:val="center"/>
              <w:spacing w:after="0"/>
              <w:rPr>
                <w:sz w:val="20"/>
                <w:szCs w:val="20"/>
                <w:color w:val="auto"/>
              </w:rPr>
            </w:pPr>
            <w:r>
              <w:rPr>
                <w:rFonts w:ascii="Arial" w:cs="Arial" w:eastAsia="Arial" w:hAnsi="Arial"/>
                <w:sz w:val="17"/>
                <w:szCs w:val="17"/>
                <w:b w:val="1"/>
                <w:bCs w:val="1"/>
                <w:color w:val="auto"/>
              </w:rPr>
              <w:t>%</w:t>
            </w:r>
          </w:p>
        </w:tc>
        <w:tc>
          <w:tcPr>
            <w:tcW w:w="220" w:type="dxa"/>
            <w:vAlign w:val="bottom"/>
          </w:tcPr>
          <w:p>
            <w:pPr>
              <w:spacing w:after="0"/>
              <w:rPr>
                <w:sz w:val="19"/>
                <w:szCs w:val="19"/>
                <w:color w:val="auto"/>
              </w:rPr>
            </w:pPr>
          </w:p>
        </w:tc>
        <w:tc>
          <w:tcPr>
            <w:tcW w:w="1200" w:type="dxa"/>
            <w:vAlign w:val="bottom"/>
          </w:tcPr>
          <w:p>
            <w:pPr>
              <w:jc w:val="center"/>
              <w:spacing w:after="0"/>
              <w:rPr>
                <w:sz w:val="20"/>
                <w:szCs w:val="20"/>
                <w:color w:val="auto"/>
              </w:rPr>
            </w:pPr>
            <w:r>
              <w:rPr>
                <w:rFonts w:ascii="Arial" w:cs="Arial" w:eastAsia="Arial" w:hAnsi="Arial"/>
                <w:sz w:val="17"/>
                <w:szCs w:val="17"/>
                <w:b w:val="1"/>
                <w:bCs w:val="1"/>
                <w:color w:val="auto"/>
              </w:rPr>
              <w:t>%</w:t>
            </w:r>
          </w:p>
        </w:tc>
        <w:tc>
          <w:tcPr>
            <w:tcW w:w="200" w:type="dxa"/>
            <w:vAlign w:val="bottom"/>
          </w:tcPr>
          <w:p>
            <w:pPr>
              <w:spacing w:after="0"/>
              <w:rPr>
                <w:sz w:val="19"/>
                <w:szCs w:val="19"/>
                <w:color w:val="auto"/>
              </w:rPr>
            </w:pPr>
          </w:p>
        </w:tc>
        <w:tc>
          <w:tcPr>
            <w:tcW w:w="1200" w:type="dxa"/>
            <w:vAlign w:val="bottom"/>
          </w:tcPr>
          <w:p>
            <w:pPr>
              <w:jc w:val="center"/>
              <w:spacing w:after="0"/>
              <w:rPr>
                <w:sz w:val="20"/>
                <w:szCs w:val="20"/>
                <w:color w:val="auto"/>
              </w:rPr>
            </w:pPr>
            <w:r>
              <w:rPr>
                <w:rFonts w:ascii="Arial" w:cs="Arial" w:eastAsia="Arial" w:hAnsi="Arial"/>
                <w:sz w:val="17"/>
                <w:szCs w:val="17"/>
                <w:b w:val="1"/>
                <w:bCs w:val="1"/>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320" w:type="dxa"/>
            <w:vAlign w:val="bottom"/>
          </w:tcPr>
          <w:p>
            <w:pPr>
              <w:spacing w:after="0"/>
              <w:rPr>
                <w:sz w:val="16"/>
                <w:szCs w:val="16"/>
                <w:color w:val="auto"/>
              </w:rPr>
            </w:pPr>
          </w:p>
        </w:tc>
        <w:tc>
          <w:tcPr>
            <w:tcW w:w="68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320" w:type="dxa"/>
            <w:vAlign w:val="bottom"/>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7"/>
                <w:szCs w:val="17"/>
                <w:color w:val="auto"/>
              </w:rPr>
              <w:t>Peruvian statutory income tax rate</w:t>
            </w:r>
          </w:p>
        </w:tc>
        <w:tc>
          <w:tcPr>
            <w:tcW w:w="1440" w:type="dxa"/>
            <w:vAlign w:val="bottom"/>
            <w:gridSpan w:val="2"/>
            <w:shd w:val="clear" w:color="auto" w:fill="CCEEFF"/>
          </w:tcPr>
          <w:p>
            <w:pPr>
              <w:jc w:val="right"/>
              <w:ind w:right="139"/>
              <w:spacing w:after="0"/>
              <w:rPr>
                <w:sz w:val="20"/>
                <w:szCs w:val="20"/>
                <w:color w:val="auto"/>
              </w:rPr>
            </w:pPr>
            <w:r>
              <w:rPr>
                <w:rFonts w:ascii="Arial" w:cs="Arial" w:eastAsia="Arial" w:hAnsi="Arial"/>
                <w:sz w:val="17"/>
                <w:szCs w:val="17"/>
                <w:color w:val="auto"/>
              </w:rPr>
              <w:t>29.50</w:t>
            </w: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28.00</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20" w:type="dxa"/>
            <w:vAlign w:val="bottom"/>
          </w:tcPr>
          <w:p>
            <w:pPr>
              <w:spacing w:after="0"/>
              <w:rPr>
                <w:sz w:val="18"/>
                <w:szCs w:val="18"/>
                <w:color w:val="auto"/>
              </w:rPr>
            </w:pPr>
          </w:p>
        </w:tc>
        <w:tc>
          <w:tcPr>
            <w:tcW w:w="68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20" w:type="dxa"/>
            <w:vAlign w:val="bottom"/>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Increase (decrease) in the statutory tax rate due to:</w:t>
            </w: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20" w:type="dxa"/>
            <w:vAlign w:val="bottom"/>
          </w:tcPr>
          <w:p>
            <w:pPr>
              <w:spacing w:after="0"/>
              <w:rPr>
                <w:sz w:val="18"/>
                <w:szCs w:val="18"/>
                <w:color w:val="auto"/>
              </w:rPr>
            </w:pPr>
          </w:p>
        </w:tc>
        <w:tc>
          <w:tcPr>
            <w:tcW w:w="6800" w:type="dxa"/>
            <w:vAlign w:val="bottom"/>
          </w:tcPr>
          <w:p>
            <w:pPr>
              <w:spacing w:after="0"/>
              <w:rPr>
                <w:sz w:val="20"/>
                <w:szCs w:val="20"/>
                <w:color w:val="auto"/>
              </w:rPr>
            </w:pPr>
            <w:r>
              <w:rPr>
                <w:rFonts w:ascii="Arial" w:cs="Arial" w:eastAsia="Arial" w:hAnsi="Arial"/>
                <w:sz w:val="17"/>
                <w:szCs w:val="17"/>
                <w:color w:val="auto"/>
              </w:rPr>
              <w:t>(i)   (Decrease) arising from net income of subsidiaries not domiciled in Peru</w:t>
            </w:r>
          </w:p>
        </w:tc>
        <w:tc>
          <w:tcPr>
            <w:tcW w:w="1440" w:type="dxa"/>
            <w:vAlign w:val="bottom"/>
            <w:gridSpan w:val="2"/>
          </w:tcPr>
          <w:p>
            <w:pPr>
              <w:jc w:val="right"/>
              <w:ind w:right="79"/>
              <w:spacing w:after="0"/>
              <w:rPr>
                <w:sz w:val="20"/>
                <w:szCs w:val="20"/>
                <w:color w:val="auto"/>
              </w:rPr>
            </w:pPr>
            <w:r>
              <w:rPr>
                <w:rFonts w:ascii="Arial" w:cs="Arial" w:eastAsia="Arial" w:hAnsi="Arial"/>
                <w:sz w:val="17"/>
                <w:szCs w:val="17"/>
                <w:color w:val="auto"/>
              </w:rPr>
              <w:t>(1.82)</w:t>
            </w:r>
          </w:p>
        </w:tc>
        <w:tc>
          <w:tcPr>
            <w:tcW w:w="1400" w:type="dxa"/>
            <w:vAlign w:val="bottom"/>
            <w:gridSpan w:val="2"/>
          </w:tcPr>
          <w:p>
            <w:pPr>
              <w:jc w:val="right"/>
              <w:ind w:right="140"/>
              <w:spacing w:after="0"/>
              <w:rPr>
                <w:sz w:val="20"/>
                <w:szCs w:val="20"/>
                <w:color w:val="auto"/>
              </w:rPr>
            </w:pPr>
            <w:r>
              <w:rPr>
                <w:rFonts w:ascii="Arial" w:cs="Arial" w:eastAsia="Arial" w:hAnsi="Arial"/>
                <w:sz w:val="17"/>
                <w:szCs w:val="17"/>
                <w:color w:val="auto"/>
              </w:rPr>
              <w:t>(0.04)</w:t>
            </w:r>
          </w:p>
        </w:tc>
        <w:tc>
          <w:tcPr>
            <w:tcW w:w="1300" w:type="dxa"/>
            <w:vAlign w:val="bottom"/>
            <w:gridSpan w:val="2"/>
          </w:tcPr>
          <w:p>
            <w:pPr>
              <w:jc w:val="right"/>
              <w:spacing w:after="0"/>
              <w:rPr>
                <w:sz w:val="20"/>
                <w:szCs w:val="20"/>
                <w:color w:val="auto"/>
              </w:rPr>
            </w:pPr>
            <w:r>
              <w:rPr>
                <w:rFonts w:ascii="Arial" w:cs="Arial" w:eastAsia="Arial" w:hAnsi="Arial"/>
                <w:sz w:val="17"/>
                <w:szCs w:val="17"/>
                <w:color w:val="auto"/>
              </w:rPr>
              <w:t>(0.37)</w:t>
            </w:r>
          </w:p>
        </w:tc>
        <w:tc>
          <w:tcPr>
            <w:tcW w:w="0" w:type="dxa"/>
            <w:vAlign w:val="bottom"/>
          </w:tcPr>
          <w:p>
            <w:pPr>
              <w:spacing w:after="0"/>
              <w:rPr>
                <w:sz w:val="1"/>
                <w:szCs w:val="1"/>
                <w:color w:val="auto"/>
              </w:rPr>
            </w:pPr>
          </w:p>
        </w:tc>
      </w:tr>
      <w:tr>
        <w:trPr>
          <w:trHeight w:val="208"/>
        </w:trPr>
        <w:tc>
          <w:tcPr>
            <w:tcW w:w="320" w:type="dxa"/>
            <w:vAlign w:val="bottom"/>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7"/>
                <w:szCs w:val="17"/>
                <w:color w:val="auto"/>
              </w:rPr>
              <w:t>(ii)   Non-taxable income, net</w:t>
            </w:r>
          </w:p>
        </w:tc>
        <w:tc>
          <w:tcPr>
            <w:tcW w:w="1440" w:type="dxa"/>
            <w:vAlign w:val="bottom"/>
            <w:gridSpan w:val="2"/>
            <w:shd w:val="clear" w:color="auto" w:fill="CCEEFF"/>
          </w:tcPr>
          <w:p>
            <w:pPr>
              <w:jc w:val="right"/>
              <w:ind w:right="79"/>
              <w:spacing w:after="0"/>
              <w:rPr>
                <w:sz w:val="20"/>
                <w:szCs w:val="20"/>
                <w:color w:val="auto"/>
              </w:rPr>
            </w:pPr>
            <w:r>
              <w:rPr>
                <w:rFonts w:ascii="Arial" w:cs="Arial" w:eastAsia="Arial" w:hAnsi="Arial"/>
                <w:sz w:val="17"/>
                <w:szCs w:val="17"/>
                <w:color w:val="auto"/>
              </w:rPr>
              <w:t>(2.69)</w:t>
            </w:r>
          </w:p>
        </w:tc>
        <w:tc>
          <w:tcPr>
            <w:tcW w:w="14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(1.23)</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(0.17)</w:t>
            </w:r>
          </w:p>
        </w:tc>
        <w:tc>
          <w:tcPr>
            <w:tcW w:w="0" w:type="dxa"/>
            <w:vAlign w:val="bottom"/>
          </w:tcPr>
          <w:p>
            <w:pPr>
              <w:spacing w:after="0"/>
              <w:rPr>
                <w:sz w:val="1"/>
                <w:szCs w:val="1"/>
                <w:color w:val="auto"/>
              </w:rPr>
            </w:pPr>
          </w:p>
        </w:tc>
      </w:tr>
      <w:tr>
        <w:trPr>
          <w:trHeight w:val="208"/>
        </w:trPr>
        <w:tc>
          <w:tcPr>
            <w:tcW w:w="320" w:type="dxa"/>
            <w:vAlign w:val="bottom"/>
          </w:tcPr>
          <w:p>
            <w:pPr>
              <w:spacing w:after="0"/>
              <w:rPr>
                <w:sz w:val="18"/>
                <w:szCs w:val="18"/>
                <w:color w:val="auto"/>
              </w:rPr>
            </w:pPr>
          </w:p>
        </w:tc>
        <w:tc>
          <w:tcPr>
            <w:tcW w:w="6800" w:type="dxa"/>
            <w:vAlign w:val="bottom"/>
          </w:tcPr>
          <w:p>
            <w:pPr>
              <w:spacing w:after="0"/>
              <w:rPr>
                <w:sz w:val="20"/>
                <w:szCs w:val="20"/>
                <w:color w:val="auto"/>
              </w:rPr>
            </w:pPr>
            <w:r>
              <w:rPr>
                <w:rFonts w:ascii="Arial" w:cs="Arial" w:eastAsia="Arial" w:hAnsi="Arial"/>
                <w:sz w:val="17"/>
                <w:szCs w:val="17"/>
                <w:color w:val="auto"/>
              </w:rPr>
              <w:t>(iii)  Effect of change in Peruvian tax rates</w:t>
            </w:r>
          </w:p>
        </w:tc>
        <w:tc>
          <w:tcPr>
            <w:tcW w:w="1440" w:type="dxa"/>
            <w:vAlign w:val="bottom"/>
            <w:gridSpan w:val="2"/>
          </w:tcPr>
          <w:p>
            <w:pPr>
              <w:jc w:val="right"/>
              <w:ind w:right="139"/>
              <w:spacing w:after="0"/>
              <w:rPr>
                <w:sz w:val="20"/>
                <w:szCs w:val="20"/>
                <w:color w:val="auto"/>
              </w:rPr>
            </w:pPr>
            <w:r>
              <w:rPr>
                <w:rFonts w:ascii="Arial" w:cs="Arial" w:eastAsia="Arial" w:hAnsi="Arial"/>
                <w:sz w:val="17"/>
                <w:szCs w:val="17"/>
                <w:color w:val="auto"/>
              </w:rPr>
              <w:t>-</w:t>
            </w:r>
          </w:p>
        </w:tc>
        <w:tc>
          <w:tcPr>
            <w:tcW w:w="1400" w:type="dxa"/>
            <w:vAlign w:val="bottom"/>
            <w:gridSpan w:val="2"/>
          </w:tcPr>
          <w:p>
            <w:pPr>
              <w:jc w:val="right"/>
              <w:ind w:right="140"/>
              <w:spacing w:after="0"/>
              <w:rPr>
                <w:sz w:val="20"/>
                <w:szCs w:val="20"/>
                <w:color w:val="auto"/>
              </w:rPr>
            </w:pPr>
            <w:r>
              <w:rPr>
                <w:rFonts w:ascii="Arial" w:cs="Arial" w:eastAsia="Arial" w:hAnsi="Arial"/>
                <w:sz w:val="17"/>
                <w:szCs w:val="17"/>
                <w:color w:val="auto"/>
              </w:rPr>
              <w:t>(0.53)</w:t>
            </w:r>
          </w:p>
        </w:tc>
        <w:tc>
          <w:tcPr>
            <w:tcW w:w="120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320" w:type="dxa"/>
            <w:vAlign w:val="bottom"/>
          </w:tcPr>
          <w:p>
            <w:pPr>
              <w:spacing w:after="0"/>
              <w:rPr>
                <w:sz w:val="19"/>
                <w:szCs w:val="19"/>
                <w:color w:val="auto"/>
              </w:rPr>
            </w:pPr>
          </w:p>
        </w:tc>
        <w:tc>
          <w:tcPr>
            <w:tcW w:w="6800" w:type="dxa"/>
            <w:vAlign w:val="bottom"/>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1"/>
        </w:trPr>
        <w:tc>
          <w:tcPr>
            <w:tcW w:w="320" w:type="dxa"/>
            <w:vAlign w:val="bottom"/>
          </w:tcPr>
          <w:p>
            <w:pPr>
              <w:spacing w:after="0"/>
              <w:rPr>
                <w:sz w:val="17"/>
                <w:szCs w:val="17"/>
                <w:color w:val="auto"/>
              </w:rPr>
            </w:pPr>
          </w:p>
        </w:tc>
        <w:tc>
          <w:tcPr>
            <w:tcW w:w="6800" w:type="dxa"/>
            <w:vAlign w:val="bottom"/>
          </w:tcPr>
          <w:p>
            <w:pPr>
              <w:spacing w:after="0"/>
              <w:rPr>
                <w:sz w:val="20"/>
                <w:szCs w:val="20"/>
                <w:color w:val="auto"/>
              </w:rPr>
            </w:pPr>
            <w:r>
              <w:rPr>
                <w:rFonts w:ascii="Arial" w:cs="Arial" w:eastAsia="Arial" w:hAnsi="Arial"/>
                <w:sz w:val="17"/>
                <w:szCs w:val="17"/>
                <w:b w:val="1"/>
                <w:bCs w:val="1"/>
                <w:color w:val="auto"/>
              </w:rPr>
              <w:t>Effective income tax rate</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24.99</w:t>
            </w:r>
          </w:p>
        </w:tc>
        <w:tc>
          <w:tcPr>
            <w:tcW w:w="220" w:type="dxa"/>
            <w:vAlign w:val="bottom"/>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26.20</w:t>
            </w:r>
          </w:p>
        </w:tc>
        <w:tc>
          <w:tcPr>
            <w:tcW w:w="200" w:type="dxa"/>
            <w:vAlign w:val="bottom"/>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27.46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120" w:type="dxa"/>
            <w:vAlign w:val="bottom"/>
            <w:gridSpan w:val="2"/>
            <w:vMerge w:val="restart"/>
          </w:tcPr>
          <w:p>
            <w:pPr>
              <w:spacing w:after="0"/>
              <w:rPr>
                <w:sz w:val="20"/>
                <w:szCs w:val="20"/>
                <w:color w:val="auto"/>
              </w:rPr>
            </w:pPr>
            <w:r>
              <w:rPr>
                <w:rFonts w:ascii="Arial" w:cs="Arial" w:eastAsia="Arial" w:hAnsi="Arial"/>
                <w:sz w:val="17"/>
                <w:szCs w:val="17"/>
                <w:color w:val="auto"/>
              </w:rPr>
              <w:t>b)  Income tax expense for the years ended December 31, 2017, 2016 and 2015 comprises:</w:t>
            </w: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5"/>
        </w:trPr>
        <w:tc>
          <w:tcPr>
            <w:tcW w:w="7120" w:type="dxa"/>
            <w:vAlign w:val="bottom"/>
            <w:gridSpan w:val="2"/>
            <w:vMerge w:val="continue"/>
          </w:tcPr>
          <w:p>
            <w:pPr>
              <w:spacing w:after="0"/>
              <w:rPr>
                <w:sz w:val="24"/>
                <w:szCs w:val="24"/>
                <w:color w:val="auto"/>
              </w:rPr>
            </w:pPr>
          </w:p>
        </w:tc>
        <w:tc>
          <w:tcPr>
            <w:tcW w:w="1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9"/>
        </w:trPr>
        <w:tc>
          <w:tcPr>
            <w:tcW w:w="320" w:type="dxa"/>
            <w:vAlign w:val="bottom"/>
          </w:tcPr>
          <w:p>
            <w:pPr>
              <w:spacing w:after="0"/>
              <w:rPr>
                <w:sz w:val="24"/>
                <w:szCs w:val="24"/>
                <w:color w:val="auto"/>
              </w:rPr>
            </w:pPr>
          </w:p>
        </w:tc>
        <w:tc>
          <w:tcPr>
            <w:tcW w:w="6800" w:type="dxa"/>
            <w:vAlign w:val="bottom"/>
          </w:tcPr>
          <w:p>
            <w:pPr>
              <w:spacing w:after="0"/>
              <w:rPr>
                <w:sz w:val="24"/>
                <w:szCs w:val="24"/>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89"/>
              </w:rPr>
              <w:t>2017</w:t>
            </w:r>
          </w:p>
        </w:tc>
        <w:tc>
          <w:tcPr>
            <w:tcW w:w="220" w:type="dxa"/>
            <w:vAlign w:val="bottom"/>
          </w:tcPr>
          <w:p>
            <w:pPr>
              <w:spacing w:after="0"/>
              <w:rPr>
                <w:sz w:val="24"/>
                <w:szCs w:val="24"/>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89"/>
              </w:rPr>
              <w:t>2016</w:t>
            </w:r>
          </w:p>
        </w:tc>
        <w:tc>
          <w:tcPr>
            <w:tcW w:w="200" w:type="dxa"/>
            <w:vAlign w:val="bottom"/>
          </w:tcPr>
          <w:p>
            <w:pPr>
              <w:spacing w:after="0"/>
              <w:rPr>
                <w:sz w:val="24"/>
                <w:szCs w:val="24"/>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89"/>
              </w:rPr>
              <w:t>2015</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1"/>
        </w:trPr>
        <w:tc>
          <w:tcPr>
            <w:tcW w:w="320" w:type="dxa"/>
            <w:vAlign w:val="bottom"/>
          </w:tcPr>
          <w:p>
            <w:pPr>
              <w:spacing w:after="0"/>
              <w:rPr>
                <w:sz w:val="17"/>
                <w:szCs w:val="17"/>
                <w:color w:val="auto"/>
              </w:rPr>
            </w:pPr>
          </w:p>
        </w:tc>
        <w:tc>
          <w:tcPr>
            <w:tcW w:w="6800" w:type="dxa"/>
            <w:vAlign w:val="bottom"/>
          </w:tcPr>
          <w:p>
            <w:pPr>
              <w:spacing w:after="0"/>
              <w:rPr>
                <w:sz w:val="17"/>
                <w:szCs w:val="17"/>
                <w:color w:val="auto"/>
              </w:rPr>
            </w:pPr>
          </w:p>
        </w:tc>
        <w:tc>
          <w:tcPr>
            <w:tcW w:w="1220" w:type="dxa"/>
            <w:vAlign w:val="bottom"/>
          </w:tcPr>
          <w:p>
            <w:pPr>
              <w:jc w:val="center"/>
              <w:spacing w:after="0"/>
              <w:rPr>
                <w:sz w:val="20"/>
                <w:szCs w:val="20"/>
                <w:color w:val="auto"/>
              </w:rPr>
            </w:pPr>
            <w:r>
              <w:rPr>
                <w:rFonts w:ascii="Arial" w:cs="Arial" w:eastAsia="Arial" w:hAnsi="Arial"/>
                <w:sz w:val="17"/>
                <w:szCs w:val="17"/>
                <w:b w:val="1"/>
                <w:bCs w:val="1"/>
                <w:color w:val="auto"/>
                <w:w w:val="93"/>
              </w:rPr>
              <w:t>S/(000)</w:t>
            </w:r>
          </w:p>
        </w:tc>
        <w:tc>
          <w:tcPr>
            <w:tcW w:w="220" w:type="dxa"/>
            <w:vAlign w:val="bottom"/>
          </w:tcPr>
          <w:p>
            <w:pPr>
              <w:spacing w:after="0"/>
              <w:rPr>
                <w:sz w:val="17"/>
                <w:szCs w:val="17"/>
                <w:color w:val="auto"/>
              </w:rPr>
            </w:pPr>
          </w:p>
        </w:tc>
        <w:tc>
          <w:tcPr>
            <w:tcW w:w="1200" w:type="dxa"/>
            <w:vAlign w:val="bottom"/>
          </w:tcPr>
          <w:p>
            <w:pPr>
              <w:jc w:val="center"/>
              <w:spacing w:after="0"/>
              <w:rPr>
                <w:sz w:val="20"/>
                <w:szCs w:val="20"/>
                <w:color w:val="auto"/>
              </w:rPr>
            </w:pPr>
            <w:r>
              <w:rPr>
                <w:rFonts w:ascii="Arial" w:cs="Arial" w:eastAsia="Arial" w:hAnsi="Arial"/>
                <w:sz w:val="17"/>
                <w:szCs w:val="17"/>
                <w:b w:val="1"/>
                <w:bCs w:val="1"/>
                <w:color w:val="auto"/>
                <w:w w:val="93"/>
              </w:rPr>
              <w:t>S/(000)</w:t>
            </w:r>
          </w:p>
        </w:tc>
        <w:tc>
          <w:tcPr>
            <w:tcW w:w="200" w:type="dxa"/>
            <w:vAlign w:val="bottom"/>
          </w:tcPr>
          <w:p>
            <w:pPr>
              <w:spacing w:after="0"/>
              <w:rPr>
                <w:sz w:val="17"/>
                <w:szCs w:val="17"/>
                <w:color w:val="auto"/>
              </w:rPr>
            </w:pPr>
          </w:p>
        </w:tc>
        <w:tc>
          <w:tcPr>
            <w:tcW w:w="1200" w:type="dxa"/>
            <w:vAlign w:val="bottom"/>
          </w:tcPr>
          <w:p>
            <w:pPr>
              <w:jc w:val="center"/>
              <w:spacing w:after="0"/>
              <w:rPr>
                <w:sz w:val="20"/>
                <w:szCs w:val="20"/>
                <w:color w:val="auto"/>
              </w:rPr>
            </w:pPr>
            <w:r>
              <w:rPr>
                <w:rFonts w:ascii="Arial" w:cs="Arial" w:eastAsia="Arial" w:hAnsi="Arial"/>
                <w:sz w:val="17"/>
                <w:szCs w:val="17"/>
                <w:b w:val="1"/>
                <w:bCs w:val="1"/>
                <w:color w:val="auto"/>
                <w:w w:val="93"/>
              </w:rPr>
              <w:t>S/(000)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320" w:type="dxa"/>
            <w:vAlign w:val="bottom"/>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Current -</w:t>
            </w: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20" w:type="dxa"/>
            <w:vAlign w:val="bottom"/>
          </w:tcPr>
          <w:p>
            <w:pPr>
              <w:spacing w:after="0"/>
              <w:rPr>
                <w:sz w:val="18"/>
                <w:szCs w:val="18"/>
                <w:color w:val="auto"/>
              </w:rPr>
            </w:pPr>
          </w:p>
        </w:tc>
        <w:tc>
          <w:tcPr>
            <w:tcW w:w="6800" w:type="dxa"/>
            <w:vAlign w:val="bottom"/>
          </w:tcPr>
          <w:p>
            <w:pPr>
              <w:spacing w:after="0"/>
              <w:rPr>
                <w:sz w:val="20"/>
                <w:szCs w:val="20"/>
                <w:color w:val="auto"/>
              </w:rPr>
            </w:pPr>
            <w:r>
              <w:rPr>
                <w:rFonts w:ascii="Arial" w:cs="Arial" w:eastAsia="Arial" w:hAnsi="Arial"/>
                <w:sz w:val="17"/>
                <w:szCs w:val="17"/>
                <w:color w:val="auto"/>
              </w:rPr>
              <w:t>In Peru</w:t>
            </w:r>
          </w:p>
        </w:tc>
        <w:tc>
          <w:tcPr>
            <w:tcW w:w="1440" w:type="dxa"/>
            <w:vAlign w:val="bottom"/>
            <w:gridSpan w:val="2"/>
          </w:tcPr>
          <w:p>
            <w:pPr>
              <w:jc w:val="right"/>
              <w:ind w:right="139"/>
              <w:spacing w:after="0"/>
              <w:rPr>
                <w:sz w:val="20"/>
                <w:szCs w:val="20"/>
                <w:color w:val="auto"/>
              </w:rPr>
            </w:pPr>
            <w:r>
              <w:rPr>
                <w:rFonts w:ascii="Arial" w:cs="Arial" w:eastAsia="Arial" w:hAnsi="Arial"/>
                <w:sz w:val="17"/>
                <w:szCs w:val="17"/>
                <w:color w:val="auto"/>
              </w:rPr>
              <w:t>1,262,302</w:t>
            </w:r>
          </w:p>
        </w:tc>
        <w:tc>
          <w:tcPr>
            <w:tcW w:w="1200" w:type="dxa"/>
            <w:vAlign w:val="bottom"/>
          </w:tcPr>
          <w:p>
            <w:pPr>
              <w:jc w:val="right"/>
              <w:spacing w:after="0"/>
              <w:rPr>
                <w:sz w:val="20"/>
                <w:szCs w:val="20"/>
                <w:color w:val="auto"/>
              </w:rPr>
            </w:pPr>
            <w:r>
              <w:rPr>
                <w:rFonts w:ascii="Arial" w:cs="Arial" w:eastAsia="Arial" w:hAnsi="Arial"/>
                <w:sz w:val="17"/>
                <w:szCs w:val="17"/>
                <w:color w:val="auto"/>
              </w:rPr>
              <w:t>1,098,125</w:t>
            </w: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1,217,907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320" w:type="dxa"/>
            <w:vAlign w:val="bottom"/>
          </w:tcPr>
          <w:p>
            <w:pPr>
              <w:spacing w:after="0"/>
              <w:rPr>
                <w:sz w:val="19"/>
                <w:szCs w:val="19"/>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7"/>
                <w:szCs w:val="17"/>
                <w:color w:val="auto"/>
              </w:rPr>
              <w:t>In other countries</w:t>
            </w:r>
          </w:p>
        </w:tc>
        <w:tc>
          <w:tcPr>
            <w:tcW w:w="1440" w:type="dxa"/>
            <w:vAlign w:val="bottom"/>
            <w:gridSpan w:val="2"/>
            <w:shd w:val="clear" w:color="auto" w:fill="CCEEFF"/>
          </w:tcPr>
          <w:p>
            <w:pPr>
              <w:jc w:val="right"/>
              <w:ind w:right="139"/>
              <w:spacing w:after="0"/>
              <w:rPr>
                <w:sz w:val="20"/>
                <w:szCs w:val="20"/>
                <w:color w:val="auto"/>
              </w:rPr>
            </w:pPr>
            <w:r>
              <w:rPr>
                <w:rFonts w:ascii="Arial" w:cs="Arial" w:eastAsia="Arial" w:hAnsi="Arial"/>
                <w:sz w:val="17"/>
                <w:szCs w:val="17"/>
                <w:color w:val="auto"/>
              </w:rPr>
              <w:t>134,540</w:t>
            </w: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155,095</w:t>
            </w:r>
          </w:p>
        </w:tc>
        <w:tc>
          <w:tcPr>
            <w:tcW w:w="1300" w:type="dxa"/>
            <w:vAlign w:val="bottom"/>
            <w:gridSpan w:val="2"/>
            <w:shd w:val="clear" w:color="auto" w:fill="CCEEFF"/>
          </w:tcPr>
          <w:p>
            <w:pPr>
              <w:jc w:val="right"/>
              <w:ind w:right="19"/>
              <w:spacing w:after="0"/>
              <w:rPr>
                <w:sz w:val="20"/>
                <w:szCs w:val="20"/>
                <w:color w:val="auto"/>
              </w:rPr>
            </w:pPr>
            <w:r>
              <w:rPr>
                <w:rFonts w:ascii="Arial" w:cs="Arial" w:eastAsia="Arial" w:hAnsi="Arial"/>
                <w:sz w:val="17"/>
                <w:szCs w:val="17"/>
                <w:color w:val="auto"/>
              </w:rPr>
              <w:t>96,495</w:t>
            </w:r>
          </w:p>
        </w:tc>
        <w:tc>
          <w:tcPr>
            <w:tcW w:w="0" w:type="dxa"/>
            <w:vAlign w:val="bottom"/>
          </w:tcPr>
          <w:p>
            <w:pPr>
              <w:spacing w:after="0"/>
              <w:rPr>
                <w:sz w:val="1"/>
                <w:szCs w:val="1"/>
                <w:color w:val="auto"/>
              </w:rPr>
            </w:pPr>
          </w:p>
        </w:tc>
      </w:tr>
      <w:tr>
        <w:trPr>
          <w:trHeight w:val="201"/>
        </w:trPr>
        <w:tc>
          <w:tcPr>
            <w:tcW w:w="320" w:type="dxa"/>
            <w:vAlign w:val="bottom"/>
          </w:tcPr>
          <w:p>
            <w:pPr>
              <w:spacing w:after="0"/>
              <w:rPr>
                <w:sz w:val="17"/>
                <w:szCs w:val="17"/>
                <w:color w:val="auto"/>
              </w:rPr>
            </w:pPr>
          </w:p>
        </w:tc>
        <w:tc>
          <w:tcPr>
            <w:tcW w:w="6800" w:type="dxa"/>
            <w:vAlign w:val="bottom"/>
            <w:tcBorders>
              <w:bottom w:val="single" w:sz="8" w:color="CCEEFF"/>
            </w:tcBorders>
          </w:tcPr>
          <w:p>
            <w:pPr>
              <w:spacing w:after="0"/>
              <w:rPr>
                <w:sz w:val="17"/>
                <w:szCs w:val="17"/>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1,396,842</w:t>
            </w:r>
          </w:p>
        </w:tc>
        <w:tc>
          <w:tcPr>
            <w:tcW w:w="220" w:type="dxa"/>
            <w:vAlign w:val="bottom"/>
            <w:tcBorders>
              <w:bottom w:val="single" w:sz="8" w:color="CCEEFF"/>
            </w:tcBorders>
          </w:tcPr>
          <w:p>
            <w:pPr>
              <w:spacing w:after="0"/>
              <w:rPr>
                <w:sz w:val="17"/>
                <w:szCs w:val="17"/>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1,253,220</w:t>
            </w:r>
          </w:p>
        </w:tc>
        <w:tc>
          <w:tcPr>
            <w:tcW w:w="200" w:type="dxa"/>
            <w:vAlign w:val="bottom"/>
            <w:tcBorders>
              <w:bottom w:val="single" w:sz="8" w:color="CCEEFF"/>
            </w:tcBorders>
          </w:tcPr>
          <w:p>
            <w:pPr>
              <w:spacing w:after="0"/>
              <w:rPr>
                <w:sz w:val="17"/>
                <w:szCs w:val="17"/>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1,314,402</w:t>
            </w:r>
          </w:p>
        </w:tc>
        <w:tc>
          <w:tcPr>
            <w:tcW w:w="10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320" w:type="dxa"/>
            <w:vAlign w:val="bottom"/>
          </w:tcPr>
          <w:p>
            <w:pPr>
              <w:spacing w:after="0"/>
              <w:rPr>
                <w:sz w:val="17"/>
                <w:szCs w:val="17"/>
                <w:color w:val="auto"/>
              </w:rPr>
            </w:pPr>
          </w:p>
        </w:tc>
        <w:tc>
          <w:tcPr>
            <w:tcW w:w="68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320" w:type="dxa"/>
            <w:vAlign w:val="bottom"/>
          </w:tcPr>
          <w:p>
            <w:pPr>
              <w:spacing w:after="0"/>
              <w:rPr>
                <w:sz w:val="18"/>
                <w:szCs w:val="18"/>
                <w:color w:val="auto"/>
              </w:rPr>
            </w:pPr>
          </w:p>
        </w:tc>
        <w:tc>
          <w:tcPr>
            <w:tcW w:w="6800" w:type="dxa"/>
            <w:vAlign w:val="bottom"/>
          </w:tcPr>
          <w:p>
            <w:pPr>
              <w:spacing w:after="0"/>
              <w:rPr>
                <w:sz w:val="20"/>
                <w:szCs w:val="20"/>
                <w:color w:val="auto"/>
              </w:rPr>
            </w:pPr>
            <w:r>
              <w:rPr>
                <w:rFonts w:ascii="Arial" w:cs="Arial" w:eastAsia="Arial" w:hAnsi="Arial"/>
                <w:sz w:val="17"/>
                <w:szCs w:val="17"/>
                <w:b w:val="1"/>
                <w:bCs w:val="1"/>
                <w:color w:val="auto"/>
              </w:rPr>
              <w:t>Deferred -</w:t>
            </w: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20" w:type="dxa"/>
            <w:vAlign w:val="bottom"/>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7"/>
                <w:szCs w:val="17"/>
                <w:color w:val="auto"/>
              </w:rPr>
              <w:t>In Peru</w:t>
            </w:r>
          </w:p>
        </w:tc>
        <w:tc>
          <w:tcPr>
            <w:tcW w:w="1440" w:type="dxa"/>
            <w:vAlign w:val="bottom"/>
            <w:gridSpan w:val="2"/>
            <w:shd w:val="clear" w:color="auto" w:fill="CCEEFF"/>
          </w:tcPr>
          <w:p>
            <w:pPr>
              <w:jc w:val="right"/>
              <w:ind w:right="79"/>
              <w:spacing w:after="0"/>
              <w:rPr>
                <w:sz w:val="20"/>
                <w:szCs w:val="20"/>
                <w:color w:val="auto"/>
              </w:rPr>
            </w:pPr>
            <w:r>
              <w:rPr>
                <w:rFonts w:ascii="Arial" w:cs="Arial" w:eastAsia="Arial" w:hAnsi="Arial"/>
                <w:sz w:val="17"/>
                <w:szCs w:val="17"/>
                <w:color w:val="auto"/>
              </w:rPr>
              <w:t>(18,264)</w:t>
            </w: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31,472</w:t>
            </w:r>
          </w:p>
        </w:tc>
        <w:tc>
          <w:tcPr>
            <w:tcW w:w="1300" w:type="dxa"/>
            <w:vAlign w:val="bottom"/>
            <w:gridSpan w:val="2"/>
            <w:shd w:val="clear" w:color="auto" w:fill="CCEEFF"/>
          </w:tcPr>
          <w:p>
            <w:pPr>
              <w:jc w:val="right"/>
              <w:ind w:right="19"/>
              <w:spacing w:after="0"/>
              <w:rPr>
                <w:sz w:val="20"/>
                <w:szCs w:val="20"/>
                <w:color w:val="auto"/>
              </w:rPr>
            </w:pPr>
            <w:r>
              <w:rPr>
                <w:rFonts w:ascii="Arial" w:cs="Arial" w:eastAsia="Arial" w:hAnsi="Arial"/>
                <w:sz w:val="17"/>
                <w:szCs w:val="17"/>
                <w:color w:val="auto"/>
              </w:rPr>
              <w:t>22,667</w:t>
            </w:r>
          </w:p>
        </w:tc>
        <w:tc>
          <w:tcPr>
            <w:tcW w:w="0" w:type="dxa"/>
            <w:vAlign w:val="bottom"/>
          </w:tcPr>
          <w:p>
            <w:pPr>
              <w:spacing w:after="0"/>
              <w:rPr>
                <w:sz w:val="1"/>
                <w:szCs w:val="1"/>
                <w:color w:val="auto"/>
              </w:rPr>
            </w:pPr>
          </w:p>
        </w:tc>
      </w:tr>
      <w:tr>
        <w:trPr>
          <w:trHeight w:val="208"/>
        </w:trPr>
        <w:tc>
          <w:tcPr>
            <w:tcW w:w="320" w:type="dxa"/>
            <w:vAlign w:val="bottom"/>
          </w:tcPr>
          <w:p>
            <w:pPr>
              <w:spacing w:after="0"/>
              <w:rPr>
                <w:sz w:val="18"/>
                <w:szCs w:val="18"/>
                <w:color w:val="auto"/>
              </w:rPr>
            </w:pPr>
          </w:p>
        </w:tc>
        <w:tc>
          <w:tcPr>
            <w:tcW w:w="6800" w:type="dxa"/>
            <w:vAlign w:val="bottom"/>
          </w:tcPr>
          <w:p>
            <w:pPr>
              <w:spacing w:after="0"/>
              <w:rPr>
                <w:sz w:val="20"/>
                <w:szCs w:val="20"/>
                <w:color w:val="auto"/>
              </w:rPr>
            </w:pPr>
            <w:r>
              <w:rPr>
                <w:rFonts w:ascii="Arial" w:cs="Arial" w:eastAsia="Arial" w:hAnsi="Arial"/>
                <w:sz w:val="17"/>
                <w:szCs w:val="17"/>
                <w:color w:val="auto"/>
              </w:rPr>
              <w:t>In other countries</w:t>
            </w:r>
          </w:p>
        </w:tc>
        <w:tc>
          <w:tcPr>
            <w:tcW w:w="1440" w:type="dxa"/>
            <w:vAlign w:val="bottom"/>
            <w:gridSpan w:val="2"/>
          </w:tcPr>
          <w:p>
            <w:pPr>
              <w:jc w:val="right"/>
              <w:ind w:right="139"/>
              <w:spacing w:after="0"/>
              <w:rPr>
                <w:sz w:val="20"/>
                <w:szCs w:val="20"/>
                <w:color w:val="auto"/>
              </w:rPr>
            </w:pPr>
            <w:r>
              <w:rPr>
                <w:rFonts w:ascii="Arial" w:cs="Arial" w:eastAsia="Arial" w:hAnsi="Arial"/>
                <w:sz w:val="17"/>
                <w:szCs w:val="17"/>
                <w:color w:val="auto"/>
              </w:rPr>
              <w:t>14,708</w:t>
            </w:r>
          </w:p>
        </w:tc>
        <w:tc>
          <w:tcPr>
            <w:tcW w:w="1400" w:type="dxa"/>
            <w:vAlign w:val="bottom"/>
            <w:gridSpan w:val="2"/>
          </w:tcPr>
          <w:p>
            <w:pPr>
              <w:jc w:val="right"/>
              <w:ind w:right="200"/>
              <w:spacing w:after="0"/>
              <w:rPr>
                <w:sz w:val="20"/>
                <w:szCs w:val="20"/>
                <w:color w:val="auto"/>
              </w:rPr>
            </w:pPr>
            <w:r>
              <w:rPr>
                <w:rFonts w:ascii="Arial" w:cs="Arial" w:eastAsia="Arial" w:hAnsi="Arial"/>
                <w:sz w:val="17"/>
                <w:szCs w:val="17"/>
                <w:color w:val="auto"/>
              </w:rPr>
              <w:t>10,748</w:t>
            </w:r>
          </w:p>
        </w:tc>
        <w:tc>
          <w:tcPr>
            <w:tcW w:w="1300" w:type="dxa"/>
            <w:vAlign w:val="bottom"/>
            <w:gridSpan w:val="2"/>
          </w:tcPr>
          <w:p>
            <w:pPr>
              <w:jc w:val="right"/>
              <w:spacing w:after="0"/>
              <w:rPr>
                <w:sz w:val="20"/>
                <w:szCs w:val="20"/>
                <w:color w:val="auto"/>
              </w:rPr>
            </w:pPr>
            <w:r>
              <w:rPr>
                <w:rFonts w:ascii="Arial" w:cs="Arial" w:eastAsia="Arial" w:hAnsi="Arial"/>
                <w:sz w:val="17"/>
                <w:szCs w:val="17"/>
                <w:color w:val="auto"/>
              </w:rPr>
              <w:t>(139,862)</w:t>
            </w:r>
          </w:p>
        </w:tc>
        <w:tc>
          <w:tcPr>
            <w:tcW w:w="0" w:type="dxa"/>
            <w:vAlign w:val="bottom"/>
          </w:tcPr>
          <w:p>
            <w:pPr>
              <w:spacing w:after="0"/>
              <w:rPr>
                <w:sz w:val="1"/>
                <w:szCs w:val="1"/>
                <w:color w:val="auto"/>
              </w:rPr>
            </w:pPr>
          </w:p>
        </w:tc>
      </w:tr>
      <w:tr>
        <w:trPr>
          <w:trHeight w:val="221"/>
        </w:trPr>
        <w:tc>
          <w:tcPr>
            <w:tcW w:w="320" w:type="dxa"/>
            <w:vAlign w:val="bottom"/>
          </w:tcPr>
          <w:p>
            <w:pPr>
              <w:spacing w:after="0"/>
              <w:rPr>
                <w:sz w:val="19"/>
                <w:szCs w:val="19"/>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7"/>
                <w:szCs w:val="17"/>
                <w:color w:val="auto"/>
              </w:rPr>
              <w:t>Effect of change in Peruvian tax rates</w:t>
            </w:r>
          </w:p>
        </w:tc>
        <w:tc>
          <w:tcPr>
            <w:tcW w:w="1440" w:type="dxa"/>
            <w:vAlign w:val="bottom"/>
            <w:gridSpan w:val="2"/>
            <w:shd w:val="clear" w:color="auto" w:fill="CCEEFF"/>
          </w:tcPr>
          <w:p>
            <w:pPr>
              <w:jc w:val="right"/>
              <w:ind w:right="139"/>
              <w:spacing w:after="0"/>
              <w:rPr>
                <w:sz w:val="20"/>
                <w:szCs w:val="20"/>
                <w:color w:val="auto"/>
              </w:rPr>
            </w:pPr>
            <w:r>
              <w:rPr>
                <w:rFonts w:ascii="Arial" w:cs="Arial" w:eastAsia="Arial" w:hAnsi="Arial"/>
                <w:sz w:val="17"/>
                <w:szCs w:val="17"/>
                <w:color w:val="auto"/>
              </w:rPr>
              <w:t>-</w:t>
            </w:r>
          </w:p>
        </w:tc>
        <w:tc>
          <w:tcPr>
            <w:tcW w:w="14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(13,992)</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1"/>
        </w:trPr>
        <w:tc>
          <w:tcPr>
            <w:tcW w:w="320" w:type="dxa"/>
            <w:vAlign w:val="bottom"/>
          </w:tcPr>
          <w:p>
            <w:pPr>
              <w:spacing w:after="0"/>
              <w:rPr>
                <w:sz w:val="17"/>
                <w:szCs w:val="17"/>
                <w:color w:val="auto"/>
              </w:rPr>
            </w:pPr>
          </w:p>
        </w:tc>
        <w:tc>
          <w:tcPr>
            <w:tcW w:w="6800" w:type="dxa"/>
            <w:vAlign w:val="bottom"/>
            <w:tcBorders>
              <w:bottom w:val="single" w:sz="8" w:color="CCEEFF"/>
            </w:tcBorders>
          </w:tcPr>
          <w:p>
            <w:pPr>
              <w:spacing w:after="0"/>
              <w:rPr>
                <w:sz w:val="17"/>
                <w:szCs w:val="17"/>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(3,556</w:t>
            </w:r>
          </w:p>
        </w:tc>
        <w:tc>
          <w:tcPr>
            <w:tcW w:w="220" w:type="dxa"/>
            <w:vAlign w:val="bottom"/>
            <w:tcBorders>
              <w:bottom w:val="single" w:sz="8" w:color="CCEEFF"/>
            </w:tcBorders>
          </w:tcPr>
          <w:p>
            <w:pPr>
              <w:jc w:val="right"/>
              <w:ind w:right="79"/>
              <w:spacing w:after="0"/>
              <w:rPr>
                <w:sz w:val="20"/>
                <w:szCs w:val="20"/>
                <w:color w:val="auto"/>
              </w:rPr>
            </w:pPr>
            <w:r>
              <w:rPr>
                <w:rFonts w:ascii="Arial" w:cs="Arial" w:eastAsia="Arial" w:hAnsi="Arial"/>
                <w:sz w:val="16"/>
                <w:szCs w:val="16"/>
                <w:color w:val="auto"/>
                <w:w w:val="74"/>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28,228</w:t>
            </w:r>
          </w:p>
        </w:tc>
        <w:tc>
          <w:tcPr>
            <w:tcW w:w="200" w:type="dxa"/>
            <w:vAlign w:val="bottom"/>
            <w:tcBorders>
              <w:bottom w:val="single" w:sz="8" w:color="CCEEFF"/>
            </w:tcBorders>
          </w:tcPr>
          <w:p>
            <w:pPr>
              <w:spacing w:after="0"/>
              <w:rPr>
                <w:sz w:val="17"/>
                <w:szCs w:val="17"/>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(117,195</w:t>
            </w:r>
          </w:p>
        </w:tc>
        <w:tc>
          <w:tcPr>
            <w:tcW w:w="1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1"/>
        </w:trPr>
        <w:tc>
          <w:tcPr>
            <w:tcW w:w="320" w:type="dxa"/>
            <w:vAlign w:val="bottom"/>
          </w:tcPr>
          <w:p>
            <w:pPr>
              <w:spacing w:after="0"/>
              <w:rPr>
                <w:sz w:val="17"/>
                <w:szCs w:val="17"/>
                <w:color w:val="auto"/>
              </w:rPr>
            </w:pPr>
          </w:p>
        </w:tc>
        <w:tc>
          <w:tcPr>
            <w:tcW w:w="6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b w:val="1"/>
                <w:bCs w:val="1"/>
                <w:color w:val="auto"/>
              </w:rPr>
              <w:t>Total</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1,393,286</w:t>
            </w:r>
          </w:p>
        </w:tc>
        <w:tc>
          <w:tcPr>
            <w:tcW w:w="22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1,281,448</w:t>
            </w:r>
          </w:p>
        </w:tc>
        <w:tc>
          <w:tcPr>
            <w:tcW w:w="20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1,197,207</w:t>
            </w: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68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5" w:lineRule="exact"/>
        <w:rPr>
          <w:sz w:val="20"/>
          <w:szCs w:val="20"/>
          <w:color w:val="auto"/>
        </w:rPr>
      </w:pPr>
    </w:p>
    <w:p>
      <w:pPr>
        <w:ind w:left="320"/>
        <w:spacing w:after="0"/>
        <w:rPr>
          <w:sz w:val="20"/>
          <w:szCs w:val="20"/>
          <w:color w:val="auto"/>
        </w:rPr>
      </w:pPr>
      <w:r>
        <w:rPr>
          <w:rFonts w:ascii="Arial" w:cs="Arial" w:eastAsia="Arial" w:hAnsi="Arial"/>
          <w:sz w:val="15"/>
          <w:szCs w:val="15"/>
          <w:color w:val="auto"/>
        </w:rPr>
        <w:t>The deferred income tax has been calculated on all temporary differences, considering the income tax rates effective where Credicorp’s subsidiaries are located.</w:t>
      </w:r>
    </w:p>
    <w:p>
      <w:pPr>
        <w:spacing w:after="0" w:line="200" w:lineRule="exact"/>
        <w:rPr>
          <w:sz w:val="20"/>
          <w:szCs w:val="20"/>
          <w:color w:val="auto"/>
        </w:rPr>
      </w:pPr>
    </w:p>
    <w:p>
      <w:pPr>
        <w:spacing w:after="0" w:line="251"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- 92 -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15875</wp:posOffset>
            </wp:positionV>
            <wp:extent cx="725170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51700" cy="8255"/>
                    </a:xfrm>
                    <a:prstGeom prst="rect">
                      <a:avLst/>
                    </a:prstGeom>
                    <a:noFill/>
                  </pic:spPr>
                </pic:pic>
              </a:graphicData>
            </a:graphic>
          </wp:anchor>
        </w:drawing>
      </w:r>
    </w:p>
    <w:p>
      <w:pPr>
        <w:sectPr>
          <w:pgSz w:w="11900" w:h="16838" w:orient="portrait"/>
          <w:cols w:equalWidth="0" w:num="1">
            <w:col w:w="11400"/>
          </w:cols>
          <w:pgMar w:left="240" w:top="881" w:right="259" w:bottom="1440" w:gutter="0" w:footer="0" w:header="0"/>
        </w:sectPr>
      </w:pPr>
    </w:p>
    <w:bookmarkStart w:id="98" w:name="page99"/>
    <w:bookmarkEnd w:id="98"/>
    <w:p>
      <w:pPr>
        <w:ind w:left="316" w:hanging="316"/>
        <w:spacing w:after="0"/>
        <w:tabs>
          <w:tab w:leader="none" w:pos="316" w:val="left"/>
        </w:tabs>
        <w:numPr>
          <w:ilvl w:val="0"/>
          <w:numId w:val="114"/>
        </w:numPr>
        <w:rPr>
          <w:rFonts w:ascii="Arial" w:cs="Arial" w:eastAsia="Arial" w:hAnsi="Arial"/>
          <w:sz w:val="17"/>
          <w:szCs w:val="17"/>
          <w:color w:val="auto"/>
        </w:rPr>
      </w:pPr>
      <w:r>
        <w:rPr>
          <w:rFonts w:ascii="Arial" w:cs="Arial" w:eastAsia="Arial" w:hAnsi="Arial"/>
          <w:sz w:val="17"/>
          <w:szCs w:val="17"/>
          <w:color w:val="auto"/>
        </w:rPr>
        <w:t>The following table presents a summary of the Group’s deferred income tax:</w:t>
      </w:r>
    </w:p>
    <w:p>
      <w:pPr>
        <w:spacing w:after="0" w:line="227" w:lineRule="exact"/>
        <w:rPr>
          <w:sz w:val="20"/>
          <w:szCs w:val="20"/>
          <w:color w:val="auto"/>
        </w:rPr>
      </w:pPr>
    </w:p>
    <w:tbl>
      <w:tblPr>
        <w:tblLayout w:type="fixed"/>
        <w:tblInd w:w="316" w:type="dxa"/>
        <w:tblCellMar>
          <w:top w:w="0" w:type="dxa"/>
          <w:left w:w="0" w:type="dxa"/>
          <w:bottom w:w="0" w:type="dxa"/>
          <w:right w:w="0" w:type="dxa"/>
        </w:tblCellMar>
      </w:tblPr>
      <w:tr>
        <w:trPr>
          <w:trHeight w:val="226"/>
        </w:trPr>
        <w:tc>
          <w:tcPr>
            <w:tcW w:w="8220" w:type="dxa"/>
            <w:vAlign w:val="bottom"/>
          </w:tcPr>
          <w:p>
            <w:pPr>
              <w:spacing w:after="0"/>
              <w:rPr>
                <w:sz w:val="19"/>
                <w:szCs w:val="19"/>
                <w:color w:val="auto"/>
              </w:rPr>
            </w:pPr>
          </w:p>
        </w:tc>
        <w:tc>
          <w:tcPr>
            <w:tcW w:w="1220" w:type="dxa"/>
            <w:vAlign w:val="bottom"/>
            <w:tcBorders>
              <w:bottom w:val="single" w:sz="8" w:color="auto"/>
            </w:tcBorders>
          </w:tcPr>
          <w:p>
            <w:pPr>
              <w:jc w:val="right"/>
              <w:ind w:right="353"/>
              <w:spacing w:after="0"/>
              <w:rPr>
                <w:sz w:val="20"/>
                <w:szCs w:val="20"/>
                <w:color w:val="auto"/>
              </w:rPr>
            </w:pPr>
            <w:r>
              <w:rPr>
                <w:rFonts w:ascii="Arial" w:cs="Arial" w:eastAsia="Arial" w:hAnsi="Arial"/>
                <w:sz w:val="17"/>
                <w:szCs w:val="17"/>
                <w:b w:val="1"/>
                <w:bCs w:val="1"/>
                <w:color w:val="auto"/>
              </w:rPr>
              <w:t>2017</w:t>
            </w:r>
          </w:p>
        </w:tc>
        <w:tc>
          <w:tcPr>
            <w:tcW w:w="200" w:type="dxa"/>
            <w:vAlign w:val="bottom"/>
          </w:tcPr>
          <w:p>
            <w:pPr>
              <w:spacing w:after="0"/>
              <w:rPr>
                <w:sz w:val="19"/>
                <w:szCs w:val="19"/>
                <w:color w:val="auto"/>
              </w:rPr>
            </w:pPr>
          </w:p>
        </w:tc>
        <w:tc>
          <w:tcPr>
            <w:tcW w:w="1200" w:type="dxa"/>
            <w:vAlign w:val="bottom"/>
            <w:tcBorders>
              <w:bottom w:val="single" w:sz="8" w:color="auto"/>
            </w:tcBorders>
          </w:tcPr>
          <w:p>
            <w:pPr>
              <w:jc w:val="right"/>
              <w:ind w:right="333"/>
              <w:spacing w:after="0"/>
              <w:rPr>
                <w:sz w:val="20"/>
                <w:szCs w:val="20"/>
                <w:color w:val="auto"/>
              </w:rPr>
            </w:pPr>
            <w:r>
              <w:rPr>
                <w:rFonts w:ascii="Arial" w:cs="Arial" w:eastAsia="Arial" w:hAnsi="Arial"/>
                <w:sz w:val="17"/>
                <w:szCs w:val="17"/>
                <w:b w:val="1"/>
                <w:bCs w:val="1"/>
                <w:color w:val="auto"/>
              </w:rPr>
              <w:t>2016</w:t>
            </w:r>
          </w:p>
        </w:tc>
        <w:tc>
          <w:tcPr>
            <w:tcW w:w="100" w:type="dxa"/>
            <w:vAlign w:val="bottom"/>
          </w:tcPr>
          <w:p>
            <w:pPr>
              <w:spacing w:after="0"/>
              <w:rPr>
                <w:sz w:val="19"/>
                <w:szCs w:val="19"/>
                <w:color w:val="auto"/>
              </w:rPr>
            </w:pPr>
          </w:p>
        </w:tc>
      </w:tr>
      <w:tr>
        <w:trPr>
          <w:trHeight w:val="201"/>
        </w:trPr>
        <w:tc>
          <w:tcPr>
            <w:tcW w:w="8220" w:type="dxa"/>
            <w:vAlign w:val="bottom"/>
          </w:tcPr>
          <w:p>
            <w:pPr>
              <w:spacing w:after="0"/>
              <w:rPr>
                <w:sz w:val="17"/>
                <w:szCs w:val="17"/>
                <w:color w:val="auto"/>
              </w:rPr>
            </w:pPr>
          </w:p>
        </w:tc>
        <w:tc>
          <w:tcPr>
            <w:tcW w:w="1220" w:type="dxa"/>
            <w:vAlign w:val="bottom"/>
          </w:tcPr>
          <w:p>
            <w:pPr>
              <w:jc w:val="center"/>
              <w:spacing w:after="0"/>
              <w:rPr>
                <w:sz w:val="20"/>
                <w:szCs w:val="20"/>
                <w:color w:val="auto"/>
              </w:rPr>
            </w:pPr>
            <w:r>
              <w:rPr>
                <w:rFonts w:ascii="Arial" w:cs="Arial" w:eastAsia="Arial" w:hAnsi="Arial"/>
                <w:sz w:val="17"/>
                <w:szCs w:val="17"/>
                <w:b w:val="1"/>
                <w:bCs w:val="1"/>
                <w:color w:val="auto"/>
                <w:w w:val="93"/>
              </w:rPr>
              <w:t>S/(000)</w:t>
            </w:r>
          </w:p>
        </w:tc>
        <w:tc>
          <w:tcPr>
            <w:tcW w:w="200" w:type="dxa"/>
            <w:vAlign w:val="bottom"/>
          </w:tcPr>
          <w:p>
            <w:pPr>
              <w:spacing w:after="0"/>
              <w:rPr>
                <w:sz w:val="17"/>
                <w:szCs w:val="17"/>
                <w:color w:val="auto"/>
              </w:rPr>
            </w:pPr>
          </w:p>
        </w:tc>
        <w:tc>
          <w:tcPr>
            <w:tcW w:w="1200" w:type="dxa"/>
            <w:vAlign w:val="bottom"/>
          </w:tcPr>
          <w:p>
            <w:pPr>
              <w:jc w:val="center"/>
              <w:spacing w:after="0"/>
              <w:rPr>
                <w:sz w:val="20"/>
                <w:szCs w:val="20"/>
                <w:color w:val="auto"/>
              </w:rPr>
            </w:pPr>
            <w:r>
              <w:rPr>
                <w:rFonts w:ascii="Arial" w:cs="Arial" w:eastAsia="Arial" w:hAnsi="Arial"/>
                <w:sz w:val="17"/>
                <w:szCs w:val="17"/>
                <w:b w:val="1"/>
                <w:bCs w:val="1"/>
                <w:color w:val="auto"/>
                <w:w w:val="93"/>
              </w:rPr>
              <w:t>S/(000)</w:t>
            </w:r>
          </w:p>
        </w:tc>
        <w:tc>
          <w:tcPr>
            <w:tcW w:w="100" w:type="dxa"/>
            <w:vAlign w:val="bottom"/>
          </w:tcPr>
          <w:p>
            <w:pPr>
              <w:spacing w:after="0"/>
              <w:rPr>
                <w:sz w:val="17"/>
                <w:szCs w:val="17"/>
                <w:color w:val="auto"/>
              </w:rPr>
            </w:pPr>
          </w:p>
        </w:tc>
      </w:tr>
      <w:tr>
        <w:trPr>
          <w:trHeight w:val="208"/>
        </w:trPr>
        <w:tc>
          <w:tcPr>
            <w:tcW w:w="822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Deferred income tax asset, net</w:t>
            </w:r>
          </w:p>
        </w:tc>
        <w:tc>
          <w:tcPr>
            <w:tcW w:w="1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8"/>
        </w:trPr>
        <w:tc>
          <w:tcPr>
            <w:tcW w:w="8220" w:type="dxa"/>
            <w:vAlign w:val="bottom"/>
          </w:tcPr>
          <w:p>
            <w:pPr>
              <w:spacing w:after="0"/>
              <w:rPr>
                <w:sz w:val="20"/>
                <w:szCs w:val="20"/>
                <w:color w:val="auto"/>
              </w:rPr>
            </w:pPr>
            <w:r>
              <w:rPr>
                <w:rFonts w:ascii="Arial" w:cs="Arial" w:eastAsia="Arial" w:hAnsi="Arial"/>
                <w:sz w:val="17"/>
                <w:szCs w:val="17"/>
                <w:b w:val="1"/>
                <w:bCs w:val="1"/>
                <w:color w:val="auto"/>
              </w:rPr>
              <w:t>Deferred asset</w:t>
            </w: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8"/>
        </w:trPr>
        <w:tc>
          <w:tcPr>
            <w:tcW w:w="8220" w:type="dxa"/>
            <w:vAlign w:val="bottom"/>
            <w:shd w:val="clear" w:color="auto" w:fill="CCEEFF"/>
          </w:tcPr>
          <w:p>
            <w:pPr>
              <w:spacing w:after="0"/>
              <w:rPr>
                <w:sz w:val="20"/>
                <w:szCs w:val="20"/>
                <w:color w:val="auto"/>
              </w:rPr>
            </w:pPr>
            <w:r>
              <w:rPr>
                <w:rFonts w:ascii="Arial" w:cs="Arial" w:eastAsia="Arial" w:hAnsi="Arial"/>
                <w:sz w:val="17"/>
                <w:szCs w:val="17"/>
                <w:color w:val="auto"/>
              </w:rPr>
              <w:t>Allowance for loan losses</w:t>
            </w: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604,828</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545,716</w:t>
            </w:r>
          </w:p>
        </w:tc>
        <w:tc>
          <w:tcPr>
            <w:tcW w:w="100" w:type="dxa"/>
            <w:vAlign w:val="bottom"/>
            <w:shd w:val="clear" w:color="auto" w:fill="CCEEFF"/>
          </w:tcPr>
          <w:p>
            <w:pPr>
              <w:spacing w:after="0"/>
              <w:rPr>
                <w:sz w:val="18"/>
                <w:szCs w:val="18"/>
                <w:color w:val="auto"/>
              </w:rPr>
            </w:pPr>
          </w:p>
        </w:tc>
      </w:tr>
      <w:tr>
        <w:trPr>
          <w:trHeight w:val="208"/>
        </w:trPr>
        <w:tc>
          <w:tcPr>
            <w:tcW w:w="8220" w:type="dxa"/>
            <w:vAlign w:val="bottom"/>
          </w:tcPr>
          <w:p>
            <w:pPr>
              <w:spacing w:after="0"/>
              <w:rPr>
                <w:sz w:val="20"/>
                <w:szCs w:val="20"/>
                <w:color w:val="auto"/>
              </w:rPr>
            </w:pPr>
            <w:r>
              <w:rPr>
                <w:rFonts w:ascii="Arial" w:cs="Arial" w:eastAsia="Arial" w:hAnsi="Arial"/>
                <w:sz w:val="17"/>
                <w:szCs w:val="17"/>
                <w:color w:val="auto"/>
              </w:rPr>
              <w:t>Tax loss carry forward</w:t>
            </w:r>
          </w:p>
        </w:tc>
        <w:tc>
          <w:tcPr>
            <w:tcW w:w="1420" w:type="dxa"/>
            <w:vAlign w:val="bottom"/>
            <w:gridSpan w:val="2"/>
          </w:tcPr>
          <w:p>
            <w:pPr>
              <w:jc w:val="right"/>
              <w:ind w:right="200"/>
              <w:spacing w:after="0"/>
              <w:rPr>
                <w:sz w:val="20"/>
                <w:szCs w:val="20"/>
                <w:color w:val="auto"/>
              </w:rPr>
            </w:pPr>
            <w:r>
              <w:rPr>
                <w:rFonts w:ascii="Arial" w:cs="Arial" w:eastAsia="Arial" w:hAnsi="Arial"/>
                <w:sz w:val="17"/>
                <w:szCs w:val="17"/>
                <w:color w:val="auto"/>
              </w:rPr>
              <w:t>13,332</w:t>
            </w:r>
          </w:p>
        </w:tc>
        <w:tc>
          <w:tcPr>
            <w:tcW w:w="1300" w:type="dxa"/>
            <w:vAlign w:val="bottom"/>
            <w:gridSpan w:val="2"/>
          </w:tcPr>
          <w:p>
            <w:pPr>
              <w:jc w:val="right"/>
              <w:ind w:right="100"/>
              <w:spacing w:after="0"/>
              <w:rPr>
                <w:sz w:val="20"/>
                <w:szCs w:val="20"/>
                <w:color w:val="auto"/>
              </w:rPr>
            </w:pPr>
            <w:r>
              <w:rPr>
                <w:rFonts w:ascii="Arial" w:cs="Arial" w:eastAsia="Arial" w:hAnsi="Arial"/>
                <w:sz w:val="17"/>
                <w:szCs w:val="17"/>
                <w:color w:val="auto"/>
              </w:rPr>
              <w:t>38,856</w:t>
            </w:r>
          </w:p>
        </w:tc>
      </w:tr>
      <w:tr>
        <w:trPr>
          <w:trHeight w:val="208"/>
        </w:trPr>
        <w:tc>
          <w:tcPr>
            <w:tcW w:w="8220" w:type="dxa"/>
            <w:vAlign w:val="bottom"/>
            <w:shd w:val="clear" w:color="auto" w:fill="CCEEFF"/>
          </w:tcPr>
          <w:p>
            <w:pPr>
              <w:spacing w:after="0"/>
              <w:rPr>
                <w:sz w:val="20"/>
                <w:szCs w:val="20"/>
                <w:color w:val="auto"/>
              </w:rPr>
            </w:pPr>
            <w:r>
              <w:rPr>
                <w:rFonts w:ascii="Arial" w:cs="Arial" w:eastAsia="Arial" w:hAnsi="Arial"/>
                <w:sz w:val="17"/>
                <w:szCs w:val="17"/>
                <w:color w:val="auto"/>
              </w:rPr>
              <w:t>Provision for sundry expenses</w:t>
            </w: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44,885</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38,326</w:t>
            </w:r>
          </w:p>
        </w:tc>
      </w:tr>
      <w:tr>
        <w:trPr>
          <w:trHeight w:val="208"/>
        </w:trPr>
        <w:tc>
          <w:tcPr>
            <w:tcW w:w="8220" w:type="dxa"/>
            <w:vAlign w:val="bottom"/>
          </w:tcPr>
          <w:p>
            <w:pPr>
              <w:spacing w:after="0"/>
              <w:rPr>
                <w:sz w:val="20"/>
                <w:szCs w:val="20"/>
                <w:color w:val="auto"/>
              </w:rPr>
            </w:pPr>
            <w:r>
              <w:rPr>
                <w:rFonts w:ascii="Arial" w:cs="Arial" w:eastAsia="Arial" w:hAnsi="Arial"/>
                <w:sz w:val="17"/>
                <w:szCs w:val="17"/>
                <w:color w:val="auto"/>
              </w:rPr>
              <w:t>Unrealized loss due to valuation of cash flow hedge derivatives</w:t>
            </w:r>
          </w:p>
        </w:tc>
        <w:tc>
          <w:tcPr>
            <w:tcW w:w="1420" w:type="dxa"/>
            <w:vAlign w:val="bottom"/>
            <w:gridSpan w:val="2"/>
          </w:tcPr>
          <w:p>
            <w:pPr>
              <w:jc w:val="right"/>
              <w:ind w:right="200"/>
              <w:spacing w:after="0"/>
              <w:rPr>
                <w:sz w:val="20"/>
                <w:szCs w:val="20"/>
                <w:color w:val="auto"/>
              </w:rPr>
            </w:pPr>
            <w:r>
              <w:rPr>
                <w:rFonts w:ascii="Arial" w:cs="Arial" w:eastAsia="Arial" w:hAnsi="Arial"/>
                <w:sz w:val="17"/>
                <w:szCs w:val="17"/>
                <w:color w:val="auto"/>
              </w:rPr>
              <w:t>22,039</w:t>
            </w:r>
          </w:p>
        </w:tc>
        <w:tc>
          <w:tcPr>
            <w:tcW w:w="1200" w:type="dxa"/>
            <w:vAlign w:val="bottom"/>
          </w:tcPr>
          <w:p>
            <w:pPr>
              <w:jc w:val="right"/>
              <w:spacing w:after="0"/>
              <w:rPr>
                <w:sz w:val="20"/>
                <w:szCs w:val="20"/>
                <w:color w:val="auto"/>
              </w:rPr>
            </w:pPr>
            <w:r>
              <w:rPr>
                <w:rFonts w:ascii="Arial" w:cs="Arial" w:eastAsia="Arial" w:hAnsi="Arial"/>
                <w:sz w:val="17"/>
                <w:szCs w:val="17"/>
                <w:color w:val="auto"/>
              </w:rPr>
              <w:t>2,105</w:t>
            </w:r>
          </w:p>
        </w:tc>
        <w:tc>
          <w:tcPr>
            <w:tcW w:w="100" w:type="dxa"/>
            <w:vAlign w:val="bottom"/>
          </w:tcPr>
          <w:p>
            <w:pPr>
              <w:spacing w:after="0"/>
              <w:rPr>
                <w:sz w:val="18"/>
                <w:szCs w:val="18"/>
                <w:color w:val="auto"/>
              </w:rPr>
            </w:pPr>
          </w:p>
        </w:tc>
      </w:tr>
      <w:tr>
        <w:trPr>
          <w:trHeight w:val="208"/>
        </w:trPr>
        <w:tc>
          <w:tcPr>
            <w:tcW w:w="8220" w:type="dxa"/>
            <w:vAlign w:val="bottom"/>
            <w:shd w:val="clear" w:color="auto" w:fill="CCEEFF"/>
          </w:tcPr>
          <w:p>
            <w:pPr>
              <w:spacing w:after="0"/>
              <w:rPr>
                <w:sz w:val="20"/>
                <w:szCs w:val="20"/>
                <w:color w:val="auto"/>
              </w:rPr>
            </w:pPr>
            <w:r>
              <w:rPr>
                <w:rFonts w:ascii="Arial" w:cs="Arial" w:eastAsia="Arial" w:hAnsi="Arial"/>
                <w:sz w:val="17"/>
                <w:szCs w:val="17"/>
                <w:color w:val="auto"/>
              </w:rPr>
              <w:t>Provision for sundry risks</w:t>
            </w: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20,173</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17,731</w:t>
            </w:r>
          </w:p>
        </w:tc>
      </w:tr>
      <w:tr>
        <w:trPr>
          <w:trHeight w:val="208"/>
        </w:trPr>
        <w:tc>
          <w:tcPr>
            <w:tcW w:w="8220" w:type="dxa"/>
            <w:vAlign w:val="bottom"/>
          </w:tcPr>
          <w:p>
            <w:pPr>
              <w:spacing w:after="0"/>
              <w:rPr>
                <w:sz w:val="20"/>
                <w:szCs w:val="20"/>
                <w:color w:val="auto"/>
              </w:rPr>
            </w:pPr>
            <w:r>
              <w:rPr>
                <w:rFonts w:ascii="Arial" w:cs="Arial" w:eastAsia="Arial" w:hAnsi="Arial"/>
                <w:sz w:val="17"/>
                <w:szCs w:val="17"/>
                <w:color w:val="auto"/>
              </w:rPr>
              <w:t>Impairments in buildings for rent depreciation</w:t>
            </w:r>
          </w:p>
        </w:tc>
        <w:tc>
          <w:tcPr>
            <w:tcW w:w="1420" w:type="dxa"/>
            <w:vAlign w:val="bottom"/>
            <w:gridSpan w:val="2"/>
          </w:tcPr>
          <w:p>
            <w:pPr>
              <w:jc w:val="right"/>
              <w:ind w:right="200"/>
              <w:spacing w:after="0"/>
              <w:rPr>
                <w:sz w:val="20"/>
                <w:szCs w:val="20"/>
                <w:color w:val="auto"/>
              </w:rPr>
            </w:pPr>
            <w:r>
              <w:rPr>
                <w:rFonts w:ascii="Arial" w:cs="Arial" w:eastAsia="Arial" w:hAnsi="Arial"/>
                <w:sz w:val="17"/>
                <w:szCs w:val="17"/>
                <w:color w:val="auto"/>
              </w:rPr>
              <w:t>17,489</w:t>
            </w:r>
          </w:p>
        </w:tc>
        <w:tc>
          <w:tcPr>
            <w:tcW w:w="1300" w:type="dxa"/>
            <w:vAlign w:val="bottom"/>
            <w:gridSpan w:val="2"/>
          </w:tcPr>
          <w:p>
            <w:pPr>
              <w:jc w:val="right"/>
              <w:ind w:right="100"/>
              <w:spacing w:after="0"/>
              <w:rPr>
                <w:sz w:val="20"/>
                <w:szCs w:val="20"/>
                <w:color w:val="auto"/>
              </w:rPr>
            </w:pPr>
            <w:r>
              <w:rPr>
                <w:rFonts w:ascii="Arial" w:cs="Arial" w:eastAsia="Arial" w:hAnsi="Arial"/>
                <w:sz w:val="17"/>
                <w:szCs w:val="17"/>
                <w:color w:val="auto"/>
              </w:rPr>
              <w:t>18,641</w:t>
            </w:r>
          </w:p>
        </w:tc>
      </w:tr>
      <w:tr>
        <w:trPr>
          <w:trHeight w:val="208"/>
        </w:trPr>
        <w:tc>
          <w:tcPr>
            <w:tcW w:w="8220" w:type="dxa"/>
            <w:vAlign w:val="bottom"/>
            <w:shd w:val="clear" w:color="auto" w:fill="CCEEFF"/>
          </w:tcPr>
          <w:p>
            <w:pPr>
              <w:spacing w:after="0"/>
              <w:rPr>
                <w:sz w:val="20"/>
                <w:szCs w:val="20"/>
                <w:color w:val="auto"/>
              </w:rPr>
            </w:pPr>
            <w:r>
              <w:rPr>
                <w:rFonts w:ascii="Arial" w:cs="Arial" w:eastAsia="Arial" w:hAnsi="Arial"/>
                <w:sz w:val="17"/>
                <w:szCs w:val="17"/>
                <w:color w:val="auto"/>
              </w:rPr>
              <w:t>Unrealized loss on hedged bonds</w:t>
            </w: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3,047</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43,252</w:t>
            </w:r>
          </w:p>
        </w:tc>
      </w:tr>
      <w:tr>
        <w:trPr>
          <w:trHeight w:val="208"/>
        </w:trPr>
        <w:tc>
          <w:tcPr>
            <w:tcW w:w="8220" w:type="dxa"/>
            <w:vAlign w:val="bottom"/>
          </w:tcPr>
          <w:p>
            <w:pPr>
              <w:spacing w:after="0"/>
              <w:rPr>
                <w:sz w:val="20"/>
                <w:szCs w:val="20"/>
                <w:color w:val="auto"/>
              </w:rPr>
            </w:pPr>
            <w:r>
              <w:rPr>
                <w:rFonts w:ascii="Arial" w:cs="Arial" w:eastAsia="Arial" w:hAnsi="Arial"/>
                <w:sz w:val="17"/>
                <w:szCs w:val="17"/>
                <w:color w:val="auto"/>
              </w:rPr>
              <w:t>Unrealized loss due to valuation of available-for-sale investments</w:t>
            </w:r>
          </w:p>
        </w:tc>
        <w:tc>
          <w:tcPr>
            <w:tcW w:w="1420" w:type="dxa"/>
            <w:vAlign w:val="bottom"/>
            <w:gridSpan w:val="2"/>
          </w:tcPr>
          <w:p>
            <w:pPr>
              <w:jc w:val="right"/>
              <w:ind w:right="200"/>
              <w:spacing w:after="0"/>
              <w:rPr>
                <w:sz w:val="20"/>
                <w:szCs w:val="20"/>
                <w:color w:val="auto"/>
              </w:rPr>
            </w:pPr>
            <w:r>
              <w:rPr>
                <w:rFonts w:ascii="Arial" w:cs="Arial" w:eastAsia="Arial" w:hAnsi="Arial"/>
                <w:sz w:val="17"/>
                <w:szCs w:val="17"/>
                <w:color w:val="auto"/>
              </w:rPr>
              <w:t>2,563</w:t>
            </w:r>
          </w:p>
        </w:tc>
        <w:tc>
          <w:tcPr>
            <w:tcW w:w="1200" w:type="dxa"/>
            <w:vAlign w:val="bottom"/>
          </w:tcPr>
          <w:p>
            <w:pPr>
              <w:jc w:val="right"/>
              <w:spacing w:after="0"/>
              <w:rPr>
                <w:sz w:val="20"/>
                <w:szCs w:val="20"/>
                <w:color w:val="auto"/>
              </w:rPr>
            </w:pPr>
            <w:r>
              <w:rPr>
                <w:rFonts w:ascii="Arial" w:cs="Arial" w:eastAsia="Arial" w:hAnsi="Arial"/>
                <w:sz w:val="17"/>
                <w:szCs w:val="17"/>
                <w:color w:val="auto"/>
              </w:rPr>
              <w:t>6,001</w:t>
            </w:r>
          </w:p>
        </w:tc>
        <w:tc>
          <w:tcPr>
            <w:tcW w:w="100" w:type="dxa"/>
            <w:vAlign w:val="bottom"/>
          </w:tcPr>
          <w:p>
            <w:pPr>
              <w:spacing w:after="0"/>
              <w:rPr>
                <w:sz w:val="18"/>
                <w:szCs w:val="18"/>
                <w:color w:val="auto"/>
              </w:rPr>
            </w:pPr>
          </w:p>
        </w:tc>
      </w:tr>
      <w:tr>
        <w:trPr>
          <w:trHeight w:val="208"/>
        </w:trPr>
        <w:tc>
          <w:tcPr>
            <w:tcW w:w="8220" w:type="dxa"/>
            <w:vAlign w:val="bottom"/>
            <w:shd w:val="clear" w:color="auto" w:fill="CCEEFF"/>
          </w:tcPr>
          <w:p>
            <w:pPr>
              <w:spacing w:after="0"/>
              <w:rPr>
                <w:sz w:val="20"/>
                <w:szCs w:val="20"/>
                <w:color w:val="auto"/>
              </w:rPr>
            </w:pPr>
            <w:r>
              <w:rPr>
                <w:rFonts w:ascii="Arial" w:cs="Arial" w:eastAsia="Arial" w:hAnsi="Arial"/>
                <w:sz w:val="17"/>
                <w:szCs w:val="17"/>
                <w:color w:val="auto"/>
              </w:rPr>
              <w:t>Others</w:t>
            </w: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40,447</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35,344</w:t>
            </w:r>
          </w:p>
        </w:tc>
      </w:tr>
      <w:tr>
        <w:trPr>
          <w:trHeight w:val="208"/>
        </w:trPr>
        <w:tc>
          <w:tcPr>
            <w:tcW w:w="8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8"/>
        </w:trPr>
        <w:tc>
          <w:tcPr>
            <w:tcW w:w="822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Deferred liability</w:t>
            </w:r>
          </w:p>
        </w:tc>
        <w:tc>
          <w:tcPr>
            <w:tcW w:w="1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8"/>
        </w:trPr>
        <w:tc>
          <w:tcPr>
            <w:tcW w:w="8220" w:type="dxa"/>
            <w:vAlign w:val="bottom"/>
          </w:tcPr>
          <w:p>
            <w:pPr>
              <w:spacing w:after="0"/>
              <w:rPr>
                <w:sz w:val="20"/>
                <w:szCs w:val="20"/>
                <w:color w:val="auto"/>
              </w:rPr>
            </w:pPr>
            <w:r>
              <w:rPr>
                <w:rFonts w:ascii="Arial" w:cs="Arial" w:eastAsia="Arial" w:hAnsi="Arial"/>
                <w:sz w:val="17"/>
                <w:szCs w:val="17"/>
                <w:color w:val="auto"/>
              </w:rPr>
              <w:t>Intangibles, net</w:t>
            </w:r>
          </w:p>
        </w:tc>
        <w:tc>
          <w:tcPr>
            <w:tcW w:w="1420" w:type="dxa"/>
            <w:vAlign w:val="bottom"/>
            <w:gridSpan w:val="2"/>
          </w:tcPr>
          <w:p>
            <w:pPr>
              <w:jc w:val="right"/>
              <w:ind w:right="140"/>
              <w:spacing w:after="0"/>
              <w:rPr>
                <w:sz w:val="20"/>
                <w:szCs w:val="20"/>
                <w:color w:val="auto"/>
              </w:rPr>
            </w:pPr>
            <w:r>
              <w:rPr>
                <w:rFonts w:ascii="Arial" w:cs="Arial" w:eastAsia="Arial" w:hAnsi="Arial"/>
                <w:sz w:val="17"/>
                <w:szCs w:val="17"/>
                <w:color w:val="auto"/>
              </w:rPr>
              <w:t>(132,553)</w:t>
            </w:r>
          </w:p>
        </w:tc>
        <w:tc>
          <w:tcPr>
            <w:tcW w:w="1300" w:type="dxa"/>
            <w:vAlign w:val="bottom"/>
            <w:gridSpan w:val="2"/>
          </w:tcPr>
          <w:p>
            <w:pPr>
              <w:jc w:val="right"/>
              <w:ind w:right="40"/>
              <w:spacing w:after="0"/>
              <w:rPr>
                <w:sz w:val="20"/>
                <w:szCs w:val="20"/>
                <w:color w:val="auto"/>
              </w:rPr>
            </w:pPr>
            <w:r>
              <w:rPr>
                <w:rFonts w:ascii="Arial" w:cs="Arial" w:eastAsia="Arial" w:hAnsi="Arial"/>
                <w:sz w:val="17"/>
                <w:szCs w:val="17"/>
                <w:color w:val="auto"/>
              </w:rPr>
              <w:t>(86,746)</w:t>
            </w:r>
          </w:p>
        </w:tc>
      </w:tr>
      <w:tr>
        <w:trPr>
          <w:trHeight w:val="208"/>
        </w:trPr>
        <w:tc>
          <w:tcPr>
            <w:tcW w:w="8220" w:type="dxa"/>
            <w:vAlign w:val="bottom"/>
            <w:shd w:val="clear" w:color="auto" w:fill="CCEEFF"/>
          </w:tcPr>
          <w:p>
            <w:pPr>
              <w:spacing w:after="0"/>
              <w:rPr>
                <w:sz w:val="20"/>
                <w:szCs w:val="20"/>
                <w:color w:val="auto"/>
              </w:rPr>
            </w:pPr>
            <w:r>
              <w:rPr>
                <w:rFonts w:ascii="Arial" w:cs="Arial" w:eastAsia="Arial" w:hAnsi="Arial"/>
                <w:sz w:val="17"/>
                <w:szCs w:val="17"/>
                <w:color w:val="auto"/>
              </w:rPr>
              <w:t>Buildings depreciation</w:t>
            </w: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(70,515)</w:t>
            </w:r>
          </w:p>
        </w:tc>
        <w:tc>
          <w:tcPr>
            <w:tcW w:w="13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(73,322)</w:t>
            </w:r>
          </w:p>
        </w:tc>
      </w:tr>
      <w:tr>
        <w:trPr>
          <w:trHeight w:val="208"/>
        </w:trPr>
        <w:tc>
          <w:tcPr>
            <w:tcW w:w="8220" w:type="dxa"/>
            <w:vAlign w:val="bottom"/>
          </w:tcPr>
          <w:p>
            <w:pPr>
              <w:spacing w:after="0"/>
              <w:rPr>
                <w:sz w:val="20"/>
                <w:szCs w:val="20"/>
                <w:color w:val="auto"/>
              </w:rPr>
            </w:pPr>
            <w:r>
              <w:rPr>
                <w:rFonts w:ascii="Arial" w:cs="Arial" w:eastAsia="Arial" w:hAnsi="Arial"/>
                <w:sz w:val="17"/>
                <w:szCs w:val="17"/>
                <w:color w:val="auto"/>
              </w:rPr>
              <w:t>Adjustment for difference in exchange of SUNAT and SBS</w:t>
            </w:r>
          </w:p>
        </w:tc>
        <w:tc>
          <w:tcPr>
            <w:tcW w:w="1420" w:type="dxa"/>
            <w:vAlign w:val="bottom"/>
            <w:gridSpan w:val="2"/>
          </w:tcPr>
          <w:p>
            <w:pPr>
              <w:jc w:val="right"/>
              <w:ind w:right="140"/>
              <w:spacing w:after="0"/>
              <w:rPr>
                <w:sz w:val="20"/>
                <w:szCs w:val="20"/>
                <w:color w:val="auto"/>
              </w:rPr>
            </w:pPr>
            <w:r>
              <w:rPr>
                <w:rFonts w:ascii="Arial" w:cs="Arial" w:eastAsia="Arial" w:hAnsi="Arial"/>
                <w:sz w:val="17"/>
                <w:szCs w:val="17"/>
                <w:color w:val="auto"/>
              </w:rPr>
              <w:t>(35,660)</w:t>
            </w:r>
          </w:p>
        </w:tc>
        <w:tc>
          <w:tcPr>
            <w:tcW w:w="1300" w:type="dxa"/>
            <w:vAlign w:val="bottom"/>
            <w:gridSpan w:val="2"/>
          </w:tcPr>
          <w:p>
            <w:pPr>
              <w:jc w:val="right"/>
              <w:ind w:right="40"/>
              <w:spacing w:after="0"/>
              <w:rPr>
                <w:sz w:val="20"/>
                <w:szCs w:val="20"/>
                <w:color w:val="auto"/>
              </w:rPr>
            </w:pPr>
            <w:r>
              <w:rPr>
                <w:rFonts w:ascii="Arial" w:cs="Arial" w:eastAsia="Arial" w:hAnsi="Arial"/>
                <w:sz w:val="17"/>
                <w:szCs w:val="17"/>
                <w:color w:val="auto"/>
              </w:rPr>
              <w:t>(40,096)</w:t>
            </w:r>
          </w:p>
        </w:tc>
      </w:tr>
      <w:tr>
        <w:trPr>
          <w:trHeight w:val="195"/>
        </w:trPr>
        <w:tc>
          <w:tcPr>
            <w:tcW w:w="8220" w:type="dxa"/>
            <w:vAlign w:val="bottom"/>
            <w:shd w:val="clear" w:color="auto" w:fill="CCEEFF"/>
          </w:tcPr>
          <w:p>
            <w:pPr>
              <w:spacing w:after="0"/>
              <w:rPr>
                <w:sz w:val="20"/>
                <w:szCs w:val="20"/>
                <w:color w:val="auto"/>
              </w:rPr>
            </w:pPr>
            <w:r>
              <w:rPr>
                <w:rFonts w:ascii="Arial" w:cs="Arial" w:eastAsia="Arial" w:hAnsi="Arial"/>
                <w:sz w:val="17"/>
                <w:szCs w:val="17"/>
                <w:color w:val="auto"/>
              </w:rPr>
              <w:t>Unrealized gain due to valuation of derivative financial</w:t>
            </w:r>
          </w:p>
        </w:tc>
        <w:tc>
          <w:tcPr>
            <w:tcW w:w="12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20"/>
        </w:trPr>
        <w:tc>
          <w:tcPr>
            <w:tcW w:w="8220" w:type="dxa"/>
            <w:vAlign w:val="bottom"/>
            <w:shd w:val="clear" w:color="auto" w:fill="CCEEFF"/>
          </w:tcPr>
          <w:p>
            <w:pPr>
              <w:spacing w:after="0"/>
              <w:rPr>
                <w:sz w:val="20"/>
                <w:szCs w:val="20"/>
                <w:color w:val="auto"/>
              </w:rPr>
            </w:pPr>
            <w:r>
              <w:rPr>
                <w:rFonts w:ascii="Arial" w:cs="Arial" w:eastAsia="Arial" w:hAnsi="Arial"/>
                <w:sz w:val="17"/>
                <w:szCs w:val="17"/>
                <w:color w:val="auto"/>
              </w:rPr>
              <w:t>instruments for hedging purposes</w:t>
            </w: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(8,431)</w:t>
            </w:r>
          </w:p>
        </w:tc>
        <w:tc>
          <w:tcPr>
            <w:tcW w:w="13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(7,216)</w:t>
            </w:r>
          </w:p>
        </w:tc>
      </w:tr>
      <w:tr>
        <w:trPr>
          <w:trHeight w:val="195"/>
        </w:trPr>
        <w:tc>
          <w:tcPr>
            <w:tcW w:w="8220" w:type="dxa"/>
            <w:vAlign w:val="bottom"/>
          </w:tcPr>
          <w:p>
            <w:pPr>
              <w:spacing w:after="0"/>
              <w:rPr>
                <w:sz w:val="20"/>
                <w:szCs w:val="20"/>
                <w:color w:val="auto"/>
              </w:rPr>
            </w:pPr>
            <w:r>
              <w:rPr>
                <w:rFonts w:ascii="Arial" w:cs="Arial" w:eastAsia="Arial" w:hAnsi="Arial"/>
                <w:sz w:val="17"/>
                <w:szCs w:val="17"/>
                <w:color w:val="auto"/>
              </w:rPr>
              <w:t>Unrealized gain due to valuation of available-for-sale</w:t>
            </w:r>
          </w:p>
        </w:tc>
        <w:tc>
          <w:tcPr>
            <w:tcW w:w="1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20"/>
        </w:trPr>
        <w:tc>
          <w:tcPr>
            <w:tcW w:w="8220" w:type="dxa"/>
            <w:vAlign w:val="bottom"/>
          </w:tcPr>
          <w:p>
            <w:pPr>
              <w:spacing w:after="0"/>
              <w:rPr>
                <w:sz w:val="20"/>
                <w:szCs w:val="20"/>
                <w:color w:val="auto"/>
              </w:rPr>
            </w:pPr>
            <w:r>
              <w:rPr>
                <w:rFonts w:ascii="Arial" w:cs="Arial" w:eastAsia="Arial" w:hAnsi="Arial"/>
                <w:sz w:val="17"/>
                <w:szCs w:val="17"/>
                <w:color w:val="auto"/>
              </w:rPr>
              <w:t>investments</w:t>
            </w:r>
          </w:p>
        </w:tc>
        <w:tc>
          <w:tcPr>
            <w:tcW w:w="1420" w:type="dxa"/>
            <w:vAlign w:val="bottom"/>
            <w:gridSpan w:val="2"/>
          </w:tcPr>
          <w:p>
            <w:pPr>
              <w:jc w:val="right"/>
              <w:ind w:right="140"/>
              <w:spacing w:after="0"/>
              <w:rPr>
                <w:sz w:val="20"/>
                <w:szCs w:val="20"/>
                <w:color w:val="auto"/>
              </w:rPr>
            </w:pPr>
            <w:r>
              <w:rPr>
                <w:rFonts w:ascii="Arial" w:cs="Arial" w:eastAsia="Arial" w:hAnsi="Arial"/>
                <w:sz w:val="17"/>
                <w:szCs w:val="17"/>
                <w:color w:val="auto"/>
              </w:rPr>
              <w:t>(8,095)</w:t>
            </w:r>
          </w:p>
        </w:tc>
        <w:tc>
          <w:tcPr>
            <w:tcW w:w="1300" w:type="dxa"/>
            <w:vAlign w:val="bottom"/>
            <w:gridSpan w:val="2"/>
          </w:tcPr>
          <w:p>
            <w:pPr>
              <w:jc w:val="right"/>
              <w:ind w:right="40"/>
              <w:spacing w:after="0"/>
              <w:rPr>
                <w:sz w:val="20"/>
                <w:szCs w:val="20"/>
                <w:color w:val="auto"/>
              </w:rPr>
            </w:pPr>
            <w:r>
              <w:rPr>
                <w:rFonts w:ascii="Arial" w:cs="Arial" w:eastAsia="Arial" w:hAnsi="Arial"/>
                <w:sz w:val="17"/>
                <w:szCs w:val="17"/>
                <w:color w:val="auto"/>
              </w:rPr>
              <w:t>(6,142)</w:t>
            </w:r>
          </w:p>
        </w:tc>
      </w:tr>
      <w:tr>
        <w:trPr>
          <w:trHeight w:val="208"/>
        </w:trPr>
        <w:tc>
          <w:tcPr>
            <w:tcW w:w="8220" w:type="dxa"/>
            <w:vAlign w:val="bottom"/>
            <w:shd w:val="clear" w:color="auto" w:fill="CCEEFF"/>
          </w:tcPr>
          <w:p>
            <w:pPr>
              <w:spacing w:after="0"/>
              <w:rPr>
                <w:sz w:val="20"/>
                <w:szCs w:val="20"/>
                <w:color w:val="auto"/>
              </w:rPr>
            </w:pPr>
            <w:r>
              <w:rPr>
                <w:rFonts w:ascii="Arial" w:cs="Arial" w:eastAsia="Arial" w:hAnsi="Arial"/>
                <w:sz w:val="17"/>
                <w:szCs w:val="17"/>
                <w:color w:val="auto"/>
              </w:rPr>
              <w:t>Deferred acquisitions costs - DAC</w:t>
            </w: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(12,855)</w:t>
            </w:r>
          </w:p>
        </w:tc>
        <w:tc>
          <w:tcPr>
            <w:tcW w:w="13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(8,597)</w:t>
            </w:r>
          </w:p>
        </w:tc>
      </w:tr>
      <w:tr>
        <w:trPr>
          <w:trHeight w:val="208"/>
        </w:trPr>
        <w:tc>
          <w:tcPr>
            <w:tcW w:w="8220" w:type="dxa"/>
            <w:vAlign w:val="bottom"/>
          </w:tcPr>
          <w:p>
            <w:pPr>
              <w:spacing w:after="0"/>
              <w:rPr>
                <w:sz w:val="20"/>
                <w:szCs w:val="20"/>
                <w:color w:val="auto"/>
              </w:rPr>
            </w:pPr>
            <w:r>
              <w:rPr>
                <w:rFonts w:ascii="Arial" w:cs="Arial" w:eastAsia="Arial" w:hAnsi="Arial"/>
                <w:sz w:val="17"/>
                <w:szCs w:val="17"/>
                <w:color w:val="auto"/>
              </w:rPr>
              <w:t>Buildings revaluation</w:t>
            </w:r>
          </w:p>
        </w:tc>
        <w:tc>
          <w:tcPr>
            <w:tcW w:w="1420" w:type="dxa"/>
            <w:vAlign w:val="bottom"/>
            <w:gridSpan w:val="2"/>
          </w:tcPr>
          <w:p>
            <w:pPr>
              <w:jc w:val="right"/>
              <w:ind w:right="140"/>
              <w:spacing w:after="0"/>
              <w:rPr>
                <w:sz w:val="20"/>
                <w:szCs w:val="20"/>
                <w:color w:val="auto"/>
              </w:rPr>
            </w:pPr>
            <w:r>
              <w:rPr>
                <w:rFonts w:ascii="Arial" w:cs="Arial" w:eastAsia="Arial" w:hAnsi="Arial"/>
                <w:sz w:val="17"/>
                <w:szCs w:val="17"/>
                <w:color w:val="auto"/>
              </w:rPr>
              <w:t>(5,917)</w:t>
            </w:r>
          </w:p>
        </w:tc>
        <w:tc>
          <w:tcPr>
            <w:tcW w:w="1300" w:type="dxa"/>
            <w:vAlign w:val="bottom"/>
            <w:gridSpan w:val="2"/>
          </w:tcPr>
          <w:p>
            <w:pPr>
              <w:jc w:val="right"/>
              <w:ind w:right="40"/>
              <w:spacing w:after="0"/>
              <w:rPr>
                <w:sz w:val="20"/>
                <w:szCs w:val="20"/>
                <w:color w:val="auto"/>
              </w:rPr>
            </w:pPr>
            <w:r>
              <w:rPr>
                <w:rFonts w:ascii="Arial" w:cs="Arial" w:eastAsia="Arial" w:hAnsi="Arial"/>
                <w:sz w:val="17"/>
                <w:szCs w:val="17"/>
                <w:color w:val="auto"/>
              </w:rPr>
              <w:t>(6,589)</w:t>
            </w:r>
          </w:p>
        </w:tc>
      </w:tr>
      <w:tr>
        <w:trPr>
          <w:trHeight w:val="221"/>
        </w:trPr>
        <w:tc>
          <w:tcPr>
            <w:tcW w:w="8220" w:type="dxa"/>
            <w:vAlign w:val="bottom"/>
            <w:shd w:val="clear" w:color="auto" w:fill="CCEEFF"/>
          </w:tcPr>
          <w:p>
            <w:pPr>
              <w:spacing w:after="0"/>
              <w:rPr>
                <w:sz w:val="20"/>
                <w:szCs w:val="20"/>
                <w:color w:val="auto"/>
              </w:rPr>
            </w:pPr>
            <w:r>
              <w:rPr>
                <w:rFonts w:ascii="Arial" w:cs="Arial" w:eastAsia="Arial" w:hAnsi="Arial"/>
                <w:sz w:val="17"/>
                <w:szCs w:val="17"/>
                <w:color w:val="auto"/>
              </w:rPr>
              <w:t>Others</w:t>
            </w: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(14,720)</w:t>
            </w:r>
          </w:p>
        </w:tc>
        <w:tc>
          <w:tcPr>
            <w:tcW w:w="13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(11,220)</w:t>
            </w:r>
          </w:p>
        </w:tc>
      </w:tr>
      <w:tr>
        <w:trPr>
          <w:trHeight w:val="241"/>
        </w:trPr>
        <w:tc>
          <w:tcPr>
            <w:tcW w:w="8220" w:type="dxa"/>
            <w:vAlign w:val="bottom"/>
            <w:tcBorders>
              <w:bottom w:val="single" w:sz="8" w:color="CCEEFF"/>
            </w:tcBorders>
          </w:tcPr>
          <w:p>
            <w:pPr>
              <w:spacing w:after="0"/>
              <w:rPr>
                <w:sz w:val="20"/>
                <w:szCs w:val="20"/>
                <w:color w:val="auto"/>
              </w:rPr>
            </w:pPr>
            <w:r>
              <w:rPr>
                <w:rFonts w:ascii="Arial" w:cs="Arial" w:eastAsia="Arial" w:hAnsi="Arial"/>
                <w:sz w:val="17"/>
                <w:szCs w:val="17"/>
                <w:b w:val="1"/>
                <w:bCs w:val="1"/>
                <w:color w:val="auto"/>
              </w:rPr>
              <w:t>Total</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480,057</w:t>
            </w:r>
          </w:p>
        </w:tc>
        <w:tc>
          <w:tcPr>
            <w:tcW w:w="200" w:type="dxa"/>
            <w:vAlign w:val="bottom"/>
            <w:tcBorders>
              <w:bottom w:val="single" w:sz="8" w:color="CCEEFF"/>
            </w:tcBorders>
          </w:tcPr>
          <w:p>
            <w:pPr>
              <w:spacing w:after="0"/>
              <w:rPr>
                <w:sz w:val="20"/>
                <w:szCs w:val="20"/>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506,044</w:t>
            </w:r>
          </w:p>
        </w:tc>
        <w:tc>
          <w:tcPr>
            <w:tcW w:w="100" w:type="dxa"/>
            <w:vAlign w:val="bottom"/>
            <w:tcBorders>
              <w:bottom w:val="single" w:sz="8" w:color="CCEEFF"/>
            </w:tcBorders>
          </w:tcPr>
          <w:p>
            <w:pPr>
              <w:spacing w:after="0"/>
              <w:rPr>
                <w:sz w:val="20"/>
                <w:szCs w:val="20"/>
                <w:color w:val="auto"/>
              </w:rPr>
            </w:pPr>
          </w:p>
        </w:tc>
      </w:tr>
      <w:tr>
        <w:trPr>
          <w:trHeight w:val="187"/>
        </w:trPr>
        <w:tc>
          <w:tcPr>
            <w:tcW w:w="822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08"/>
        </w:trPr>
        <w:tc>
          <w:tcPr>
            <w:tcW w:w="8220" w:type="dxa"/>
            <w:vAlign w:val="bottom"/>
          </w:tcPr>
          <w:p>
            <w:pPr>
              <w:spacing w:after="0"/>
              <w:rPr>
                <w:sz w:val="20"/>
                <w:szCs w:val="20"/>
                <w:color w:val="auto"/>
              </w:rPr>
            </w:pPr>
            <w:r>
              <w:rPr>
                <w:rFonts w:ascii="Arial" w:cs="Arial" w:eastAsia="Arial" w:hAnsi="Arial"/>
                <w:sz w:val="17"/>
                <w:szCs w:val="17"/>
                <w:b w:val="1"/>
                <w:bCs w:val="1"/>
                <w:color w:val="auto"/>
              </w:rPr>
              <w:t>Deferred income tax liability, net</w:t>
            </w: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8"/>
        </w:trPr>
        <w:tc>
          <w:tcPr>
            <w:tcW w:w="822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Deferred asset</w:t>
            </w:r>
          </w:p>
        </w:tc>
        <w:tc>
          <w:tcPr>
            <w:tcW w:w="1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8"/>
        </w:trPr>
        <w:tc>
          <w:tcPr>
            <w:tcW w:w="8220" w:type="dxa"/>
            <w:vAlign w:val="bottom"/>
          </w:tcPr>
          <w:p>
            <w:pPr>
              <w:spacing w:after="0"/>
              <w:rPr>
                <w:sz w:val="20"/>
                <w:szCs w:val="20"/>
                <w:color w:val="auto"/>
              </w:rPr>
            </w:pPr>
            <w:r>
              <w:rPr>
                <w:rFonts w:ascii="Arial" w:cs="Arial" w:eastAsia="Arial" w:hAnsi="Arial"/>
                <w:sz w:val="17"/>
                <w:szCs w:val="17"/>
                <w:color w:val="auto"/>
              </w:rPr>
              <w:t>Carry forward tax losses</w:t>
            </w:r>
          </w:p>
        </w:tc>
        <w:tc>
          <w:tcPr>
            <w:tcW w:w="1420" w:type="dxa"/>
            <w:vAlign w:val="bottom"/>
            <w:gridSpan w:val="2"/>
          </w:tcPr>
          <w:p>
            <w:pPr>
              <w:jc w:val="right"/>
              <w:ind w:right="200"/>
              <w:spacing w:after="0"/>
              <w:rPr>
                <w:sz w:val="20"/>
                <w:szCs w:val="20"/>
                <w:color w:val="auto"/>
              </w:rPr>
            </w:pPr>
            <w:r>
              <w:rPr>
                <w:rFonts w:ascii="Arial" w:cs="Arial" w:eastAsia="Arial" w:hAnsi="Arial"/>
                <w:sz w:val="17"/>
                <w:szCs w:val="17"/>
                <w:color w:val="auto"/>
              </w:rPr>
              <w:t>14,039</w:t>
            </w:r>
          </w:p>
        </w:tc>
        <w:tc>
          <w:tcPr>
            <w:tcW w:w="120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r>
      <w:tr>
        <w:trPr>
          <w:trHeight w:val="208"/>
        </w:trPr>
        <w:tc>
          <w:tcPr>
            <w:tcW w:w="8220" w:type="dxa"/>
            <w:vAlign w:val="bottom"/>
            <w:shd w:val="clear" w:color="auto" w:fill="CCEEFF"/>
          </w:tcPr>
          <w:p>
            <w:pPr>
              <w:spacing w:after="0"/>
              <w:rPr>
                <w:sz w:val="20"/>
                <w:szCs w:val="20"/>
                <w:color w:val="auto"/>
              </w:rPr>
            </w:pPr>
            <w:r>
              <w:rPr>
                <w:rFonts w:ascii="Arial" w:cs="Arial" w:eastAsia="Arial" w:hAnsi="Arial"/>
                <w:sz w:val="17"/>
                <w:szCs w:val="17"/>
                <w:color w:val="auto"/>
              </w:rPr>
              <w:t>Provision for sundry risks, net</w:t>
            </w: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8,750</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4,560</w:t>
            </w:r>
          </w:p>
        </w:tc>
        <w:tc>
          <w:tcPr>
            <w:tcW w:w="100" w:type="dxa"/>
            <w:vAlign w:val="bottom"/>
            <w:shd w:val="clear" w:color="auto" w:fill="CCEEFF"/>
          </w:tcPr>
          <w:p>
            <w:pPr>
              <w:spacing w:after="0"/>
              <w:rPr>
                <w:sz w:val="18"/>
                <w:szCs w:val="18"/>
                <w:color w:val="auto"/>
              </w:rPr>
            </w:pPr>
          </w:p>
        </w:tc>
      </w:tr>
      <w:tr>
        <w:trPr>
          <w:trHeight w:val="208"/>
        </w:trPr>
        <w:tc>
          <w:tcPr>
            <w:tcW w:w="8220" w:type="dxa"/>
            <w:vAlign w:val="bottom"/>
          </w:tcPr>
          <w:p>
            <w:pPr>
              <w:spacing w:after="0"/>
              <w:rPr>
                <w:sz w:val="20"/>
                <w:szCs w:val="20"/>
                <w:color w:val="auto"/>
              </w:rPr>
            </w:pPr>
            <w:r>
              <w:rPr>
                <w:rFonts w:ascii="Arial" w:cs="Arial" w:eastAsia="Arial" w:hAnsi="Arial"/>
                <w:sz w:val="17"/>
                <w:szCs w:val="17"/>
                <w:color w:val="auto"/>
              </w:rPr>
              <w:t>Defferred income due to commission - DIL</w:t>
            </w:r>
          </w:p>
        </w:tc>
        <w:tc>
          <w:tcPr>
            <w:tcW w:w="1420" w:type="dxa"/>
            <w:vAlign w:val="bottom"/>
            <w:gridSpan w:val="2"/>
          </w:tcPr>
          <w:p>
            <w:pPr>
              <w:jc w:val="right"/>
              <w:ind w:right="200"/>
              <w:spacing w:after="0"/>
              <w:rPr>
                <w:sz w:val="20"/>
                <w:szCs w:val="20"/>
                <w:color w:val="auto"/>
              </w:rPr>
            </w:pPr>
            <w:r>
              <w:rPr>
                <w:rFonts w:ascii="Arial" w:cs="Arial" w:eastAsia="Arial" w:hAnsi="Arial"/>
                <w:sz w:val="17"/>
                <w:szCs w:val="17"/>
                <w:color w:val="auto"/>
              </w:rPr>
              <w:t>8,326</w:t>
            </w:r>
          </w:p>
        </w:tc>
        <w:tc>
          <w:tcPr>
            <w:tcW w:w="1200" w:type="dxa"/>
            <w:vAlign w:val="bottom"/>
          </w:tcPr>
          <w:p>
            <w:pPr>
              <w:jc w:val="right"/>
              <w:spacing w:after="0"/>
              <w:rPr>
                <w:sz w:val="20"/>
                <w:szCs w:val="20"/>
                <w:color w:val="auto"/>
              </w:rPr>
            </w:pPr>
            <w:r>
              <w:rPr>
                <w:rFonts w:ascii="Arial" w:cs="Arial" w:eastAsia="Arial" w:hAnsi="Arial"/>
                <w:sz w:val="17"/>
                <w:szCs w:val="17"/>
                <w:color w:val="auto"/>
              </w:rPr>
              <w:t>8,829</w:t>
            </w:r>
          </w:p>
        </w:tc>
        <w:tc>
          <w:tcPr>
            <w:tcW w:w="100" w:type="dxa"/>
            <w:vAlign w:val="bottom"/>
          </w:tcPr>
          <w:p>
            <w:pPr>
              <w:spacing w:after="0"/>
              <w:rPr>
                <w:sz w:val="18"/>
                <w:szCs w:val="18"/>
                <w:color w:val="auto"/>
              </w:rPr>
            </w:pPr>
          </w:p>
        </w:tc>
      </w:tr>
      <w:tr>
        <w:trPr>
          <w:trHeight w:val="208"/>
        </w:trPr>
        <w:tc>
          <w:tcPr>
            <w:tcW w:w="8220" w:type="dxa"/>
            <w:vAlign w:val="bottom"/>
            <w:shd w:val="clear" w:color="auto" w:fill="CCEEFF"/>
          </w:tcPr>
          <w:p>
            <w:pPr>
              <w:spacing w:after="0"/>
              <w:rPr>
                <w:sz w:val="20"/>
                <w:szCs w:val="20"/>
                <w:color w:val="auto"/>
              </w:rPr>
            </w:pPr>
            <w:r>
              <w:rPr>
                <w:rFonts w:ascii="Arial" w:cs="Arial" w:eastAsia="Arial" w:hAnsi="Arial"/>
                <w:sz w:val="17"/>
                <w:szCs w:val="17"/>
                <w:color w:val="auto"/>
              </w:rPr>
              <w:t>Others</w:t>
            </w: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12,900</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23,607</w:t>
            </w:r>
          </w:p>
        </w:tc>
      </w:tr>
      <w:tr>
        <w:trPr>
          <w:trHeight w:val="208"/>
        </w:trPr>
        <w:tc>
          <w:tcPr>
            <w:tcW w:w="8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8"/>
        </w:trPr>
        <w:tc>
          <w:tcPr>
            <w:tcW w:w="822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Deferred liability</w:t>
            </w:r>
          </w:p>
        </w:tc>
        <w:tc>
          <w:tcPr>
            <w:tcW w:w="1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8"/>
        </w:trPr>
        <w:tc>
          <w:tcPr>
            <w:tcW w:w="8220" w:type="dxa"/>
            <w:vAlign w:val="bottom"/>
          </w:tcPr>
          <w:p>
            <w:pPr>
              <w:spacing w:after="0"/>
              <w:rPr>
                <w:sz w:val="20"/>
                <w:szCs w:val="20"/>
                <w:color w:val="auto"/>
              </w:rPr>
            </w:pPr>
            <w:r>
              <w:rPr>
                <w:rFonts w:ascii="Arial" w:cs="Arial" w:eastAsia="Arial" w:hAnsi="Arial"/>
                <w:sz w:val="17"/>
                <w:szCs w:val="17"/>
                <w:color w:val="auto"/>
              </w:rPr>
              <w:t>Intangibles, net</w:t>
            </w:r>
          </w:p>
        </w:tc>
        <w:tc>
          <w:tcPr>
            <w:tcW w:w="1420" w:type="dxa"/>
            <w:vAlign w:val="bottom"/>
            <w:gridSpan w:val="2"/>
          </w:tcPr>
          <w:p>
            <w:pPr>
              <w:jc w:val="right"/>
              <w:ind w:right="140"/>
              <w:spacing w:after="0"/>
              <w:rPr>
                <w:sz w:val="20"/>
                <w:szCs w:val="20"/>
                <w:color w:val="auto"/>
              </w:rPr>
            </w:pPr>
            <w:r>
              <w:rPr>
                <w:rFonts w:ascii="Arial" w:cs="Arial" w:eastAsia="Arial" w:hAnsi="Arial"/>
                <w:sz w:val="17"/>
                <w:szCs w:val="17"/>
                <w:color w:val="auto"/>
              </w:rPr>
              <w:t>(48,797)</w:t>
            </w:r>
          </w:p>
        </w:tc>
        <w:tc>
          <w:tcPr>
            <w:tcW w:w="1300" w:type="dxa"/>
            <w:vAlign w:val="bottom"/>
            <w:gridSpan w:val="2"/>
          </w:tcPr>
          <w:p>
            <w:pPr>
              <w:jc w:val="right"/>
              <w:ind w:right="40"/>
              <w:spacing w:after="0"/>
              <w:rPr>
                <w:sz w:val="20"/>
                <w:szCs w:val="20"/>
                <w:color w:val="auto"/>
              </w:rPr>
            </w:pPr>
            <w:r>
              <w:rPr>
                <w:rFonts w:ascii="Arial" w:cs="Arial" w:eastAsia="Arial" w:hAnsi="Arial"/>
                <w:sz w:val="17"/>
                <w:szCs w:val="17"/>
                <w:color w:val="auto"/>
              </w:rPr>
              <w:t>(74,975)</w:t>
            </w:r>
          </w:p>
        </w:tc>
      </w:tr>
      <w:tr>
        <w:trPr>
          <w:trHeight w:val="195"/>
        </w:trPr>
        <w:tc>
          <w:tcPr>
            <w:tcW w:w="8220" w:type="dxa"/>
            <w:vAlign w:val="bottom"/>
            <w:shd w:val="clear" w:color="auto" w:fill="CCEEFF"/>
          </w:tcPr>
          <w:p>
            <w:pPr>
              <w:spacing w:after="0"/>
              <w:rPr>
                <w:sz w:val="20"/>
                <w:szCs w:val="20"/>
                <w:color w:val="auto"/>
              </w:rPr>
            </w:pPr>
            <w:r>
              <w:rPr>
                <w:rFonts w:ascii="Arial" w:cs="Arial" w:eastAsia="Arial" w:hAnsi="Arial"/>
                <w:sz w:val="17"/>
                <w:szCs w:val="17"/>
                <w:color w:val="auto"/>
              </w:rPr>
              <w:t>Unrealized gain due to valuation of investments</w:t>
            </w:r>
          </w:p>
        </w:tc>
        <w:tc>
          <w:tcPr>
            <w:tcW w:w="12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20"/>
        </w:trPr>
        <w:tc>
          <w:tcPr>
            <w:tcW w:w="8220" w:type="dxa"/>
            <w:vAlign w:val="bottom"/>
            <w:shd w:val="clear" w:color="auto" w:fill="CCEEFF"/>
          </w:tcPr>
          <w:p>
            <w:pPr>
              <w:spacing w:after="0"/>
              <w:rPr>
                <w:sz w:val="20"/>
                <w:szCs w:val="20"/>
                <w:color w:val="auto"/>
              </w:rPr>
            </w:pPr>
            <w:r>
              <w:rPr>
                <w:rFonts w:ascii="Arial" w:cs="Arial" w:eastAsia="Arial" w:hAnsi="Arial"/>
                <w:sz w:val="17"/>
                <w:szCs w:val="17"/>
                <w:color w:val="auto"/>
              </w:rPr>
              <w:t>available for sale.</w:t>
            </w: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(41,910)</w:t>
            </w:r>
          </w:p>
        </w:tc>
        <w:tc>
          <w:tcPr>
            <w:tcW w:w="13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(36,721)</w:t>
            </w:r>
          </w:p>
        </w:tc>
      </w:tr>
      <w:tr>
        <w:trPr>
          <w:trHeight w:val="208"/>
        </w:trPr>
        <w:tc>
          <w:tcPr>
            <w:tcW w:w="8220" w:type="dxa"/>
            <w:vAlign w:val="bottom"/>
          </w:tcPr>
          <w:p>
            <w:pPr>
              <w:spacing w:after="0"/>
              <w:rPr>
                <w:sz w:val="20"/>
                <w:szCs w:val="20"/>
                <w:color w:val="auto"/>
              </w:rPr>
            </w:pPr>
            <w:r>
              <w:rPr>
                <w:rFonts w:ascii="Arial" w:cs="Arial" w:eastAsia="Arial" w:hAnsi="Arial"/>
                <w:sz w:val="17"/>
                <w:szCs w:val="17"/>
                <w:color w:val="auto"/>
              </w:rPr>
              <w:t>Gain generated in the reorganization of Pacífico EPS</w:t>
            </w:r>
          </w:p>
        </w:tc>
        <w:tc>
          <w:tcPr>
            <w:tcW w:w="1420" w:type="dxa"/>
            <w:vAlign w:val="bottom"/>
            <w:gridSpan w:val="2"/>
          </w:tcPr>
          <w:p>
            <w:pPr>
              <w:jc w:val="right"/>
              <w:ind w:right="140"/>
              <w:spacing w:after="0"/>
              <w:rPr>
                <w:sz w:val="20"/>
                <w:szCs w:val="20"/>
                <w:color w:val="auto"/>
              </w:rPr>
            </w:pPr>
            <w:r>
              <w:rPr>
                <w:rFonts w:ascii="Arial" w:cs="Arial" w:eastAsia="Arial" w:hAnsi="Arial"/>
                <w:sz w:val="17"/>
                <w:szCs w:val="17"/>
                <w:color w:val="auto"/>
              </w:rPr>
              <w:t>(39,515)</w:t>
            </w:r>
          </w:p>
        </w:tc>
        <w:tc>
          <w:tcPr>
            <w:tcW w:w="1300" w:type="dxa"/>
            <w:vAlign w:val="bottom"/>
            <w:gridSpan w:val="2"/>
          </w:tcPr>
          <w:p>
            <w:pPr>
              <w:jc w:val="right"/>
              <w:ind w:right="40"/>
              <w:spacing w:after="0"/>
              <w:rPr>
                <w:sz w:val="20"/>
                <w:szCs w:val="20"/>
                <w:color w:val="auto"/>
              </w:rPr>
            </w:pPr>
            <w:r>
              <w:rPr>
                <w:rFonts w:ascii="Arial" w:cs="Arial" w:eastAsia="Arial" w:hAnsi="Arial"/>
                <w:sz w:val="17"/>
                <w:szCs w:val="17"/>
                <w:color w:val="auto"/>
              </w:rPr>
              <w:t>(39,515)</w:t>
            </w:r>
          </w:p>
        </w:tc>
      </w:tr>
      <w:tr>
        <w:trPr>
          <w:trHeight w:val="208"/>
        </w:trPr>
        <w:tc>
          <w:tcPr>
            <w:tcW w:w="8220" w:type="dxa"/>
            <w:vAlign w:val="bottom"/>
            <w:shd w:val="clear" w:color="auto" w:fill="CCEEFF"/>
          </w:tcPr>
          <w:p>
            <w:pPr>
              <w:spacing w:after="0"/>
              <w:rPr>
                <w:sz w:val="20"/>
                <w:szCs w:val="20"/>
                <w:color w:val="auto"/>
              </w:rPr>
            </w:pPr>
            <w:r>
              <w:rPr>
                <w:rFonts w:ascii="Arial" w:cs="Arial" w:eastAsia="Arial" w:hAnsi="Arial"/>
                <w:sz w:val="17"/>
                <w:szCs w:val="17"/>
                <w:color w:val="auto"/>
              </w:rPr>
              <w:t>Deferred acquisitions costs - DAC</w:t>
            </w: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(30,322)</w:t>
            </w:r>
          </w:p>
        </w:tc>
        <w:tc>
          <w:tcPr>
            <w:tcW w:w="13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(12,945)</w:t>
            </w:r>
          </w:p>
        </w:tc>
      </w:tr>
      <w:tr>
        <w:trPr>
          <w:trHeight w:val="208"/>
        </w:trPr>
        <w:tc>
          <w:tcPr>
            <w:tcW w:w="8220" w:type="dxa"/>
            <w:vAlign w:val="bottom"/>
          </w:tcPr>
          <w:p>
            <w:pPr>
              <w:spacing w:after="0"/>
              <w:rPr>
                <w:sz w:val="20"/>
                <w:szCs w:val="20"/>
                <w:color w:val="auto"/>
              </w:rPr>
            </w:pPr>
            <w:r>
              <w:rPr>
                <w:rFonts w:ascii="Arial" w:cs="Arial" w:eastAsia="Arial" w:hAnsi="Arial"/>
                <w:sz w:val="17"/>
                <w:szCs w:val="17"/>
                <w:color w:val="auto"/>
              </w:rPr>
              <w:t>Catastrophic insurance reserve</w:t>
            </w:r>
          </w:p>
        </w:tc>
        <w:tc>
          <w:tcPr>
            <w:tcW w:w="1420" w:type="dxa"/>
            <w:vAlign w:val="bottom"/>
            <w:gridSpan w:val="2"/>
          </w:tcPr>
          <w:p>
            <w:pPr>
              <w:jc w:val="right"/>
              <w:ind w:right="140"/>
              <w:spacing w:after="0"/>
              <w:rPr>
                <w:sz w:val="20"/>
                <w:szCs w:val="20"/>
                <w:color w:val="auto"/>
              </w:rPr>
            </w:pPr>
            <w:r>
              <w:rPr>
                <w:rFonts w:ascii="Arial" w:cs="Arial" w:eastAsia="Arial" w:hAnsi="Arial"/>
                <w:sz w:val="17"/>
                <w:szCs w:val="17"/>
                <w:color w:val="auto"/>
              </w:rPr>
              <w:t>(9,561)</w:t>
            </w:r>
          </w:p>
        </w:tc>
        <w:tc>
          <w:tcPr>
            <w:tcW w:w="1300" w:type="dxa"/>
            <w:vAlign w:val="bottom"/>
            <w:gridSpan w:val="2"/>
          </w:tcPr>
          <w:p>
            <w:pPr>
              <w:jc w:val="right"/>
              <w:ind w:right="40"/>
              <w:spacing w:after="0"/>
              <w:rPr>
                <w:sz w:val="20"/>
                <w:szCs w:val="20"/>
                <w:color w:val="auto"/>
              </w:rPr>
            </w:pPr>
            <w:r>
              <w:rPr>
                <w:rFonts w:ascii="Arial" w:cs="Arial" w:eastAsia="Arial" w:hAnsi="Arial"/>
                <w:sz w:val="17"/>
                <w:szCs w:val="17"/>
                <w:color w:val="auto"/>
              </w:rPr>
              <w:t>(10,062)</w:t>
            </w:r>
          </w:p>
        </w:tc>
      </w:tr>
      <w:tr>
        <w:trPr>
          <w:trHeight w:val="208"/>
        </w:trPr>
        <w:tc>
          <w:tcPr>
            <w:tcW w:w="8220" w:type="dxa"/>
            <w:vAlign w:val="bottom"/>
            <w:shd w:val="clear" w:color="auto" w:fill="CCEEFF"/>
          </w:tcPr>
          <w:p>
            <w:pPr>
              <w:spacing w:after="0"/>
              <w:rPr>
                <w:sz w:val="20"/>
                <w:szCs w:val="20"/>
                <w:color w:val="auto"/>
              </w:rPr>
            </w:pPr>
            <w:r>
              <w:rPr>
                <w:rFonts w:ascii="Arial" w:cs="Arial" w:eastAsia="Arial" w:hAnsi="Arial"/>
                <w:sz w:val="17"/>
                <w:szCs w:val="17"/>
                <w:color w:val="auto"/>
              </w:rPr>
              <w:t>Leasing operations related to loans</w:t>
            </w: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(5,063)</w:t>
            </w:r>
          </w:p>
        </w:tc>
        <w:tc>
          <w:tcPr>
            <w:tcW w:w="13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(5,311)</w:t>
            </w:r>
          </w:p>
        </w:tc>
      </w:tr>
      <w:tr>
        <w:trPr>
          <w:trHeight w:val="208"/>
        </w:trPr>
        <w:tc>
          <w:tcPr>
            <w:tcW w:w="8220" w:type="dxa"/>
            <w:vAlign w:val="bottom"/>
          </w:tcPr>
          <w:p>
            <w:pPr>
              <w:spacing w:after="0"/>
              <w:rPr>
                <w:sz w:val="20"/>
                <w:szCs w:val="20"/>
                <w:color w:val="auto"/>
              </w:rPr>
            </w:pPr>
            <w:r>
              <w:rPr>
                <w:rFonts w:ascii="Arial" w:cs="Arial" w:eastAsia="Arial" w:hAnsi="Arial"/>
                <w:sz w:val="17"/>
                <w:szCs w:val="17"/>
                <w:color w:val="auto"/>
              </w:rPr>
              <w:t>Buildings revaluation</w:t>
            </w:r>
          </w:p>
        </w:tc>
        <w:tc>
          <w:tcPr>
            <w:tcW w:w="1420" w:type="dxa"/>
            <w:vAlign w:val="bottom"/>
            <w:gridSpan w:val="2"/>
          </w:tcPr>
          <w:p>
            <w:pPr>
              <w:jc w:val="right"/>
              <w:ind w:right="140"/>
              <w:spacing w:after="0"/>
              <w:rPr>
                <w:sz w:val="20"/>
                <w:szCs w:val="20"/>
                <w:color w:val="auto"/>
              </w:rPr>
            </w:pPr>
            <w:r>
              <w:rPr>
                <w:rFonts w:ascii="Arial" w:cs="Arial" w:eastAsia="Arial" w:hAnsi="Arial"/>
                <w:sz w:val="17"/>
                <w:szCs w:val="17"/>
                <w:color w:val="auto"/>
              </w:rPr>
              <w:t>(2,578)</w:t>
            </w:r>
          </w:p>
        </w:tc>
        <w:tc>
          <w:tcPr>
            <w:tcW w:w="1300" w:type="dxa"/>
            <w:vAlign w:val="bottom"/>
            <w:gridSpan w:val="2"/>
          </w:tcPr>
          <w:p>
            <w:pPr>
              <w:jc w:val="right"/>
              <w:ind w:right="40"/>
              <w:spacing w:after="0"/>
              <w:rPr>
                <w:sz w:val="20"/>
                <w:szCs w:val="20"/>
                <w:color w:val="auto"/>
              </w:rPr>
            </w:pPr>
            <w:r>
              <w:rPr>
                <w:rFonts w:ascii="Arial" w:cs="Arial" w:eastAsia="Arial" w:hAnsi="Arial"/>
                <w:sz w:val="17"/>
                <w:szCs w:val="17"/>
                <w:color w:val="auto"/>
              </w:rPr>
              <w:t>(4,664)</w:t>
            </w:r>
          </w:p>
        </w:tc>
      </w:tr>
      <w:tr>
        <w:trPr>
          <w:trHeight w:val="221"/>
        </w:trPr>
        <w:tc>
          <w:tcPr>
            <w:tcW w:w="8220" w:type="dxa"/>
            <w:vAlign w:val="bottom"/>
            <w:shd w:val="clear" w:color="auto" w:fill="CCEEFF"/>
          </w:tcPr>
          <w:p>
            <w:pPr>
              <w:spacing w:after="0"/>
              <w:rPr>
                <w:sz w:val="20"/>
                <w:szCs w:val="20"/>
                <w:color w:val="auto"/>
              </w:rPr>
            </w:pPr>
            <w:r>
              <w:rPr>
                <w:rFonts w:ascii="Arial" w:cs="Arial" w:eastAsia="Arial" w:hAnsi="Arial"/>
                <w:sz w:val="17"/>
                <w:szCs w:val="17"/>
                <w:color w:val="auto"/>
              </w:rPr>
              <w:t>Others</w:t>
            </w: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(16,549)</w:t>
            </w:r>
          </w:p>
        </w:tc>
        <w:tc>
          <w:tcPr>
            <w:tcW w:w="13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(25,444)</w:t>
            </w:r>
          </w:p>
        </w:tc>
      </w:tr>
      <w:tr>
        <w:trPr>
          <w:trHeight w:val="201"/>
        </w:trPr>
        <w:tc>
          <w:tcPr>
            <w:tcW w:w="8220" w:type="dxa"/>
            <w:vAlign w:val="bottom"/>
          </w:tcPr>
          <w:p>
            <w:pPr>
              <w:spacing w:after="0"/>
              <w:rPr>
                <w:sz w:val="20"/>
                <w:szCs w:val="20"/>
                <w:color w:val="auto"/>
              </w:rPr>
            </w:pPr>
            <w:r>
              <w:rPr>
                <w:rFonts w:ascii="Arial" w:cs="Arial" w:eastAsia="Arial" w:hAnsi="Arial"/>
                <w:sz w:val="17"/>
                <w:szCs w:val="17"/>
                <w:b w:val="1"/>
                <w:bCs w:val="1"/>
                <w:color w:val="auto"/>
              </w:rPr>
              <w:t>Total</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(150,280)</w:t>
            </w:r>
          </w:p>
        </w:tc>
        <w:tc>
          <w:tcPr>
            <w:tcW w:w="200" w:type="dxa"/>
            <w:vAlign w:val="bottom"/>
          </w:tcPr>
          <w:p>
            <w:pPr>
              <w:spacing w:after="0"/>
              <w:rPr>
                <w:sz w:val="17"/>
                <w:szCs w:val="17"/>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(172,641)</w:t>
            </w:r>
          </w:p>
        </w:tc>
        <w:tc>
          <w:tcPr>
            <w:tcW w:w="100" w:type="dxa"/>
            <w:vAlign w:val="bottom"/>
          </w:tcPr>
          <w:p>
            <w:pPr>
              <w:spacing w:after="0"/>
              <w:rPr>
                <w:sz w:val="17"/>
                <w:szCs w:val="17"/>
                <w:color w:val="auto"/>
              </w:rPr>
            </w:pPr>
          </w:p>
        </w:tc>
      </w:tr>
      <w:tr>
        <w:trPr>
          <w:trHeight w:val="20"/>
        </w:trPr>
        <w:tc>
          <w:tcPr>
            <w:tcW w:w="82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5" w:lineRule="exact"/>
        <w:rPr>
          <w:sz w:val="20"/>
          <w:szCs w:val="20"/>
          <w:color w:val="auto"/>
        </w:rPr>
      </w:pPr>
    </w:p>
    <w:p>
      <w:pPr>
        <w:jc w:val="both"/>
        <w:ind w:left="316"/>
        <w:spacing w:after="0" w:line="285" w:lineRule="auto"/>
        <w:rPr>
          <w:sz w:val="20"/>
          <w:szCs w:val="20"/>
          <w:color w:val="auto"/>
        </w:rPr>
      </w:pPr>
      <w:r>
        <w:rPr>
          <w:rFonts w:ascii="Arial" w:cs="Arial" w:eastAsia="Arial" w:hAnsi="Arial"/>
          <w:sz w:val="17"/>
          <w:szCs w:val="17"/>
          <w:color w:val="auto"/>
        </w:rPr>
        <w:t>At December 31, 2017, 2016 and 2015, Credicorp and its Subsidiaries have recorded deferred income tax balance of S/33.8 million, S/42.0 million and S/30.9 million, respectively, resulting from unrealized gains and losses on available-for-sale investments and cash flow hedges.</w:t>
      </w:r>
    </w:p>
    <w:p>
      <w:pPr>
        <w:spacing w:after="0" w:line="367" w:lineRule="exact"/>
        <w:rPr>
          <w:sz w:val="20"/>
          <w:szCs w:val="20"/>
          <w:color w:val="auto"/>
        </w:rPr>
      </w:pPr>
    </w:p>
    <w:p>
      <w:pPr>
        <w:jc w:val="center"/>
        <w:ind w:right="-155"/>
        <w:spacing w:after="0"/>
        <w:rPr>
          <w:sz w:val="20"/>
          <w:szCs w:val="20"/>
          <w:color w:val="auto"/>
        </w:rPr>
      </w:pPr>
      <w:r>
        <w:rPr>
          <w:rFonts w:ascii="Arial" w:cs="Arial" w:eastAsia="Arial" w:hAnsi="Arial"/>
          <w:sz w:val="17"/>
          <w:szCs w:val="17"/>
          <w:color w:val="auto"/>
        </w:rPr>
        <w:t>- 93 -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15875</wp:posOffset>
            </wp:positionV>
            <wp:extent cx="725170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51700" cy="8255"/>
                    </a:xfrm>
                    <a:prstGeom prst="rect">
                      <a:avLst/>
                    </a:prstGeom>
                    <a:noFill/>
                  </pic:spPr>
                </pic:pic>
              </a:graphicData>
            </a:graphic>
          </wp:anchor>
        </w:drawing>
      </w:r>
    </w:p>
    <w:p>
      <w:pPr>
        <w:sectPr>
          <w:pgSz w:w="11900" w:h="16838" w:orient="portrait"/>
          <w:cols w:equalWidth="0" w:num="1">
            <w:col w:w="11276"/>
          </w:cols>
          <w:pgMar w:left="244" w:top="881" w:right="379" w:bottom="1440" w:gutter="0" w:footer="0" w:header="0"/>
        </w:sectPr>
      </w:pPr>
    </w:p>
    <w:bookmarkStart w:id="99" w:name="page100"/>
    <w:bookmarkEnd w:id="99"/>
    <w:p>
      <w:pPr>
        <w:ind w:left="320" w:hanging="316"/>
        <w:spacing w:after="0" w:line="285" w:lineRule="auto"/>
        <w:tabs>
          <w:tab w:leader="none" w:pos="320" w:val="left"/>
        </w:tabs>
        <w:numPr>
          <w:ilvl w:val="0"/>
          <w:numId w:val="115"/>
        </w:numPr>
        <w:rPr>
          <w:rFonts w:ascii="Arial" w:cs="Arial" w:eastAsia="Arial" w:hAnsi="Arial"/>
          <w:sz w:val="17"/>
          <w:szCs w:val="17"/>
          <w:color w:val="auto"/>
        </w:rPr>
      </w:pPr>
      <w:r>
        <w:rPr>
          <w:rFonts w:ascii="Arial" w:cs="Arial" w:eastAsia="Arial" w:hAnsi="Arial"/>
          <w:sz w:val="17"/>
          <w:szCs w:val="17"/>
          <w:color w:val="auto"/>
        </w:rPr>
        <w:t>The Peruvian Tax Authority have the right to review and, if necessary, amend the annual income tax returns filed by Peruvian subsidiaries up to four years after their filing date. Income tax returns of the major subsidiaries open for examination by the tax authorities are as follows:</w:t>
      </w:r>
    </w:p>
    <w:p>
      <w:pPr>
        <w:spacing w:after="0" w:line="159" w:lineRule="exact"/>
        <w:rPr>
          <w:sz w:val="20"/>
          <w:szCs w:val="20"/>
          <w:color w:val="auto"/>
        </w:rPr>
      </w:pPr>
    </w:p>
    <w:tbl>
      <w:tblPr>
        <w:tblLayout w:type="fixed"/>
        <w:tblInd w:w="320" w:type="dxa"/>
        <w:tblCellMar>
          <w:top w:w="0" w:type="dxa"/>
          <w:left w:w="0" w:type="dxa"/>
          <w:bottom w:w="0" w:type="dxa"/>
          <w:right w:w="0" w:type="dxa"/>
        </w:tblCellMar>
      </w:tblPr>
      <w:tr>
        <w:trPr>
          <w:trHeight w:val="208"/>
        </w:trPr>
        <w:tc>
          <w:tcPr>
            <w:tcW w:w="4280" w:type="dxa"/>
            <w:vAlign w:val="bottom"/>
          </w:tcPr>
          <w:p>
            <w:pPr>
              <w:spacing w:after="0"/>
              <w:rPr>
                <w:sz w:val="20"/>
                <w:szCs w:val="20"/>
                <w:color w:val="auto"/>
              </w:rPr>
            </w:pPr>
            <w:r>
              <w:rPr>
                <w:rFonts w:ascii="Arial" w:cs="Arial" w:eastAsia="Arial" w:hAnsi="Arial"/>
                <w:sz w:val="17"/>
                <w:szCs w:val="17"/>
                <w:color w:val="auto"/>
              </w:rPr>
              <w:t>Banco de Crédito del Perú</w:t>
            </w:r>
          </w:p>
        </w:tc>
        <w:tc>
          <w:tcPr>
            <w:tcW w:w="2120" w:type="dxa"/>
            <w:vAlign w:val="bottom"/>
          </w:tcPr>
          <w:p>
            <w:pPr>
              <w:ind w:left="1200"/>
              <w:spacing w:after="0"/>
              <w:rPr>
                <w:sz w:val="20"/>
                <w:szCs w:val="20"/>
                <w:color w:val="auto"/>
              </w:rPr>
            </w:pPr>
            <w:r>
              <w:rPr>
                <w:rFonts w:ascii="Arial" w:cs="Arial" w:eastAsia="Arial" w:hAnsi="Arial"/>
                <w:sz w:val="17"/>
                <w:szCs w:val="17"/>
                <w:color w:val="auto"/>
                <w:w w:val="90"/>
              </w:rPr>
              <w:t>2012 to 2017</w:t>
            </w:r>
          </w:p>
        </w:tc>
      </w:tr>
      <w:tr>
        <w:trPr>
          <w:trHeight w:val="208"/>
        </w:trPr>
        <w:tc>
          <w:tcPr>
            <w:tcW w:w="4280" w:type="dxa"/>
            <w:vAlign w:val="bottom"/>
          </w:tcPr>
          <w:p>
            <w:pPr>
              <w:spacing w:after="0"/>
              <w:rPr>
                <w:sz w:val="20"/>
                <w:szCs w:val="20"/>
                <w:color w:val="auto"/>
              </w:rPr>
            </w:pPr>
            <w:r>
              <w:rPr>
                <w:rFonts w:ascii="Arial" w:cs="Arial" w:eastAsia="Arial" w:hAnsi="Arial"/>
                <w:sz w:val="17"/>
                <w:szCs w:val="17"/>
                <w:color w:val="auto"/>
              </w:rPr>
              <w:t>Mibanco</w:t>
            </w:r>
          </w:p>
        </w:tc>
        <w:tc>
          <w:tcPr>
            <w:tcW w:w="2120" w:type="dxa"/>
            <w:vAlign w:val="bottom"/>
          </w:tcPr>
          <w:p>
            <w:pPr>
              <w:ind w:left="1200"/>
              <w:spacing w:after="0"/>
              <w:rPr>
                <w:sz w:val="20"/>
                <w:szCs w:val="20"/>
                <w:color w:val="auto"/>
              </w:rPr>
            </w:pPr>
            <w:r>
              <w:rPr>
                <w:rFonts w:ascii="Arial" w:cs="Arial" w:eastAsia="Arial" w:hAnsi="Arial"/>
                <w:sz w:val="17"/>
                <w:szCs w:val="17"/>
                <w:color w:val="auto"/>
                <w:w w:val="90"/>
              </w:rPr>
              <w:t>2014 to 2017</w:t>
            </w:r>
          </w:p>
        </w:tc>
      </w:tr>
      <w:tr>
        <w:trPr>
          <w:trHeight w:val="208"/>
        </w:trPr>
        <w:tc>
          <w:tcPr>
            <w:tcW w:w="4280" w:type="dxa"/>
            <w:vAlign w:val="bottom"/>
          </w:tcPr>
          <w:p>
            <w:pPr>
              <w:spacing w:after="0"/>
              <w:rPr>
                <w:sz w:val="20"/>
                <w:szCs w:val="20"/>
                <w:color w:val="auto"/>
              </w:rPr>
            </w:pPr>
            <w:r>
              <w:rPr>
                <w:rFonts w:ascii="Arial" w:cs="Arial" w:eastAsia="Arial" w:hAnsi="Arial"/>
                <w:sz w:val="17"/>
                <w:szCs w:val="17"/>
                <w:color w:val="auto"/>
              </w:rPr>
              <w:t>Prima AFP</w:t>
            </w:r>
          </w:p>
        </w:tc>
        <w:tc>
          <w:tcPr>
            <w:tcW w:w="2120" w:type="dxa"/>
            <w:vAlign w:val="bottom"/>
          </w:tcPr>
          <w:p>
            <w:pPr>
              <w:ind w:left="1200"/>
              <w:spacing w:after="0"/>
              <w:rPr>
                <w:sz w:val="20"/>
                <w:szCs w:val="20"/>
                <w:color w:val="auto"/>
              </w:rPr>
            </w:pPr>
            <w:r>
              <w:rPr>
                <w:rFonts w:ascii="Arial" w:cs="Arial" w:eastAsia="Arial" w:hAnsi="Arial"/>
                <w:sz w:val="17"/>
                <w:szCs w:val="17"/>
                <w:color w:val="auto"/>
                <w:w w:val="90"/>
              </w:rPr>
              <w:t>2013 to 2017</w:t>
            </w:r>
          </w:p>
        </w:tc>
      </w:tr>
      <w:tr>
        <w:trPr>
          <w:trHeight w:val="208"/>
        </w:trPr>
        <w:tc>
          <w:tcPr>
            <w:tcW w:w="4280" w:type="dxa"/>
            <w:vAlign w:val="bottom"/>
          </w:tcPr>
          <w:p>
            <w:pPr>
              <w:spacing w:after="0"/>
              <w:rPr>
                <w:sz w:val="20"/>
                <w:szCs w:val="20"/>
                <w:color w:val="auto"/>
              </w:rPr>
            </w:pPr>
            <w:r>
              <w:rPr>
                <w:rFonts w:ascii="Arial" w:cs="Arial" w:eastAsia="Arial" w:hAnsi="Arial"/>
                <w:sz w:val="17"/>
                <w:szCs w:val="17"/>
                <w:color w:val="auto"/>
              </w:rPr>
              <w:t>Pacífico Compañía de Seguros y Reaseguros</w:t>
            </w:r>
          </w:p>
        </w:tc>
        <w:tc>
          <w:tcPr>
            <w:tcW w:w="2120" w:type="dxa"/>
            <w:vAlign w:val="bottom"/>
          </w:tcPr>
          <w:p>
            <w:pPr>
              <w:ind w:left="1200"/>
              <w:spacing w:after="0"/>
              <w:rPr>
                <w:sz w:val="20"/>
                <w:szCs w:val="20"/>
                <w:color w:val="auto"/>
              </w:rPr>
            </w:pPr>
            <w:r>
              <w:rPr>
                <w:rFonts w:ascii="Arial" w:cs="Arial" w:eastAsia="Arial" w:hAnsi="Arial"/>
                <w:sz w:val="17"/>
                <w:szCs w:val="17"/>
                <w:color w:val="auto"/>
                <w:w w:val="90"/>
              </w:rPr>
              <w:t>2013 to 2017</w:t>
            </w:r>
          </w:p>
        </w:tc>
      </w:tr>
      <w:tr>
        <w:trPr>
          <w:trHeight w:val="220"/>
        </w:trPr>
        <w:tc>
          <w:tcPr>
            <w:tcW w:w="4280" w:type="dxa"/>
            <w:vAlign w:val="bottom"/>
          </w:tcPr>
          <w:p>
            <w:pPr>
              <w:spacing w:after="0"/>
              <w:rPr>
                <w:sz w:val="20"/>
                <w:szCs w:val="20"/>
                <w:color w:val="auto"/>
              </w:rPr>
            </w:pPr>
            <w:r>
              <w:rPr>
                <w:rFonts w:ascii="Arial" w:cs="Arial" w:eastAsia="Arial" w:hAnsi="Arial"/>
                <w:sz w:val="17"/>
                <w:szCs w:val="17"/>
                <w:color w:val="auto"/>
              </w:rPr>
              <w:t>Pacífico Peruano Suiza</w:t>
            </w:r>
          </w:p>
        </w:tc>
        <w:tc>
          <w:tcPr>
            <w:tcW w:w="2120" w:type="dxa"/>
            <w:vAlign w:val="bottom"/>
          </w:tcPr>
          <w:p>
            <w:pPr>
              <w:ind w:left="1200"/>
              <w:spacing w:after="0"/>
              <w:rPr>
                <w:sz w:val="20"/>
                <w:szCs w:val="20"/>
                <w:color w:val="auto"/>
              </w:rPr>
            </w:pPr>
            <w:r>
              <w:rPr>
                <w:rFonts w:ascii="Arial" w:cs="Arial" w:eastAsia="Arial" w:hAnsi="Arial"/>
                <w:sz w:val="17"/>
                <w:szCs w:val="17"/>
                <w:color w:val="auto"/>
                <w:w w:val="90"/>
              </w:rPr>
              <w:t>2013 to 2017</w:t>
            </w:r>
          </w:p>
        </w:tc>
      </w:tr>
    </w:tbl>
    <w:p>
      <w:pPr>
        <w:spacing w:after="0" w:line="195" w:lineRule="exact"/>
        <w:rPr>
          <w:sz w:val="20"/>
          <w:szCs w:val="20"/>
          <w:color w:val="auto"/>
        </w:rPr>
      </w:pPr>
    </w:p>
    <w:p>
      <w:pPr>
        <w:ind w:left="320" w:right="160"/>
        <w:spacing w:after="0" w:line="285" w:lineRule="auto"/>
        <w:rPr>
          <w:sz w:val="20"/>
          <w:szCs w:val="20"/>
          <w:color w:val="auto"/>
        </w:rPr>
      </w:pPr>
      <w:r>
        <w:rPr>
          <w:rFonts w:ascii="Arial" w:cs="Arial" w:eastAsia="Arial" w:hAnsi="Arial"/>
          <w:sz w:val="17"/>
          <w:szCs w:val="17"/>
          <w:color w:val="auto"/>
        </w:rPr>
        <w:t>On December 28, 2017 and January 18, 2018, the Peruvian Tax Authority notified the initial Presentation and Requirement Letters for the examination of the income tax returns of Banco de Crédito for fiscal years 2012 and 2013, respectively.</w:t>
      </w:r>
    </w:p>
    <w:p>
      <w:pPr>
        <w:spacing w:after="0" w:line="159" w:lineRule="exact"/>
        <w:rPr>
          <w:sz w:val="20"/>
          <w:szCs w:val="20"/>
          <w:color w:val="auto"/>
        </w:rPr>
      </w:pPr>
    </w:p>
    <w:p>
      <w:pPr>
        <w:ind w:left="320"/>
        <w:spacing w:after="0"/>
        <w:rPr>
          <w:sz w:val="20"/>
          <w:szCs w:val="20"/>
          <w:color w:val="auto"/>
        </w:rPr>
      </w:pPr>
      <w:r>
        <w:rPr>
          <w:rFonts w:ascii="Arial" w:cs="Arial" w:eastAsia="Arial" w:hAnsi="Arial"/>
          <w:sz w:val="17"/>
          <w:szCs w:val="17"/>
          <w:color w:val="auto"/>
        </w:rPr>
        <w:t>Furthermore, in December 2017, the Peruvian tax Authority notified Prima AFP of the examination of its income tax returns for fiscal 2015.</w:t>
      </w:r>
    </w:p>
    <w:p>
      <w:pPr>
        <w:spacing w:after="0" w:line="220" w:lineRule="exact"/>
        <w:rPr>
          <w:sz w:val="20"/>
          <w:szCs w:val="20"/>
          <w:color w:val="auto"/>
        </w:rPr>
      </w:pPr>
    </w:p>
    <w:p>
      <w:pPr>
        <w:ind w:left="320" w:right="60"/>
        <w:spacing w:after="0" w:line="286" w:lineRule="auto"/>
        <w:rPr>
          <w:sz w:val="20"/>
          <w:szCs w:val="20"/>
          <w:color w:val="auto"/>
        </w:rPr>
      </w:pPr>
      <w:r>
        <w:rPr>
          <w:rFonts w:ascii="Arial" w:cs="Arial" w:eastAsia="Arial" w:hAnsi="Arial"/>
          <w:sz w:val="16"/>
          <w:szCs w:val="16"/>
          <w:color w:val="auto"/>
        </w:rPr>
        <w:t>The Bolivian, Chilean and Colombian Tax Authorities have the power to review and, if applicable, make a new determination for the income tax calculated by the subsidiaries located in said countries in the previous 8 years, 3 years and 3 years, respectively, upon presentation of their Income Tax declarations. Additionally, in the case of Colombia, a period of 6 years was established for the taxpayers obliged to apply Transfer Prices or taxpayers who report tax losses. The annual income tax declarations pending examination by the overseas tax authorities are the following:</w:t>
      </w:r>
    </w:p>
    <w:p>
      <w:pPr>
        <w:spacing w:after="0" w:line="162" w:lineRule="exact"/>
        <w:rPr>
          <w:sz w:val="20"/>
          <w:szCs w:val="20"/>
          <w:color w:val="auto"/>
        </w:rPr>
      </w:pPr>
    </w:p>
    <w:tbl>
      <w:tblPr>
        <w:tblLayout w:type="fixed"/>
        <w:tblInd w:w="320" w:type="dxa"/>
        <w:tblCellMar>
          <w:top w:w="0" w:type="dxa"/>
          <w:left w:w="0" w:type="dxa"/>
          <w:bottom w:w="0" w:type="dxa"/>
          <w:right w:w="0" w:type="dxa"/>
        </w:tblCellMar>
      </w:tblPr>
      <w:tr>
        <w:trPr>
          <w:trHeight w:val="208"/>
        </w:trPr>
        <w:tc>
          <w:tcPr>
            <w:tcW w:w="3720" w:type="dxa"/>
            <w:vAlign w:val="bottom"/>
          </w:tcPr>
          <w:p>
            <w:pPr>
              <w:spacing w:after="0"/>
              <w:rPr>
                <w:sz w:val="20"/>
                <w:szCs w:val="20"/>
                <w:color w:val="auto"/>
              </w:rPr>
            </w:pPr>
            <w:r>
              <w:rPr>
                <w:rFonts w:ascii="Arial" w:cs="Arial" w:eastAsia="Arial" w:hAnsi="Arial"/>
                <w:sz w:val="17"/>
                <w:szCs w:val="17"/>
                <w:color w:val="auto"/>
              </w:rPr>
              <w:t>Banco de Crédito de Bolivia</w:t>
            </w:r>
          </w:p>
        </w:tc>
        <w:tc>
          <w:tcPr>
            <w:tcW w:w="2680" w:type="dxa"/>
            <w:vAlign w:val="bottom"/>
          </w:tcPr>
          <w:p>
            <w:pPr>
              <w:ind w:left="1760"/>
              <w:spacing w:after="0"/>
              <w:rPr>
                <w:sz w:val="20"/>
                <w:szCs w:val="20"/>
                <w:color w:val="auto"/>
              </w:rPr>
            </w:pPr>
            <w:r>
              <w:rPr>
                <w:rFonts w:ascii="Arial" w:cs="Arial" w:eastAsia="Arial" w:hAnsi="Arial"/>
                <w:sz w:val="17"/>
                <w:szCs w:val="17"/>
                <w:color w:val="auto"/>
                <w:w w:val="90"/>
              </w:rPr>
              <w:t>2009 to 2017</w:t>
            </w:r>
          </w:p>
        </w:tc>
      </w:tr>
      <w:tr>
        <w:trPr>
          <w:trHeight w:val="208"/>
        </w:trPr>
        <w:tc>
          <w:tcPr>
            <w:tcW w:w="3720" w:type="dxa"/>
            <w:vAlign w:val="bottom"/>
          </w:tcPr>
          <w:p>
            <w:pPr>
              <w:spacing w:after="0"/>
              <w:rPr>
                <w:sz w:val="20"/>
                <w:szCs w:val="20"/>
                <w:color w:val="auto"/>
              </w:rPr>
            </w:pPr>
            <w:r>
              <w:rPr>
                <w:rFonts w:ascii="Arial" w:cs="Arial" w:eastAsia="Arial" w:hAnsi="Arial"/>
                <w:sz w:val="17"/>
                <w:szCs w:val="17"/>
                <w:color w:val="auto"/>
              </w:rPr>
              <w:t>Credicorp Capital Colombia</w:t>
            </w:r>
          </w:p>
        </w:tc>
        <w:tc>
          <w:tcPr>
            <w:tcW w:w="2680" w:type="dxa"/>
            <w:vAlign w:val="bottom"/>
          </w:tcPr>
          <w:p>
            <w:pPr>
              <w:ind w:left="1760"/>
              <w:spacing w:after="0"/>
              <w:rPr>
                <w:sz w:val="20"/>
                <w:szCs w:val="20"/>
                <w:color w:val="auto"/>
              </w:rPr>
            </w:pPr>
            <w:r>
              <w:rPr>
                <w:rFonts w:ascii="Arial" w:cs="Arial" w:eastAsia="Arial" w:hAnsi="Arial"/>
                <w:sz w:val="17"/>
                <w:szCs w:val="17"/>
                <w:color w:val="auto"/>
                <w:w w:val="90"/>
              </w:rPr>
              <w:t>2014 to 2017</w:t>
            </w:r>
          </w:p>
        </w:tc>
      </w:tr>
      <w:tr>
        <w:trPr>
          <w:trHeight w:val="220"/>
        </w:trPr>
        <w:tc>
          <w:tcPr>
            <w:tcW w:w="3720" w:type="dxa"/>
            <w:vAlign w:val="bottom"/>
          </w:tcPr>
          <w:p>
            <w:pPr>
              <w:spacing w:after="0"/>
              <w:rPr>
                <w:sz w:val="20"/>
                <w:szCs w:val="20"/>
                <w:color w:val="auto"/>
              </w:rPr>
            </w:pPr>
            <w:r>
              <w:rPr>
                <w:rFonts w:ascii="Arial" w:cs="Arial" w:eastAsia="Arial" w:hAnsi="Arial"/>
                <w:sz w:val="17"/>
                <w:szCs w:val="17"/>
                <w:color w:val="auto"/>
              </w:rPr>
              <w:t>Inversiones IMT S.A.</w:t>
            </w:r>
          </w:p>
        </w:tc>
        <w:tc>
          <w:tcPr>
            <w:tcW w:w="2680" w:type="dxa"/>
            <w:vAlign w:val="bottom"/>
          </w:tcPr>
          <w:p>
            <w:pPr>
              <w:ind w:left="1760"/>
              <w:spacing w:after="0"/>
              <w:rPr>
                <w:sz w:val="20"/>
                <w:szCs w:val="20"/>
                <w:color w:val="auto"/>
              </w:rPr>
            </w:pPr>
            <w:r>
              <w:rPr>
                <w:rFonts w:ascii="Arial" w:cs="Arial" w:eastAsia="Arial" w:hAnsi="Arial"/>
                <w:sz w:val="17"/>
                <w:szCs w:val="17"/>
                <w:color w:val="auto"/>
                <w:w w:val="90"/>
              </w:rPr>
              <w:t>2014 to 2017</w:t>
            </w:r>
          </w:p>
        </w:tc>
      </w:tr>
    </w:tbl>
    <w:p>
      <w:pPr>
        <w:spacing w:after="0" w:line="195" w:lineRule="exact"/>
        <w:rPr>
          <w:sz w:val="20"/>
          <w:szCs w:val="20"/>
          <w:color w:val="auto"/>
        </w:rPr>
      </w:pPr>
    </w:p>
    <w:p>
      <w:pPr>
        <w:ind w:left="320" w:right="160"/>
        <w:spacing w:after="0" w:line="262" w:lineRule="auto"/>
        <w:rPr>
          <w:sz w:val="20"/>
          <w:szCs w:val="20"/>
          <w:color w:val="auto"/>
        </w:rPr>
      </w:pPr>
      <w:r>
        <w:rPr>
          <w:rFonts w:ascii="Arial" w:cs="Arial" w:eastAsia="Arial" w:hAnsi="Arial"/>
          <w:sz w:val="17"/>
          <w:szCs w:val="17"/>
          <w:color w:val="auto"/>
        </w:rPr>
        <w:t>Since tax regulations are subject to interpretation by the different Tax Authorities where Credicorp’s subsidiaries are located, it is not possible to determine at the present date whether any significant additional liabilities may arise from any eventual tax examinations of the Credicorp’s subsidiaries. Any resulting unpaid taxes, tax penalties or interest that may arise will be recognized as expenses in the year in which they are determined. However, Management of Credicorp and its Subsidiaries and their legal counsel consider that any additional tax assessments would not have a significant impact on the consolidated financial statements as of December 31, 2017 and 2016.</w:t>
      </w:r>
    </w:p>
    <w:p>
      <w:pPr>
        <w:spacing w:after="0" w:line="174" w:lineRule="exact"/>
        <w:rPr>
          <w:sz w:val="20"/>
          <w:szCs w:val="20"/>
          <w:color w:val="auto"/>
        </w:rPr>
      </w:pPr>
    </w:p>
    <w:p>
      <w:pPr>
        <w:spacing w:after="0"/>
        <w:tabs>
          <w:tab w:leader="none" w:pos="300" w:val="left"/>
        </w:tabs>
        <w:rPr>
          <w:sz w:val="20"/>
          <w:szCs w:val="20"/>
          <w:color w:val="auto"/>
        </w:rPr>
      </w:pPr>
      <w:r>
        <w:rPr>
          <w:rFonts w:ascii="Arial" w:cs="Arial" w:eastAsia="Arial" w:hAnsi="Arial"/>
          <w:sz w:val="17"/>
          <w:szCs w:val="17"/>
          <w:b w:val="1"/>
          <w:bCs w:val="1"/>
          <w:color w:val="auto"/>
        </w:rPr>
        <w:t>19</w:t>
      </w:r>
      <w:r>
        <w:rPr>
          <w:sz w:val="20"/>
          <w:szCs w:val="20"/>
          <w:color w:val="auto"/>
        </w:rPr>
        <w:tab/>
      </w:r>
      <w:r>
        <w:rPr>
          <w:rFonts w:ascii="Arial" w:cs="Arial" w:eastAsia="Arial" w:hAnsi="Arial"/>
          <w:sz w:val="16"/>
          <w:szCs w:val="16"/>
          <w:b w:val="1"/>
          <w:bCs w:val="1"/>
          <w:color w:val="auto"/>
        </w:rPr>
        <w:t>SHARE-BASED COMPENSATION PLANS</w:t>
      </w:r>
    </w:p>
    <w:p>
      <w:pPr>
        <w:spacing w:after="0" w:line="226"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As indicated in Note 3(x), in March of each year, the Group grants its own shares to certain key employees. The awarded shares are liberated in the three following years for up to 33.3 percent of the shares granted in each of the three previous years. The Group assumes the payment of the related income tax on behalf of its employees, which corresponds to 30 percent of the benefit.</w:t>
      </w:r>
    </w:p>
    <w:p>
      <w:pPr>
        <w:spacing w:after="0" w:line="172"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At December 31, 2017, 2016 and 2015, the Group has granted 140,812, 140,498 and 124,601, Credicorp shares, of which 276,011, 277,436 and 269,832 shares were pending delivery as of December 31, 2017, 2016 and 2015, respectively. During those years, the recorded expense amounted to approximately S/62.0 million, S/73.9 million and S/65.5 million, respectively.</w:t>
      </w:r>
    </w:p>
    <w:p>
      <w:pPr>
        <w:spacing w:after="0" w:line="380"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- 94 -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15875</wp:posOffset>
            </wp:positionV>
            <wp:extent cx="725170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51700" cy="8255"/>
                    </a:xfrm>
                    <a:prstGeom prst="rect">
                      <a:avLst/>
                    </a:prstGeom>
                    <a:noFill/>
                  </pic:spPr>
                </pic:pic>
              </a:graphicData>
            </a:graphic>
          </wp:anchor>
        </w:drawing>
      </w:r>
    </w:p>
    <w:p>
      <w:pPr>
        <w:sectPr>
          <w:pgSz w:w="11900" w:h="16838" w:orient="portrait"/>
          <w:cols w:equalWidth="0" w:num="1">
            <w:col w:w="11380"/>
          </w:cols>
          <w:pgMar w:left="240" w:top="881" w:right="279" w:bottom="1440" w:gutter="0" w:footer="0" w:header="0"/>
        </w:sectPr>
      </w:pPr>
    </w:p>
    <w:bookmarkStart w:id="100" w:name="page101"/>
    <w:bookmarkEnd w:id="100"/>
    <w:tbl>
      <w:tblPr>
        <w:tblLayout w:type="fixed"/>
        <w:tblInd w:w="0" w:type="dxa"/>
        <w:tblCellMar>
          <w:top w:w="0" w:type="dxa"/>
          <w:left w:w="0" w:type="dxa"/>
          <w:bottom w:w="0" w:type="dxa"/>
          <w:right w:w="0" w:type="dxa"/>
        </w:tblCellMar>
      </w:tblPr>
      <w:tr>
        <w:trPr>
          <w:trHeight w:val="226"/>
        </w:trPr>
        <w:tc>
          <w:tcPr>
            <w:tcW w:w="320" w:type="dxa"/>
            <w:vAlign w:val="bottom"/>
          </w:tcPr>
          <w:p>
            <w:pPr>
              <w:spacing w:after="0"/>
              <w:rPr>
                <w:sz w:val="20"/>
                <w:szCs w:val="20"/>
                <w:color w:val="auto"/>
              </w:rPr>
            </w:pPr>
            <w:r>
              <w:rPr>
                <w:rFonts w:ascii="Arial" w:cs="Arial" w:eastAsia="Arial" w:hAnsi="Arial"/>
                <w:sz w:val="17"/>
                <w:szCs w:val="17"/>
                <w:b w:val="1"/>
                <w:bCs w:val="1"/>
                <w:color w:val="auto"/>
              </w:rPr>
              <w:t>20</w:t>
            </w:r>
          </w:p>
        </w:tc>
        <w:tc>
          <w:tcPr>
            <w:tcW w:w="8220" w:type="dxa"/>
            <w:vAlign w:val="bottom"/>
          </w:tcPr>
          <w:p>
            <w:pPr>
              <w:spacing w:after="0"/>
              <w:rPr>
                <w:sz w:val="20"/>
                <w:szCs w:val="20"/>
                <w:color w:val="auto"/>
              </w:rPr>
            </w:pPr>
            <w:r>
              <w:rPr>
                <w:rFonts w:ascii="Arial" w:cs="Arial" w:eastAsia="Arial" w:hAnsi="Arial"/>
                <w:sz w:val="17"/>
                <w:szCs w:val="17"/>
                <w:b w:val="1"/>
                <w:bCs w:val="1"/>
                <w:color w:val="auto"/>
              </w:rPr>
              <w:t>OFF-BALANCE SHEET ACCOUNTS</w:t>
            </w:r>
          </w:p>
        </w:tc>
        <w:tc>
          <w:tcPr>
            <w:tcW w:w="1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416"/>
        </w:trPr>
        <w:tc>
          <w:tcPr>
            <w:tcW w:w="320" w:type="dxa"/>
            <w:vAlign w:val="bottom"/>
          </w:tcPr>
          <w:p>
            <w:pPr>
              <w:spacing w:after="0"/>
              <w:rPr>
                <w:sz w:val="20"/>
                <w:szCs w:val="20"/>
                <w:color w:val="auto"/>
              </w:rPr>
            </w:pPr>
            <w:r>
              <w:rPr>
                <w:rFonts w:ascii="Arial" w:cs="Arial" w:eastAsia="Arial" w:hAnsi="Arial"/>
                <w:sz w:val="17"/>
                <w:szCs w:val="17"/>
                <w:color w:val="auto"/>
              </w:rPr>
              <w:t>a)</w:t>
            </w:r>
          </w:p>
        </w:tc>
        <w:tc>
          <w:tcPr>
            <w:tcW w:w="8220" w:type="dxa"/>
            <w:vAlign w:val="bottom"/>
          </w:tcPr>
          <w:p>
            <w:pPr>
              <w:spacing w:after="0"/>
              <w:rPr>
                <w:sz w:val="20"/>
                <w:szCs w:val="20"/>
                <w:color w:val="auto"/>
              </w:rPr>
            </w:pPr>
            <w:r>
              <w:rPr>
                <w:rFonts w:ascii="Arial" w:cs="Arial" w:eastAsia="Arial" w:hAnsi="Arial"/>
                <w:sz w:val="17"/>
                <w:szCs w:val="17"/>
                <w:color w:val="auto"/>
              </w:rPr>
              <w:t>This item consists of the following:</w:t>
            </w:r>
          </w:p>
        </w:tc>
        <w:tc>
          <w:tcPr>
            <w:tcW w:w="1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29"/>
        </w:trPr>
        <w:tc>
          <w:tcPr>
            <w:tcW w:w="320" w:type="dxa"/>
            <w:vAlign w:val="bottom"/>
          </w:tcPr>
          <w:p>
            <w:pPr>
              <w:spacing w:after="0"/>
              <w:rPr>
                <w:sz w:val="24"/>
                <w:szCs w:val="24"/>
                <w:color w:val="auto"/>
              </w:rPr>
            </w:pPr>
          </w:p>
        </w:tc>
        <w:tc>
          <w:tcPr>
            <w:tcW w:w="8220" w:type="dxa"/>
            <w:vAlign w:val="bottom"/>
          </w:tcPr>
          <w:p>
            <w:pPr>
              <w:spacing w:after="0"/>
              <w:rPr>
                <w:sz w:val="24"/>
                <w:szCs w:val="24"/>
                <w:color w:val="auto"/>
              </w:rPr>
            </w:pPr>
          </w:p>
        </w:tc>
        <w:tc>
          <w:tcPr>
            <w:tcW w:w="1220" w:type="dxa"/>
            <w:vAlign w:val="bottom"/>
            <w:tcBorders>
              <w:bottom w:val="single" w:sz="8" w:color="auto"/>
            </w:tcBorders>
          </w:tcPr>
          <w:p>
            <w:pPr>
              <w:jc w:val="right"/>
              <w:ind w:right="353"/>
              <w:spacing w:after="0"/>
              <w:rPr>
                <w:sz w:val="20"/>
                <w:szCs w:val="20"/>
                <w:color w:val="auto"/>
              </w:rPr>
            </w:pPr>
            <w:r>
              <w:rPr>
                <w:rFonts w:ascii="Arial" w:cs="Arial" w:eastAsia="Arial" w:hAnsi="Arial"/>
                <w:sz w:val="17"/>
                <w:szCs w:val="17"/>
                <w:b w:val="1"/>
                <w:bCs w:val="1"/>
                <w:color w:val="auto"/>
              </w:rPr>
              <w:t>2017</w:t>
            </w:r>
          </w:p>
        </w:tc>
        <w:tc>
          <w:tcPr>
            <w:tcW w:w="200" w:type="dxa"/>
            <w:vAlign w:val="bottom"/>
          </w:tcPr>
          <w:p>
            <w:pPr>
              <w:spacing w:after="0"/>
              <w:rPr>
                <w:sz w:val="24"/>
                <w:szCs w:val="24"/>
                <w:color w:val="auto"/>
              </w:rPr>
            </w:pPr>
          </w:p>
        </w:tc>
        <w:tc>
          <w:tcPr>
            <w:tcW w:w="1200" w:type="dxa"/>
            <w:vAlign w:val="bottom"/>
            <w:tcBorders>
              <w:bottom w:val="single" w:sz="8" w:color="auto"/>
            </w:tcBorders>
          </w:tcPr>
          <w:p>
            <w:pPr>
              <w:jc w:val="right"/>
              <w:ind w:right="333"/>
              <w:spacing w:after="0"/>
              <w:rPr>
                <w:sz w:val="20"/>
                <w:szCs w:val="20"/>
                <w:color w:val="auto"/>
              </w:rPr>
            </w:pPr>
            <w:r>
              <w:rPr>
                <w:rFonts w:ascii="Arial" w:cs="Arial" w:eastAsia="Arial" w:hAnsi="Arial"/>
                <w:sz w:val="17"/>
                <w:szCs w:val="17"/>
                <w:b w:val="1"/>
                <w:bCs w:val="1"/>
                <w:color w:val="auto"/>
              </w:rPr>
              <w:t>2016</w:t>
            </w:r>
          </w:p>
        </w:tc>
        <w:tc>
          <w:tcPr>
            <w:tcW w:w="100" w:type="dxa"/>
            <w:vAlign w:val="bottom"/>
          </w:tcPr>
          <w:p>
            <w:pPr>
              <w:spacing w:after="0"/>
              <w:rPr>
                <w:sz w:val="24"/>
                <w:szCs w:val="24"/>
                <w:color w:val="auto"/>
              </w:rPr>
            </w:pPr>
          </w:p>
        </w:tc>
      </w:tr>
      <w:tr>
        <w:trPr>
          <w:trHeight w:val="219"/>
        </w:trPr>
        <w:tc>
          <w:tcPr>
            <w:tcW w:w="320" w:type="dxa"/>
            <w:vAlign w:val="bottom"/>
          </w:tcPr>
          <w:p>
            <w:pPr>
              <w:spacing w:after="0"/>
              <w:rPr>
                <w:sz w:val="19"/>
                <w:szCs w:val="19"/>
                <w:color w:val="auto"/>
              </w:rPr>
            </w:pPr>
          </w:p>
        </w:tc>
        <w:tc>
          <w:tcPr>
            <w:tcW w:w="8220" w:type="dxa"/>
            <w:vAlign w:val="bottom"/>
          </w:tcPr>
          <w:p>
            <w:pPr>
              <w:spacing w:after="0"/>
              <w:rPr>
                <w:sz w:val="19"/>
                <w:szCs w:val="19"/>
                <w:color w:val="auto"/>
              </w:rPr>
            </w:pPr>
          </w:p>
        </w:tc>
        <w:tc>
          <w:tcPr>
            <w:tcW w:w="1220" w:type="dxa"/>
            <w:vAlign w:val="bottom"/>
          </w:tcPr>
          <w:p>
            <w:pPr>
              <w:jc w:val="center"/>
              <w:spacing w:after="0"/>
              <w:rPr>
                <w:sz w:val="20"/>
                <w:szCs w:val="20"/>
                <w:color w:val="auto"/>
              </w:rPr>
            </w:pPr>
            <w:r>
              <w:rPr>
                <w:rFonts w:ascii="Arial" w:cs="Arial" w:eastAsia="Arial" w:hAnsi="Arial"/>
                <w:sz w:val="17"/>
                <w:szCs w:val="17"/>
                <w:b w:val="1"/>
                <w:bCs w:val="1"/>
                <w:color w:val="auto"/>
                <w:w w:val="93"/>
              </w:rPr>
              <w:t>S/(000)</w:t>
            </w:r>
          </w:p>
        </w:tc>
        <w:tc>
          <w:tcPr>
            <w:tcW w:w="200" w:type="dxa"/>
            <w:vAlign w:val="bottom"/>
          </w:tcPr>
          <w:p>
            <w:pPr>
              <w:spacing w:after="0"/>
              <w:rPr>
                <w:sz w:val="19"/>
                <w:szCs w:val="19"/>
                <w:color w:val="auto"/>
              </w:rPr>
            </w:pPr>
          </w:p>
        </w:tc>
        <w:tc>
          <w:tcPr>
            <w:tcW w:w="1200" w:type="dxa"/>
            <w:vAlign w:val="bottom"/>
          </w:tcPr>
          <w:p>
            <w:pPr>
              <w:jc w:val="center"/>
              <w:spacing w:after="0"/>
              <w:rPr>
                <w:sz w:val="20"/>
                <w:szCs w:val="20"/>
                <w:color w:val="auto"/>
              </w:rPr>
            </w:pPr>
            <w:r>
              <w:rPr>
                <w:rFonts w:ascii="Arial" w:cs="Arial" w:eastAsia="Arial" w:hAnsi="Arial"/>
                <w:sz w:val="17"/>
                <w:szCs w:val="17"/>
                <w:b w:val="1"/>
                <w:bCs w:val="1"/>
                <w:color w:val="auto"/>
                <w:w w:val="93"/>
              </w:rPr>
              <w:t>S/(000)</w:t>
            </w:r>
          </w:p>
        </w:tc>
        <w:tc>
          <w:tcPr>
            <w:tcW w:w="100" w:type="dxa"/>
            <w:vAlign w:val="bottom"/>
          </w:tcPr>
          <w:p>
            <w:pPr>
              <w:spacing w:after="0"/>
              <w:rPr>
                <w:sz w:val="19"/>
                <w:szCs w:val="19"/>
                <w:color w:val="auto"/>
              </w:rPr>
            </w:pPr>
          </w:p>
        </w:tc>
      </w:tr>
      <w:tr>
        <w:trPr>
          <w:trHeight w:val="189"/>
        </w:trPr>
        <w:tc>
          <w:tcPr>
            <w:tcW w:w="320" w:type="dxa"/>
            <w:vAlign w:val="bottom"/>
          </w:tcPr>
          <w:p>
            <w:pPr>
              <w:spacing w:after="0"/>
              <w:rPr>
                <w:sz w:val="16"/>
                <w:szCs w:val="16"/>
                <w:color w:val="auto"/>
              </w:rPr>
            </w:pPr>
          </w:p>
        </w:tc>
        <w:tc>
          <w:tcPr>
            <w:tcW w:w="82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08"/>
        </w:trPr>
        <w:tc>
          <w:tcPr>
            <w:tcW w:w="320" w:type="dxa"/>
            <w:vAlign w:val="bottom"/>
          </w:tcPr>
          <w:p>
            <w:pPr>
              <w:spacing w:after="0"/>
              <w:rPr>
                <w:sz w:val="18"/>
                <w:szCs w:val="18"/>
                <w:color w:val="auto"/>
              </w:rPr>
            </w:pPr>
          </w:p>
        </w:tc>
        <w:tc>
          <w:tcPr>
            <w:tcW w:w="822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Contingent credits – indirect loans (b), Note 7(a)</w:t>
            </w:r>
          </w:p>
        </w:tc>
        <w:tc>
          <w:tcPr>
            <w:tcW w:w="1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8"/>
        </w:trPr>
        <w:tc>
          <w:tcPr>
            <w:tcW w:w="320" w:type="dxa"/>
            <w:vAlign w:val="bottom"/>
          </w:tcPr>
          <w:p>
            <w:pPr>
              <w:spacing w:after="0"/>
              <w:rPr>
                <w:sz w:val="18"/>
                <w:szCs w:val="18"/>
                <w:color w:val="auto"/>
              </w:rPr>
            </w:pPr>
          </w:p>
        </w:tc>
        <w:tc>
          <w:tcPr>
            <w:tcW w:w="8220" w:type="dxa"/>
            <w:vAlign w:val="bottom"/>
          </w:tcPr>
          <w:p>
            <w:pPr>
              <w:spacing w:after="0"/>
              <w:rPr>
                <w:sz w:val="20"/>
                <w:szCs w:val="20"/>
                <w:color w:val="auto"/>
              </w:rPr>
            </w:pPr>
            <w:r>
              <w:rPr>
                <w:rFonts w:ascii="Arial" w:cs="Arial" w:eastAsia="Arial" w:hAnsi="Arial"/>
                <w:sz w:val="17"/>
                <w:szCs w:val="17"/>
                <w:color w:val="auto"/>
              </w:rPr>
              <w:t>Guarantees and standby letters</w:t>
            </w:r>
          </w:p>
        </w:tc>
        <w:tc>
          <w:tcPr>
            <w:tcW w:w="1420" w:type="dxa"/>
            <w:vAlign w:val="bottom"/>
            <w:gridSpan w:val="2"/>
          </w:tcPr>
          <w:p>
            <w:pPr>
              <w:jc w:val="right"/>
              <w:ind w:right="200"/>
              <w:spacing w:after="0"/>
              <w:rPr>
                <w:sz w:val="20"/>
                <w:szCs w:val="20"/>
                <w:color w:val="auto"/>
              </w:rPr>
            </w:pPr>
            <w:r>
              <w:rPr>
                <w:rFonts w:ascii="Arial" w:cs="Arial" w:eastAsia="Arial" w:hAnsi="Arial"/>
                <w:sz w:val="17"/>
                <w:szCs w:val="17"/>
                <w:color w:val="auto"/>
              </w:rPr>
              <w:t>17,688,087</w:t>
            </w:r>
          </w:p>
        </w:tc>
        <w:tc>
          <w:tcPr>
            <w:tcW w:w="1300" w:type="dxa"/>
            <w:vAlign w:val="bottom"/>
            <w:gridSpan w:val="2"/>
          </w:tcPr>
          <w:p>
            <w:pPr>
              <w:jc w:val="right"/>
              <w:ind w:right="100"/>
              <w:spacing w:after="0"/>
              <w:rPr>
                <w:sz w:val="20"/>
                <w:szCs w:val="20"/>
                <w:color w:val="auto"/>
              </w:rPr>
            </w:pPr>
            <w:r>
              <w:rPr>
                <w:rFonts w:ascii="Arial" w:cs="Arial" w:eastAsia="Arial" w:hAnsi="Arial"/>
                <w:sz w:val="17"/>
                <w:szCs w:val="17"/>
                <w:color w:val="auto"/>
              </w:rPr>
              <w:t>18,000,311</w:t>
            </w:r>
          </w:p>
        </w:tc>
      </w:tr>
      <w:tr>
        <w:trPr>
          <w:trHeight w:val="221"/>
        </w:trPr>
        <w:tc>
          <w:tcPr>
            <w:tcW w:w="320" w:type="dxa"/>
            <w:vAlign w:val="bottom"/>
          </w:tcPr>
          <w:p>
            <w:pPr>
              <w:spacing w:after="0"/>
              <w:rPr>
                <w:sz w:val="19"/>
                <w:szCs w:val="19"/>
                <w:color w:val="auto"/>
              </w:rPr>
            </w:pPr>
          </w:p>
        </w:tc>
        <w:tc>
          <w:tcPr>
            <w:tcW w:w="8220" w:type="dxa"/>
            <w:vAlign w:val="bottom"/>
            <w:shd w:val="clear" w:color="auto" w:fill="CCEEFF"/>
          </w:tcPr>
          <w:p>
            <w:pPr>
              <w:spacing w:after="0"/>
              <w:rPr>
                <w:sz w:val="20"/>
                <w:szCs w:val="20"/>
                <w:color w:val="auto"/>
              </w:rPr>
            </w:pPr>
            <w:r>
              <w:rPr>
                <w:rFonts w:ascii="Arial" w:cs="Arial" w:eastAsia="Arial" w:hAnsi="Arial"/>
                <w:sz w:val="17"/>
                <w:szCs w:val="17"/>
                <w:color w:val="auto"/>
              </w:rPr>
              <w:t>Import and export letters of credit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1,681,472</w:t>
            </w:r>
          </w:p>
        </w:tc>
        <w:tc>
          <w:tcPr>
            <w:tcW w:w="200" w:type="dxa"/>
            <w:vAlign w:val="bottom"/>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1,831,674</w:t>
            </w:r>
          </w:p>
        </w:tc>
        <w:tc>
          <w:tcPr>
            <w:tcW w:w="100" w:type="dxa"/>
            <w:vAlign w:val="bottom"/>
            <w:shd w:val="clear" w:color="auto" w:fill="CCEEFF"/>
          </w:tcPr>
          <w:p>
            <w:pPr>
              <w:spacing w:after="0"/>
              <w:rPr>
                <w:sz w:val="19"/>
                <w:szCs w:val="19"/>
                <w:color w:val="auto"/>
              </w:rPr>
            </w:pPr>
          </w:p>
        </w:tc>
      </w:tr>
      <w:tr>
        <w:trPr>
          <w:trHeight w:val="201"/>
        </w:trPr>
        <w:tc>
          <w:tcPr>
            <w:tcW w:w="320" w:type="dxa"/>
            <w:vAlign w:val="bottom"/>
          </w:tcPr>
          <w:p>
            <w:pPr>
              <w:spacing w:after="0"/>
              <w:rPr>
                <w:sz w:val="17"/>
                <w:szCs w:val="17"/>
                <w:color w:val="auto"/>
              </w:rPr>
            </w:pPr>
          </w:p>
        </w:tc>
        <w:tc>
          <w:tcPr>
            <w:tcW w:w="822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19,369,559</w:t>
            </w:r>
          </w:p>
        </w:tc>
        <w:tc>
          <w:tcPr>
            <w:tcW w:w="2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19,831,985</w:t>
            </w:r>
          </w:p>
        </w:tc>
        <w:tc>
          <w:tcPr>
            <w:tcW w:w="100" w:type="dxa"/>
            <w:vAlign w:val="bottom"/>
          </w:tcPr>
          <w:p>
            <w:pPr>
              <w:spacing w:after="0"/>
              <w:rPr>
                <w:sz w:val="17"/>
                <w:szCs w:val="17"/>
                <w:color w:val="auto"/>
              </w:rPr>
            </w:pPr>
          </w:p>
        </w:tc>
      </w:tr>
      <w:tr>
        <w:trPr>
          <w:trHeight w:val="208"/>
        </w:trPr>
        <w:tc>
          <w:tcPr>
            <w:tcW w:w="320" w:type="dxa"/>
            <w:vAlign w:val="bottom"/>
          </w:tcPr>
          <w:p>
            <w:pPr>
              <w:spacing w:after="0"/>
              <w:rPr>
                <w:sz w:val="18"/>
                <w:szCs w:val="18"/>
                <w:color w:val="auto"/>
              </w:rPr>
            </w:pPr>
          </w:p>
        </w:tc>
        <w:tc>
          <w:tcPr>
            <w:tcW w:w="8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1"/>
        </w:trPr>
        <w:tc>
          <w:tcPr>
            <w:tcW w:w="320" w:type="dxa"/>
            <w:vAlign w:val="bottom"/>
          </w:tcPr>
          <w:p>
            <w:pPr>
              <w:spacing w:after="0"/>
              <w:rPr>
                <w:sz w:val="19"/>
                <w:szCs w:val="19"/>
                <w:color w:val="auto"/>
              </w:rPr>
            </w:pPr>
          </w:p>
        </w:tc>
        <w:tc>
          <w:tcPr>
            <w:tcW w:w="8220" w:type="dxa"/>
            <w:vAlign w:val="bottom"/>
          </w:tcPr>
          <w:p>
            <w:pPr>
              <w:spacing w:after="0"/>
              <w:rPr>
                <w:sz w:val="20"/>
                <w:szCs w:val="20"/>
                <w:color w:val="auto"/>
              </w:rPr>
            </w:pPr>
            <w:r>
              <w:rPr>
                <w:rFonts w:ascii="Arial" w:cs="Arial" w:eastAsia="Arial" w:hAnsi="Arial"/>
                <w:sz w:val="17"/>
                <w:szCs w:val="17"/>
                <w:color w:val="auto"/>
              </w:rPr>
              <w:t>Responsibilities under credit line agreements (c)</w:t>
            </w:r>
          </w:p>
        </w:tc>
        <w:tc>
          <w:tcPr>
            <w:tcW w:w="1420" w:type="dxa"/>
            <w:vAlign w:val="bottom"/>
            <w:gridSpan w:val="2"/>
          </w:tcPr>
          <w:p>
            <w:pPr>
              <w:jc w:val="right"/>
              <w:ind w:right="200"/>
              <w:spacing w:after="0"/>
              <w:rPr>
                <w:sz w:val="20"/>
                <w:szCs w:val="20"/>
                <w:color w:val="auto"/>
              </w:rPr>
            </w:pPr>
            <w:r>
              <w:rPr>
                <w:rFonts w:ascii="Arial" w:cs="Arial" w:eastAsia="Arial" w:hAnsi="Arial"/>
                <w:sz w:val="17"/>
                <w:szCs w:val="17"/>
                <w:color w:val="auto"/>
              </w:rPr>
              <w:t>23,553,406</w:t>
            </w:r>
          </w:p>
        </w:tc>
        <w:tc>
          <w:tcPr>
            <w:tcW w:w="1300" w:type="dxa"/>
            <w:vAlign w:val="bottom"/>
            <w:gridSpan w:val="2"/>
          </w:tcPr>
          <w:p>
            <w:pPr>
              <w:jc w:val="right"/>
              <w:ind w:right="100"/>
              <w:spacing w:after="0"/>
              <w:rPr>
                <w:sz w:val="20"/>
                <w:szCs w:val="20"/>
                <w:color w:val="auto"/>
              </w:rPr>
            </w:pPr>
            <w:r>
              <w:rPr>
                <w:rFonts w:ascii="Arial" w:cs="Arial" w:eastAsia="Arial" w:hAnsi="Arial"/>
                <w:sz w:val="17"/>
                <w:szCs w:val="17"/>
                <w:color w:val="auto"/>
              </w:rPr>
              <w:t>25,812,963</w:t>
            </w:r>
          </w:p>
        </w:tc>
      </w:tr>
      <w:tr>
        <w:trPr>
          <w:trHeight w:val="201"/>
        </w:trPr>
        <w:tc>
          <w:tcPr>
            <w:tcW w:w="320" w:type="dxa"/>
            <w:vAlign w:val="bottom"/>
          </w:tcPr>
          <w:p>
            <w:pPr>
              <w:spacing w:after="0"/>
              <w:rPr>
                <w:sz w:val="17"/>
                <w:szCs w:val="17"/>
                <w:color w:val="auto"/>
              </w:rPr>
            </w:pPr>
          </w:p>
        </w:tc>
        <w:tc>
          <w:tcPr>
            <w:tcW w:w="82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b w:val="1"/>
                <w:bCs w:val="1"/>
                <w:color w:val="auto"/>
              </w:rPr>
              <w:t>Total</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42,922,965</w:t>
            </w:r>
          </w:p>
        </w:tc>
        <w:tc>
          <w:tcPr>
            <w:tcW w:w="200" w:type="dxa"/>
            <w:vAlign w:val="bottom"/>
            <w:tcBorders>
              <w:top w:val="single" w:sz="8" w:color="CCEEFF"/>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45,644,948</w:t>
            </w:r>
          </w:p>
        </w:tc>
        <w:tc>
          <w:tcPr>
            <w:tcW w:w="100" w:type="dxa"/>
            <w:vAlign w:val="bottom"/>
            <w:tcBorders>
              <w:top w:val="single" w:sz="8" w:color="CCEEFF"/>
            </w:tcBorders>
            <w:shd w:val="clear" w:color="auto" w:fill="CCEEFF"/>
          </w:tcPr>
          <w:p>
            <w:pPr>
              <w:spacing w:after="0"/>
              <w:rPr>
                <w:sz w:val="17"/>
                <w:szCs w:val="17"/>
                <w:color w:val="auto"/>
              </w:rPr>
            </w:pPr>
          </w:p>
        </w:tc>
      </w:tr>
    </w:tbl>
    <w:p>
      <w:pPr>
        <w:spacing w:after="0" w:line="195" w:lineRule="exact"/>
        <w:rPr>
          <w:sz w:val="20"/>
          <w:szCs w:val="20"/>
          <w:color w:val="auto"/>
        </w:rPr>
      </w:pPr>
    </w:p>
    <w:p>
      <w:pPr>
        <w:ind w:left="320"/>
        <w:spacing w:after="0"/>
        <w:rPr>
          <w:sz w:val="20"/>
          <w:szCs w:val="20"/>
          <w:color w:val="auto"/>
        </w:rPr>
      </w:pPr>
      <w:r>
        <w:rPr>
          <w:rFonts w:ascii="Arial" w:cs="Arial" w:eastAsia="Arial" w:hAnsi="Arial"/>
          <w:sz w:val="17"/>
          <w:szCs w:val="17"/>
          <w:color w:val="auto"/>
        </w:rPr>
        <w:t>Reference values of operations with derivatives are recorded in off-balance sheet accounts in the committed currency, as shown in Note 12(b).</w:t>
      </w:r>
    </w:p>
    <w:p>
      <w:pPr>
        <w:spacing w:after="0" w:line="220" w:lineRule="exact"/>
        <w:rPr>
          <w:sz w:val="20"/>
          <w:szCs w:val="20"/>
          <w:color w:val="auto"/>
        </w:rPr>
      </w:pPr>
    </w:p>
    <w:p>
      <w:pPr>
        <w:ind w:left="320" w:hanging="316"/>
        <w:spacing w:after="0" w:line="285" w:lineRule="auto"/>
        <w:tabs>
          <w:tab w:leader="none" w:pos="320" w:val="left"/>
        </w:tabs>
        <w:numPr>
          <w:ilvl w:val="0"/>
          <w:numId w:val="116"/>
        </w:numPr>
        <w:rPr>
          <w:rFonts w:ascii="Arial" w:cs="Arial" w:eastAsia="Arial" w:hAnsi="Arial"/>
          <w:sz w:val="17"/>
          <w:szCs w:val="17"/>
          <w:color w:val="auto"/>
        </w:rPr>
      </w:pPr>
      <w:r>
        <w:rPr>
          <w:rFonts w:ascii="Arial" w:cs="Arial" w:eastAsia="Arial" w:hAnsi="Arial"/>
          <w:sz w:val="17"/>
          <w:szCs w:val="17"/>
          <w:color w:val="auto"/>
        </w:rPr>
        <w:t>In the normal course of their business, the Group’s banking subsidiaries are party to transactions with off-balance sheet risk. These transactions expose them to credit risk in addition to the amounts recognized in the consolidated statement of financial position.</w:t>
      </w:r>
    </w:p>
    <w:p>
      <w:pPr>
        <w:spacing w:after="0" w:line="159" w:lineRule="exact"/>
        <w:rPr>
          <w:rFonts w:ascii="Arial" w:cs="Arial" w:eastAsia="Arial" w:hAnsi="Arial"/>
          <w:sz w:val="17"/>
          <w:szCs w:val="17"/>
          <w:color w:val="auto"/>
        </w:rPr>
      </w:pPr>
    </w:p>
    <w:p>
      <w:pPr>
        <w:jc w:val="both"/>
        <w:ind w:left="320" w:right="220"/>
        <w:spacing w:after="0" w:line="265" w:lineRule="auto"/>
        <w:rPr>
          <w:rFonts w:ascii="Arial" w:cs="Arial" w:eastAsia="Arial" w:hAnsi="Arial"/>
          <w:sz w:val="17"/>
          <w:szCs w:val="17"/>
          <w:color w:val="auto"/>
        </w:rPr>
      </w:pPr>
      <w:r>
        <w:rPr>
          <w:rFonts w:ascii="Arial" w:cs="Arial" w:eastAsia="Arial" w:hAnsi="Arial"/>
          <w:sz w:val="17"/>
          <w:szCs w:val="17"/>
          <w:color w:val="auto"/>
        </w:rPr>
        <w:t>Credit risk for contingent credits is defined as the possibility of sustaining a loss because one of the parties to a financial instrument fails to comply with the terms of the contract. The risk of credit losses is represented by the contractual amounts specified in the related contracts. The Group applies the same credit policies in making contingent commitments and other obligations as it does for on-balance sheet instruments (Note 7(a)), including the requirement to obtain collateral when it is deemed necessary.</w:t>
      </w:r>
    </w:p>
    <w:p>
      <w:pPr>
        <w:spacing w:after="0" w:line="176" w:lineRule="exact"/>
        <w:rPr>
          <w:rFonts w:ascii="Arial" w:cs="Arial" w:eastAsia="Arial" w:hAnsi="Arial"/>
          <w:sz w:val="17"/>
          <w:szCs w:val="17"/>
          <w:color w:val="auto"/>
        </w:rPr>
      </w:pPr>
    </w:p>
    <w:p>
      <w:pPr>
        <w:ind w:left="320" w:right="200"/>
        <w:spacing w:after="0" w:line="285" w:lineRule="auto"/>
        <w:rPr>
          <w:rFonts w:ascii="Arial" w:cs="Arial" w:eastAsia="Arial" w:hAnsi="Arial"/>
          <w:sz w:val="17"/>
          <w:szCs w:val="17"/>
          <w:color w:val="auto"/>
        </w:rPr>
      </w:pPr>
      <w:r>
        <w:rPr>
          <w:rFonts w:ascii="Arial" w:cs="Arial" w:eastAsia="Arial" w:hAnsi="Arial"/>
          <w:sz w:val="17"/>
          <w:szCs w:val="17"/>
          <w:color w:val="auto"/>
        </w:rPr>
        <w:t>Collateral held varies, but may include deposits in financial institutions, securities or other assets. Many of the contingent transactions reach maturity without any performance being required; therefore, the total committed amounts do not necessarily represent future cash requirements.</w:t>
      </w:r>
    </w:p>
    <w:p>
      <w:pPr>
        <w:spacing w:after="0" w:line="159" w:lineRule="exact"/>
        <w:rPr>
          <w:rFonts w:ascii="Arial" w:cs="Arial" w:eastAsia="Arial" w:hAnsi="Arial"/>
          <w:sz w:val="17"/>
          <w:szCs w:val="17"/>
          <w:color w:val="auto"/>
        </w:rPr>
      </w:pPr>
    </w:p>
    <w:p>
      <w:pPr>
        <w:ind w:left="320" w:hanging="316"/>
        <w:spacing w:after="0" w:line="285" w:lineRule="auto"/>
        <w:tabs>
          <w:tab w:leader="none" w:pos="320" w:val="left"/>
        </w:tabs>
        <w:numPr>
          <w:ilvl w:val="0"/>
          <w:numId w:val="116"/>
        </w:numPr>
        <w:rPr>
          <w:rFonts w:ascii="Arial" w:cs="Arial" w:eastAsia="Arial" w:hAnsi="Arial"/>
          <w:sz w:val="17"/>
          <w:szCs w:val="17"/>
          <w:color w:val="auto"/>
        </w:rPr>
      </w:pPr>
      <w:r>
        <w:rPr>
          <w:rFonts w:ascii="Arial" w:cs="Arial" w:eastAsia="Arial" w:hAnsi="Arial"/>
          <w:sz w:val="17"/>
          <w:szCs w:val="17"/>
          <w:color w:val="auto"/>
        </w:rPr>
        <w:t>Lines of credit conceded include consumer loans and other consumer loan facilities (credit card receivables) granted to clients and are cancelable upon related notice to the customer.</w:t>
      </w:r>
    </w:p>
    <w:p>
      <w:pPr>
        <w:spacing w:after="0" w:line="367" w:lineRule="exact"/>
        <w:rPr>
          <w:rFonts w:ascii="Arial" w:cs="Arial" w:eastAsia="Arial" w:hAnsi="Arial"/>
          <w:sz w:val="17"/>
          <w:szCs w:val="17"/>
          <w:color w:val="auto"/>
        </w:rPr>
      </w:pPr>
    </w:p>
    <w:p>
      <w:pPr>
        <w:ind w:left="5640" w:hanging="107"/>
        <w:spacing w:after="0"/>
        <w:tabs>
          <w:tab w:leader="none" w:pos="5640" w:val="left"/>
        </w:tabs>
        <w:numPr>
          <w:ilvl w:val="1"/>
          <w:numId w:val="116"/>
        </w:numPr>
        <w:rPr>
          <w:rFonts w:ascii="Arial" w:cs="Arial" w:eastAsia="Arial" w:hAnsi="Arial"/>
          <w:sz w:val="17"/>
          <w:szCs w:val="17"/>
          <w:color w:val="auto"/>
        </w:rPr>
      </w:pPr>
      <w:r>
        <w:rPr>
          <w:rFonts w:ascii="Arial" w:cs="Arial" w:eastAsia="Arial" w:hAnsi="Arial"/>
          <w:sz w:val="17"/>
          <w:szCs w:val="17"/>
          <w:color w:val="auto"/>
        </w:rPr>
        <w:t>95 -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15875</wp:posOffset>
            </wp:positionV>
            <wp:extent cx="725170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51700" cy="8255"/>
                    </a:xfrm>
                    <a:prstGeom prst="rect">
                      <a:avLst/>
                    </a:prstGeom>
                    <a:noFill/>
                  </pic:spPr>
                </pic:pic>
              </a:graphicData>
            </a:graphic>
          </wp:anchor>
        </w:drawing>
      </w:r>
    </w:p>
    <w:p>
      <w:pPr>
        <w:sectPr>
          <w:pgSz w:w="11900" w:h="16838" w:orient="portrait"/>
          <w:cols w:equalWidth="0" w:num="1">
            <w:col w:w="11420"/>
          </w:cols>
          <w:pgMar w:left="240" w:top="875" w:right="239" w:bottom="1440" w:gutter="0" w:footer="0" w:header="0"/>
        </w:sectPr>
      </w:pPr>
    </w:p>
    <w:bookmarkStart w:id="101" w:name="page102"/>
    <w:bookmarkEnd w:id="101"/>
    <w:tbl>
      <w:tblPr>
        <w:tblLayout w:type="fixed"/>
        <w:tblInd w:w="0" w:type="dxa"/>
        <w:tblCellMar>
          <w:top w:w="0" w:type="dxa"/>
          <w:left w:w="0" w:type="dxa"/>
          <w:bottom w:w="0" w:type="dxa"/>
          <w:right w:w="0" w:type="dxa"/>
        </w:tblCellMar>
      </w:tblPr>
      <w:tr>
        <w:trPr>
          <w:trHeight w:val="226"/>
        </w:trPr>
        <w:tc>
          <w:tcPr>
            <w:tcW w:w="5240" w:type="dxa"/>
            <w:vAlign w:val="bottom"/>
            <w:gridSpan w:val="2"/>
          </w:tcPr>
          <w:p>
            <w:pPr>
              <w:spacing w:after="0"/>
              <w:rPr>
                <w:sz w:val="20"/>
                <w:szCs w:val="20"/>
                <w:color w:val="auto"/>
              </w:rPr>
            </w:pPr>
            <w:r>
              <w:rPr>
                <w:rFonts w:ascii="Arial" w:cs="Arial" w:eastAsia="Arial" w:hAnsi="Arial"/>
                <w:sz w:val="17"/>
                <w:szCs w:val="17"/>
                <w:b w:val="1"/>
                <w:bCs w:val="1"/>
                <w:color w:val="auto"/>
              </w:rPr>
              <w:t>21  INTEREST, SIMILAR INCOME AND SIMILAR EXPENSES</w:t>
            </w:r>
          </w:p>
        </w:tc>
        <w:tc>
          <w:tcPr>
            <w:tcW w:w="18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6"/>
        </w:trPr>
        <w:tc>
          <w:tcPr>
            <w:tcW w:w="5240" w:type="dxa"/>
            <w:vAlign w:val="bottom"/>
            <w:gridSpan w:val="2"/>
          </w:tcPr>
          <w:p>
            <w:pPr>
              <w:spacing w:after="0"/>
              <w:rPr>
                <w:sz w:val="20"/>
                <w:szCs w:val="20"/>
                <w:color w:val="auto"/>
              </w:rPr>
            </w:pPr>
            <w:r>
              <w:rPr>
                <w:rFonts w:ascii="Arial" w:cs="Arial" w:eastAsia="Arial" w:hAnsi="Arial"/>
                <w:sz w:val="17"/>
                <w:szCs w:val="17"/>
                <w:color w:val="auto"/>
              </w:rPr>
              <w:t>This item consists of the following:</w:t>
            </w:r>
          </w:p>
        </w:tc>
        <w:tc>
          <w:tcPr>
            <w:tcW w:w="18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9"/>
        </w:trPr>
        <w:tc>
          <w:tcPr>
            <w:tcW w:w="540" w:type="dxa"/>
            <w:vAlign w:val="bottom"/>
          </w:tcPr>
          <w:p>
            <w:pPr>
              <w:spacing w:after="0"/>
              <w:rPr>
                <w:sz w:val="24"/>
                <w:szCs w:val="24"/>
                <w:color w:val="auto"/>
              </w:rPr>
            </w:pPr>
          </w:p>
        </w:tc>
        <w:tc>
          <w:tcPr>
            <w:tcW w:w="4700" w:type="dxa"/>
            <w:vAlign w:val="bottom"/>
          </w:tcPr>
          <w:p>
            <w:pPr>
              <w:spacing w:after="0"/>
              <w:rPr>
                <w:sz w:val="24"/>
                <w:szCs w:val="24"/>
                <w:color w:val="auto"/>
              </w:rPr>
            </w:pPr>
          </w:p>
        </w:tc>
        <w:tc>
          <w:tcPr>
            <w:tcW w:w="3120" w:type="dxa"/>
            <w:vAlign w:val="bottom"/>
            <w:gridSpan w:val="2"/>
          </w:tcPr>
          <w:p>
            <w:pPr>
              <w:jc w:val="center"/>
              <w:ind w:left="1773"/>
              <w:spacing w:after="0"/>
              <w:rPr>
                <w:sz w:val="20"/>
                <w:szCs w:val="20"/>
                <w:color w:val="auto"/>
              </w:rPr>
            </w:pPr>
            <w:r>
              <w:rPr>
                <w:rFonts w:ascii="Arial" w:cs="Arial" w:eastAsia="Arial" w:hAnsi="Arial"/>
                <w:sz w:val="17"/>
                <w:szCs w:val="17"/>
                <w:b w:val="1"/>
                <w:bCs w:val="1"/>
                <w:color w:val="auto"/>
                <w:w w:val="89"/>
              </w:rPr>
              <w:t>2017</w:t>
            </w:r>
          </w:p>
        </w:tc>
        <w:tc>
          <w:tcPr>
            <w:tcW w:w="240" w:type="dxa"/>
            <w:vAlign w:val="bottom"/>
          </w:tcPr>
          <w:p>
            <w:pPr>
              <w:spacing w:after="0"/>
              <w:rPr>
                <w:sz w:val="24"/>
                <w:szCs w:val="24"/>
                <w:color w:val="auto"/>
              </w:rPr>
            </w:pPr>
          </w:p>
        </w:tc>
        <w:tc>
          <w:tcPr>
            <w:tcW w:w="1260" w:type="dxa"/>
            <w:vAlign w:val="bottom"/>
          </w:tcPr>
          <w:p>
            <w:pPr>
              <w:jc w:val="center"/>
              <w:spacing w:after="0"/>
              <w:rPr>
                <w:sz w:val="20"/>
                <w:szCs w:val="20"/>
                <w:color w:val="auto"/>
              </w:rPr>
            </w:pPr>
            <w:r>
              <w:rPr>
                <w:rFonts w:ascii="Arial" w:cs="Arial" w:eastAsia="Arial" w:hAnsi="Arial"/>
                <w:sz w:val="17"/>
                <w:szCs w:val="17"/>
                <w:b w:val="1"/>
                <w:bCs w:val="1"/>
                <w:color w:val="auto"/>
                <w:w w:val="95"/>
              </w:rPr>
              <w:t>2016</w:t>
            </w:r>
          </w:p>
        </w:tc>
        <w:tc>
          <w:tcPr>
            <w:tcW w:w="220" w:type="dxa"/>
            <w:vAlign w:val="bottom"/>
          </w:tcPr>
          <w:p>
            <w:pPr>
              <w:spacing w:after="0"/>
              <w:rPr>
                <w:sz w:val="24"/>
                <w:szCs w:val="24"/>
                <w:color w:val="auto"/>
              </w:rPr>
            </w:pPr>
          </w:p>
        </w:tc>
        <w:tc>
          <w:tcPr>
            <w:tcW w:w="1240" w:type="dxa"/>
            <w:vAlign w:val="bottom"/>
          </w:tcPr>
          <w:p>
            <w:pPr>
              <w:jc w:val="center"/>
              <w:spacing w:after="0"/>
              <w:rPr>
                <w:sz w:val="20"/>
                <w:szCs w:val="20"/>
                <w:color w:val="auto"/>
              </w:rPr>
            </w:pPr>
            <w:r>
              <w:rPr>
                <w:rFonts w:ascii="Arial" w:cs="Arial" w:eastAsia="Arial" w:hAnsi="Arial"/>
                <w:sz w:val="17"/>
                <w:szCs w:val="17"/>
                <w:b w:val="1"/>
                <w:bCs w:val="1"/>
                <w:color w:val="auto"/>
                <w:w w:val="95"/>
              </w:rPr>
              <w:t>2015</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1"/>
        </w:trPr>
        <w:tc>
          <w:tcPr>
            <w:tcW w:w="540" w:type="dxa"/>
            <w:vAlign w:val="bottom"/>
          </w:tcPr>
          <w:p>
            <w:pPr>
              <w:spacing w:after="0"/>
              <w:rPr>
                <w:sz w:val="17"/>
                <w:szCs w:val="17"/>
                <w:color w:val="auto"/>
              </w:rPr>
            </w:pPr>
          </w:p>
        </w:tc>
        <w:tc>
          <w:tcPr>
            <w:tcW w:w="470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260" w:type="dxa"/>
            <w:vAlign w:val="bottom"/>
            <w:tcBorders>
              <w:top w:val="single" w:sz="8" w:color="auto"/>
            </w:tcBorders>
          </w:tcPr>
          <w:p>
            <w:pPr>
              <w:jc w:val="center"/>
              <w:spacing w:after="0"/>
              <w:rPr>
                <w:sz w:val="20"/>
                <w:szCs w:val="20"/>
                <w:color w:val="auto"/>
              </w:rPr>
            </w:pPr>
            <w:r>
              <w:rPr>
                <w:rFonts w:ascii="Arial" w:cs="Arial" w:eastAsia="Arial" w:hAnsi="Arial"/>
                <w:sz w:val="17"/>
                <w:szCs w:val="17"/>
                <w:b w:val="1"/>
                <w:bCs w:val="1"/>
                <w:color w:val="auto"/>
                <w:w w:val="93"/>
              </w:rPr>
              <w:t>S/(000)</w:t>
            </w:r>
          </w:p>
        </w:tc>
        <w:tc>
          <w:tcPr>
            <w:tcW w:w="240" w:type="dxa"/>
            <w:vAlign w:val="bottom"/>
          </w:tcPr>
          <w:p>
            <w:pPr>
              <w:spacing w:after="0"/>
              <w:rPr>
                <w:sz w:val="17"/>
                <w:szCs w:val="17"/>
                <w:color w:val="auto"/>
              </w:rPr>
            </w:pPr>
          </w:p>
        </w:tc>
        <w:tc>
          <w:tcPr>
            <w:tcW w:w="1260" w:type="dxa"/>
            <w:vAlign w:val="bottom"/>
            <w:tcBorders>
              <w:top w:val="single" w:sz="8" w:color="auto"/>
            </w:tcBorders>
          </w:tcPr>
          <w:p>
            <w:pPr>
              <w:jc w:val="center"/>
              <w:spacing w:after="0"/>
              <w:rPr>
                <w:sz w:val="20"/>
                <w:szCs w:val="20"/>
                <w:color w:val="auto"/>
              </w:rPr>
            </w:pPr>
            <w:r>
              <w:rPr>
                <w:rFonts w:ascii="Arial" w:cs="Arial" w:eastAsia="Arial" w:hAnsi="Arial"/>
                <w:sz w:val="17"/>
                <w:szCs w:val="17"/>
                <w:b w:val="1"/>
                <w:bCs w:val="1"/>
                <w:color w:val="auto"/>
                <w:w w:val="93"/>
              </w:rPr>
              <w:t>S/(000)</w:t>
            </w:r>
          </w:p>
        </w:tc>
        <w:tc>
          <w:tcPr>
            <w:tcW w:w="220" w:type="dxa"/>
            <w:vAlign w:val="bottom"/>
          </w:tcPr>
          <w:p>
            <w:pPr>
              <w:spacing w:after="0"/>
              <w:rPr>
                <w:sz w:val="17"/>
                <w:szCs w:val="17"/>
                <w:color w:val="auto"/>
              </w:rPr>
            </w:pPr>
          </w:p>
        </w:tc>
        <w:tc>
          <w:tcPr>
            <w:tcW w:w="1240" w:type="dxa"/>
            <w:vAlign w:val="bottom"/>
            <w:tcBorders>
              <w:top w:val="single" w:sz="8" w:color="auto"/>
            </w:tcBorders>
          </w:tcPr>
          <w:p>
            <w:pPr>
              <w:jc w:val="center"/>
              <w:spacing w:after="0"/>
              <w:rPr>
                <w:sz w:val="20"/>
                <w:szCs w:val="20"/>
                <w:color w:val="auto"/>
              </w:rPr>
            </w:pPr>
            <w:r>
              <w:rPr>
                <w:rFonts w:ascii="Arial" w:cs="Arial" w:eastAsia="Arial" w:hAnsi="Arial"/>
                <w:sz w:val="17"/>
                <w:szCs w:val="17"/>
                <w:b w:val="1"/>
                <w:bCs w:val="1"/>
                <w:color w:val="auto"/>
                <w:w w:val="93"/>
              </w:rPr>
              <w:t>S/(000)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524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Interest and similar income</w:t>
            </w:r>
          </w:p>
        </w:tc>
        <w:tc>
          <w:tcPr>
            <w:tcW w:w="18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5240" w:type="dxa"/>
            <w:vAlign w:val="bottom"/>
            <w:gridSpan w:val="2"/>
          </w:tcPr>
          <w:p>
            <w:pPr>
              <w:spacing w:after="0"/>
              <w:rPr>
                <w:sz w:val="20"/>
                <w:szCs w:val="20"/>
                <w:color w:val="auto"/>
              </w:rPr>
            </w:pPr>
            <w:r>
              <w:rPr>
                <w:rFonts w:ascii="Arial" w:cs="Arial" w:eastAsia="Arial" w:hAnsi="Arial"/>
                <w:sz w:val="17"/>
                <w:szCs w:val="17"/>
                <w:color w:val="auto"/>
              </w:rPr>
              <w:t>Interest on loans</w:t>
            </w:r>
          </w:p>
        </w:tc>
        <w:tc>
          <w:tcPr>
            <w:tcW w:w="3360" w:type="dxa"/>
            <w:vAlign w:val="bottom"/>
            <w:gridSpan w:val="3"/>
          </w:tcPr>
          <w:p>
            <w:pPr>
              <w:jc w:val="right"/>
              <w:ind w:right="240"/>
              <w:spacing w:after="0"/>
              <w:rPr>
                <w:sz w:val="20"/>
                <w:szCs w:val="20"/>
                <w:color w:val="auto"/>
              </w:rPr>
            </w:pPr>
            <w:r>
              <w:rPr>
                <w:rFonts w:ascii="Arial" w:cs="Arial" w:eastAsia="Arial" w:hAnsi="Arial"/>
                <w:sz w:val="17"/>
                <w:szCs w:val="17"/>
                <w:color w:val="auto"/>
              </w:rPr>
              <w:t>9,546,454</w:t>
            </w:r>
          </w:p>
        </w:tc>
        <w:tc>
          <w:tcPr>
            <w:tcW w:w="1260" w:type="dxa"/>
            <w:vAlign w:val="bottom"/>
          </w:tcPr>
          <w:p>
            <w:pPr>
              <w:jc w:val="right"/>
              <w:spacing w:after="0"/>
              <w:rPr>
                <w:sz w:val="20"/>
                <w:szCs w:val="20"/>
                <w:color w:val="auto"/>
              </w:rPr>
            </w:pPr>
            <w:r>
              <w:rPr>
                <w:rFonts w:ascii="Arial" w:cs="Arial" w:eastAsia="Arial" w:hAnsi="Arial"/>
                <w:sz w:val="17"/>
                <w:szCs w:val="17"/>
                <w:color w:val="auto"/>
              </w:rPr>
              <w:t>9,479,867</w:t>
            </w:r>
          </w:p>
        </w:tc>
        <w:tc>
          <w:tcPr>
            <w:tcW w:w="22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7"/>
                <w:szCs w:val="17"/>
                <w:color w:val="auto"/>
              </w:rPr>
              <w:t>8,706,372</w:t>
            </w:r>
          </w:p>
        </w:tc>
        <w:tc>
          <w:tcPr>
            <w:tcW w:w="0" w:type="dxa"/>
            <w:vAlign w:val="bottom"/>
          </w:tcPr>
          <w:p>
            <w:pPr>
              <w:spacing w:after="0"/>
              <w:rPr>
                <w:sz w:val="1"/>
                <w:szCs w:val="1"/>
                <w:color w:val="auto"/>
              </w:rPr>
            </w:pPr>
          </w:p>
        </w:tc>
      </w:tr>
      <w:tr>
        <w:trPr>
          <w:trHeight w:val="208"/>
        </w:trPr>
        <w:tc>
          <w:tcPr>
            <w:tcW w:w="52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Interest on available-for-sale investments</w:t>
            </w:r>
          </w:p>
        </w:tc>
        <w:tc>
          <w:tcPr>
            <w:tcW w:w="3360" w:type="dxa"/>
            <w:vAlign w:val="bottom"/>
            <w:gridSpan w:val="3"/>
            <w:shd w:val="clear" w:color="auto" w:fill="CCEEFF"/>
          </w:tcPr>
          <w:p>
            <w:pPr>
              <w:jc w:val="right"/>
              <w:ind w:right="240"/>
              <w:spacing w:after="0"/>
              <w:rPr>
                <w:sz w:val="20"/>
                <w:szCs w:val="20"/>
                <w:color w:val="auto"/>
              </w:rPr>
            </w:pPr>
            <w:r>
              <w:rPr>
                <w:rFonts w:ascii="Arial" w:cs="Arial" w:eastAsia="Arial" w:hAnsi="Arial"/>
                <w:sz w:val="17"/>
                <w:szCs w:val="17"/>
                <w:color w:val="auto"/>
              </w:rPr>
              <w:t>951,981</w:t>
            </w: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828,004</w:t>
            </w: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716,786</w:t>
            </w:r>
          </w:p>
        </w:tc>
        <w:tc>
          <w:tcPr>
            <w:tcW w:w="0" w:type="dxa"/>
            <w:vAlign w:val="bottom"/>
          </w:tcPr>
          <w:p>
            <w:pPr>
              <w:spacing w:after="0"/>
              <w:rPr>
                <w:sz w:val="1"/>
                <w:szCs w:val="1"/>
                <w:color w:val="auto"/>
              </w:rPr>
            </w:pPr>
          </w:p>
        </w:tc>
      </w:tr>
      <w:tr>
        <w:trPr>
          <w:trHeight w:val="208"/>
        </w:trPr>
        <w:tc>
          <w:tcPr>
            <w:tcW w:w="5240" w:type="dxa"/>
            <w:vAlign w:val="bottom"/>
            <w:gridSpan w:val="2"/>
          </w:tcPr>
          <w:p>
            <w:pPr>
              <w:spacing w:after="0"/>
              <w:rPr>
                <w:sz w:val="20"/>
                <w:szCs w:val="20"/>
                <w:color w:val="auto"/>
              </w:rPr>
            </w:pPr>
            <w:r>
              <w:rPr>
                <w:rFonts w:ascii="Arial" w:cs="Arial" w:eastAsia="Arial" w:hAnsi="Arial"/>
                <w:sz w:val="17"/>
                <w:szCs w:val="17"/>
                <w:color w:val="auto"/>
              </w:rPr>
              <w:t>Interest on held-to-maturity investments</w:t>
            </w:r>
          </w:p>
        </w:tc>
        <w:tc>
          <w:tcPr>
            <w:tcW w:w="3360" w:type="dxa"/>
            <w:vAlign w:val="bottom"/>
            <w:gridSpan w:val="3"/>
          </w:tcPr>
          <w:p>
            <w:pPr>
              <w:jc w:val="right"/>
              <w:ind w:right="240"/>
              <w:spacing w:after="0"/>
              <w:rPr>
                <w:sz w:val="20"/>
                <w:szCs w:val="20"/>
                <w:color w:val="auto"/>
              </w:rPr>
            </w:pPr>
            <w:r>
              <w:rPr>
                <w:rFonts w:ascii="Arial" w:cs="Arial" w:eastAsia="Arial" w:hAnsi="Arial"/>
                <w:sz w:val="17"/>
                <w:szCs w:val="17"/>
                <w:color w:val="auto"/>
              </w:rPr>
              <w:t>234,380</w:t>
            </w:r>
          </w:p>
        </w:tc>
        <w:tc>
          <w:tcPr>
            <w:tcW w:w="1260" w:type="dxa"/>
            <w:vAlign w:val="bottom"/>
          </w:tcPr>
          <w:p>
            <w:pPr>
              <w:jc w:val="right"/>
              <w:spacing w:after="0"/>
              <w:rPr>
                <w:sz w:val="20"/>
                <w:szCs w:val="20"/>
                <w:color w:val="auto"/>
              </w:rPr>
            </w:pPr>
            <w:r>
              <w:rPr>
                <w:rFonts w:ascii="Arial" w:cs="Arial" w:eastAsia="Arial" w:hAnsi="Arial"/>
                <w:sz w:val="17"/>
                <w:szCs w:val="17"/>
                <w:color w:val="auto"/>
              </w:rPr>
              <w:t>190,466</w:t>
            </w:r>
          </w:p>
        </w:tc>
        <w:tc>
          <w:tcPr>
            <w:tcW w:w="22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7"/>
                <w:szCs w:val="17"/>
                <w:color w:val="auto"/>
              </w:rPr>
              <w:t>136,579</w:t>
            </w:r>
          </w:p>
        </w:tc>
        <w:tc>
          <w:tcPr>
            <w:tcW w:w="0" w:type="dxa"/>
            <w:vAlign w:val="bottom"/>
          </w:tcPr>
          <w:p>
            <w:pPr>
              <w:spacing w:after="0"/>
              <w:rPr>
                <w:sz w:val="1"/>
                <w:szCs w:val="1"/>
                <w:color w:val="auto"/>
              </w:rPr>
            </w:pPr>
          </w:p>
        </w:tc>
      </w:tr>
      <w:tr>
        <w:trPr>
          <w:trHeight w:val="208"/>
        </w:trPr>
        <w:tc>
          <w:tcPr>
            <w:tcW w:w="52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Interest on trading securities</w:t>
            </w:r>
          </w:p>
        </w:tc>
        <w:tc>
          <w:tcPr>
            <w:tcW w:w="3360" w:type="dxa"/>
            <w:vAlign w:val="bottom"/>
            <w:gridSpan w:val="3"/>
            <w:shd w:val="clear" w:color="auto" w:fill="CCEEFF"/>
          </w:tcPr>
          <w:p>
            <w:pPr>
              <w:jc w:val="right"/>
              <w:ind w:right="240"/>
              <w:spacing w:after="0"/>
              <w:rPr>
                <w:sz w:val="20"/>
                <w:szCs w:val="20"/>
                <w:color w:val="auto"/>
              </w:rPr>
            </w:pPr>
            <w:r>
              <w:rPr>
                <w:rFonts w:ascii="Arial" w:cs="Arial" w:eastAsia="Arial" w:hAnsi="Arial"/>
                <w:sz w:val="17"/>
                <w:szCs w:val="17"/>
                <w:color w:val="auto"/>
              </w:rPr>
              <w:t>113,484</w:t>
            </w: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86,568</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68,538</w:t>
            </w:r>
          </w:p>
        </w:tc>
        <w:tc>
          <w:tcPr>
            <w:tcW w:w="0" w:type="dxa"/>
            <w:vAlign w:val="bottom"/>
          </w:tcPr>
          <w:p>
            <w:pPr>
              <w:spacing w:after="0"/>
              <w:rPr>
                <w:sz w:val="1"/>
                <w:szCs w:val="1"/>
                <w:color w:val="auto"/>
              </w:rPr>
            </w:pPr>
          </w:p>
        </w:tc>
      </w:tr>
      <w:tr>
        <w:trPr>
          <w:trHeight w:val="208"/>
        </w:trPr>
        <w:tc>
          <w:tcPr>
            <w:tcW w:w="5240" w:type="dxa"/>
            <w:vAlign w:val="bottom"/>
            <w:gridSpan w:val="2"/>
          </w:tcPr>
          <w:p>
            <w:pPr>
              <w:spacing w:after="0"/>
              <w:rPr>
                <w:sz w:val="20"/>
                <w:szCs w:val="20"/>
                <w:color w:val="auto"/>
              </w:rPr>
            </w:pPr>
            <w:r>
              <w:rPr>
                <w:rFonts w:ascii="Arial" w:cs="Arial" w:eastAsia="Arial" w:hAnsi="Arial"/>
                <w:sz w:val="17"/>
                <w:szCs w:val="17"/>
                <w:color w:val="auto"/>
              </w:rPr>
              <w:t>Interest on due from banks</w:t>
            </w:r>
          </w:p>
        </w:tc>
        <w:tc>
          <w:tcPr>
            <w:tcW w:w="3360" w:type="dxa"/>
            <w:vAlign w:val="bottom"/>
            <w:gridSpan w:val="3"/>
          </w:tcPr>
          <w:p>
            <w:pPr>
              <w:jc w:val="right"/>
              <w:ind w:right="240"/>
              <w:spacing w:after="0"/>
              <w:rPr>
                <w:sz w:val="20"/>
                <w:szCs w:val="20"/>
                <w:color w:val="auto"/>
              </w:rPr>
            </w:pPr>
            <w:r>
              <w:rPr>
                <w:rFonts w:ascii="Arial" w:cs="Arial" w:eastAsia="Arial" w:hAnsi="Arial"/>
                <w:sz w:val="17"/>
                <w:szCs w:val="17"/>
                <w:color w:val="auto"/>
              </w:rPr>
              <w:t>88,359</w:t>
            </w:r>
          </w:p>
        </w:tc>
        <w:tc>
          <w:tcPr>
            <w:tcW w:w="1480" w:type="dxa"/>
            <w:vAlign w:val="bottom"/>
            <w:gridSpan w:val="2"/>
          </w:tcPr>
          <w:p>
            <w:pPr>
              <w:jc w:val="right"/>
              <w:ind w:right="220"/>
              <w:spacing w:after="0"/>
              <w:rPr>
                <w:sz w:val="20"/>
                <w:szCs w:val="20"/>
                <w:color w:val="auto"/>
              </w:rPr>
            </w:pPr>
            <w:r>
              <w:rPr>
                <w:rFonts w:ascii="Arial" w:cs="Arial" w:eastAsia="Arial" w:hAnsi="Arial"/>
                <w:sz w:val="17"/>
                <w:szCs w:val="17"/>
                <w:color w:val="auto"/>
              </w:rPr>
              <w:t>48,626</w:t>
            </w:r>
          </w:p>
        </w:tc>
        <w:tc>
          <w:tcPr>
            <w:tcW w:w="1340" w:type="dxa"/>
            <w:vAlign w:val="bottom"/>
            <w:gridSpan w:val="2"/>
          </w:tcPr>
          <w:p>
            <w:pPr>
              <w:jc w:val="right"/>
              <w:ind w:right="100"/>
              <w:spacing w:after="0"/>
              <w:rPr>
                <w:sz w:val="20"/>
                <w:szCs w:val="20"/>
                <w:color w:val="auto"/>
              </w:rPr>
            </w:pPr>
            <w:r>
              <w:rPr>
                <w:rFonts w:ascii="Arial" w:cs="Arial" w:eastAsia="Arial" w:hAnsi="Arial"/>
                <w:sz w:val="17"/>
                <w:szCs w:val="17"/>
                <w:color w:val="auto"/>
              </w:rPr>
              <w:t>32,818</w:t>
            </w:r>
          </w:p>
        </w:tc>
        <w:tc>
          <w:tcPr>
            <w:tcW w:w="0" w:type="dxa"/>
            <w:vAlign w:val="bottom"/>
          </w:tcPr>
          <w:p>
            <w:pPr>
              <w:spacing w:after="0"/>
              <w:rPr>
                <w:sz w:val="1"/>
                <w:szCs w:val="1"/>
                <w:color w:val="auto"/>
              </w:rPr>
            </w:pPr>
          </w:p>
        </w:tc>
      </w:tr>
      <w:tr>
        <w:trPr>
          <w:trHeight w:val="208"/>
        </w:trPr>
        <w:tc>
          <w:tcPr>
            <w:tcW w:w="52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Dividends received</w:t>
            </w:r>
          </w:p>
        </w:tc>
        <w:tc>
          <w:tcPr>
            <w:tcW w:w="3360" w:type="dxa"/>
            <w:vAlign w:val="bottom"/>
            <w:gridSpan w:val="3"/>
            <w:shd w:val="clear" w:color="auto" w:fill="CCEEFF"/>
          </w:tcPr>
          <w:p>
            <w:pPr>
              <w:jc w:val="right"/>
              <w:ind w:right="240"/>
              <w:spacing w:after="0"/>
              <w:rPr>
                <w:sz w:val="20"/>
                <w:szCs w:val="20"/>
                <w:color w:val="auto"/>
              </w:rPr>
            </w:pPr>
            <w:r>
              <w:rPr>
                <w:rFonts w:ascii="Arial" w:cs="Arial" w:eastAsia="Arial" w:hAnsi="Arial"/>
                <w:sz w:val="17"/>
                <w:szCs w:val="17"/>
                <w:color w:val="auto"/>
              </w:rPr>
              <w:t>52,906</w:t>
            </w: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51,831</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55,594</w:t>
            </w:r>
          </w:p>
        </w:tc>
        <w:tc>
          <w:tcPr>
            <w:tcW w:w="0" w:type="dxa"/>
            <w:vAlign w:val="bottom"/>
          </w:tcPr>
          <w:p>
            <w:pPr>
              <w:spacing w:after="0"/>
              <w:rPr>
                <w:sz w:val="1"/>
                <w:szCs w:val="1"/>
                <w:color w:val="auto"/>
              </w:rPr>
            </w:pPr>
          </w:p>
        </w:tc>
      </w:tr>
      <w:tr>
        <w:trPr>
          <w:trHeight w:val="221"/>
        </w:trPr>
        <w:tc>
          <w:tcPr>
            <w:tcW w:w="5240" w:type="dxa"/>
            <w:vAlign w:val="bottom"/>
            <w:gridSpan w:val="2"/>
          </w:tcPr>
          <w:p>
            <w:pPr>
              <w:spacing w:after="0"/>
              <w:rPr>
                <w:sz w:val="20"/>
                <w:szCs w:val="20"/>
                <w:color w:val="auto"/>
              </w:rPr>
            </w:pPr>
            <w:r>
              <w:rPr>
                <w:rFonts w:ascii="Arial" w:cs="Arial" w:eastAsia="Arial" w:hAnsi="Arial"/>
                <w:sz w:val="17"/>
                <w:szCs w:val="17"/>
                <w:color w:val="auto"/>
              </w:rPr>
              <w:t>Other interest and similar income</w:t>
            </w:r>
          </w:p>
        </w:tc>
        <w:tc>
          <w:tcPr>
            <w:tcW w:w="3360" w:type="dxa"/>
            <w:vAlign w:val="bottom"/>
            <w:gridSpan w:val="3"/>
          </w:tcPr>
          <w:p>
            <w:pPr>
              <w:jc w:val="right"/>
              <w:ind w:right="240"/>
              <w:spacing w:after="0"/>
              <w:rPr>
                <w:sz w:val="20"/>
                <w:szCs w:val="20"/>
                <w:color w:val="auto"/>
              </w:rPr>
            </w:pPr>
            <w:r>
              <w:rPr>
                <w:rFonts w:ascii="Arial" w:cs="Arial" w:eastAsia="Arial" w:hAnsi="Arial"/>
                <w:sz w:val="17"/>
                <w:szCs w:val="17"/>
                <w:color w:val="auto"/>
              </w:rPr>
              <w:t>43,119</w:t>
            </w:r>
          </w:p>
        </w:tc>
        <w:tc>
          <w:tcPr>
            <w:tcW w:w="1480" w:type="dxa"/>
            <w:vAlign w:val="bottom"/>
            <w:gridSpan w:val="2"/>
          </w:tcPr>
          <w:p>
            <w:pPr>
              <w:jc w:val="right"/>
              <w:ind w:right="220"/>
              <w:spacing w:after="0"/>
              <w:rPr>
                <w:sz w:val="20"/>
                <w:szCs w:val="20"/>
                <w:color w:val="auto"/>
              </w:rPr>
            </w:pPr>
            <w:r>
              <w:rPr>
                <w:rFonts w:ascii="Arial" w:cs="Arial" w:eastAsia="Arial" w:hAnsi="Arial"/>
                <w:sz w:val="17"/>
                <w:szCs w:val="17"/>
                <w:color w:val="auto"/>
              </w:rPr>
              <w:t>87,693</w:t>
            </w:r>
          </w:p>
        </w:tc>
        <w:tc>
          <w:tcPr>
            <w:tcW w:w="1340" w:type="dxa"/>
            <w:vAlign w:val="bottom"/>
            <w:gridSpan w:val="2"/>
          </w:tcPr>
          <w:p>
            <w:pPr>
              <w:jc w:val="right"/>
              <w:ind w:right="100"/>
              <w:spacing w:after="0"/>
              <w:rPr>
                <w:sz w:val="20"/>
                <w:szCs w:val="20"/>
                <w:color w:val="auto"/>
              </w:rPr>
            </w:pPr>
            <w:r>
              <w:rPr>
                <w:rFonts w:ascii="Arial" w:cs="Arial" w:eastAsia="Arial" w:hAnsi="Arial"/>
                <w:sz w:val="17"/>
                <w:szCs w:val="17"/>
                <w:color w:val="auto"/>
              </w:rPr>
              <w:t>67,402</w:t>
            </w:r>
          </w:p>
        </w:tc>
        <w:tc>
          <w:tcPr>
            <w:tcW w:w="0" w:type="dxa"/>
            <w:vAlign w:val="bottom"/>
          </w:tcPr>
          <w:p>
            <w:pPr>
              <w:spacing w:after="0"/>
              <w:rPr>
                <w:sz w:val="1"/>
                <w:szCs w:val="1"/>
                <w:color w:val="auto"/>
              </w:rPr>
            </w:pPr>
          </w:p>
        </w:tc>
      </w:tr>
      <w:tr>
        <w:trPr>
          <w:trHeight w:val="201"/>
        </w:trPr>
        <w:tc>
          <w:tcPr>
            <w:tcW w:w="5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7"/>
                <w:szCs w:val="17"/>
                <w:b w:val="1"/>
                <w:bCs w:val="1"/>
                <w:color w:val="auto"/>
              </w:rPr>
              <w:t>Total</w:t>
            </w:r>
          </w:p>
        </w:tc>
        <w:tc>
          <w:tcPr>
            <w:tcW w:w="4700" w:type="dxa"/>
            <w:vAlign w:val="bottom"/>
            <w:tcBorders>
              <w:top w:val="single" w:sz="8" w:color="CCEEFF"/>
              <w:bottom w:val="single" w:sz="8" w:color="CCEEFF"/>
            </w:tcBorders>
            <w:shd w:val="clear" w:color="auto" w:fill="CCEEFF"/>
          </w:tcPr>
          <w:p>
            <w:pPr>
              <w:spacing w:after="0"/>
              <w:rPr>
                <w:sz w:val="17"/>
                <w:szCs w:val="17"/>
                <w:color w:val="auto"/>
              </w:rPr>
            </w:pPr>
          </w:p>
        </w:tc>
        <w:tc>
          <w:tcPr>
            <w:tcW w:w="1860" w:type="dxa"/>
            <w:vAlign w:val="bottom"/>
            <w:tcBorders>
              <w:top w:val="single" w:sz="8" w:color="CCEEFF"/>
              <w:bottom w:val="single" w:sz="8" w:color="CCEEFF"/>
            </w:tcBorders>
            <w:shd w:val="clear" w:color="auto" w:fill="CCEEFF"/>
          </w:tcPr>
          <w:p>
            <w:pPr>
              <w:spacing w:after="0"/>
              <w:rPr>
                <w:sz w:val="17"/>
                <w:szCs w:val="17"/>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11,030,683</w:t>
            </w:r>
          </w:p>
        </w:tc>
        <w:tc>
          <w:tcPr>
            <w:tcW w:w="240" w:type="dxa"/>
            <w:vAlign w:val="bottom"/>
            <w:tcBorders>
              <w:top w:val="single" w:sz="8" w:color="CCEEFF"/>
              <w:bottom w:val="single" w:sz="8" w:color="CCEEFF"/>
            </w:tcBorders>
            <w:shd w:val="clear" w:color="auto" w:fill="CCEEFF"/>
          </w:tcPr>
          <w:p>
            <w:pPr>
              <w:spacing w:after="0"/>
              <w:rPr>
                <w:sz w:val="17"/>
                <w:szCs w:val="17"/>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10,773,055</w:t>
            </w: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9,784,089</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40" w:type="dxa"/>
            <w:vAlign w:val="bottom"/>
            <w:gridSpan w:val="2"/>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540" w:type="dxa"/>
            <w:vAlign w:val="bottom"/>
          </w:tcPr>
          <w:p>
            <w:pPr>
              <w:spacing w:after="0"/>
              <w:rPr>
                <w:sz w:val="16"/>
                <w:szCs w:val="16"/>
                <w:color w:val="auto"/>
              </w:rPr>
            </w:pPr>
          </w:p>
        </w:tc>
        <w:tc>
          <w:tcPr>
            <w:tcW w:w="470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524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Interest and similar expense</w:t>
            </w:r>
          </w:p>
        </w:tc>
        <w:tc>
          <w:tcPr>
            <w:tcW w:w="18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5240" w:type="dxa"/>
            <w:vAlign w:val="bottom"/>
            <w:gridSpan w:val="2"/>
          </w:tcPr>
          <w:p>
            <w:pPr>
              <w:spacing w:after="0"/>
              <w:rPr>
                <w:sz w:val="20"/>
                <w:szCs w:val="20"/>
                <w:color w:val="auto"/>
              </w:rPr>
            </w:pPr>
            <w:r>
              <w:rPr>
                <w:rFonts w:ascii="Arial" w:cs="Arial" w:eastAsia="Arial" w:hAnsi="Arial"/>
                <w:sz w:val="17"/>
                <w:szCs w:val="17"/>
                <w:color w:val="auto"/>
              </w:rPr>
              <w:t>Interest on deposits and obligations</w:t>
            </w:r>
          </w:p>
        </w:tc>
        <w:tc>
          <w:tcPr>
            <w:tcW w:w="3360" w:type="dxa"/>
            <w:vAlign w:val="bottom"/>
            <w:gridSpan w:val="3"/>
          </w:tcPr>
          <w:p>
            <w:pPr>
              <w:jc w:val="right"/>
              <w:ind w:right="180"/>
              <w:spacing w:after="0"/>
              <w:rPr>
                <w:sz w:val="20"/>
                <w:szCs w:val="20"/>
                <w:color w:val="auto"/>
              </w:rPr>
            </w:pPr>
            <w:r>
              <w:rPr>
                <w:rFonts w:ascii="Arial" w:cs="Arial" w:eastAsia="Arial" w:hAnsi="Arial"/>
                <w:sz w:val="17"/>
                <w:szCs w:val="17"/>
                <w:color w:val="auto"/>
              </w:rPr>
              <w:t>(1,132,041)</w:t>
            </w:r>
          </w:p>
        </w:tc>
        <w:tc>
          <w:tcPr>
            <w:tcW w:w="1480" w:type="dxa"/>
            <w:vAlign w:val="bottom"/>
            <w:gridSpan w:val="2"/>
          </w:tcPr>
          <w:p>
            <w:pPr>
              <w:jc w:val="right"/>
              <w:ind w:right="180"/>
              <w:spacing w:after="0"/>
              <w:rPr>
                <w:sz w:val="20"/>
                <w:szCs w:val="20"/>
                <w:color w:val="auto"/>
              </w:rPr>
            </w:pPr>
            <w:r>
              <w:rPr>
                <w:rFonts w:ascii="Arial" w:cs="Arial" w:eastAsia="Arial" w:hAnsi="Arial"/>
                <w:sz w:val="17"/>
                <w:szCs w:val="17"/>
                <w:color w:val="auto"/>
              </w:rPr>
              <w:t>(1,062,751)</w:t>
            </w:r>
          </w:p>
        </w:tc>
        <w:tc>
          <w:tcPr>
            <w:tcW w:w="1340" w:type="dxa"/>
            <w:vAlign w:val="bottom"/>
            <w:gridSpan w:val="2"/>
          </w:tcPr>
          <w:p>
            <w:pPr>
              <w:jc w:val="right"/>
              <w:ind w:right="40"/>
              <w:spacing w:after="0"/>
              <w:rPr>
                <w:sz w:val="20"/>
                <w:szCs w:val="20"/>
                <w:color w:val="auto"/>
              </w:rPr>
            </w:pPr>
            <w:r>
              <w:rPr>
                <w:rFonts w:ascii="Arial" w:cs="Arial" w:eastAsia="Arial" w:hAnsi="Arial"/>
                <w:sz w:val="17"/>
                <w:szCs w:val="17"/>
                <w:color w:val="auto"/>
              </w:rPr>
              <w:t>(859,797)</w:t>
            </w:r>
          </w:p>
        </w:tc>
        <w:tc>
          <w:tcPr>
            <w:tcW w:w="0" w:type="dxa"/>
            <w:vAlign w:val="bottom"/>
          </w:tcPr>
          <w:p>
            <w:pPr>
              <w:spacing w:after="0"/>
              <w:rPr>
                <w:sz w:val="1"/>
                <w:szCs w:val="1"/>
                <w:color w:val="auto"/>
              </w:rPr>
            </w:pPr>
          </w:p>
        </w:tc>
      </w:tr>
      <w:tr>
        <w:trPr>
          <w:trHeight w:val="208"/>
        </w:trPr>
        <w:tc>
          <w:tcPr>
            <w:tcW w:w="52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Interest on bonds and notes issued</w:t>
            </w:r>
          </w:p>
        </w:tc>
        <w:tc>
          <w:tcPr>
            <w:tcW w:w="3360" w:type="dxa"/>
            <w:vAlign w:val="bottom"/>
            <w:gridSpan w:val="3"/>
            <w:shd w:val="clear" w:color="auto" w:fill="CCEEFF"/>
          </w:tcPr>
          <w:p>
            <w:pPr>
              <w:jc w:val="right"/>
              <w:ind w:right="180"/>
              <w:spacing w:after="0"/>
              <w:rPr>
                <w:sz w:val="20"/>
                <w:szCs w:val="20"/>
                <w:color w:val="auto"/>
              </w:rPr>
            </w:pPr>
            <w:r>
              <w:rPr>
                <w:rFonts w:ascii="Arial" w:cs="Arial" w:eastAsia="Arial" w:hAnsi="Arial"/>
                <w:sz w:val="17"/>
                <w:szCs w:val="17"/>
                <w:color w:val="auto"/>
              </w:rPr>
              <w:t>(835,255)</w:t>
            </w:r>
          </w:p>
        </w:tc>
        <w:tc>
          <w:tcPr>
            <w:tcW w:w="14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(805,351)</w:t>
            </w:r>
          </w:p>
        </w:tc>
        <w:tc>
          <w:tcPr>
            <w:tcW w:w="13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(753,174)</w:t>
            </w:r>
          </w:p>
        </w:tc>
        <w:tc>
          <w:tcPr>
            <w:tcW w:w="0" w:type="dxa"/>
            <w:vAlign w:val="bottom"/>
          </w:tcPr>
          <w:p>
            <w:pPr>
              <w:spacing w:after="0"/>
              <w:rPr>
                <w:sz w:val="1"/>
                <w:szCs w:val="1"/>
                <w:color w:val="auto"/>
              </w:rPr>
            </w:pPr>
          </w:p>
        </w:tc>
      </w:tr>
      <w:tr>
        <w:trPr>
          <w:trHeight w:val="208"/>
        </w:trPr>
        <w:tc>
          <w:tcPr>
            <w:tcW w:w="5240" w:type="dxa"/>
            <w:vAlign w:val="bottom"/>
            <w:gridSpan w:val="2"/>
          </w:tcPr>
          <w:p>
            <w:pPr>
              <w:spacing w:after="0"/>
              <w:rPr>
                <w:sz w:val="20"/>
                <w:szCs w:val="20"/>
                <w:color w:val="auto"/>
              </w:rPr>
            </w:pPr>
            <w:r>
              <w:rPr>
                <w:rFonts w:ascii="Arial" w:cs="Arial" w:eastAsia="Arial" w:hAnsi="Arial"/>
                <w:sz w:val="17"/>
                <w:szCs w:val="17"/>
                <w:color w:val="auto"/>
              </w:rPr>
              <w:t>Interest on due to banks and correspondents</w:t>
            </w:r>
          </w:p>
        </w:tc>
        <w:tc>
          <w:tcPr>
            <w:tcW w:w="3360" w:type="dxa"/>
            <w:vAlign w:val="bottom"/>
            <w:gridSpan w:val="3"/>
          </w:tcPr>
          <w:p>
            <w:pPr>
              <w:jc w:val="right"/>
              <w:ind w:right="180"/>
              <w:spacing w:after="0"/>
              <w:rPr>
                <w:sz w:val="20"/>
                <w:szCs w:val="20"/>
                <w:color w:val="auto"/>
              </w:rPr>
            </w:pPr>
            <w:r>
              <w:rPr>
                <w:rFonts w:ascii="Arial" w:cs="Arial" w:eastAsia="Arial" w:hAnsi="Arial"/>
                <w:sz w:val="17"/>
                <w:szCs w:val="17"/>
                <w:color w:val="auto"/>
              </w:rPr>
              <w:t>(763,436)</w:t>
            </w:r>
          </w:p>
        </w:tc>
        <w:tc>
          <w:tcPr>
            <w:tcW w:w="1480" w:type="dxa"/>
            <w:vAlign w:val="bottom"/>
            <w:gridSpan w:val="2"/>
          </w:tcPr>
          <w:p>
            <w:pPr>
              <w:jc w:val="right"/>
              <w:ind w:right="180"/>
              <w:spacing w:after="0"/>
              <w:rPr>
                <w:sz w:val="20"/>
                <w:szCs w:val="20"/>
                <w:color w:val="auto"/>
              </w:rPr>
            </w:pPr>
            <w:r>
              <w:rPr>
                <w:rFonts w:ascii="Arial" w:cs="Arial" w:eastAsia="Arial" w:hAnsi="Arial"/>
                <w:sz w:val="17"/>
                <w:szCs w:val="17"/>
                <w:color w:val="auto"/>
              </w:rPr>
              <w:t>(822,514)</w:t>
            </w:r>
          </w:p>
        </w:tc>
        <w:tc>
          <w:tcPr>
            <w:tcW w:w="1340" w:type="dxa"/>
            <w:vAlign w:val="bottom"/>
            <w:gridSpan w:val="2"/>
          </w:tcPr>
          <w:p>
            <w:pPr>
              <w:jc w:val="right"/>
              <w:ind w:right="40"/>
              <w:spacing w:after="0"/>
              <w:rPr>
                <w:sz w:val="20"/>
                <w:szCs w:val="20"/>
                <w:color w:val="auto"/>
              </w:rPr>
            </w:pPr>
            <w:r>
              <w:rPr>
                <w:rFonts w:ascii="Arial" w:cs="Arial" w:eastAsia="Arial" w:hAnsi="Arial"/>
                <w:sz w:val="17"/>
                <w:szCs w:val="17"/>
                <w:color w:val="auto"/>
              </w:rPr>
              <w:t>(758,396)</w:t>
            </w:r>
          </w:p>
        </w:tc>
        <w:tc>
          <w:tcPr>
            <w:tcW w:w="0" w:type="dxa"/>
            <w:vAlign w:val="bottom"/>
          </w:tcPr>
          <w:p>
            <w:pPr>
              <w:spacing w:after="0"/>
              <w:rPr>
                <w:sz w:val="1"/>
                <w:szCs w:val="1"/>
                <w:color w:val="auto"/>
              </w:rPr>
            </w:pPr>
          </w:p>
        </w:tc>
      </w:tr>
      <w:tr>
        <w:trPr>
          <w:trHeight w:val="221"/>
        </w:trPr>
        <w:tc>
          <w:tcPr>
            <w:tcW w:w="52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Other interest and similar expense</w:t>
            </w:r>
          </w:p>
        </w:tc>
        <w:tc>
          <w:tcPr>
            <w:tcW w:w="3360" w:type="dxa"/>
            <w:vAlign w:val="bottom"/>
            <w:gridSpan w:val="3"/>
            <w:shd w:val="clear" w:color="auto" w:fill="CCEEFF"/>
          </w:tcPr>
          <w:p>
            <w:pPr>
              <w:jc w:val="right"/>
              <w:ind w:right="180"/>
              <w:spacing w:after="0"/>
              <w:rPr>
                <w:sz w:val="20"/>
                <w:szCs w:val="20"/>
                <w:color w:val="auto"/>
              </w:rPr>
            </w:pPr>
            <w:r>
              <w:rPr>
                <w:rFonts w:ascii="Arial" w:cs="Arial" w:eastAsia="Arial" w:hAnsi="Arial"/>
                <w:sz w:val="17"/>
                <w:szCs w:val="17"/>
                <w:color w:val="auto"/>
              </w:rPr>
              <w:t>(228,464)</w:t>
            </w:r>
          </w:p>
        </w:tc>
        <w:tc>
          <w:tcPr>
            <w:tcW w:w="14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(224,098)</w:t>
            </w:r>
          </w:p>
        </w:tc>
        <w:tc>
          <w:tcPr>
            <w:tcW w:w="13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(155,766)</w:t>
            </w:r>
          </w:p>
        </w:tc>
        <w:tc>
          <w:tcPr>
            <w:tcW w:w="0" w:type="dxa"/>
            <w:vAlign w:val="bottom"/>
          </w:tcPr>
          <w:p>
            <w:pPr>
              <w:spacing w:after="0"/>
              <w:rPr>
                <w:sz w:val="1"/>
                <w:szCs w:val="1"/>
                <w:color w:val="auto"/>
              </w:rPr>
            </w:pPr>
          </w:p>
        </w:tc>
      </w:tr>
      <w:tr>
        <w:trPr>
          <w:trHeight w:val="201"/>
        </w:trPr>
        <w:tc>
          <w:tcPr>
            <w:tcW w:w="540" w:type="dxa"/>
            <w:vAlign w:val="bottom"/>
          </w:tcPr>
          <w:p>
            <w:pPr>
              <w:spacing w:after="0"/>
              <w:rPr>
                <w:sz w:val="20"/>
                <w:szCs w:val="20"/>
                <w:color w:val="auto"/>
              </w:rPr>
            </w:pPr>
            <w:r>
              <w:rPr>
                <w:rFonts w:ascii="Arial" w:cs="Arial" w:eastAsia="Arial" w:hAnsi="Arial"/>
                <w:sz w:val="17"/>
                <w:szCs w:val="17"/>
                <w:b w:val="1"/>
                <w:bCs w:val="1"/>
                <w:color w:val="auto"/>
              </w:rPr>
              <w:t>Total</w:t>
            </w:r>
          </w:p>
        </w:tc>
        <w:tc>
          <w:tcPr>
            <w:tcW w:w="470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(2,959,196)</w:t>
            </w:r>
          </w:p>
        </w:tc>
        <w:tc>
          <w:tcPr>
            <w:tcW w:w="240" w:type="dxa"/>
            <w:vAlign w:val="bottom"/>
          </w:tcPr>
          <w:p>
            <w:pPr>
              <w:spacing w:after="0"/>
              <w:rPr>
                <w:sz w:val="17"/>
                <w:szCs w:val="17"/>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(2,914,714)</w:t>
            </w:r>
          </w:p>
        </w:tc>
        <w:tc>
          <w:tcPr>
            <w:tcW w:w="220" w:type="dxa"/>
            <w:vAlign w:val="bottom"/>
          </w:tcPr>
          <w:p>
            <w:pPr>
              <w:spacing w:after="0"/>
              <w:rPr>
                <w:sz w:val="17"/>
                <w:szCs w:val="17"/>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(2,527,133)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40" w:type="dxa"/>
            <w:vAlign w:val="bottom"/>
            <w:vMerge w:val="restart"/>
          </w:tcPr>
          <w:p>
            <w:pPr>
              <w:spacing w:after="0"/>
              <w:rPr>
                <w:sz w:val="20"/>
                <w:szCs w:val="20"/>
                <w:color w:val="auto"/>
              </w:rPr>
            </w:pPr>
            <w:r>
              <w:rPr>
                <w:rFonts w:ascii="Arial" w:cs="Arial" w:eastAsia="Arial" w:hAnsi="Arial"/>
                <w:sz w:val="17"/>
                <w:szCs w:val="17"/>
                <w:b w:val="1"/>
                <w:bCs w:val="1"/>
                <w:color w:val="auto"/>
              </w:rPr>
              <w:t>22</w:t>
            </w:r>
          </w:p>
        </w:tc>
        <w:tc>
          <w:tcPr>
            <w:tcW w:w="4700" w:type="dxa"/>
            <w:vAlign w:val="bottom"/>
            <w:vMerge w:val="restart"/>
          </w:tcPr>
          <w:p>
            <w:pPr>
              <w:ind w:left="80"/>
              <w:spacing w:after="0"/>
              <w:rPr>
                <w:sz w:val="20"/>
                <w:szCs w:val="20"/>
                <w:color w:val="auto"/>
              </w:rPr>
            </w:pPr>
            <w:r>
              <w:rPr>
                <w:rFonts w:ascii="Arial" w:cs="Arial" w:eastAsia="Arial" w:hAnsi="Arial"/>
                <w:sz w:val="17"/>
                <w:szCs w:val="17"/>
                <w:b w:val="1"/>
                <w:bCs w:val="1"/>
                <w:color w:val="auto"/>
              </w:rPr>
              <w:t>COMMISSIONS AND FEES</w:t>
            </w:r>
          </w:p>
        </w:tc>
        <w:tc>
          <w:tcPr>
            <w:tcW w:w="186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5"/>
        </w:trPr>
        <w:tc>
          <w:tcPr>
            <w:tcW w:w="540" w:type="dxa"/>
            <w:vAlign w:val="bottom"/>
            <w:vMerge w:val="continue"/>
          </w:tcPr>
          <w:p>
            <w:pPr>
              <w:spacing w:after="0"/>
              <w:rPr>
                <w:sz w:val="24"/>
                <w:szCs w:val="24"/>
                <w:color w:val="auto"/>
              </w:rPr>
            </w:pPr>
          </w:p>
        </w:tc>
        <w:tc>
          <w:tcPr>
            <w:tcW w:w="4700" w:type="dxa"/>
            <w:vAlign w:val="bottom"/>
            <w:vMerge w:val="continue"/>
          </w:tcPr>
          <w:p>
            <w:pPr>
              <w:spacing w:after="0"/>
              <w:rPr>
                <w:sz w:val="24"/>
                <w:szCs w:val="24"/>
                <w:color w:val="auto"/>
              </w:rPr>
            </w:pPr>
          </w:p>
        </w:tc>
        <w:tc>
          <w:tcPr>
            <w:tcW w:w="18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6"/>
        </w:trPr>
        <w:tc>
          <w:tcPr>
            <w:tcW w:w="5240" w:type="dxa"/>
            <w:vAlign w:val="bottom"/>
            <w:gridSpan w:val="2"/>
          </w:tcPr>
          <w:p>
            <w:pPr>
              <w:spacing w:after="0"/>
              <w:rPr>
                <w:sz w:val="20"/>
                <w:szCs w:val="20"/>
                <w:color w:val="auto"/>
              </w:rPr>
            </w:pPr>
            <w:r>
              <w:rPr>
                <w:rFonts w:ascii="Arial" w:cs="Arial" w:eastAsia="Arial" w:hAnsi="Arial"/>
                <w:sz w:val="17"/>
                <w:szCs w:val="17"/>
                <w:color w:val="auto"/>
              </w:rPr>
              <w:t>This item consists of the following:</w:t>
            </w:r>
          </w:p>
        </w:tc>
        <w:tc>
          <w:tcPr>
            <w:tcW w:w="18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9"/>
        </w:trPr>
        <w:tc>
          <w:tcPr>
            <w:tcW w:w="540" w:type="dxa"/>
            <w:vAlign w:val="bottom"/>
          </w:tcPr>
          <w:p>
            <w:pPr>
              <w:spacing w:after="0"/>
              <w:rPr>
                <w:sz w:val="24"/>
                <w:szCs w:val="24"/>
                <w:color w:val="auto"/>
              </w:rPr>
            </w:pPr>
          </w:p>
        </w:tc>
        <w:tc>
          <w:tcPr>
            <w:tcW w:w="4700" w:type="dxa"/>
            <w:vAlign w:val="bottom"/>
          </w:tcPr>
          <w:p>
            <w:pPr>
              <w:spacing w:after="0"/>
              <w:rPr>
                <w:sz w:val="24"/>
                <w:szCs w:val="24"/>
                <w:color w:val="auto"/>
              </w:rPr>
            </w:pPr>
          </w:p>
        </w:tc>
        <w:tc>
          <w:tcPr>
            <w:tcW w:w="3120" w:type="dxa"/>
            <w:vAlign w:val="bottom"/>
            <w:gridSpan w:val="2"/>
          </w:tcPr>
          <w:p>
            <w:pPr>
              <w:jc w:val="center"/>
              <w:ind w:left="1773"/>
              <w:spacing w:after="0"/>
              <w:rPr>
                <w:sz w:val="20"/>
                <w:szCs w:val="20"/>
                <w:color w:val="auto"/>
              </w:rPr>
            </w:pPr>
            <w:r>
              <w:rPr>
                <w:rFonts w:ascii="Arial" w:cs="Arial" w:eastAsia="Arial" w:hAnsi="Arial"/>
                <w:sz w:val="17"/>
                <w:szCs w:val="17"/>
                <w:b w:val="1"/>
                <w:bCs w:val="1"/>
                <w:color w:val="auto"/>
                <w:w w:val="89"/>
              </w:rPr>
              <w:t>2017</w:t>
            </w:r>
          </w:p>
        </w:tc>
        <w:tc>
          <w:tcPr>
            <w:tcW w:w="240" w:type="dxa"/>
            <w:vAlign w:val="bottom"/>
          </w:tcPr>
          <w:p>
            <w:pPr>
              <w:spacing w:after="0"/>
              <w:rPr>
                <w:sz w:val="24"/>
                <w:szCs w:val="24"/>
                <w:color w:val="auto"/>
              </w:rPr>
            </w:pPr>
          </w:p>
        </w:tc>
        <w:tc>
          <w:tcPr>
            <w:tcW w:w="1260" w:type="dxa"/>
            <w:vAlign w:val="bottom"/>
          </w:tcPr>
          <w:p>
            <w:pPr>
              <w:jc w:val="center"/>
              <w:spacing w:after="0"/>
              <w:rPr>
                <w:sz w:val="20"/>
                <w:szCs w:val="20"/>
                <w:color w:val="auto"/>
              </w:rPr>
            </w:pPr>
            <w:r>
              <w:rPr>
                <w:rFonts w:ascii="Arial" w:cs="Arial" w:eastAsia="Arial" w:hAnsi="Arial"/>
                <w:sz w:val="17"/>
                <w:szCs w:val="17"/>
                <w:b w:val="1"/>
                <w:bCs w:val="1"/>
                <w:color w:val="auto"/>
                <w:w w:val="95"/>
              </w:rPr>
              <w:t>2016</w:t>
            </w:r>
          </w:p>
        </w:tc>
        <w:tc>
          <w:tcPr>
            <w:tcW w:w="220" w:type="dxa"/>
            <w:vAlign w:val="bottom"/>
          </w:tcPr>
          <w:p>
            <w:pPr>
              <w:spacing w:after="0"/>
              <w:rPr>
                <w:sz w:val="24"/>
                <w:szCs w:val="24"/>
                <w:color w:val="auto"/>
              </w:rPr>
            </w:pPr>
          </w:p>
        </w:tc>
        <w:tc>
          <w:tcPr>
            <w:tcW w:w="1240" w:type="dxa"/>
            <w:vAlign w:val="bottom"/>
          </w:tcPr>
          <w:p>
            <w:pPr>
              <w:jc w:val="center"/>
              <w:spacing w:after="0"/>
              <w:rPr>
                <w:sz w:val="20"/>
                <w:szCs w:val="20"/>
                <w:color w:val="auto"/>
              </w:rPr>
            </w:pPr>
            <w:r>
              <w:rPr>
                <w:rFonts w:ascii="Arial" w:cs="Arial" w:eastAsia="Arial" w:hAnsi="Arial"/>
                <w:sz w:val="17"/>
                <w:szCs w:val="17"/>
                <w:b w:val="1"/>
                <w:bCs w:val="1"/>
                <w:color w:val="auto"/>
                <w:w w:val="95"/>
              </w:rPr>
              <w:t>2015</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540" w:type="dxa"/>
            <w:vAlign w:val="bottom"/>
          </w:tcPr>
          <w:p>
            <w:pPr>
              <w:spacing w:after="0"/>
              <w:rPr>
                <w:sz w:val="19"/>
                <w:szCs w:val="19"/>
                <w:color w:val="auto"/>
              </w:rPr>
            </w:pPr>
          </w:p>
        </w:tc>
        <w:tc>
          <w:tcPr>
            <w:tcW w:w="470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260" w:type="dxa"/>
            <w:vAlign w:val="bottom"/>
            <w:tcBorders>
              <w:top w:val="single" w:sz="8" w:color="auto"/>
            </w:tcBorders>
          </w:tcPr>
          <w:p>
            <w:pPr>
              <w:jc w:val="center"/>
              <w:spacing w:after="0"/>
              <w:rPr>
                <w:sz w:val="20"/>
                <w:szCs w:val="20"/>
                <w:color w:val="auto"/>
              </w:rPr>
            </w:pPr>
            <w:r>
              <w:rPr>
                <w:rFonts w:ascii="Arial" w:cs="Arial" w:eastAsia="Arial" w:hAnsi="Arial"/>
                <w:sz w:val="17"/>
                <w:szCs w:val="17"/>
                <w:b w:val="1"/>
                <w:bCs w:val="1"/>
                <w:color w:val="auto"/>
                <w:w w:val="93"/>
              </w:rPr>
              <w:t>S/(000)</w:t>
            </w:r>
          </w:p>
        </w:tc>
        <w:tc>
          <w:tcPr>
            <w:tcW w:w="240" w:type="dxa"/>
            <w:vAlign w:val="bottom"/>
          </w:tcPr>
          <w:p>
            <w:pPr>
              <w:spacing w:after="0"/>
              <w:rPr>
                <w:sz w:val="19"/>
                <w:szCs w:val="19"/>
                <w:color w:val="auto"/>
              </w:rPr>
            </w:pPr>
          </w:p>
        </w:tc>
        <w:tc>
          <w:tcPr>
            <w:tcW w:w="1260" w:type="dxa"/>
            <w:vAlign w:val="bottom"/>
            <w:tcBorders>
              <w:top w:val="single" w:sz="8" w:color="auto"/>
            </w:tcBorders>
          </w:tcPr>
          <w:p>
            <w:pPr>
              <w:jc w:val="center"/>
              <w:spacing w:after="0"/>
              <w:rPr>
                <w:sz w:val="20"/>
                <w:szCs w:val="20"/>
                <w:color w:val="auto"/>
              </w:rPr>
            </w:pPr>
            <w:r>
              <w:rPr>
                <w:rFonts w:ascii="Arial" w:cs="Arial" w:eastAsia="Arial" w:hAnsi="Arial"/>
                <w:sz w:val="17"/>
                <w:szCs w:val="17"/>
                <w:b w:val="1"/>
                <w:bCs w:val="1"/>
                <w:color w:val="auto"/>
                <w:w w:val="93"/>
              </w:rPr>
              <w:t>S/(000)</w:t>
            </w:r>
          </w:p>
        </w:tc>
        <w:tc>
          <w:tcPr>
            <w:tcW w:w="220" w:type="dxa"/>
            <w:vAlign w:val="bottom"/>
          </w:tcPr>
          <w:p>
            <w:pPr>
              <w:spacing w:after="0"/>
              <w:rPr>
                <w:sz w:val="19"/>
                <w:szCs w:val="19"/>
                <w:color w:val="auto"/>
              </w:rPr>
            </w:pPr>
          </w:p>
        </w:tc>
        <w:tc>
          <w:tcPr>
            <w:tcW w:w="1240" w:type="dxa"/>
            <w:vAlign w:val="bottom"/>
            <w:tcBorders>
              <w:top w:val="single" w:sz="8" w:color="auto"/>
            </w:tcBorders>
          </w:tcPr>
          <w:p>
            <w:pPr>
              <w:jc w:val="center"/>
              <w:spacing w:after="0"/>
              <w:rPr>
                <w:sz w:val="20"/>
                <w:szCs w:val="20"/>
                <w:color w:val="auto"/>
              </w:rPr>
            </w:pPr>
            <w:r>
              <w:rPr>
                <w:rFonts w:ascii="Arial" w:cs="Arial" w:eastAsia="Arial" w:hAnsi="Arial"/>
                <w:sz w:val="17"/>
                <w:szCs w:val="17"/>
                <w:b w:val="1"/>
                <w:bCs w:val="1"/>
                <w:color w:val="auto"/>
                <w:w w:val="93"/>
              </w:rPr>
              <w:t>S/(000)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5240" w:type="dxa"/>
            <w:vAlign w:val="bottom"/>
            <w:gridSpan w:val="2"/>
          </w:tcPr>
          <w:p>
            <w:pPr>
              <w:spacing w:after="0"/>
              <w:rPr>
                <w:sz w:val="16"/>
                <w:szCs w:val="16"/>
                <w:color w:val="auto"/>
              </w:rPr>
            </w:pPr>
          </w:p>
        </w:tc>
        <w:tc>
          <w:tcPr>
            <w:tcW w:w="3360" w:type="dxa"/>
            <w:vAlign w:val="bottom"/>
            <w:gridSpan w:val="3"/>
          </w:tcPr>
          <w:p>
            <w:pPr>
              <w:spacing w:after="0"/>
              <w:rPr>
                <w:sz w:val="16"/>
                <w:szCs w:val="16"/>
                <w:color w:val="auto"/>
              </w:rPr>
            </w:pPr>
          </w:p>
        </w:tc>
        <w:tc>
          <w:tcPr>
            <w:tcW w:w="1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5240" w:type="dxa"/>
            <w:vAlign w:val="bottom"/>
            <w:gridSpan w:val="2"/>
            <w:shd w:val="clear" w:color="auto" w:fill="CCEEFF"/>
          </w:tcPr>
          <w:p>
            <w:pPr>
              <w:spacing w:after="0"/>
              <w:rPr>
                <w:sz w:val="20"/>
                <w:szCs w:val="20"/>
                <w:color w:val="auto"/>
              </w:rPr>
            </w:pPr>
            <w:r>
              <w:rPr>
                <w:rFonts w:ascii="Arial" w:cs="Arial" w:eastAsia="Arial" w:hAnsi="Arial"/>
                <w:sz w:val="17"/>
                <w:szCs w:val="17"/>
                <w:color w:val="auto"/>
                <w:w w:val="99"/>
              </w:rPr>
              <w:t>Maintenance of accounts, transfers and credit and debit card services</w:t>
            </w:r>
          </w:p>
        </w:tc>
        <w:tc>
          <w:tcPr>
            <w:tcW w:w="3360" w:type="dxa"/>
            <w:vAlign w:val="bottom"/>
            <w:gridSpan w:val="3"/>
            <w:shd w:val="clear" w:color="auto" w:fill="CCEEFF"/>
          </w:tcPr>
          <w:p>
            <w:pPr>
              <w:jc w:val="right"/>
              <w:ind w:right="240"/>
              <w:spacing w:after="0"/>
              <w:rPr>
                <w:sz w:val="20"/>
                <w:szCs w:val="20"/>
                <w:color w:val="auto"/>
              </w:rPr>
            </w:pPr>
            <w:r>
              <w:rPr>
                <w:rFonts w:ascii="Arial" w:cs="Arial" w:eastAsia="Arial" w:hAnsi="Arial"/>
                <w:sz w:val="17"/>
                <w:szCs w:val="17"/>
                <w:color w:val="auto"/>
              </w:rPr>
              <w:t>1,251,935</w:t>
            </w: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1,146,082</w:t>
            </w: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1,128,067</w:t>
            </w:r>
          </w:p>
        </w:tc>
        <w:tc>
          <w:tcPr>
            <w:tcW w:w="0" w:type="dxa"/>
            <w:vAlign w:val="bottom"/>
          </w:tcPr>
          <w:p>
            <w:pPr>
              <w:spacing w:after="0"/>
              <w:rPr>
                <w:sz w:val="1"/>
                <w:szCs w:val="1"/>
                <w:color w:val="auto"/>
              </w:rPr>
            </w:pPr>
          </w:p>
        </w:tc>
      </w:tr>
      <w:tr>
        <w:trPr>
          <w:trHeight w:val="208"/>
        </w:trPr>
        <w:tc>
          <w:tcPr>
            <w:tcW w:w="5240" w:type="dxa"/>
            <w:vAlign w:val="bottom"/>
            <w:gridSpan w:val="2"/>
          </w:tcPr>
          <w:p>
            <w:pPr>
              <w:spacing w:after="0"/>
              <w:rPr>
                <w:sz w:val="20"/>
                <w:szCs w:val="20"/>
                <w:color w:val="auto"/>
              </w:rPr>
            </w:pPr>
            <w:r>
              <w:rPr>
                <w:rFonts w:ascii="Arial" w:cs="Arial" w:eastAsia="Arial" w:hAnsi="Arial"/>
                <w:sz w:val="17"/>
                <w:szCs w:val="17"/>
                <w:color w:val="auto"/>
              </w:rPr>
              <w:t>Funds management</w:t>
            </w:r>
          </w:p>
        </w:tc>
        <w:tc>
          <w:tcPr>
            <w:tcW w:w="3360" w:type="dxa"/>
            <w:vAlign w:val="bottom"/>
            <w:gridSpan w:val="3"/>
          </w:tcPr>
          <w:p>
            <w:pPr>
              <w:jc w:val="right"/>
              <w:ind w:right="240"/>
              <w:spacing w:after="0"/>
              <w:rPr>
                <w:sz w:val="20"/>
                <w:szCs w:val="20"/>
                <w:color w:val="auto"/>
              </w:rPr>
            </w:pPr>
            <w:r>
              <w:rPr>
                <w:rFonts w:ascii="Arial" w:cs="Arial" w:eastAsia="Arial" w:hAnsi="Arial"/>
                <w:sz w:val="17"/>
                <w:szCs w:val="17"/>
                <w:color w:val="auto"/>
              </w:rPr>
              <w:t>505,215</w:t>
            </w:r>
          </w:p>
        </w:tc>
        <w:tc>
          <w:tcPr>
            <w:tcW w:w="1260" w:type="dxa"/>
            <w:vAlign w:val="bottom"/>
          </w:tcPr>
          <w:p>
            <w:pPr>
              <w:jc w:val="right"/>
              <w:spacing w:after="0"/>
              <w:rPr>
                <w:sz w:val="20"/>
                <w:szCs w:val="20"/>
                <w:color w:val="auto"/>
              </w:rPr>
            </w:pPr>
            <w:r>
              <w:rPr>
                <w:rFonts w:ascii="Arial" w:cs="Arial" w:eastAsia="Arial" w:hAnsi="Arial"/>
                <w:sz w:val="17"/>
                <w:szCs w:val="17"/>
                <w:color w:val="auto"/>
              </w:rPr>
              <w:t>467,558</w:t>
            </w:r>
          </w:p>
        </w:tc>
        <w:tc>
          <w:tcPr>
            <w:tcW w:w="22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7"/>
                <w:szCs w:val="17"/>
                <w:color w:val="auto"/>
              </w:rPr>
              <w:t>476,277</w:t>
            </w:r>
          </w:p>
        </w:tc>
        <w:tc>
          <w:tcPr>
            <w:tcW w:w="0" w:type="dxa"/>
            <w:vAlign w:val="bottom"/>
          </w:tcPr>
          <w:p>
            <w:pPr>
              <w:spacing w:after="0"/>
              <w:rPr>
                <w:sz w:val="1"/>
                <w:szCs w:val="1"/>
                <w:color w:val="auto"/>
              </w:rPr>
            </w:pPr>
          </w:p>
        </w:tc>
      </w:tr>
      <w:tr>
        <w:trPr>
          <w:trHeight w:val="208"/>
        </w:trPr>
        <w:tc>
          <w:tcPr>
            <w:tcW w:w="52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Contingent loans and foreign trade fees</w:t>
            </w:r>
          </w:p>
        </w:tc>
        <w:tc>
          <w:tcPr>
            <w:tcW w:w="3360" w:type="dxa"/>
            <w:vAlign w:val="bottom"/>
            <w:gridSpan w:val="3"/>
            <w:shd w:val="clear" w:color="auto" w:fill="CCEEFF"/>
          </w:tcPr>
          <w:p>
            <w:pPr>
              <w:jc w:val="right"/>
              <w:ind w:right="240"/>
              <w:spacing w:after="0"/>
              <w:rPr>
                <w:sz w:val="20"/>
                <w:szCs w:val="20"/>
                <w:color w:val="auto"/>
              </w:rPr>
            </w:pPr>
            <w:r>
              <w:rPr>
                <w:rFonts w:ascii="Arial" w:cs="Arial" w:eastAsia="Arial" w:hAnsi="Arial"/>
                <w:sz w:val="17"/>
                <w:szCs w:val="17"/>
                <w:color w:val="auto"/>
              </w:rPr>
              <w:t>279,211</w:t>
            </w: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260,704</w:t>
            </w: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214,501</w:t>
            </w:r>
          </w:p>
        </w:tc>
        <w:tc>
          <w:tcPr>
            <w:tcW w:w="0" w:type="dxa"/>
            <w:vAlign w:val="bottom"/>
          </w:tcPr>
          <w:p>
            <w:pPr>
              <w:spacing w:after="0"/>
              <w:rPr>
                <w:sz w:val="1"/>
                <w:szCs w:val="1"/>
                <w:color w:val="auto"/>
              </w:rPr>
            </w:pPr>
          </w:p>
        </w:tc>
      </w:tr>
      <w:tr>
        <w:trPr>
          <w:trHeight w:val="208"/>
        </w:trPr>
        <w:tc>
          <w:tcPr>
            <w:tcW w:w="5240" w:type="dxa"/>
            <w:vAlign w:val="bottom"/>
            <w:gridSpan w:val="2"/>
          </w:tcPr>
          <w:p>
            <w:pPr>
              <w:spacing w:after="0"/>
              <w:rPr>
                <w:sz w:val="20"/>
                <w:szCs w:val="20"/>
                <w:color w:val="auto"/>
              </w:rPr>
            </w:pPr>
            <w:r>
              <w:rPr>
                <w:rFonts w:ascii="Arial" w:cs="Arial" w:eastAsia="Arial" w:hAnsi="Arial"/>
                <w:sz w:val="17"/>
                <w:szCs w:val="17"/>
                <w:color w:val="auto"/>
              </w:rPr>
              <w:t>Collection services</w:t>
            </w:r>
          </w:p>
        </w:tc>
        <w:tc>
          <w:tcPr>
            <w:tcW w:w="3360" w:type="dxa"/>
            <w:vAlign w:val="bottom"/>
            <w:gridSpan w:val="3"/>
          </w:tcPr>
          <w:p>
            <w:pPr>
              <w:jc w:val="right"/>
              <w:ind w:right="240"/>
              <w:spacing w:after="0"/>
              <w:rPr>
                <w:sz w:val="20"/>
                <w:szCs w:val="20"/>
                <w:color w:val="auto"/>
              </w:rPr>
            </w:pPr>
            <w:r>
              <w:rPr>
                <w:rFonts w:ascii="Arial" w:cs="Arial" w:eastAsia="Arial" w:hAnsi="Arial"/>
                <w:sz w:val="17"/>
                <w:szCs w:val="17"/>
                <w:color w:val="auto"/>
              </w:rPr>
              <w:t>235,369</w:t>
            </w:r>
          </w:p>
        </w:tc>
        <w:tc>
          <w:tcPr>
            <w:tcW w:w="1260" w:type="dxa"/>
            <w:vAlign w:val="bottom"/>
          </w:tcPr>
          <w:p>
            <w:pPr>
              <w:jc w:val="right"/>
              <w:spacing w:after="0"/>
              <w:rPr>
                <w:sz w:val="20"/>
                <w:szCs w:val="20"/>
                <w:color w:val="auto"/>
              </w:rPr>
            </w:pPr>
            <w:r>
              <w:rPr>
                <w:rFonts w:ascii="Arial" w:cs="Arial" w:eastAsia="Arial" w:hAnsi="Arial"/>
                <w:sz w:val="17"/>
                <w:szCs w:val="17"/>
                <w:color w:val="auto"/>
              </w:rPr>
              <w:t>331,885</w:t>
            </w:r>
          </w:p>
        </w:tc>
        <w:tc>
          <w:tcPr>
            <w:tcW w:w="22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7"/>
                <w:szCs w:val="17"/>
                <w:color w:val="auto"/>
              </w:rPr>
              <w:t>344,375</w:t>
            </w:r>
          </w:p>
        </w:tc>
        <w:tc>
          <w:tcPr>
            <w:tcW w:w="0" w:type="dxa"/>
            <w:vAlign w:val="bottom"/>
          </w:tcPr>
          <w:p>
            <w:pPr>
              <w:spacing w:after="0"/>
              <w:rPr>
                <w:sz w:val="1"/>
                <w:szCs w:val="1"/>
                <w:color w:val="auto"/>
              </w:rPr>
            </w:pPr>
          </w:p>
        </w:tc>
      </w:tr>
      <w:tr>
        <w:trPr>
          <w:trHeight w:val="208"/>
        </w:trPr>
        <w:tc>
          <w:tcPr>
            <w:tcW w:w="52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Commissions for banking services</w:t>
            </w:r>
          </w:p>
        </w:tc>
        <w:tc>
          <w:tcPr>
            <w:tcW w:w="3360" w:type="dxa"/>
            <w:vAlign w:val="bottom"/>
            <w:gridSpan w:val="3"/>
            <w:shd w:val="clear" w:color="auto" w:fill="CCEEFF"/>
          </w:tcPr>
          <w:p>
            <w:pPr>
              <w:jc w:val="right"/>
              <w:ind w:right="240"/>
              <w:spacing w:after="0"/>
              <w:rPr>
                <w:sz w:val="20"/>
                <w:szCs w:val="20"/>
                <w:color w:val="auto"/>
              </w:rPr>
            </w:pPr>
            <w:r>
              <w:rPr>
                <w:rFonts w:ascii="Arial" w:cs="Arial" w:eastAsia="Arial" w:hAnsi="Arial"/>
                <w:sz w:val="17"/>
                <w:szCs w:val="17"/>
                <w:color w:val="auto"/>
              </w:rPr>
              <w:t>290,855</w:t>
            </w: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202,863</w:t>
            </w: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215,478</w:t>
            </w:r>
          </w:p>
        </w:tc>
        <w:tc>
          <w:tcPr>
            <w:tcW w:w="0" w:type="dxa"/>
            <w:vAlign w:val="bottom"/>
          </w:tcPr>
          <w:p>
            <w:pPr>
              <w:spacing w:after="0"/>
              <w:rPr>
                <w:sz w:val="1"/>
                <w:szCs w:val="1"/>
                <w:color w:val="auto"/>
              </w:rPr>
            </w:pPr>
          </w:p>
        </w:tc>
      </w:tr>
      <w:tr>
        <w:trPr>
          <w:trHeight w:val="208"/>
        </w:trPr>
        <w:tc>
          <w:tcPr>
            <w:tcW w:w="5240" w:type="dxa"/>
            <w:vAlign w:val="bottom"/>
            <w:gridSpan w:val="2"/>
          </w:tcPr>
          <w:p>
            <w:pPr>
              <w:spacing w:after="0"/>
              <w:rPr>
                <w:sz w:val="20"/>
                <w:szCs w:val="20"/>
                <w:color w:val="auto"/>
              </w:rPr>
            </w:pPr>
            <w:r>
              <w:rPr>
                <w:rFonts w:ascii="Arial" w:cs="Arial" w:eastAsia="Arial" w:hAnsi="Arial"/>
                <w:sz w:val="17"/>
                <w:szCs w:val="17"/>
                <w:color w:val="auto"/>
              </w:rPr>
              <w:t>Brokerage, securities and custody services</w:t>
            </w:r>
          </w:p>
        </w:tc>
        <w:tc>
          <w:tcPr>
            <w:tcW w:w="3360" w:type="dxa"/>
            <w:vAlign w:val="bottom"/>
            <w:gridSpan w:val="3"/>
          </w:tcPr>
          <w:p>
            <w:pPr>
              <w:jc w:val="right"/>
              <w:ind w:right="240"/>
              <w:spacing w:after="0"/>
              <w:rPr>
                <w:sz w:val="20"/>
                <w:szCs w:val="20"/>
                <w:color w:val="auto"/>
              </w:rPr>
            </w:pPr>
            <w:r>
              <w:rPr>
                <w:rFonts w:ascii="Arial" w:cs="Arial" w:eastAsia="Arial" w:hAnsi="Arial"/>
                <w:sz w:val="17"/>
                <w:szCs w:val="17"/>
                <w:color w:val="auto"/>
              </w:rPr>
              <w:t>142,288</w:t>
            </w:r>
          </w:p>
        </w:tc>
        <w:tc>
          <w:tcPr>
            <w:tcW w:w="1260" w:type="dxa"/>
            <w:vAlign w:val="bottom"/>
          </w:tcPr>
          <w:p>
            <w:pPr>
              <w:jc w:val="right"/>
              <w:spacing w:after="0"/>
              <w:rPr>
                <w:sz w:val="20"/>
                <w:szCs w:val="20"/>
                <w:color w:val="auto"/>
              </w:rPr>
            </w:pPr>
            <w:r>
              <w:rPr>
                <w:rFonts w:ascii="Arial" w:cs="Arial" w:eastAsia="Arial" w:hAnsi="Arial"/>
                <w:sz w:val="17"/>
                <w:szCs w:val="17"/>
                <w:color w:val="auto"/>
              </w:rPr>
              <w:t>166,581</w:t>
            </w:r>
          </w:p>
        </w:tc>
        <w:tc>
          <w:tcPr>
            <w:tcW w:w="22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7"/>
                <w:szCs w:val="17"/>
                <w:color w:val="auto"/>
              </w:rPr>
              <w:t>70,437</w:t>
            </w:r>
          </w:p>
        </w:tc>
        <w:tc>
          <w:tcPr>
            <w:tcW w:w="0" w:type="dxa"/>
            <w:vAlign w:val="bottom"/>
          </w:tcPr>
          <w:p>
            <w:pPr>
              <w:spacing w:after="0"/>
              <w:rPr>
                <w:sz w:val="1"/>
                <w:szCs w:val="1"/>
                <w:color w:val="auto"/>
              </w:rPr>
            </w:pPr>
          </w:p>
        </w:tc>
      </w:tr>
      <w:tr>
        <w:trPr>
          <w:trHeight w:val="221"/>
        </w:trPr>
        <w:tc>
          <w:tcPr>
            <w:tcW w:w="540" w:type="dxa"/>
            <w:vAlign w:val="bottom"/>
            <w:shd w:val="clear" w:color="auto" w:fill="CCEEFF"/>
          </w:tcPr>
          <w:p>
            <w:pPr>
              <w:spacing w:after="0"/>
              <w:rPr>
                <w:sz w:val="20"/>
                <w:szCs w:val="20"/>
                <w:color w:val="auto"/>
              </w:rPr>
            </w:pPr>
            <w:r>
              <w:rPr>
                <w:rFonts w:ascii="Arial" w:cs="Arial" w:eastAsia="Arial" w:hAnsi="Arial"/>
                <w:sz w:val="17"/>
                <w:szCs w:val="17"/>
                <w:color w:val="auto"/>
              </w:rPr>
              <w:t>Others</w:t>
            </w:r>
          </w:p>
        </w:tc>
        <w:tc>
          <w:tcPr>
            <w:tcW w:w="4700" w:type="dxa"/>
            <w:vAlign w:val="bottom"/>
            <w:shd w:val="clear" w:color="auto" w:fill="CCEEFF"/>
          </w:tcPr>
          <w:p>
            <w:pPr>
              <w:spacing w:after="0"/>
              <w:rPr>
                <w:sz w:val="19"/>
                <w:szCs w:val="19"/>
                <w:color w:val="auto"/>
              </w:rPr>
            </w:pPr>
          </w:p>
        </w:tc>
        <w:tc>
          <w:tcPr>
            <w:tcW w:w="3360" w:type="dxa"/>
            <w:vAlign w:val="bottom"/>
            <w:gridSpan w:val="3"/>
            <w:shd w:val="clear" w:color="auto" w:fill="CCEEFF"/>
          </w:tcPr>
          <w:p>
            <w:pPr>
              <w:jc w:val="right"/>
              <w:ind w:right="240"/>
              <w:spacing w:after="0"/>
              <w:rPr>
                <w:sz w:val="20"/>
                <w:szCs w:val="20"/>
                <w:color w:val="auto"/>
              </w:rPr>
            </w:pPr>
            <w:r>
              <w:rPr>
                <w:rFonts w:ascii="Arial" w:cs="Arial" w:eastAsia="Arial" w:hAnsi="Arial"/>
                <w:sz w:val="17"/>
                <w:szCs w:val="17"/>
                <w:color w:val="auto"/>
              </w:rPr>
              <w:t>206,535</w:t>
            </w: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195,888</w:t>
            </w:r>
          </w:p>
        </w:tc>
        <w:tc>
          <w:tcPr>
            <w:tcW w:w="2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195,056</w:t>
            </w:r>
          </w:p>
        </w:tc>
        <w:tc>
          <w:tcPr>
            <w:tcW w:w="0" w:type="dxa"/>
            <w:vAlign w:val="bottom"/>
          </w:tcPr>
          <w:p>
            <w:pPr>
              <w:spacing w:after="0"/>
              <w:rPr>
                <w:sz w:val="1"/>
                <w:szCs w:val="1"/>
                <w:color w:val="auto"/>
              </w:rPr>
            </w:pPr>
          </w:p>
        </w:tc>
      </w:tr>
      <w:tr>
        <w:trPr>
          <w:trHeight w:val="201"/>
        </w:trPr>
        <w:tc>
          <w:tcPr>
            <w:tcW w:w="540" w:type="dxa"/>
            <w:vAlign w:val="bottom"/>
          </w:tcPr>
          <w:p>
            <w:pPr>
              <w:spacing w:after="0"/>
              <w:rPr>
                <w:sz w:val="20"/>
                <w:szCs w:val="20"/>
                <w:color w:val="auto"/>
              </w:rPr>
            </w:pPr>
            <w:r>
              <w:rPr>
                <w:rFonts w:ascii="Arial" w:cs="Arial" w:eastAsia="Arial" w:hAnsi="Arial"/>
                <w:sz w:val="17"/>
                <w:szCs w:val="17"/>
                <w:color w:val="auto"/>
              </w:rPr>
              <w:t>Total</w:t>
            </w:r>
          </w:p>
        </w:tc>
        <w:tc>
          <w:tcPr>
            <w:tcW w:w="470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2,911,408</w:t>
            </w:r>
          </w:p>
        </w:tc>
        <w:tc>
          <w:tcPr>
            <w:tcW w:w="240" w:type="dxa"/>
            <w:vAlign w:val="bottom"/>
          </w:tcPr>
          <w:p>
            <w:pPr>
              <w:spacing w:after="0"/>
              <w:rPr>
                <w:sz w:val="17"/>
                <w:szCs w:val="17"/>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2,771,561</w:t>
            </w:r>
          </w:p>
        </w:tc>
        <w:tc>
          <w:tcPr>
            <w:tcW w:w="220" w:type="dxa"/>
            <w:vAlign w:val="bottom"/>
          </w:tcPr>
          <w:p>
            <w:pPr>
              <w:spacing w:after="0"/>
              <w:rPr>
                <w:sz w:val="17"/>
                <w:szCs w:val="17"/>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2,644,191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1860" w:type="dxa"/>
            <w:vAlign w:val="bottom"/>
            <w:vMerge w:val="restart"/>
          </w:tcPr>
          <w:p>
            <w:pPr>
              <w:jc w:val="right"/>
              <w:ind w:right="1113"/>
              <w:spacing w:after="0"/>
              <w:rPr>
                <w:sz w:val="20"/>
                <w:szCs w:val="20"/>
                <w:color w:val="auto"/>
              </w:rPr>
            </w:pPr>
            <w:r>
              <w:rPr>
                <w:rFonts w:ascii="Arial" w:cs="Arial" w:eastAsia="Arial" w:hAnsi="Arial"/>
                <w:sz w:val="17"/>
                <w:szCs w:val="17"/>
                <w:color w:val="auto"/>
              </w:rPr>
              <w:t>- 96 -</w:t>
            </w:r>
          </w:p>
        </w:tc>
        <w:tc>
          <w:tcPr>
            <w:tcW w:w="12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3"/>
        </w:trPr>
        <w:tc>
          <w:tcPr>
            <w:tcW w:w="540" w:type="dxa"/>
            <w:vAlign w:val="bottom"/>
            <w:tcBorders>
              <w:bottom w:val="single" w:sz="8" w:color="auto"/>
            </w:tcBorders>
          </w:tcPr>
          <w:p>
            <w:pPr>
              <w:spacing w:after="0"/>
              <w:rPr>
                <w:sz w:val="24"/>
                <w:szCs w:val="24"/>
                <w:color w:val="auto"/>
              </w:rPr>
            </w:pPr>
          </w:p>
        </w:tc>
        <w:tc>
          <w:tcPr>
            <w:tcW w:w="470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vMerge w:val="continue"/>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75" w:right="239" w:bottom="1440" w:gutter="0" w:footer="0" w:header="0"/>
        </w:sectPr>
      </w:pPr>
    </w:p>
    <w:bookmarkStart w:id="102" w:name="page103"/>
    <w:bookmarkEnd w:id="102"/>
    <w:p>
      <w:pPr>
        <w:spacing w:after="0"/>
        <w:tabs>
          <w:tab w:leader="none" w:pos="300" w:val="left"/>
        </w:tabs>
        <w:rPr>
          <w:sz w:val="20"/>
          <w:szCs w:val="20"/>
          <w:color w:val="auto"/>
        </w:rPr>
      </w:pPr>
      <w:r>
        <w:rPr>
          <w:rFonts w:ascii="Arial" w:cs="Arial" w:eastAsia="Arial" w:hAnsi="Arial"/>
          <w:sz w:val="17"/>
          <w:szCs w:val="17"/>
          <w:b w:val="1"/>
          <w:bCs w:val="1"/>
          <w:color w:val="auto"/>
        </w:rPr>
        <w:t>23</w:t>
        <w:tab/>
        <w:t>NET PREMIUMS EARNED</w:t>
      </w:r>
    </w:p>
    <w:p>
      <w:pPr>
        <w:spacing w:after="0" w:line="226" w:lineRule="exact"/>
        <w:rPr>
          <w:sz w:val="20"/>
          <w:szCs w:val="20"/>
          <w:color w:val="auto"/>
        </w:rPr>
      </w:pPr>
    </w:p>
    <w:p>
      <w:pPr>
        <w:spacing w:after="0"/>
        <w:rPr>
          <w:sz w:val="20"/>
          <w:szCs w:val="20"/>
          <w:color w:val="auto"/>
        </w:rPr>
      </w:pPr>
      <w:r>
        <w:rPr>
          <w:rFonts w:ascii="Arial" w:cs="Arial" w:eastAsia="Arial" w:hAnsi="Arial"/>
          <w:sz w:val="16"/>
          <w:szCs w:val="16"/>
          <w:color w:val="auto"/>
        </w:rPr>
        <w:t>This item consists of the following: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2017</w:t>
      </w:r>
    </w:p>
    <w:p>
      <w:pPr>
        <w:spacing w:after="0" w:line="31" w:lineRule="exact"/>
        <w:rPr>
          <w:sz w:val="20"/>
          <w:szCs w:val="20"/>
          <w:color w:val="auto"/>
        </w:rPr>
      </w:pPr>
    </w:p>
    <w:p>
      <w:pPr>
        <w:spacing w:after="0"/>
        <w:rPr>
          <w:sz w:val="20"/>
          <w:szCs w:val="20"/>
          <w:color w:val="auto"/>
        </w:rPr>
      </w:pPr>
      <w:r>
        <w:rPr>
          <w:rFonts w:ascii="Arial" w:cs="Arial" w:eastAsia="Arial" w:hAnsi="Arial"/>
          <w:sz w:val="17"/>
          <w:szCs w:val="17"/>
          <w:color w:val="auto"/>
        </w:rPr>
        <w:t>Life insurance</w:t>
      </w:r>
    </w:p>
    <w:p>
      <w:pPr>
        <w:spacing w:after="0" w:line="12" w:lineRule="exact"/>
        <w:rPr>
          <w:sz w:val="20"/>
          <w:szCs w:val="20"/>
          <w:color w:val="auto"/>
        </w:rPr>
      </w:pPr>
    </w:p>
    <w:p>
      <w:pPr>
        <w:spacing w:after="0"/>
        <w:rPr>
          <w:sz w:val="20"/>
          <w:szCs w:val="20"/>
          <w:color w:val="auto"/>
        </w:rPr>
      </w:pPr>
      <w:r>
        <w:rPr>
          <w:rFonts w:ascii="Arial" w:cs="Arial" w:eastAsia="Arial" w:hAnsi="Arial"/>
          <w:sz w:val="17"/>
          <w:szCs w:val="17"/>
          <w:color w:val="auto"/>
        </w:rPr>
        <w:t>Health insurance</w:t>
      </w:r>
    </w:p>
    <w:p>
      <w:pPr>
        <w:spacing w:after="0" w:line="12" w:lineRule="exact"/>
        <w:rPr>
          <w:sz w:val="20"/>
          <w:szCs w:val="20"/>
          <w:color w:val="auto"/>
        </w:rPr>
      </w:pPr>
    </w:p>
    <w:p>
      <w:pPr>
        <w:spacing w:after="0"/>
        <w:rPr>
          <w:sz w:val="20"/>
          <w:szCs w:val="20"/>
          <w:color w:val="auto"/>
        </w:rPr>
      </w:pPr>
      <w:r>
        <w:rPr>
          <w:rFonts w:ascii="Arial" w:cs="Arial" w:eastAsia="Arial" w:hAnsi="Arial"/>
          <w:sz w:val="17"/>
          <w:szCs w:val="17"/>
          <w:color w:val="auto"/>
        </w:rPr>
        <w:t>General insurance</w:t>
      </w:r>
    </w:p>
    <w:p>
      <w:pPr>
        <w:spacing w:after="0" w:line="1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Total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8"/>
        </w:trPr>
        <w:tc>
          <w:tcPr>
            <w:tcW w:w="1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gridSpan w:val="2"/>
          </w:tcPr>
          <w:p>
            <w:pPr>
              <w:ind w:left="20"/>
              <w:spacing w:after="0"/>
              <w:rPr>
                <w:sz w:val="20"/>
                <w:szCs w:val="20"/>
                <w:color w:val="auto"/>
              </w:rPr>
            </w:pPr>
            <w:r>
              <w:rPr>
                <w:rFonts w:ascii="Arial" w:cs="Arial" w:eastAsia="Arial" w:hAnsi="Arial"/>
                <w:sz w:val="17"/>
                <w:szCs w:val="17"/>
                <w:b w:val="1"/>
                <w:bCs w:val="1"/>
                <w:color w:val="auto"/>
              </w:rPr>
              <w:t>Premiums ceded</w:t>
            </w:r>
          </w:p>
        </w:tc>
        <w:tc>
          <w:tcPr>
            <w:tcW w:w="1440" w:type="dxa"/>
            <w:vAlign w:val="bottom"/>
            <w:gridSpan w:val="2"/>
          </w:tcPr>
          <w:p>
            <w:pPr>
              <w:jc w:val="center"/>
              <w:ind w:right="240"/>
              <w:spacing w:after="0"/>
              <w:rPr>
                <w:sz w:val="20"/>
                <w:szCs w:val="20"/>
                <w:color w:val="auto"/>
              </w:rPr>
            </w:pPr>
            <w:r>
              <w:rPr>
                <w:rFonts w:ascii="Arial" w:cs="Arial" w:eastAsia="Arial" w:hAnsi="Arial"/>
                <w:sz w:val="17"/>
                <w:szCs w:val="17"/>
                <w:b w:val="1"/>
                <w:bCs w:val="1"/>
                <w:color w:val="auto"/>
                <w:w w:val="90"/>
              </w:rPr>
              <w:t>Assumed from</w:t>
            </w: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Arial" w:cs="Arial" w:eastAsia="Arial" w:hAnsi="Arial"/>
                <w:sz w:val="17"/>
                <w:szCs w:val="17"/>
                <w:b w:val="1"/>
                <w:bCs w:val="1"/>
                <w:color w:val="auto"/>
                <w:w w:val="88"/>
              </w:rPr>
              <w:t>Percentage of</w:t>
            </w:r>
          </w:p>
        </w:tc>
      </w:tr>
      <w:tr>
        <w:trPr>
          <w:trHeight w:val="208"/>
        </w:trPr>
        <w:tc>
          <w:tcPr>
            <w:tcW w:w="1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gridSpan w:val="2"/>
          </w:tcPr>
          <w:p>
            <w:pPr>
              <w:ind w:left="20"/>
              <w:spacing w:after="0"/>
              <w:rPr>
                <w:sz w:val="20"/>
                <w:szCs w:val="20"/>
                <w:color w:val="auto"/>
              </w:rPr>
            </w:pPr>
            <w:r>
              <w:rPr>
                <w:rFonts w:ascii="Arial" w:cs="Arial" w:eastAsia="Arial" w:hAnsi="Arial"/>
                <w:sz w:val="17"/>
                <w:szCs w:val="17"/>
                <w:b w:val="1"/>
                <w:bCs w:val="1"/>
                <w:color w:val="auto"/>
              </w:rPr>
              <w:t>to reinsurers, net</w:t>
            </w:r>
          </w:p>
        </w:tc>
        <w:tc>
          <w:tcPr>
            <w:tcW w:w="1440" w:type="dxa"/>
            <w:vAlign w:val="bottom"/>
            <w:gridSpan w:val="2"/>
          </w:tcPr>
          <w:p>
            <w:pPr>
              <w:jc w:val="center"/>
              <w:ind w:right="240"/>
              <w:spacing w:after="0"/>
              <w:rPr>
                <w:sz w:val="20"/>
                <w:szCs w:val="20"/>
                <w:color w:val="auto"/>
              </w:rPr>
            </w:pPr>
            <w:r>
              <w:rPr>
                <w:rFonts w:ascii="Arial" w:cs="Arial" w:eastAsia="Arial" w:hAnsi="Arial"/>
                <w:sz w:val="17"/>
                <w:szCs w:val="17"/>
                <w:b w:val="1"/>
                <w:bCs w:val="1"/>
                <w:color w:val="auto"/>
                <w:w w:val="94"/>
              </w:rPr>
              <w:t>other</w:t>
            </w:r>
          </w:p>
        </w:tc>
        <w:tc>
          <w:tcPr>
            <w:tcW w:w="1440" w:type="dxa"/>
            <w:vAlign w:val="bottom"/>
            <w:gridSpan w:val="2"/>
          </w:tcPr>
          <w:p>
            <w:pPr>
              <w:jc w:val="center"/>
              <w:ind w:right="240"/>
              <w:spacing w:after="0"/>
              <w:rPr>
                <w:sz w:val="20"/>
                <w:szCs w:val="20"/>
                <w:color w:val="auto"/>
              </w:rPr>
            </w:pPr>
            <w:r>
              <w:rPr>
                <w:rFonts w:ascii="Arial" w:cs="Arial" w:eastAsia="Arial" w:hAnsi="Arial"/>
                <w:sz w:val="17"/>
                <w:szCs w:val="17"/>
                <w:b w:val="1"/>
                <w:bCs w:val="1"/>
                <w:color w:val="auto"/>
                <w:w w:val="91"/>
              </w:rPr>
              <w:t>Net premiums</w:t>
            </w:r>
          </w:p>
        </w:tc>
        <w:tc>
          <w:tcPr>
            <w:tcW w:w="1240" w:type="dxa"/>
            <w:vAlign w:val="bottom"/>
          </w:tcPr>
          <w:p>
            <w:pPr>
              <w:jc w:val="center"/>
              <w:spacing w:after="0"/>
              <w:rPr>
                <w:sz w:val="20"/>
                <w:szCs w:val="20"/>
                <w:color w:val="auto"/>
              </w:rPr>
            </w:pPr>
            <w:r>
              <w:rPr>
                <w:rFonts w:ascii="Arial" w:cs="Arial" w:eastAsia="Arial" w:hAnsi="Arial"/>
                <w:sz w:val="17"/>
                <w:szCs w:val="17"/>
                <w:b w:val="1"/>
                <w:bCs w:val="1"/>
                <w:color w:val="auto"/>
                <w:w w:val="88"/>
              </w:rPr>
              <w:t>assumed net</w:t>
            </w:r>
          </w:p>
        </w:tc>
      </w:tr>
      <w:tr>
        <w:trPr>
          <w:trHeight w:val="226"/>
        </w:trPr>
        <w:tc>
          <w:tcPr>
            <w:tcW w:w="1660" w:type="dxa"/>
            <w:vAlign w:val="bottom"/>
            <w:gridSpan w:val="2"/>
          </w:tcPr>
          <w:p>
            <w:pPr>
              <w:spacing w:after="0"/>
              <w:rPr>
                <w:sz w:val="20"/>
                <w:szCs w:val="20"/>
                <w:color w:val="auto"/>
              </w:rPr>
            </w:pPr>
            <w:r>
              <w:rPr>
                <w:rFonts w:ascii="Arial" w:cs="Arial" w:eastAsia="Arial" w:hAnsi="Arial"/>
                <w:sz w:val="17"/>
                <w:szCs w:val="17"/>
                <w:b w:val="1"/>
                <w:bCs w:val="1"/>
                <w:color w:val="auto"/>
              </w:rPr>
              <w:t>Gross premiums (*)</w:t>
            </w:r>
          </w:p>
        </w:tc>
        <w:tc>
          <w:tcPr>
            <w:tcW w:w="1300" w:type="dxa"/>
            <w:vAlign w:val="bottom"/>
          </w:tcPr>
          <w:p>
            <w:pPr>
              <w:jc w:val="right"/>
              <w:ind w:right="433"/>
              <w:spacing w:after="0"/>
              <w:rPr>
                <w:sz w:val="20"/>
                <w:szCs w:val="20"/>
                <w:color w:val="auto"/>
              </w:rPr>
            </w:pPr>
            <w:r>
              <w:rPr>
                <w:rFonts w:ascii="Arial" w:cs="Arial" w:eastAsia="Arial" w:hAnsi="Arial"/>
                <w:sz w:val="17"/>
                <w:szCs w:val="17"/>
                <w:b w:val="1"/>
                <w:bCs w:val="1"/>
                <w:color w:val="auto"/>
              </w:rPr>
              <w:t>(**)</w:t>
            </w:r>
          </w:p>
        </w:tc>
        <w:tc>
          <w:tcPr>
            <w:tcW w:w="200" w:type="dxa"/>
            <w:vAlign w:val="bottom"/>
          </w:tcPr>
          <w:p>
            <w:pPr>
              <w:spacing w:after="0"/>
              <w:rPr>
                <w:sz w:val="19"/>
                <w:szCs w:val="19"/>
                <w:color w:val="auto"/>
              </w:rPr>
            </w:pPr>
          </w:p>
        </w:tc>
        <w:tc>
          <w:tcPr>
            <w:tcW w:w="1440" w:type="dxa"/>
            <w:vAlign w:val="bottom"/>
            <w:gridSpan w:val="2"/>
          </w:tcPr>
          <w:p>
            <w:pPr>
              <w:jc w:val="center"/>
              <w:ind w:right="200"/>
              <w:spacing w:after="0"/>
              <w:rPr>
                <w:sz w:val="20"/>
                <w:szCs w:val="20"/>
                <w:color w:val="auto"/>
              </w:rPr>
            </w:pPr>
            <w:r>
              <w:rPr>
                <w:rFonts w:ascii="Arial" w:cs="Arial" w:eastAsia="Arial" w:hAnsi="Arial"/>
                <w:sz w:val="17"/>
                <w:szCs w:val="17"/>
                <w:b w:val="1"/>
                <w:bCs w:val="1"/>
                <w:color w:val="auto"/>
                <w:w w:val="87"/>
              </w:rPr>
              <w:t>companies, net</w:t>
            </w:r>
          </w:p>
        </w:tc>
        <w:tc>
          <w:tcPr>
            <w:tcW w:w="1440" w:type="dxa"/>
            <w:vAlign w:val="bottom"/>
            <w:gridSpan w:val="2"/>
          </w:tcPr>
          <w:p>
            <w:pPr>
              <w:jc w:val="center"/>
              <w:ind w:right="200"/>
              <w:spacing w:after="0"/>
              <w:rPr>
                <w:sz w:val="20"/>
                <w:szCs w:val="20"/>
                <w:color w:val="auto"/>
              </w:rPr>
            </w:pPr>
            <w:r>
              <w:rPr>
                <w:rFonts w:ascii="Arial" w:cs="Arial" w:eastAsia="Arial" w:hAnsi="Arial"/>
                <w:sz w:val="17"/>
                <w:szCs w:val="17"/>
                <w:b w:val="1"/>
                <w:bCs w:val="1"/>
                <w:color w:val="auto"/>
                <w:w w:val="93"/>
              </w:rPr>
              <w:t>earned</w:t>
            </w:r>
          </w:p>
        </w:tc>
        <w:tc>
          <w:tcPr>
            <w:tcW w:w="1240" w:type="dxa"/>
            <w:vAlign w:val="bottom"/>
          </w:tcPr>
          <w:p>
            <w:pPr>
              <w:jc w:val="center"/>
              <w:spacing w:after="0"/>
              <w:rPr>
                <w:sz w:val="20"/>
                <w:szCs w:val="20"/>
                <w:color w:val="auto"/>
              </w:rPr>
            </w:pPr>
            <w:r>
              <w:rPr>
                <w:rFonts w:ascii="Arial" w:cs="Arial" w:eastAsia="Arial" w:hAnsi="Arial"/>
                <w:sz w:val="17"/>
                <w:szCs w:val="17"/>
                <w:b w:val="1"/>
                <w:bCs w:val="1"/>
                <w:color w:val="auto"/>
                <w:w w:val="93"/>
              </w:rPr>
              <w:t>premiums</w:t>
            </w:r>
          </w:p>
        </w:tc>
      </w:tr>
      <w:tr>
        <w:trPr>
          <w:trHeight w:val="219"/>
        </w:trPr>
        <w:tc>
          <w:tcPr>
            <w:tcW w:w="1440" w:type="dxa"/>
            <w:vAlign w:val="bottom"/>
            <w:tcBorders>
              <w:top w:val="single" w:sz="8" w:color="auto"/>
            </w:tcBorders>
          </w:tcPr>
          <w:p>
            <w:pPr>
              <w:jc w:val="right"/>
              <w:ind w:right="373"/>
              <w:spacing w:after="0"/>
              <w:rPr>
                <w:sz w:val="20"/>
                <w:szCs w:val="20"/>
                <w:color w:val="auto"/>
              </w:rPr>
            </w:pPr>
            <w:r>
              <w:rPr>
                <w:rFonts w:ascii="Arial" w:cs="Arial" w:eastAsia="Arial" w:hAnsi="Arial"/>
                <w:sz w:val="17"/>
                <w:szCs w:val="17"/>
                <w:b w:val="1"/>
                <w:bCs w:val="1"/>
                <w:color w:val="auto"/>
              </w:rPr>
              <w:t>S/(000)</w:t>
            </w:r>
          </w:p>
        </w:tc>
        <w:tc>
          <w:tcPr>
            <w:tcW w:w="220" w:type="dxa"/>
            <w:vAlign w:val="bottom"/>
          </w:tcPr>
          <w:p>
            <w:pPr>
              <w:spacing w:after="0"/>
              <w:rPr>
                <w:sz w:val="19"/>
                <w:szCs w:val="19"/>
                <w:color w:val="auto"/>
              </w:rPr>
            </w:pPr>
          </w:p>
        </w:tc>
        <w:tc>
          <w:tcPr>
            <w:tcW w:w="1300" w:type="dxa"/>
            <w:vAlign w:val="bottom"/>
            <w:tcBorders>
              <w:top w:val="single" w:sz="8" w:color="auto"/>
            </w:tcBorders>
          </w:tcPr>
          <w:p>
            <w:pPr>
              <w:jc w:val="center"/>
              <w:spacing w:after="0"/>
              <w:rPr>
                <w:sz w:val="20"/>
                <w:szCs w:val="20"/>
                <w:color w:val="auto"/>
              </w:rPr>
            </w:pPr>
            <w:r>
              <w:rPr>
                <w:rFonts w:ascii="Arial" w:cs="Arial" w:eastAsia="Arial" w:hAnsi="Arial"/>
                <w:sz w:val="17"/>
                <w:szCs w:val="17"/>
                <w:b w:val="1"/>
                <w:bCs w:val="1"/>
                <w:color w:val="auto"/>
                <w:w w:val="93"/>
              </w:rPr>
              <w:t>S/(000)</w:t>
            </w:r>
          </w:p>
        </w:tc>
        <w:tc>
          <w:tcPr>
            <w:tcW w:w="200" w:type="dxa"/>
            <w:vAlign w:val="bottom"/>
          </w:tcPr>
          <w:p>
            <w:pPr>
              <w:spacing w:after="0"/>
              <w:rPr>
                <w:sz w:val="19"/>
                <w:szCs w:val="19"/>
                <w:color w:val="auto"/>
              </w:rPr>
            </w:pPr>
          </w:p>
        </w:tc>
        <w:tc>
          <w:tcPr>
            <w:tcW w:w="1240" w:type="dxa"/>
            <w:vAlign w:val="bottom"/>
            <w:tcBorders>
              <w:top w:val="single" w:sz="8" w:color="auto"/>
            </w:tcBorders>
          </w:tcPr>
          <w:p>
            <w:pPr>
              <w:jc w:val="center"/>
              <w:spacing w:after="0"/>
              <w:rPr>
                <w:sz w:val="20"/>
                <w:szCs w:val="20"/>
                <w:color w:val="auto"/>
              </w:rPr>
            </w:pPr>
            <w:r>
              <w:rPr>
                <w:rFonts w:ascii="Arial" w:cs="Arial" w:eastAsia="Arial" w:hAnsi="Arial"/>
                <w:sz w:val="17"/>
                <w:szCs w:val="17"/>
                <w:b w:val="1"/>
                <w:bCs w:val="1"/>
                <w:color w:val="auto"/>
                <w:w w:val="93"/>
              </w:rPr>
              <w:t>S/(000)</w:t>
            </w:r>
          </w:p>
        </w:tc>
        <w:tc>
          <w:tcPr>
            <w:tcW w:w="200" w:type="dxa"/>
            <w:vAlign w:val="bottom"/>
          </w:tcPr>
          <w:p>
            <w:pPr>
              <w:spacing w:after="0"/>
              <w:rPr>
                <w:sz w:val="19"/>
                <w:szCs w:val="19"/>
                <w:color w:val="auto"/>
              </w:rPr>
            </w:pPr>
          </w:p>
        </w:tc>
        <w:tc>
          <w:tcPr>
            <w:tcW w:w="1240" w:type="dxa"/>
            <w:vAlign w:val="bottom"/>
            <w:tcBorders>
              <w:top w:val="single" w:sz="8" w:color="auto"/>
            </w:tcBorders>
          </w:tcPr>
          <w:p>
            <w:pPr>
              <w:jc w:val="center"/>
              <w:spacing w:after="0"/>
              <w:rPr>
                <w:sz w:val="20"/>
                <w:szCs w:val="20"/>
                <w:color w:val="auto"/>
              </w:rPr>
            </w:pPr>
            <w:r>
              <w:rPr>
                <w:rFonts w:ascii="Arial" w:cs="Arial" w:eastAsia="Arial" w:hAnsi="Arial"/>
                <w:sz w:val="17"/>
                <w:szCs w:val="17"/>
                <w:b w:val="1"/>
                <w:bCs w:val="1"/>
                <w:color w:val="auto"/>
                <w:w w:val="93"/>
              </w:rPr>
              <w:t>S/(000)</w:t>
            </w:r>
          </w:p>
        </w:tc>
        <w:tc>
          <w:tcPr>
            <w:tcW w:w="200" w:type="dxa"/>
            <w:vAlign w:val="bottom"/>
          </w:tcPr>
          <w:p>
            <w:pPr>
              <w:spacing w:after="0"/>
              <w:rPr>
                <w:sz w:val="19"/>
                <w:szCs w:val="19"/>
                <w:color w:val="auto"/>
              </w:rPr>
            </w:pPr>
          </w:p>
        </w:tc>
        <w:tc>
          <w:tcPr>
            <w:tcW w:w="1240" w:type="dxa"/>
            <w:vAlign w:val="bottom"/>
            <w:tcBorders>
              <w:top w:val="single" w:sz="8" w:color="auto"/>
            </w:tcBorders>
          </w:tcPr>
          <w:p>
            <w:pPr>
              <w:jc w:val="center"/>
              <w:spacing w:after="0"/>
              <w:rPr>
                <w:sz w:val="20"/>
                <w:szCs w:val="20"/>
                <w:color w:val="auto"/>
              </w:rPr>
            </w:pPr>
            <w:r>
              <w:rPr>
                <w:rFonts w:ascii="Arial" w:cs="Arial" w:eastAsia="Arial" w:hAnsi="Arial"/>
                <w:sz w:val="17"/>
                <w:szCs w:val="17"/>
                <w:b w:val="1"/>
                <w:bCs w:val="1"/>
                <w:color w:val="auto"/>
              </w:rPr>
              <w:t>%</w:t>
            </w:r>
          </w:p>
        </w:tc>
      </w:tr>
      <w:tr>
        <w:trPr>
          <w:trHeight w:val="385"/>
        </w:trPr>
        <w:tc>
          <w:tcPr>
            <w:tcW w:w="1440" w:type="dxa"/>
            <w:vAlign w:val="bottom"/>
          </w:tcPr>
          <w:p>
            <w:pPr>
              <w:jc w:val="right"/>
              <w:spacing w:after="0"/>
              <w:rPr>
                <w:sz w:val="20"/>
                <w:szCs w:val="20"/>
                <w:color w:val="auto"/>
              </w:rPr>
            </w:pPr>
            <w:r>
              <w:rPr>
                <w:rFonts w:ascii="Arial" w:cs="Arial" w:eastAsia="Arial" w:hAnsi="Arial"/>
                <w:sz w:val="17"/>
                <w:szCs w:val="17"/>
                <w:color w:val="auto"/>
              </w:rPr>
              <w:t>949,515</w:t>
            </w:r>
          </w:p>
        </w:tc>
        <w:tc>
          <w:tcPr>
            <w:tcW w:w="220" w:type="dxa"/>
            <w:vAlign w:val="bottom"/>
          </w:tcPr>
          <w:p>
            <w:pPr>
              <w:spacing w:after="0"/>
              <w:rPr>
                <w:sz w:val="24"/>
                <w:szCs w:val="24"/>
                <w:color w:val="auto"/>
              </w:rPr>
            </w:pPr>
          </w:p>
        </w:tc>
        <w:tc>
          <w:tcPr>
            <w:tcW w:w="1500" w:type="dxa"/>
            <w:vAlign w:val="bottom"/>
            <w:gridSpan w:val="2"/>
          </w:tcPr>
          <w:p>
            <w:pPr>
              <w:jc w:val="right"/>
              <w:ind w:right="59"/>
              <w:spacing w:after="0"/>
              <w:rPr>
                <w:sz w:val="20"/>
                <w:szCs w:val="20"/>
                <w:color w:val="auto"/>
              </w:rPr>
            </w:pPr>
            <w:r>
              <w:rPr>
                <w:rFonts w:ascii="Arial" w:cs="Arial" w:eastAsia="Arial" w:hAnsi="Arial"/>
                <w:sz w:val="17"/>
                <w:szCs w:val="17"/>
                <w:color w:val="auto"/>
              </w:rPr>
              <w:t>(108,378)</w:t>
            </w:r>
          </w:p>
        </w:tc>
        <w:tc>
          <w:tcPr>
            <w:tcW w:w="1240" w:type="dxa"/>
            <w:vAlign w:val="bottom"/>
          </w:tcPr>
          <w:p>
            <w:pPr>
              <w:jc w:val="right"/>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24"/>
                <w:szCs w:val="24"/>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7"/>
                <w:szCs w:val="17"/>
                <w:color w:val="auto"/>
              </w:rPr>
              <w:t>841,137</w:t>
            </w:r>
          </w:p>
        </w:tc>
        <w:tc>
          <w:tcPr>
            <w:tcW w:w="124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08"/>
        </w:trPr>
        <w:tc>
          <w:tcPr>
            <w:tcW w:w="1440" w:type="dxa"/>
            <w:vAlign w:val="bottom"/>
          </w:tcPr>
          <w:p>
            <w:pPr>
              <w:jc w:val="right"/>
              <w:spacing w:after="0"/>
              <w:rPr>
                <w:sz w:val="20"/>
                <w:szCs w:val="20"/>
                <w:color w:val="auto"/>
              </w:rPr>
            </w:pPr>
            <w:r>
              <w:rPr>
                <w:rFonts w:ascii="Arial" w:cs="Arial" w:eastAsia="Arial" w:hAnsi="Arial"/>
                <w:sz w:val="17"/>
                <w:szCs w:val="17"/>
                <w:color w:val="auto"/>
              </w:rPr>
              <w:t>434,808</w:t>
            </w:r>
          </w:p>
        </w:tc>
        <w:tc>
          <w:tcPr>
            <w:tcW w:w="220" w:type="dxa"/>
            <w:vAlign w:val="bottom"/>
          </w:tcPr>
          <w:p>
            <w:pPr>
              <w:spacing w:after="0"/>
              <w:rPr>
                <w:sz w:val="18"/>
                <w:szCs w:val="18"/>
                <w:color w:val="auto"/>
              </w:rPr>
            </w:pPr>
          </w:p>
        </w:tc>
        <w:tc>
          <w:tcPr>
            <w:tcW w:w="1500" w:type="dxa"/>
            <w:vAlign w:val="bottom"/>
            <w:gridSpan w:val="2"/>
          </w:tcPr>
          <w:p>
            <w:pPr>
              <w:jc w:val="right"/>
              <w:ind w:right="59"/>
              <w:spacing w:after="0"/>
              <w:rPr>
                <w:sz w:val="20"/>
                <w:szCs w:val="20"/>
                <w:color w:val="auto"/>
              </w:rPr>
            </w:pPr>
            <w:r>
              <w:rPr>
                <w:rFonts w:ascii="Arial" w:cs="Arial" w:eastAsia="Arial" w:hAnsi="Arial"/>
                <w:sz w:val="17"/>
                <w:szCs w:val="17"/>
                <w:color w:val="auto"/>
              </w:rPr>
              <w:t>(13,568)</w:t>
            </w:r>
          </w:p>
        </w:tc>
        <w:tc>
          <w:tcPr>
            <w:tcW w:w="1240" w:type="dxa"/>
            <w:vAlign w:val="bottom"/>
          </w:tcPr>
          <w:p>
            <w:pPr>
              <w:jc w:val="right"/>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8"/>
                <w:szCs w:val="18"/>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7"/>
                <w:szCs w:val="17"/>
                <w:color w:val="auto"/>
              </w:rPr>
              <w:t>421,240</w:t>
            </w:r>
          </w:p>
        </w:tc>
        <w:tc>
          <w:tcPr>
            <w:tcW w:w="124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33"/>
        </w:trPr>
        <w:tc>
          <w:tcPr>
            <w:tcW w:w="1440" w:type="dxa"/>
            <w:vAlign w:val="bottom"/>
          </w:tcPr>
          <w:p>
            <w:pPr>
              <w:jc w:val="right"/>
              <w:spacing w:after="0"/>
              <w:rPr>
                <w:sz w:val="20"/>
                <w:szCs w:val="20"/>
                <w:color w:val="auto"/>
              </w:rPr>
            </w:pPr>
            <w:r>
              <w:rPr>
                <w:rFonts w:ascii="Arial" w:cs="Arial" w:eastAsia="Arial" w:hAnsi="Arial"/>
                <w:sz w:val="17"/>
                <w:szCs w:val="17"/>
                <w:color w:val="auto"/>
              </w:rPr>
              <w:t>920,595</w:t>
            </w:r>
          </w:p>
        </w:tc>
        <w:tc>
          <w:tcPr>
            <w:tcW w:w="220" w:type="dxa"/>
            <w:vAlign w:val="bottom"/>
          </w:tcPr>
          <w:p>
            <w:pPr>
              <w:spacing w:after="0"/>
              <w:rPr>
                <w:sz w:val="20"/>
                <w:szCs w:val="20"/>
                <w:color w:val="auto"/>
              </w:rPr>
            </w:pPr>
          </w:p>
        </w:tc>
        <w:tc>
          <w:tcPr>
            <w:tcW w:w="1500" w:type="dxa"/>
            <w:vAlign w:val="bottom"/>
            <w:gridSpan w:val="2"/>
          </w:tcPr>
          <w:p>
            <w:pPr>
              <w:jc w:val="right"/>
              <w:ind w:right="59"/>
              <w:spacing w:after="0"/>
              <w:rPr>
                <w:sz w:val="20"/>
                <w:szCs w:val="20"/>
                <w:color w:val="auto"/>
              </w:rPr>
            </w:pPr>
            <w:r>
              <w:rPr>
                <w:rFonts w:ascii="Arial" w:cs="Arial" w:eastAsia="Arial" w:hAnsi="Arial"/>
                <w:sz w:val="17"/>
                <w:szCs w:val="17"/>
                <w:color w:val="auto"/>
              </w:rPr>
              <w:t>(377,857)</w:t>
            </w:r>
          </w:p>
        </w:tc>
        <w:tc>
          <w:tcPr>
            <w:tcW w:w="1440" w:type="dxa"/>
            <w:vAlign w:val="bottom"/>
            <w:gridSpan w:val="2"/>
          </w:tcPr>
          <w:p>
            <w:pPr>
              <w:jc w:val="right"/>
              <w:ind w:right="200"/>
              <w:spacing w:after="0"/>
              <w:rPr>
                <w:sz w:val="20"/>
                <w:szCs w:val="20"/>
                <w:color w:val="auto"/>
              </w:rPr>
            </w:pPr>
            <w:r>
              <w:rPr>
                <w:rFonts w:ascii="Arial" w:cs="Arial" w:eastAsia="Arial" w:hAnsi="Arial"/>
                <w:sz w:val="17"/>
                <w:szCs w:val="17"/>
                <w:color w:val="auto"/>
              </w:rPr>
              <w:t>3,225</w:t>
            </w:r>
          </w:p>
        </w:tc>
        <w:tc>
          <w:tcPr>
            <w:tcW w:w="1440" w:type="dxa"/>
            <w:vAlign w:val="bottom"/>
            <w:gridSpan w:val="2"/>
          </w:tcPr>
          <w:p>
            <w:pPr>
              <w:jc w:val="right"/>
              <w:ind w:right="200"/>
              <w:spacing w:after="0"/>
              <w:rPr>
                <w:sz w:val="20"/>
                <w:szCs w:val="20"/>
                <w:color w:val="auto"/>
              </w:rPr>
            </w:pPr>
            <w:r>
              <w:rPr>
                <w:rFonts w:ascii="Arial" w:cs="Arial" w:eastAsia="Arial" w:hAnsi="Arial"/>
                <w:sz w:val="17"/>
                <w:szCs w:val="17"/>
                <w:color w:val="auto"/>
              </w:rPr>
              <w:t>545,963</w:t>
            </w:r>
          </w:p>
        </w:tc>
        <w:tc>
          <w:tcPr>
            <w:tcW w:w="1240" w:type="dxa"/>
            <w:vAlign w:val="bottom"/>
          </w:tcPr>
          <w:p>
            <w:pPr>
              <w:jc w:val="right"/>
              <w:spacing w:after="0"/>
              <w:rPr>
                <w:sz w:val="20"/>
                <w:szCs w:val="20"/>
                <w:color w:val="auto"/>
              </w:rPr>
            </w:pPr>
            <w:r>
              <w:rPr>
                <w:rFonts w:ascii="Arial" w:cs="Arial" w:eastAsia="Arial" w:hAnsi="Arial"/>
                <w:sz w:val="17"/>
                <w:szCs w:val="17"/>
                <w:color w:val="auto"/>
              </w:rPr>
              <w:t>0.59</w:t>
            </w:r>
          </w:p>
        </w:tc>
      </w:tr>
      <w:tr>
        <w:trPr>
          <w:trHeight w:val="214"/>
        </w:trPr>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2,304,918</w:t>
            </w:r>
          </w:p>
        </w:tc>
        <w:tc>
          <w:tcPr>
            <w:tcW w:w="220" w:type="dxa"/>
            <w:vAlign w:val="bottom"/>
          </w:tcPr>
          <w:p>
            <w:pPr>
              <w:spacing w:after="0"/>
              <w:rPr>
                <w:sz w:val="18"/>
                <w:szCs w:val="18"/>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(499,803</w:t>
            </w:r>
          </w:p>
        </w:tc>
        <w:tc>
          <w:tcPr>
            <w:tcW w:w="200" w:type="dxa"/>
            <w:vAlign w:val="bottom"/>
          </w:tcPr>
          <w:p>
            <w:pPr>
              <w:jc w:val="right"/>
              <w:ind w:right="59"/>
              <w:spacing w:after="0"/>
              <w:rPr>
                <w:sz w:val="20"/>
                <w:szCs w:val="20"/>
                <w:color w:val="auto"/>
              </w:rPr>
            </w:pPr>
            <w:r>
              <w:rPr>
                <w:rFonts w:ascii="Arial" w:cs="Arial" w:eastAsia="Arial" w:hAnsi="Arial"/>
                <w:sz w:val="16"/>
                <w:szCs w:val="16"/>
                <w:color w:val="auto"/>
                <w:w w:val="74"/>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3,225</w:t>
            </w:r>
          </w:p>
        </w:tc>
        <w:tc>
          <w:tcPr>
            <w:tcW w:w="200" w:type="dxa"/>
            <w:vAlign w:val="bottom"/>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1,808,340</w:t>
            </w:r>
          </w:p>
        </w:tc>
        <w:tc>
          <w:tcPr>
            <w:tcW w:w="200" w:type="dxa"/>
            <w:vAlign w:val="bottom"/>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0.18</w:t>
            </w:r>
          </w:p>
        </w:tc>
      </w:tr>
      <w:tr>
        <w:trPr>
          <w:trHeight w:val="20"/>
        </w:trPr>
        <w:tc>
          <w:tcPr>
            <w:tcW w:w="14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-2562225</wp:posOffset>
            </wp:positionH>
            <wp:positionV relativeFrom="paragraph">
              <wp:posOffset>-708660</wp:posOffset>
            </wp:positionV>
            <wp:extent cx="7251700" cy="13208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51700" cy="132080"/>
                    </a:xfrm>
                    <a:prstGeom prst="rect">
                      <a:avLst/>
                    </a:prstGeom>
                    <a:noFill/>
                  </pic:spPr>
                </pic:pic>
              </a:graphicData>
            </a:graphic>
          </wp:anchor>
        </w:drawing>
        <w:drawing>
          <wp:anchor simplePos="0" relativeHeight="251657728" behindDoc="1" locked="0" layoutInCell="0" allowOverlap="1">
            <wp:simplePos x="0" y="0"/>
            <wp:positionH relativeFrom="column">
              <wp:posOffset>-2562225</wp:posOffset>
            </wp:positionH>
            <wp:positionV relativeFrom="paragraph">
              <wp:posOffset>-445135</wp:posOffset>
            </wp:positionV>
            <wp:extent cx="7251700" cy="13208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51700" cy="132080"/>
                    </a:xfrm>
                    <a:prstGeom prst="rect">
                      <a:avLst/>
                    </a:prstGeom>
                    <a:noFill/>
                  </pic:spPr>
                </pic:pic>
              </a:graphicData>
            </a:graphic>
          </wp:anchor>
        </w:drawing>
        <w:drawing>
          <wp:anchor simplePos="0" relativeHeight="251657728" behindDoc="1" locked="0" layoutInCell="0" allowOverlap="1">
            <wp:simplePos x="0" y="0"/>
            <wp:positionH relativeFrom="column">
              <wp:posOffset>-2562225</wp:posOffset>
            </wp:positionH>
            <wp:positionV relativeFrom="paragraph">
              <wp:posOffset>-172720</wp:posOffset>
            </wp:positionV>
            <wp:extent cx="7251700" cy="1568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51700" cy="1568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320" w:space="720"/>
            <w:col w:w="7380"/>
          </w:cols>
          <w:pgMar w:left="240" w:top="875" w:right="239" w:bottom="1440" w:gutter="0" w:footer="0" w:header="0"/>
        </w:sectPr>
      </w:pP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404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2016</w:t>
            </w:r>
          </w:p>
        </w:tc>
        <w:tc>
          <w:tcPr>
            <w:tcW w:w="1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4040" w:type="dxa"/>
            <w:vAlign w:val="bottom"/>
          </w:tcPr>
          <w:p>
            <w:pPr>
              <w:spacing w:after="0"/>
              <w:rPr>
                <w:sz w:val="20"/>
                <w:szCs w:val="20"/>
                <w:color w:val="auto"/>
              </w:rPr>
            </w:pPr>
            <w:r>
              <w:rPr>
                <w:rFonts w:ascii="Arial" w:cs="Arial" w:eastAsia="Arial" w:hAnsi="Arial"/>
                <w:sz w:val="17"/>
                <w:szCs w:val="17"/>
                <w:color w:val="auto"/>
              </w:rPr>
              <w:t>Life insurance</w:t>
            </w:r>
          </w:p>
        </w:tc>
        <w:tc>
          <w:tcPr>
            <w:tcW w:w="1440" w:type="dxa"/>
            <w:vAlign w:val="bottom"/>
          </w:tcPr>
          <w:p>
            <w:pPr>
              <w:jc w:val="right"/>
              <w:spacing w:after="0"/>
              <w:rPr>
                <w:sz w:val="20"/>
                <w:szCs w:val="20"/>
                <w:color w:val="auto"/>
              </w:rPr>
            </w:pPr>
            <w:r>
              <w:rPr>
                <w:rFonts w:ascii="Arial" w:cs="Arial" w:eastAsia="Arial" w:hAnsi="Arial"/>
                <w:sz w:val="17"/>
                <w:szCs w:val="17"/>
                <w:color w:val="auto"/>
              </w:rPr>
              <w:t>876,315</w:t>
            </w:r>
          </w:p>
        </w:tc>
        <w:tc>
          <w:tcPr>
            <w:tcW w:w="220" w:type="dxa"/>
            <w:vAlign w:val="bottom"/>
          </w:tcPr>
          <w:p>
            <w:pPr>
              <w:spacing w:after="0"/>
              <w:rPr>
                <w:sz w:val="18"/>
                <w:szCs w:val="18"/>
                <w:color w:val="auto"/>
              </w:rPr>
            </w:pPr>
          </w:p>
        </w:tc>
        <w:tc>
          <w:tcPr>
            <w:tcW w:w="1500" w:type="dxa"/>
            <w:vAlign w:val="bottom"/>
            <w:gridSpan w:val="2"/>
          </w:tcPr>
          <w:p>
            <w:pPr>
              <w:jc w:val="right"/>
              <w:ind w:right="59"/>
              <w:spacing w:after="0"/>
              <w:rPr>
                <w:sz w:val="20"/>
                <w:szCs w:val="20"/>
                <w:color w:val="auto"/>
              </w:rPr>
            </w:pPr>
            <w:r>
              <w:rPr>
                <w:rFonts w:ascii="Arial" w:cs="Arial" w:eastAsia="Arial" w:hAnsi="Arial"/>
                <w:sz w:val="17"/>
                <w:szCs w:val="17"/>
                <w:color w:val="auto"/>
              </w:rPr>
              <w:t>(37,725)</w:t>
            </w:r>
          </w:p>
        </w:tc>
        <w:tc>
          <w:tcPr>
            <w:tcW w:w="1240" w:type="dxa"/>
            <w:vAlign w:val="bottom"/>
          </w:tcPr>
          <w:p>
            <w:pPr>
              <w:jc w:val="right"/>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8"/>
                <w:szCs w:val="18"/>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7"/>
                <w:szCs w:val="17"/>
                <w:color w:val="auto"/>
              </w:rPr>
              <w:t>838,590</w:t>
            </w:r>
          </w:p>
        </w:tc>
        <w:tc>
          <w:tcPr>
            <w:tcW w:w="134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8"/>
        </w:trPr>
        <w:tc>
          <w:tcPr>
            <w:tcW w:w="4040" w:type="dxa"/>
            <w:vAlign w:val="bottom"/>
            <w:shd w:val="clear" w:color="auto" w:fill="CCEEFF"/>
          </w:tcPr>
          <w:p>
            <w:pPr>
              <w:spacing w:after="0"/>
              <w:rPr>
                <w:sz w:val="20"/>
                <w:szCs w:val="20"/>
                <w:color w:val="auto"/>
              </w:rPr>
            </w:pPr>
            <w:r>
              <w:rPr>
                <w:rFonts w:ascii="Arial" w:cs="Arial" w:eastAsia="Arial" w:hAnsi="Arial"/>
                <w:sz w:val="17"/>
                <w:szCs w:val="17"/>
                <w:color w:val="auto"/>
              </w:rPr>
              <w:t>Health insurance</w:t>
            </w:r>
          </w:p>
        </w:tc>
        <w:tc>
          <w:tcPr>
            <w:tcW w:w="1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415,152</w:t>
            </w:r>
          </w:p>
        </w:tc>
        <w:tc>
          <w:tcPr>
            <w:tcW w:w="2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59"/>
              <w:spacing w:after="0"/>
              <w:rPr>
                <w:sz w:val="20"/>
                <w:szCs w:val="20"/>
                <w:color w:val="auto"/>
              </w:rPr>
            </w:pPr>
            <w:r>
              <w:rPr>
                <w:rFonts w:ascii="Arial" w:cs="Arial" w:eastAsia="Arial" w:hAnsi="Arial"/>
                <w:sz w:val="17"/>
                <w:szCs w:val="17"/>
                <w:color w:val="auto"/>
              </w:rPr>
              <w:t>(10,011)</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188</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405,329</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0.05</w:t>
            </w:r>
          </w:p>
        </w:tc>
        <w:tc>
          <w:tcPr>
            <w:tcW w:w="0" w:type="dxa"/>
            <w:vAlign w:val="bottom"/>
          </w:tcPr>
          <w:p>
            <w:pPr>
              <w:spacing w:after="0"/>
              <w:rPr>
                <w:sz w:val="1"/>
                <w:szCs w:val="1"/>
                <w:color w:val="auto"/>
              </w:rPr>
            </w:pPr>
          </w:p>
        </w:tc>
      </w:tr>
      <w:tr>
        <w:trPr>
          <w:trHeight w:val="221"/>
        </w:trPr>
        <w:tc>
          <w:tcPr>
            <w:tcW w:w="4040" w:type="dxa"/>
            <w:vAlign w:val="bottom"/>
          </w:tcPr>
          <w:p>
            <w:pPr>
              <w:spacing w:after="0"/>
              <w:rPr>
                <w:sz w:val="20"/>
                <w:szCs w:val="20"/>
                <w:color w:val="auto"/>
              </w:rPr>
            </w:pPr>
            <w:r>
              <w:rPr>
                <w:rFonts w:ascii="Arial" w:cs="Arial" w:eastAsia="Arial" w:hAnsi="Arial"/>
                <w:sz w:val="17"/>
                <w:szCs w:val="17"/>
                <w:color w:val="auto"/>
              </w:rPr>
              <w:t>General insurance</w:t>
            </w:r>
          </w:p>
        </w:tc>
        <w:tc>
          <w:tcPr>
            <w:tcW w:w="1440" w:type="dxa"/>
            <w:vAlign w:val="bottom"/>
          </w:tcPr>
          <w:p>
            <w:pPr>
              <w:jc w:val="right"/>
              <w:spacing w:after="0"/>
              <w:rPr>
                <w:sz w:val="20"/>
                <w:szCs w:val="20"/>
                <w:color w:val="auto"/>
              </w:rPr>
            </w:pPr>
            <w:r>
              <w:rPr>
                <w:rFonts w:ascii="Arial" w:cs="Arial" w:eastAsia="Arial" w:hAnsi="Arial"/>
                <w:sz w:val="17"/>
                <w:szCs w:val="17"/>
                <w:color w:val="auto"/>
              </w:rPr>
              <w:t>1,005,426</w:t>
            </w:r>
          </w:p>
        </w:tc>
        <w:tc>
          <w:tcPr>
            <w:tcW w:w="220" w:type="dxa"/>
            <w:vAlign w:val="bottom"/>
          </w:tcPr>
          <w:p>
            <w:pPr>
              <w:spacing w:after="0"/>
              <w:rPr>
                <w:sz w:val="19"/>
                <w:szCs w:val="19"/>
                <w:color w:val="auto"/>
              </w:rPr>
            </w:pPr>
          </w:p>
        </w:tc>
        <w:tc>
          <w:tcPr>
            <w:tcW w:w="1500" w:type="dxa"/>
            <w:vAlign w:val="bottom"/>
            <w:gridSpan w:val="2"/>
          </w:tcPr>
          <w:p>
            <w:pPr>
              <w:jc w:val="right"/>
              <w:ind w:right="59"/>
              <w:spacing w:after="0"/>
              <w:rPr>
                <w:sz w:val="20"/>
                <w:szCs w:val="20"/>
                <w:color w:val="auto"/>
              </w:rPr>
            </w:pPr>
            <w:r>
              <w:rPr>
                <w:rFonts w:ascii="Arial" w:cs="Arial" w:eastAsia="Arial" w:hAnsi="Arial"/>
                <w:sz w:val="17"/>
                <w:szCs w:val="17"/>
                <w:color w:val="auto"/>
              </w:rPr>
              <w:t>(455,850)</w:t>
            </w:r>
          </w:p>
        </w:tc>
        <w:tc>
          <w:tcPr>
            <w:tcW w:w="1440" w:type="dxa"/>
            <w:vAlign w:val="bottom"/>
            <w:gridSpan w:val="2"/>
          </w:tcPr>
          <w:p>
            <w:pPr>
              <w:jc w:val="right"/>
              <w:ind w:right="200"/>
              <w:spacing w:after="0"/>
              <w:rPr>
                <w:sz w:val="20"/>
                <w:szCs w:val="20"/>
                <w:color w:val="auto"/>
              </w:rPr>
            </w:pPr>
            <w:r>
              <w:rPr>
                <w:rFonts w:ascii="Arial" w:cs="Arial" w:eastAsia="Arial" w:hAnsi="Arial"/>
                <w:sz w:val="17"/>
                <w:szCs w:val="17"/>
                <w:color w:val="auto"/>
              </w:rPr>
              <w:t>5,620</w:t>
            </w:r>
          </w:p>
        </w:tc>
        <w:tc>
          <w:tcPr>
            <w:tcW w:w="1440" w:type="dxa"/>
            <w:vAlign w:val="bottom"/>
            <w:gridSpan w:val="2"/>
          </w:tcPr>
          <w:p>
            <w:pPr>
              <w:jc w:val="right"/>
              <w:ind w:right="200"/>
              <w:spacing w:after="0"/>
              <w:rPr>
                <w:sz w:val="20"/>
                <w:szCs w:val="20"/>
                <w:color w:val="auto"/>
              </w:rPr>
            </w:pPr>
            <w:r>
              <w:rPr>
                <w:rFonts w:ascii="Arial" w:cs="Arial" w:eastAsia="Arial" w:hAnsi="Arial"/>
                <w:sz w:val="17"/>
                <w:szCs w:val="17"/>
                <w:color w:val="auto"/>
              </w:rPr>
              <w:t>555,196</w:t>
            </w:r>
          </w:p>
        </w:tc>
        <w:tc>
          <w:tcPr>
            <w:tcW w:w="1340" w:type="dxa"/>
            <w:vAlign w:val="bottom"/>
            <w:gridSpan w:val="2"/>
          </w:tcPr>
          <w:p>
            <w:pPr>
              <w:jc w:val="right"/>
              <w:ind w:right="100"/>
              <w:spacing w:after="0"/>
              <w:rPr>
                <w:sz w:val="20"/>
                <w:szCs w:val="20"/>
                <w:color w:val="auto"/>
              </w:rPr>
            </w:pPr>
            <w:r>
              <w:rPr>
                <w:rFonts w:ascii="Arial" w:cs="Arial" w:eastAsia="Arial" w:hAnsi="Arial"/>
                <w:sz w:val="17"/>
                <w:szCs w:val="17"/>
                <w:color w:val="auto"/>
              </w:rPr>
              <w:t>1.01</w:t>
            </w:r>
          </w:p>
        </w:tc>
        <w:tc>
          <w:tcPr>
            <w:tcW w:w="0" w:type="dxa"/>
            <w:vAlign w:val="bottom"/>
          </w:tcPr>
          <w:p>
            <w:pPr>
              <w:spacing w:after="0"/>
              <w:rPr>
                <w:sz w:val="1"/>
                <w:szCs w:val="1"/>
                <w:color w:val="auto"/>
              </w:rPr>
            </w:pPr>
          </w:p>
        </w:tc>
      </w:tr>
      <w:tr>
        <w:trPr>
          <w:trHeight w:val="20"/>
        </w:trPr>
        <w:tc>
          <w:tcPr>
            <w:tcW w:w="4040" w:type="dxa"/>
            <w:vAlign w:val="bottom"/>
            <w:vMerge w:val="restart"/>
            <w:shd w:val="clear" w:color="auto" w:fill="CCEEFF"/>
          </w:tcPr>
          <w:p>
            <w:pPr>
              <w:spacing w:after="0"/>
              <w:rPr>
                <w:sz w:val="20"/>
                <w:szCs w:val="20"/>
                <w:color w:val="auto"/>
              </w:rPr>
            </w:pPr>
            <w:r>
              <w:rPr>
                <w:rFonts w:ascii="Arial" w:cs="Arial" w:eastAsia="Arial" w:hAnsi="Arial"/>
                <w:sz w:val="17"/>
                <w:szCs w:val="17"/>
                <w:b w:val="1"/>
                <w:bCs w:val="1"/>
                <w:color w:val="auto"/>
              </w:rPr>
              <w:t>Total</w:t>
            </w:r>
          </w:p>
        </w:tc>
        <w:tc>
          <w:tcPr>
            <w:tcW w:w="14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CEEFF"/>
          </w:tcPr>
          <w:p>
            <w:pPr>
              <w:jc w:val="right"/>
              <w:ind w:right="59"/>
              <w:spacing w:after="0"/>
              <w:rPr>
                <w:sz w:val="20"/>
                <w:szCs w:val="20"/>
                <w:color w:val="auto"/>
              </w:rPr>
            </w:pPr>
            <w:r>
              <w:rPr>
                <w:rFonts w:ascii="Arial" w:cs="Arial" w:eastAsia="Arial" w:hAnsi="Arial"/>
                <w:sz w:val="16"/>
                <w:szCs w:val="16"/>
                <w:color w:val="auto"/>
                <w:w w:val="74"/>
              </w:rPr>
              <w:t>)</w:t>
            </w:r>
          </w:p>
        </w:tc>
        <w:tc>
          <w:tcPr>
            <w:tcW w:w="12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4040" w:type="dxa"/>
            <w:vAlign w:val="bottom"/>
            <w:vMerge w:val="continue"/>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2,296,893</w:t>
            </w: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(503,586</w:t>
            </w:r>
          </w:p>
        </w:tc>
        <w:tc>
          <w:tcPr>
            <w:tcW w:w="200" w:type="dxa"/>
            <w:vAlign w:val="bottom"/>
            <w:vMerge w:val="continue"/>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5,808</w:t>
            </w: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1,799,115</w:t>
            </w:r>
          </w:p>
        </w:tc>
        <w:tc>
          <w:tcPr>
            <w:tcW w:w="2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0.32</w:t>
            </w:r>
          </w:p>
        </w:tc>
        <w:tc>
          <w:tcPr>
            <w:tcW w:w="0" w:type="dxa"/>
            <w:vAlign w:val="bottom"/>
          </w:tcPr>
          <w:p>
            <w:pPr>
              <w:spacing w:after="0"/>
              <w:rPr>
                <w:sz w:val="1"/>
                <w:szCs w:val="1"/>
                <w:color w:val="auto"/>
              </w:rPr>
            </w:pPr>
          </w:p>
        </w:tc>
      </w:tr>
      <w:tr>
        <w:trPr>
          <w:trHeight w:val="20"/>
        </w:trPr>
        <w:tc>
          <w:tcPr>
            <w:tcW w:w="404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40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404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2015</w:t>
            </w:r>
          </w:p>
        </w:tc>
        <w:tc>
          <w:tcPr>
            <w:tcW w:w="1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4040" w:type="dxa"/>
            <w:vAlign w:val="bottom"/>
          </w:tcPr>
          <w:p>
            <w:pPr>
              <w:spacing w:after="0"/>
              <w:rPr>
                <w:sz w:val="20"/>
                <w:szCs w:val="20"/>
                <w:color w:val="auto"/>
              </w:rPr>
            </w:pPr>
            <w:r>
              <w:rPr>
                <w:rFonts w:ascii="Arial" w:cs="Arial" w:eastAsia="Arial" w:hAnsi="Arial"/>
                <w:sz w:val="17"/>
                <w:szCs w:val="17"/>
                <w:color w:val="auto"/>
              </w:rPr>
              <w:t>Life insurance</w:t>
            </w:r>
          </w:p>
        </w:tc>
        <w:tc>
          <w:tcPr>
            <w:tcW w:w="1440" w:type="dxa"/>
            <w:vAlign w:val="bottom"/>
          </w:tcPr>
          <w:p>
            <w:pPr>
              <w:jc w:val="right"/>
              <w:spacing w:after="0"/>
              <w:rPr>
                <w:sz w:val="20"/>
                <w:szCs w:val="20"/>
                <w:color w:val="auto"/>
              </w:rPr>
            </w:pPr>
            <w:r>
              <w:rPr>
                <w:rFonts w:ascii="Arial" w:cs="Arial" w:eastAsia="Arial" w:hAnsi="Arial"/>
                <w:sz w:val="17"/>
                <w:szCs w:val="17"/>
                <w:color w:val="auto"/>
              </w:rPr>
              <w:t>857,576</w:t>
            </w:r>
          </w:p>
        </w:tc>
        <w:tc>
          <w:tcPr>
            <w:tcW w:w="220" w:type="dxa"/>
            <w:vAlign w:val="bottom"/>
          </w:tcPr>
          <w:p>
            <w:pPr>
              <w:spacing w:after="0"/>
              <w:rPr>
                <w:sz w:val="18"/>
                <w:szCs w:val="18"/>
                <w:color w:val="auto"/>
              </w:rPr>
            </w:pPr>
          </w:p>
        </w:tc>
        <w:tc>
          <w:tcPr>
            <w:tcW w:w="1500" w:type="dxa"/>
            <w:vAlign w:val="bottom"/>
            <w:gridSpan w:val="2"/>
          </w:tcPr>
          <w:p>
            <w:pPr>
              <w:jc w:val="right"/>
              <w:ind w:right="59"/>
              <w:spacing w:after="0"/>
              <w:rPr>
                <w:sz w:val="20"/>
                <w:szCs w:val="20"/>
                <w:color w:val="auto"/>
              </w:rPr>
            </w:pPr>
            <w:r>
              <w:rPr>
                <w:rFonts w:ascii="Arial" w:cs="Arial" w:eastAsia="Arial" w:hAnsi="Arial"/>
                <w:sz w:val="17"/>
                <w:szCs w:val="17"/>
                <w:color w:val="auto"/>
              </w:rPr>
              <w:t>(36,971)</w:t>
            </w:r>
          </w:p>
        </w:tc>
        <w:tc>
          <w:tcPr>
            <w:tcW w:w="1240" w:type="dxa"/>
            <w:vAlign w:val="bottom"/>
          </w:tcPr>
          <w:p>
            <w:pPr>
              <w:jc w:val="right"/>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8"/>
                <w:szCs w:val="18"/>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7"/>
                <w:szCs w:val="17"/>
                <w:color w:val="auto"/>
              </w:rPr>
              <w:t>820,605</w:t>
            </w:r>
          </w:p>
        </w:tc>
        <w:tc>
          <w:tcPr>
            <w:tcW w:w="134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8"/>
        </w:trPr>
        <w:tc>
          <w:tcPr>
            <w:tcW w:w="4040" w:type="dxa"/>
            <w:vAlign w:val="bottom"/>
            <w:shd w:val="clear" w:color="auto" w:fill="CCEEFF"/>
          </w:tcPr>
          <w:p>
            <w:pPr>
              <w:spacing w:after="0"/>
              <w:rPr>
                <w:sz w:val="20"/>
                <w:szCs w:val="20"/>
                <w:color w:val="auto"/>
              </w:rPr>
            </w:pPr>
            <w:r>
              <w:rPr>
                <w:rFonts w:ascii="Arial" w:cs="Arial" w:eastAsia="Arial" w:hAnsi="Arial"/>
                <w:sz w:val="17"/>
                <w:szCs w:val="17"/>
                <w:color w:val="auto"/>
              </w:rPr>
              <w:t>Health insurance</w:t>
            </w:r>
          </w:p>
        </w:tc>
        <w:tc>
          <w:tcPr>
            <w:tcW w:w="1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388,002</w:t>
            </w:r>
          </w:p>
        </w:tc>
        <w:tc>
          <w:tcPr>
            <w:tcW w:w="2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59"/>
              <w:spacing w:after="0"/>
              <w:rPr>
                <w:sz w:val="20"/>
                <w:szCs w:val="20"/>
                <w:color w:val="auto"/>
              </w:rPr>
            </w:pPr>
            <w:r>
              <w:rPr>
                <w:rFonts w:ascii="Arial" w:cs="Arial" w:eastAsia="Arial" w:hAnsi="Arial"/>
                <w:sz w:val="17"/>
                <w:szCs w:val="17"/>
                <w:color w:val="auto"/>
              </w:rPr>
              <w:t>(9,186)</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700</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379,516</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0.18</w:t>
            </w:r>
          </w:p>
        </w:tc>
        <w:tc>
          <w:tcPr>
            <w:tcW w:w="0" w:type="dxa"/>
            <w:vAlign w:val="bottom"/>
          </w:tcPr>
          <w:p>
            <w:pPr>
              <w:spacing w:after="0"/>
              <w:rPr>
                <w:sz w:val="1"/>
                <w:szCs w:val="1"/>
                <w:color w:val="auto"/>
              </w:rPr>
            </w:pPr>
          </w:p>
        </w:tc>
      </w:tr>
      <w:tr>
        <w:trPr>
          <w:trHeight w:val="221"/>
        </w:trPr>
        <w:tc>
          <w:tcPr>
            <w:tcW w:w="4040" w:type="dxa"/>
            <w:vAlign w:val="bottom"/>
          </w:tcPr>
          <w:p>
            <w:pPr>
              <w:spacing w:after="0"/>
              <w:rPr>
                <w:sz w:val="20"/>
                <w:szCs w:val="20"/>
                <w:color w:val="auto"/>
              </w:rPr>
            </w:pPr>
            <w:r>
              <w:rPr>
                <w:rFonts w:ascii="Arial" w:cs="Arial" w:eastAsia="Arial" w:hAnsi="Arial"/>
                <w:sz w:val="17"/>
                <w:szCs w:val="17"/>
                <w:color w:val="auto"/>
              </w:rPr>
              <w:t>General insurance</w:t>
            </w:r>
          </w:p>
        </w:tc>
        <w:tc>
          <w:tcPr>
            <w:tcW w:w="1440" w:type="dxa"/>
            <w:vAlign w:val="bottom"/>
          </w:tcPr>
          <w:p>
            <w:pPr>
              <w:jc w:val="right"/>
              <w:spacing w:after="0"/>
              <w:rPr>
                <w:sz w:val="20"/>
                <w:szCs w:val="20"/>
                <w:color w:val="auto"/>
              </w:rPr>
            </w:pPr>
            <w:r>
              <w:rPr>
                <w:rFonts w:ascii="Arial" w:cs="Arial" w:eastAsia="Arial" w:hAnsi="Arial"/>
                <w:sz w:val="17"/>
                <w:szCs w:val="17"/>
                <w:color w:val="auto"/>
              </w:rPr>
              <w:t>948,177</w:t>
            </w:r>
          </w:p>
        </w:tc>
        <w:tc>
          <w:tcPr>
            <w:tcW w:w="220" w:type="dxa"/>
            <w:vAlign w:val="bottom"/>
          </w:tcPr>
          <w:p>
            <w:pPr>
              <w:spacing w:after="0"/>
              <w:rPr>
                <w:sz w:val="19"/>
                <w:szCs w:val="19"/>
                <w:color w:val="auto"/>
              </w:rPr>
            </w:pPr>
          </w:p>
        </w:tc>
        <w:tc>
          <w:tcPr>
            <w:tcW w:w="1500" w:type="dxa"/>
            <w:vAlign w:val="bottom"/>
            <w:gridSpan w:val="2"/>
          </w:tcPr>
          <w:p>
            <w:pPr>
              <w:jc w:val="right"/>
              <w:ind w:right="59"/>
              <w:spacing w:after="0"/>
              <w:rPr>
                <w:sz w:val="20"/>
                <w:szCs w:val="20"/>
                <w:color w:val="auto"/>
              </w:rPr>
            </w:pPr>
            <w:r>
              <w:rPr>
                <w:rFonts w:ascii="Arial" w:cs="Arial" w:eastAsia="Arial" w:hAnsi="Arial"/>
                <w:sz w:val="17"/>
                <w:szCs w:val="17"/>
                <w:color w:val="auto"/>
              </w:rPr>
              <w:t>(423,955)</w:t>
            </w:r>
          </w:p>
        </w:tc>
        <w:tc>
          <w:tcPr>
            <w:tcW w:w="1440" w:type="dxa"/>
            <w:vAlign w:val="bottom"/>
            <w:gridSpan w:val="2"/>
          </w:tcPr>
          <w:p>
            <w:pPr>
              <w:jc w:val="right"/>
              <w:ind w:right="200"/>
              <w:spacing w:after="0"/>
              <w:rPr>
                <w:sz w:val="20"/>
                <w:szCs w:val="20"/>
                <w:color w:val="auto"/>
              </w:rPr>
            </w:pPr>
            <w:r>
              <w:rPr>
                <w:rFonts w:ascii="Arial" w:cs="Arial" w:eastAsia="Arial" w:hAnsi="Arial"/>
                <w:sz w:val="17"/>
                <w:szCs w:val="17"/>
                <w:color w:val="auto"/>
              </w:rPr>
              <w:t>9,635</w:t>
            </w:r>
          </w:p>
        </w:tc>
        <w:tc>
          <w:tcPr>
            <w:tcW w:w="1440" w:type="dxa"/>
            <w:vAlign w:val="bottom"/>
            <w:gridSpan w:val="2"/>
          </w:tcPr>
          <w:p>
            <w:pPr>
              <w:jc w:val="right"/>
              <w:ind w:right="200"/>
              <w:spacing w:after="0"/>
              <w:rPr>
                <w:sz w:val="20"/>
                <w:szCs w:val="20"/>
                <w:color w:val="auto"/>
              </w:rPr>
            </w:pPr>
            <w:r>
              <w:rPr>
                <w:rFonts w:ascii="Arial" w:cs="Arial" w:eastAsia="Arial" w:hAnsi="Arial"/>
                <w:sz w:val="17"/>
                <w:szCs w:val="17"/>
                <w:color w:val="auto"/>
              </w:rPr>
              <w:t>533,857</w:t>
            </w:r>
          </w:p>
        </w:tc>
        <w:tc>
          <w:tcPr>
            <w:tcW w:w="1340" w:type="dxa"/>
            <w:vAlign w:val="bottom"/>
            <w:gridSpan w:val="2"/>
          </w:tcPr>
          <w:p>
            <w:pPr>
              <w:jc w:val="right"/>
              <w:ind w:right="100"/>
              <w:spacing w:after="0"/>
              <w:rPr>
                <w:sz w:val="20"/>
                <w:szCs w:val="20"/>
                <w:color w:val="auto"/>
              </w:rPr>
            </w:pPr>
            <w:r>
              <w:rPr>
                <w:rFonts w:ascii="Arial" w:cs="Arial" w:eastAsia="Arial" w:hAnsi="Arial"/>
                <w:sz w:val="17"/>
                <w:szCs w:val="17"/>
                <w:color w:val="auto"/>
              </w:rPr>
              <w:t>1.80</w:t>
            </w:r>
          </w:p>
        </w:tc>
        <w:tc>
          <w:tcPr>
            <w:tcW w:w="0" w:type="dxa"/>
            <w:vAlign w:val="bottom"/>
          </w:tcPr>
          <w:p>
            <w:pPr>
              <w:spacing w:after="0"/>
              <w:rPr>
                <w:sz w:val="1"/>
                <w:szCs w:val="1"/>
                <w:color w:val="auto"/>
              </w:rPr>
            </w:pPr>
          </w:p>
        </w:tc>
      </w:tr>
      <w:tr>
        <w:trPr>
          <w:trHeight w:val="20"/>
        </w:trPr>
        <w:tc>
          <w:tcPr>
            <w:tcW w:w="4040" w:type="dxa"/>
            <w:vAlign w:val="bottom"/>
            <w:vMerge w:val="restart"/>
            <w:shd w:val="clear" w:color="auto" w:fill="CCEEFF"/>
          </w:tcPr>
          <w:p>
            <w:pPr>
              <w:spacing w:after="0"/>
              <w:rPr>
                <w:sz w:val="20"/>
                <w:szCs w:val="20"/>
                <w:color w:val="auto"/>
              </w:rPr>
            </w:pPr>
            <w:r>
              <w:rPr>
                <w:rFonts w:ascii="Arial" w:cs="Arial" w:eastAsia="Arial" w:hAnsi="Arial"/>
                <w:sz w:val="17"/>
                <w:szCs w:val="17"/>
                <w:b w:val="1"/>
                <w:bCs w:val="1"/>
                <w:color w:val="auto"/>
              </w:rPr>
              <w:t>Total</w:t>
            </w:r>
          </w:p>
        </w:tc>
        <w:tc>
          <w:tcPr>
            <w:tcW w:w="14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CEEFF"/>
          </w:tcPr>
          <w:p>
            <w:pPr>
              <w:jc w:val="right"/>
              <w:ind w:right="59"/>
              <w:spacing w:after="0"/>
              <w:rPr>
                <w:sz w:val="20"/>
                <w:szCs w:val="20"/>
                <w:color w:val="auto"/>
              </w:rPr>
            </w:pPr>
            <w:r>
              <w:rPr>
                <w:rFonts w:ascii="Arial" w:cs="Arial" w:eastAsia="Arial" w:hAnsi="Arial"/>
                <w:sz w:val="16"/>
                <w:szCs w:val="16"/>
                <w:color w:val="auto"/>
                <w:w w:val="74"/>
              </w:rPr>
              <w:t>)</w:t>
            </w:r>
          </w:p>
        </w:tc>
        <w:tc>
          <w:tcPr>
            <w:tcW w:w="12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4040" w:type="dxa"/>
            <w:vAlign w:val="bottom"/>
            <w:vMerge w:val="continue"/>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2,193,755</w:t>
            </w: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(470,112</w:t>
            </w:r>
          </w:p>
        </w:tc>
        <w:tc>
          <w:tcPr>
            <w:tcW w:w="200" w:type="dxa"/>
            <w:vAlign w:val="bottom"/>
            <w:vMerge w:val="continue"/>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10,335</w:t>
            </w: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1,733,978</w:t>
            </w:r>
          </w:p>
        </w:tc>
        <w:tc>
          <w:tcPr>
            <w:tcW w:w="2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0.60</w:t>
            </w:r>
          </w:p>
        </w:tc>
        <w:tc>
          <w:tcPr>
            <w:tcW w:w="0" w:type="dxa"/>
            <w:vAlign w:val="bottom"/>
          </w:tcPr>
          <w:p>
            <w:pPr>
              <w:spacing w:after="0"/>
              <w:rPr>
                <w:sz w:val="1"/>
                <w:szCs w:val="1"/>
                <w:color w:val="auto"/>
              </w:rPr>
            </w:pPr>
          </w:p>
        </w:tc>
      </w:tr>
      <w:tr>
        <w:trPr>
          <w:trHeight w:val="20"/>
        </w:trPr>
        <w:tc>
          <w:tcPr>
            <w:tcW w:w="404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5" w:lineRule="exact"/>
        <w:rPr>
          <w:sz w:val="20"/>
          <w:szCs w:val="20"/>
          <w:color w:val="auto"/>
        </w:rPr>
      </w:pPr>
    </w:p>
    <w:p>
      <w:pPr>
        <w:ind w:left="440" w:hanging="436"/>
        <w:spacing w:after="0"/>
        <w:tabs>
          <w:tab w:leader="none" w:pos="440" w:val="left"/>
        </w:tabs>
        <w:numPr>
          <w:ilvl w:val="0"/>
          <w:numId w:val="117"/>
        </w:numPr>
        <w:rPr>
          <w:rFonts w:ascii="Arial" w:cs="Arial" w:eastAsia="Arial" w:hAnsi="Arial"/>
          <w:sz w:val="17"/>
          <w:szCs w:val="17"/>
          <w:color w:val="auto"/>
        </w:rPr>
      </w:pPr>
      <w:r>
        <w:rPr>
          <w:rFonts w:ascii="Arial" w:cs="Arial" w:eastAsia="Arial" w:hAnsi="Arial"/>
          <w:sz w:val="17"/>
          <w:szCs w:val="17"/>
          <w:color w:val="auto"/>
        </w:rPr>
        <w:t>Includes the annual variation of the unearned premiums and other technical reserves.</w:t>
      </w:r>
    </w:p>
    <w:p>
      <w:pPr>
        <w:spacing w:after="0" w:line="25" w:lineRule="exact"/>
        <w:rPr>
          <w:sz w:val="20"/>
          <w:szCs w:val="20"/>
          <w:color w:val="auto"/>
        </w:rPr>
      </w:pPr>
    </w:p>
    <w:p>
      <w:pPr>
        <w:spacing w:after="0"/>
        <w:tabs>
          <w:tab w:leader="none" w:pos="420" w:val="left"/>
        </w:tabs>
        <w:rPr>
          <w:sz w:val="20"/>
          <w:szCs w:val="20"/>
          <w:color w:val="auto"/>
        </w:rPr>
      </w:pPr>
      <w:r>
        <w:rPr>
          <w:rFonts w:ascii="Arial" w:cs="Arial" w:eastAsia="Arial" w:hAnsi="Arial"/>
          <w:sz w:val="17"/>
          <w:szCs w:val="17"/>
          <w:color w:val="auto"/>
        </w:rPr>
        <w:t>(**)</w:t>
      </w:r>
      <w:r>
        <w:rPr>
          <w:sz w:val="20"/>
          <w:szCs w:val="20"/>
          <w:color w:val="auto"/>
        </w:rPr>
        <w:tab/>
      </w:r>
      <w:r>
        <w:rPr>
          <w:rFonts w:ascii="Arial" w:cs="Arial" w:eastAsia="Arial" w:hAnsi="Arial"/>
          <w:sz w:val="15"/>
          <w:szCs w:val="15"/>
          <w:color w:val="auto"/>
        </w:rPr>
        <w:t>“Premiums ceded to reinsurers, net” include:</w:t>
      </w: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- 97 -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15875</wp:posOffset>
            </wp:positionV>
            <wp:extent cx="725170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51700" cy="8255"/>
                    </a:xfrm>
                    <a:prstGeom prst="rect">
                      <a:avLst/>
                    </a:prstGeom>
                    <a:noFill/>
                  </pic:spPr>
                </pic:pic>
              </a:graphicData>
            </a:graphic>
          </wp:anchor>
        </w:drawing>
      </w:r>
    </w:p>
    <w:p>
      <w:pPr>
        <w:sectPr>
          <w:pgSz w:w="11900" w:h="16838" w:orient="portrait"/>
          <w:cols w:equalWidth="0" w:num="1">
            <w:col w:w="11420"/>
          </w:cols>
          <w:pgMar w:left="240" w:top="875" w:right="239" w:bottom="1440" w:gutter="0" w:footer="0" w:header="0"/>
          <w:type w:val="continuous"/>
        </w:sectPr>
      </w:pPr>
    </w:p>
    <w:bookmarkStart w:id="103" w:name="page104"/>
    <w:bookmarkEnd w:id="103"/>
    <w:tbl>
      <w:tblPr>
        <w:tblLayout w:type="fixed"/>
        <w:tblInd w:w="620" w:type="dxa"/>
        <w:tblCellMar>
          <w:top w:w="0" w:type="dxa"/>
          <w:left w:w="0" w:type="dxa"/>
          <w:bottom w:w="0" w:type="dxa"/>
          <w:right w:w="0" w:type="dxa"/>
        </w:tblCellMar>
      </w:tblPr>
      <w:tr>
        <w:trPr>
          <w:trHeight w:val="226"/>
        </w:trPr>
        <w:tc>
          <w:tcPr>
            <w:tcW w:w="6240" w:type="dxa"/>
            <w:vAlign w:val="bottom"/>
          </w:tcPr>
          <w:p>
            <w:pPr>
              <w:spacing w:after="0"/>
              <w:rPr>
                <w:sz w:val="19"/>
                <w:szCs w:val="19"/>
                <w:color w:val="auto"/>
              </w:rPr>
            </w:pPr>
          </w:p>
        </w:tc>
        <w:tc>
          <w:tcPr>
            <w:tcW w:w="1120" w:type="dxa"/>
            <w:vAlign w:val="bottom"/>
            <w:tcBorders>
              <w:bottom w:val="single" w:sz="8" w:color="auto"/>
            </w:tcBorders>
          </w:tcPr>
          <w:p>
            <w:pPr>
              <w:jc w:val="right"/>
              <w:ind w:right="293"/>
              <w:spacing w:after="0"/>
              <w:rPr>
                <w:sz w:val="20"/>
                <w:szCs w:val="20"/>
                <w:color w:val="auto"/>
              </w:rPr>
            </w:pPr>
            <w:r>
              <w:rPr>
                <w:rFonts w:ascii="Arial" w:cs="Arial" w:eastAsia="Arial" w:hAnsi="Arial"/>
                <w:sz w:val="17"/>
                <w:szCs w:val="17"/>
                <w:b w:val="1"/>
                <w:bCs w:val="1"/>
                <w:color w:val="auto"/>
              </w:rPr>
              <w:t>2017</w:t>
            </w:r>
          </w:p>
        </w:tc>
        <w:tc>
          <w:tcPr>
            <w:tcW w:w="200" w:type="dxa"/>
            <w:vAlign w:val="bottom"/>
          </w:tcPr>
          <w:p>
            <w:pPr>
              <w:spacing w:after="0"/>
              <w:rPr>
                <w:sz w:val="19"/>
                <w:szCs w:val="19"/>
                <w:color w:val="auto"/>
              </w:rPr>
            </w:pPr>
          </w:p>
        </w:tc>
        <w:tc>
          <w:tcPr>
            <w:tcW w:w="1120" w:type="dxa"/>
            <w:vAlign w:val="bottom"/>
            <w:tcBorders>
              <w:bottom w:val="single" w:sz="8" w:color="auto"/>
            </w:tcBorders>
          </w:tcPr>
          <w:p>
            <w:pPr>
              <w:jc w:val="right"/>
              <w:ind w:right="293"/>
              <w:spacing w:after="0"/>
              <w:rPr>
                <w:sz w:val="20"/>
                <w:szCs w:val="20"/>
                <w:color w:val="auto"/>
              </w:rPr>
            </w:pPr>
            <w:r>
              <w:rPr>
                <w:rFonts w:ascii="Arial" w:cs="Arial" w:eastAsia="Arial" w:hAnsi="Arial"/>
                <w:sz w:val="17"/>
                <w:szCs w:val="17"/>
                <w:b w:val="1"/>
                <w:bCs w:val="1"/>
                <w:color w:val="auto"/>
              </w:rPr>
              <w:t>2016</w:t>
            </w:r>
          </w:p>
        </w:tc>
        <w:tc>
          <w:tcPr>
            <w:tcW w:w="180" w:type="dxa"/>
            <w:vAlign w:val="bottom"/>
          </w:tcPr>
          <w:p>
            <w:pPr>
              <w:spacing w:after="0"/>
              <w:rPr>
                <w:sz w:val="19"/>
                <w:szCs w:val="19"/>
                <w:color w:val="auto"/>
              </w:rPr>
            </w:pPr>
          </w:p>
        </w:tc>
        <w:tc>
          <w:tcPr>
            <w:tcW w:w="1100" w:type="dxa"/>
            <w:vAlign w:val="bottom"/>
            <w:tcBorders>
              <w:bottom w:val="single" w:sz="8" w:color="auto"/>
            </w:tcBorders>
          </w:tcPr>
          <w:p>
            <w:pPr>
              <w:jc w:val="right"/>
              <w:ind w:right="293"/>
              <w:spacing w:after="0"/>
              <w:rPr>
                <w:sz w:val="20"/>
                <w:szCs w:val="20"/>
                <w:color w:val="auto"/>
              </w:rPr>
            </w:pPr>
            <w:r>
              <w:rPr>
                <w:rFonts w:ascii="Arial" w:cs="Arial" w:eastAsia="Arial" w:hAnsi="Arial"/>
                <w:sz w:val="17"/>
                <w:szCs w:val="17"/>
                <w:b w:val="1"/>
                <w:bCs w:val="1"/>
                <w:color w:val="auto"/>
              </w:rPr>
              <w:t>2015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01"/>
        </w:trPr>
        <w:tc>
          <w:tcPr>
            <w:tcW w:w="6240" w:type="dxa"/>
            <w:vAlign w:val="bottom"/>
          </w:tcPr>
          <w:p>
            <w:pPr>
              <w:spacing w:after="0"/>
              <w:rPr>
                <w:sz w:val="17"/>
                <w:szCs w:val="17"/>
                <w:color w:val="auto"/>
              </w:rPr>
            </w:pPr>
          </w:p>
        </w:tc>
        <w:tc>
          <w:tcPr>
            <w:tcW w:w="1120" w:type="dxa"/>
            <w:vAlign w:val="bottom"/>
          </w:tcPr>
          <w:p>
            <w:pPr>
              <w:jc w:val="center"/>
              <w:spacing w:after="0"/>
              <w:rPr>
                <w:sz w:val="20"/>
                <w:szCs w:val="20"/>
                <w:color w:val="auto"/>
              </w:rPr>
            </w:pPr>
            <w:r>
              <w:rPr>
                <w:rFonts w:ascii="Arial" w:cs="Arial" w:eastAsia="Arial" w:hAnsi="Arial"/>
                <w:sz w:val="17"/>
                <w:szCs w:val="17"/>
                <w:b w:val="1"/>
                <w:bCs w:val="1"/>
                <w:color w:val="auto"/>
                <w:w w:val="93"/>
              </w:rPr>
              <w:t>S/(000)</w:t>
            </w:r>
          </w:p>
        </w:tc>
        <w:tc>
          <w:tcPr>
            <w:tcW w:w="200" w:type="dxa"/>
            <w:vAlign w:val="bottom"/>
          </w:tcPr>
          <w:p>
            <w:pPr>
              <w:spacing w:after="0"/>
              <w:rPr>
                <w:sz w:val="17"/>
                <w:szCs w:val="17"/>
                <w:color w:val="auto"/>
              </w:rPr>
            </w:pPr>
          </w:p>
        </w:tc>
        <w:tc>
          <w:tcPr>
            <w:tcW w:w="1120" w:type="dxa"/>
            <w:vAlign w:val="bottom"/>
          </w:tcPr>
          <w:p>
            <w:pPr>
              <w:jc w:val="center"/>
              <w:spacing w:after="0"/>
              <w:rPr>
                <w:sz w:val="20"/>
                <w:szCs w:val="20"/>
                <w:color w:val="auto"/>
              </w:rPr>
            </w:pPr>
            <w:r>
              <w:rPr>
                <w:rFonts w:ascii="Arial" w:cs="Arial" w:eastAsia="Arial" w:hAnsi="Arial"/>
                <w:sz w:val="17"/>
                <w:szCs w:val="17"/>
                <w:b w:val="1"/>
                <w:bCs w:val="1"/>
                <w:color w:val="auto"/>
                <w:w w:val="93"/>
              </w:rPr>
              <w:t>S/(000)</w:t>
            </w:r>
          </w:p>
        </w:tc>
        <w:tc>
          <w:tcPr>
            <w:tcW w:w="180" w:type="dxa"/>
            <w:vAlign w:val="bottom"/>
          </w:tcPr>
          <w:p>
            <w:pPr>
              <w:spacing w:after="0"/>
              <w:rPr>
                <w:sz w:val="17"/>
                <w:szCs w:val="17"/>
                <w:color w:val="auto"/>
              </w:rPr>
            </w:pPr>
          </w:p>
        </w:tc>
        <w:tc>
          <w:tcPr>
            <w:tcW w:w="1100" w:type="dxa"/>
            <w:vAlign w:val="bottom"/>
          </w:tcPr>
          <w:p>
            <w:pPr>
              <w:jc w:val="center"/>
              <w:spacing w:after="0"/>
              <w:rPr>
                <w:sz w:val="20"/>
                <w:szCs w:val="20"/>
                <w:color w:val="auto"/>
              </w:rPr>
            </w:pPr>
            <w:r>
              <w:rPr>
                <w:rFonts w:ascii="Arial" w:cs="Arial" w:eastAsia="Arial" w:hAnsi="Arial"/>
                <w:sz w:val="17"/>
                <w:szCs w:val="17"/>
                <w:b w:val="1"/>
                <w:bCs w:val="1"/>
                <w:color w:val="auto"/>
                <w:w w:val="93"/>
              </w:rPr>
              <w:t>S/(000)</w:t>
            </w:r>
          </w:p>
        </w:tc>
        <w:tc>
          <w:tcPr>
            <w:tcW w:w="100" w:type="dxa"/>
            <w:vAlign w:val="bottom"/>
            <w:gridSpan w:val="2"/>
          </w:tcPr>
          <w:p>
            <w:pPr>
              <w:spacing w:after="0"/>
              <w:rPr>
                <w:sz w:val="17"/>
                <w:szCs w:val="17"/>
                <w:color w:val="auto"/>
              </w:rPr>
            </w:pPr>
          </w:p>
        </w:tc>
      </w:tr>
      <w:tr>
        <w:trPr>
          <w:trHeight w:val="208"/>
        </w:trPr>
        <w:tc>
          <w:tcPr>
            <w:tcW w:w="6240" w:type="dxa"/>
            <w:vAlign w:val="bottom"/>
            <w:shd w:val="clear" w:color="auto" w:fill="CCEEFF"/>
          </w:tcPr>
          <w:p>
            <w:pPr>
              <w:spacing w:after="0"/>
              <w:rPr>
                <w:sz w:val="20"/>
                <w:szCs w:val="20"/>
                <w:color w:val="auto"/>
              </w:rPr>
            </w:pPr>
            <w:r>
              <w:rPr>
                <w:rFonts w:ascii="Arial" w:cs="Arial" w:eastAsia="Arial" w:hAnsi="Arial"/>
                <w:sz w:val="17"/>
                <w:szCs w:val="17"/>
                <w:color w:val="auto"/>
              </w:rPr>
              <w:t>Premiums ceded for automatic contracts (mainly excess of loss), Note 9(b)</w:t>
            </w:r>
          </w:p>
        </w:tc>
        <w:tc>
          <w:tcPr>
            <w:tcW w:w="1320" w:type="dxa"/>
            <w:vAlign w:val="bottom"/>
            <w:gridSpan w:val="2"/>
            <w:shd w:val="clear" w:color="auto" w:fill="CCEEFF"/>
          </w:tcPr>
          <w:p>
            <w:pPr>
              <w:jc w:val="right"/>
              <w:ind w:right="59"/>
              <w:spacing w:after="0"/>
              <w:rPr>
                <w:sz w:val="20"/>
                <w:szCs w:val="20"/>
                <w:color w:val="auto"/>
              </w:rPr>
            </w:pPr>
            <w:r>
              <w:rPr>
                <w:rFonts w:ascii="Arial" w:cs="Arial" w:eastAsia="Arial" w:hAnsi="Arial"/>
                <w:sz w:val="17"/>
                <w:szCs w:val="17"/>
                <w:color w:val="auto"/>
              </w:rPr>
              <w:t>(257,617)</w:t>
            </w:r>
          </w:p>
        </w:tc>
        <w:tc>
          <w:tcPr>
            <w:tcW w:w="1300" w:type="dxa"/>
            <w:vAlign w:val="bottom"/>
            <w:gridSpan w:val="2"/>
            <w:shd w:val="clear" w:color="auto" w:fill="CCEEFF"/>
          </w:tcPr>
          <w:p>
            <w:pPr>
              <w:jc w:val="right"/>
              <w:ind w:right="39"/>
              <w:spacing w:after="0"/>
              <w:rPr>
                <w:sz w:val="20"/>
                <w:szCs w:val="20"/>
                <w:color w:val="auto"/>
              </w:rPr>
            </w:pPr>
            <w:r>
              <w:rPr>
                <w:rFonts w:ascii="Arial" w:cs="Arial" w:eastAsia="Arial" w:hAnsi="Arial"/>
                <w:sz w:val="17"/>
                <w:szCs w:val="17"/>
                <w:color w:val="auto"/>
              </w:rPr>
              <w:t>(201,892)</w:t>
            </w:r>
          </w:p>
        </w:tc>
        <w:tc>
          <w:tcPr>
            <w:tcW w:w="1200" w:type="dxa"/>
            <w:vAlign w:val="bottom"/>
            <w:gridSpan w:val="3"/>
            <w:shd w:val="clear" w:color="auto" w:fill="CCEEFF"/>
          </w:tcPr>
          <w:p>
            <w:pPr>
              <w:jc w:val="right"/>
              <w:ind w:right="40"/>
              <w:spacing w:after="0"/>
              <w:rPr>
                <w:sz w:val="20"/>
                <w:szCs w:val="20"/>
                <w:color w:val="auto"/>
              </w:rPr>
            </w:pPr>
            <w:r>
              <w:rPr>
                <w:rFonts w:ascii="Arial" w:cs="Arial" w:eastAsia="Arial" w:hAnsi="Arial"/>
                <w:sz w:val="17"/>
                <w:szCs w:val="17"/>
                <w:color w:val="auto"/>
              </w:rPr>
              <w:t>(145,618)</w:t>
            </w:r>
          </w:p>
        </w:tc>
      </w:tr>
      <w:tr>
        <w:trPr>
          <w:trHeight w:val="208"/>
        </w:trPr>
        <w:tc>
          <w:tcPr>
            <w:tcW w:w="6240" w:type="dxa"/>
            <w:vAlign w:val="bottom"/>
          </w:tcPr>
          <w:p>
            <w:pPr>
              <w:spacing w:after="0"/>
              <w:rPr>
                <w:sz w:val="20"/>
                <w:szCs w:val="20"/>
                <w:color w:val="auto"/>
              </w:rPr>
            </w:pPr>
            <w:r>
              <w:rPr>
                <w:rFonts w:ascii="Arial" w:cs="Arial" w:eastAsia="Arial" w:hAnsi="Arial"/>
                <w:sz w:val="17"/>
                <w:szCs w:val="17"/>
                <w:color w:val="auto"/>
              </w:rPr>
              <w:t>Premiums ceded for facultative contracts, Note 9(b)</w:t>
            </w:r>
          </w:p>
        </w:tc>
        <w:tc>
          <w:tcPr>
            <w:tcW w:w="1320" w:type="dxa"/>
            <w:vAlign w:val="bottom"/>
            <w:gridSpan w:val="2"/>
          </w:tcPr>
          <w:p>
            <w:pPr>
              <w:jc w:val="right"/>
              <w:ind w:right="59"/>
              <w:spacing w:after="0"/>
              <w:rPr>
                <w:sz w:val="20"/>
                <w:szCs w:val="20"/>
                <w:color w:val="auto"/>
              </w:rPr>
            </w:pPr>
            <w:r>
              <w:rPr>
                <w:rFonts w:ascii="Arial" w:cs="Arial" w:eastAsia="Arial" w:hAnsi="Arial"/>
                <w:sz w:val="17"/>
                <w:szCs w:val="17"/>
                <w:color w:val="auto"/>
              </w:rPr>
              <w:t>(263,378)</w:t>
            </w:r>
          </w:p>
        </w:tc>
        <w:tc>
          <w:tcPr>
            <w:tcW w:w="1300" w:type="dxa"/>
            <w:vAlign w:val="bottom"/>
            <w:gridSpan w:val="2"/>
          </w:tcPr>
          <w:p>
            <w:pPr>
              <w:jc w:val="right"/>
              <w:ind w:right="39"/>
              <w:spacing w:after="0"/>
              <w:rPr>
                <w:sz w:val="20"/>
                <w:szCs w:val="20"/>
                <w:color w:val="auto"/>
              </w:rPr>
            </w:pPr>
            <w:r>
              <w:rPr>
                <w:rFonts w:ascii="Arial" w:cs="Arial" w:eastAsia="Arial" w:hAnsi="Arial"/>
                <w:sz w:val="17"/>
                <w:szCs w:val="17"/>
                <w:color w:val="auto"/>
              </w:rPr>
              <w:t>(292,555)</w:t>
            </w:r>
          </w:p>
        </w:tc>
        <w:tc>
          <w:tcPr>
            <w:tcW w:w="1200" w:type="dxa"/>
            <w:vAlign w:val="bottom"/>
            <w:gridSpan w:val="3"/>
          </w:tcPr>
          <w:p>
            <w:pPr>
              <w:jc w:val="right"/>
              <w:ind w:right="40"/>
              <w:spacing w:after="0"/>
              <w:rPr>
                <w:sz w:val="20"/>
                <w:szCs w:val="20"/>
                <w:color w:val="auto"/>
              </w:rPr>
            </w:pPr>
            <w:r>
              <w:rPr>
                <w:rFonts w:ascii="Arial" w:cs="Arial" w:eastAsia="Arial" w:hAnsi="Arial"/>
                <w:sz w:val="17"/>
                <w:szCs w:val="17"/>
                <w:color w:val="auto"/>
              </w:rPr>
              <w:t>(331,329)</w:t>
            </w:r>
          </w:p>
        </w:tc>
      </w:tr>
      <w:tr>
        <w:trPr>
          <w:trHeight w:val="221"/>
        </w:trPr>
        <w:tc>
          <w:tcPr>
            <w:tcW w:w="6240" w:type="dxa"/>
            <w:vAlign w:val="bottom"/>
            <w:shd w:val="clear" w:color="auto" w:fill="CCEEFF"/>
          </w:tcPr>
          <w:p>
            <w:pPr>
              <w:spacing w:after="0"/>
              <w:rPr>
                <w:sz w:val="20"/>
                <w:szCs w:val="20"/>
                <w:color w:val="auto"/>
              </w:rPr>
            </w:pPr>
            <w:r>
              <w:rPr>
                <w:rFonts w:ascii="Arial" w:cs="Arial" w:eastAsia="Arial" w:hAnsi="Arial"/>
                <w:sz w:val="17"/>
                <w:szCs w:val="17"/>
                <w:color w:val="auto"/>
              </w:rPr>
              <w:t>Annual variation for unearned premiums ceded reserves, Note 9(b)</w:t>
            </w:r>
          </w:p>
        </w:tc>
        <w:tc>
          <w:tcPr>
            <w:tcW w:w="1320" w:type="dxa"/>
            <w:vAlign w:val="bottom"/>
            <w:gridSpan w:val="2"/>
            <w:shd w:val="clear" w:color="auto" w:fill="CCEEFF"/>
          </w:tcPr>
          <w:p>
            <w:pPr>
              <w:jc w:val="right"/>
              <w:ind w:right="119"/>
              <w:spacing w:after="0"/>
              <w:rPr>
                <w:sz w:val="20"/>
                <w:szCs w:val="20"/>
                <w:color w:val="auto"/>
              </w:rPr>
            </w:pPr>
            <w:r>
              <w:rPr>
                <w:rFonts w:ascii="Arial" w:cs="Arial" w:eastAsia="Arial" w:hAnsi="Arial"/>
                <w:sz w:val="17"/>
                <w:szCs w:val="17"/>
                <w:color w:val="auto"/>
              </w:rPr>
              <w:t>21,192</w:t>
            </w:r>
          </w:p>
        </w:tc>
        <w:tc>
          <w:tcPr>
            <w:tcW w:w="1300" w:type="dxa"/>
            <w:vAlign w:val="bottom"/>
            <w:gridSpan w:val="2"/>
            <w:shd w:val="clear" w:color="auto" w:fill="CCEEFF"/>
          </w:tcPr>
          <w:p>
            <w:pPr>
              <w:jc w:val="right"/>
              <w:ind w:right="39"/>
              <w:spacing w:after="0"/>
              <w:rPr>
                <w:sz w:val="20"/>
                <w:szCs w:val="20"/>
                <w:color w:val="auto"/>
              </w:rPr>
            </w:pPr>
            <w:r>
              <w:rPr>
                <w:rFonts w:ascii="Arial" w:cs="Arial" w:eastAsia="Arial" w:hAnsi="Arial"/>
                <w:sz w:val="17"/>
                <w:szCs w:val="17"/>
                <w:color w:val="auto"/>
              </w:rPr>
              <w:t>(9,139)</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6,835</w:t>
            </w:r>
          </w:p>
        </w:tc>
        <w:tc>
          <w:tcPr>
            <w:tcW w:w="80" w:type="dxa"/>
            <w:vAlign w:val="bottom"/>
            <w:shd w:val="clear" w:color="auto" w:fill="CCEEFF"/>
          </w:tcPr>
          <w:p>
            <w:pPr>
              <w:spacing w:after="0"/>
              <w:rPr>
                <w:sz w:val="19"/>
                <w:szCs w:val="19"/>
                <w:color w:val="auto"/>
              </w:rPr>
            </w:pPr>
          </w:p>
        </w:tc>
      </w:tr>
      <w:tr>
        <w:trPr>
          <w:trHeight w:val="214"/>
        </w:trPr>
        <w:tc>
          <w:tcPr>
            <w:tcW w:w="6240" w:type="dxa"/>
            <w:vAlign w:val="bottom"/>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(499,803</w:t>
            </w:r>
          </w:p>
        </w:tc>
        <w:tc>
          <w:tcPr>
            <w:tcW w:w="200" w:type="dxa"/>
            <w:vAlign w:val="bottom"/>
          </w:tcPr>
          <w:p>
            <w:pPr>
              <w:jc w:val="right"/>
              <w:ind w:right="59"/>
              <w:spacing w:after="0"/>
              <w:rPr>
                <w:sz w:val="20"/>
                <w:szCs w:val="20"/>
                <w:color w:val="auto"/>
              </w:rPr>
            </w:pPr>
            <w:r>
              <w:rPr>
                <w:rFonts w:ascii="Arial" w:cs="Arial" w:eastAsia="Arial" w:hAnsi="Arial"/>
                <w:sz w:val="16"/>
                <w:szCs w:val="16"/>
                <w:color w:val="auto"/>
                <w:w w:val="74"/>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(503,586</w:t>
            </w:r>
          </w:p>
        </w:tc>
        <w:tc>
          <w:tcPr>
            <w:tcW w:w="180" w:type="dxa"/>
            <w:vAlign w:val="bottom"/>
          </w:tcPr>
          <w:p>
            <w:pPr>
              <w:jc w:val="right"/>
              <w:ind w:right="39"/>
              <w:spacing w:after="0"/>
              <w:rPr>
                <w:sz w:val="20"/>
                <w:szCs w:val="20"/>
                <w:color w:val="auto"/>
              </w:rPr>
            </w:pPr>
            <w:r>
              <w:rPr>
                <w:rFonts w:ascii="Arial" w:cs="Arial" w:eastAsia="Arial" w:hAnsi="Arial"/>
                <w:sz w:val="16"/>
                <w:szCs w:val="16"/>
                <w:color w:val="auto"/>
                <w:w w:val="74"/>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(470,112</w:t>
            </w:r>
          </w:p>
        </w:tc>
        <w:tc>
          <w:tcPr>
            <w:tcW w:w="100" w:type="dxa"/>
            <w:vAlign w:val="bottom"/>
            <w:gridSpan w:val="2"/>
          </w:tcPr>
          <w:p>
            <w:pPr>
              <w:jc w:val="right"/>
              <w:ind w:right="40"/>
              <w:spacing w:after="0"/>
              <w:rPr>
                <w:sz w:val="20"/>
                <w:szCs w:val="20"/>
                <w:color w:val="auto"/>
              </w:rPr>
            </w:pPr>
            <w:r>
              <w:rPr>
                <w:rFonts w:ascii="Arial" w:cs="Arial" w:eastAsia="Arial" w:hAnsi="Arial"/>
                <w:sz w:val="16"/>
                <w:szCs w:val="16"/>
                <w:color w:val="auto"/>
                <w:w w:val="74"/>
              </w:rPr>
              <w:t>)</w:t>
            </w:r>
          </w:p>
        </w:tc>
      </w:tr>
      <w:tr>
        <w:trPr>
          <w:trHeight w:val="20"/>
        </w:trPr>
        <w:tc>
          <w:tcPr>
            <w:tcW w:w="624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5" w:lineRule="exact"/>
        <w:rPr>
          <w:sz w:val="20"/>
          <w:szCs w:val="20"/>
          <w:color w:val="auto"/>
        </w:rPr>
      </w:pPr>
    </w:p>
    <w:p>
      <w:pPr>
        <w:spacing w:after="0"/>
        <w:tabs>
          <w:tab w:leader="none" w:pos="300" w:val="left"/>
        </w:tabs>
        <w:rPr>
          <w:sz w:val="20"/>
          <w:szCs w:val="20"/>
          <w:color w:val="auto"/>
        </w:rPr>
      </w:pPr>
      <w:r>
        <w:rPr>
          <w:rFonts w:ascii="Arial" w:cs="Arial" w:eastAsia="Arial" w:hAnsi="Arial"/>
          <w:sz w:val="17"/>
          <w:szCs w:val="17"/>
          <w:color w:val="auto"/>
        </w:rPr>
        <w:t>b)</w:t>
      </w:r>
      <w:r>
        <w:rPr>
          <w:sz w:val="20"/>
          <w:szCs w:val="20"/>
          <w:color w:val="auto"/>
        </w:rPr>
        <w:tab/>
      </w:r>
      <w:r>
        <w:rPr>
          <w:rFonts w:ascii="Arial" w:cs="Arial" w:eastAsia="Arial" w:hAnsi="Arial"/>
          <w:sz w:val="15"/>
          <w:szCs w:val="15"/>
          <w:color w:val="auto"/>
        </w:rPr>
        <w:t>Gross premiums earned by insurance type and their participation in total gross premiums are described below:</w:t>
      </w:r>
    </w:p>
    <w:p>
      <w:pPr>
        <w:sectPr>
          <w:pgSz w:w="11900" w:h="16838" w:orient="portrait"/>
          <w:cols w:equalWidth="0" w:num="1">
            <w:col w:w="11160"/>
          </w:cols>
          <w:pgMar w:left="240" w:top="888" w:right="4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320"/>
        <w:spacing w:after="0"/>
        <w:rPr>
          <w:sz w:val="20"/>
          <w:szCs w:val="20"/>
          <w:color w:val="auto"/>
        </w:rPr>
      </w:pPr>
      <w:r>
        <w:rPr>
          <w:rFonts w:ascii="Arial" w:cs="Arial" w:eastAsia="Arial" w:hAnsi="Arial"/>
          <w:sz w:val="17"/>
          <w:szCs w:val="17"/>
          <w:color w:val="auto"/>
        </w:rPr>
        <w:t>Life insurance (i)</w:t>
      </w:r>
    </w:p>
    <w:p>
      <w:pPr>
        <w:spacing w:after="0" w:line="25" w:lineRule="exact"/>
        <w:rPr>
          <w:sz w:val="20"/>
          <w:szCs w:val="20"/>
          <w:color w:val="auto"/>
        </w:rPr>
      </w:pPr>
    </w:p>
    <w:p>
      <w:pPr>
        <w:ind w:left="320"/>
        <w:spacing w:after="0"/>
        <w:rPr>
          <w:sz w:val="20"/>
          <w:szCs w:val="20"/>
          <w:color w:val="auto"/>
        </w:rPr>
      </w:pPr>
      <w:r>
        <w:rPr>
          <w:rFonts w:ascii="Arial" w:cs="Arial" w:eastAsia="Arial" w:hAnsi="Arial"/>
          <w:sz w:val="17"/>
          <w:szCs w:val="17"/>
          <w:color w:val="auto"/>
        </w:rPr>
        <w:t>Health insurance (ii)</w:t>
      </w:r>
    </w:p>
    <w:p>
      <w:pPr>
        <w:spacing w:after="0" w:line="12" w:lineRule="exact"/>
        <w:rPr>
          <w:sz w:val="20"/>
          <w:szCs w:val="20"/>
          <w:color w:val="auto"/>
        </w:rPr>
      </w:pPr>
    </w:p>
    <w:p>
      <w:pPr>
        <w:ind w:left="320"/>
        <w:spacing w:after="0"/>
        <w:rPr>
          <w:sz w:val="20"/>
          <w:szCs w:val="20"/>
          <w:color w:val="auto"/>
        </w:rPr>
      </w:pPr>
      <w:r>
        <w:rPr>
          <w:rFonts w:ascii="Arial" w:cs="Arial" w:eastAsia="Arial" w:hAnsi="Arial"/>
          <w:sz w:val="15"/>
          <w:szCs w:val="15"/>
          <w:color w:val="auto"/>
        </w:rPr>
        <w:t>General insurance (iii)</w:t>
      </w:r>
    </w:p>
    <w:p>
      <w:pPr>
        <w:spacing w:after="0" w:line="35"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Total</w:t>
      </w:r>
    </w:p>
    <w:p>
      <w:pPr>
        <w:spacing w:after="0" w:line="20" w:lineRule="exact"/>
        <w:rPr>
          <w:sz w:val="20"/>
          <w:szCs w:val="20"/>
          <w:color w:val="auto"/>
        </w:rPr>
      </w:pPr>
      <w:r>
        <w:rPr>
          <w:sz w:val="20"/>
          <w:szCs w:val="20"/>
          <w:color w:val="auto"/>
        </w:rPr>
        <w:br w:type="column"/>
      </w:r>
    </w:p>
    <w:p>
      <w:pPr>
        <w:spacing w:after="0" w:line="20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6"/>
        </w:trPr>
        <w:tc>
          <w:tcPr>
            <w:tcW w:w="1760" w:type="dxa"/>
            <w:vAlign w:val="bottom"/>
            <w:tcBorders>
              <w:bottom w:val="single" w:sz="8" w:color="auto"/>
            </w:tcBorders>
            <w:gridSpan w:val="3"/>
          </w:tcPr>
          <w:p>
            <w:pPr>
              <w:jc w:val="right"/>
              <w:ind w:right="240"/>
              <w:spacing w:after="0"/>
              <w:rPr>
                <w:sz w:val="20"/>
                <w:szCs w:val="20"/>
                <w:color w:val="auto"/>
              </w:rPr>
            </w:pPr>
            <w:r>
              <w:rPr>
                <w:rFonts w:ascii="Arial" w:cs="Arial" w:eastAsia="Arial" w:hAnsi="Arial"/>
                <w:sz w:val="17"/>
                <w:szCs w:val="17"/>
                <w:b w:val="1"/>
                <w:bCs w:val="1"/>
                <w:color w:val="auto"/>
              </w:rPr>
              <w:t>2017</w:t>
            </w:r>
          </w:p>
        </w:tc>
        <w:tc>
          <w:tcPr>
            <w:tcW w:w="92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700" w:type="dxa"/>
            <w:vAlign w:val="bottom"/>
            <w:tcBorders>
              <w:bottom w:val="single" w:sz="8" w:color="auto"/>
            </w:tcBorders>
            <w:gridSpan w:val="3"/>
          </w:tcPr>
          <w:p>
            <w:pPr>
              <w:jc w:val="right"/>
              <w:ind w:right="220"/>
              <w:spacing w:after="0"/>
              <w:rPr>
                <w:sz w:val="20"/>
                <w:szCs w:val="20"/>
                <w:color w:val="auto"/>
              </w:rPr>
            </w:pPr>
            <w:r>
              <w:rPr>
                <w:rFonts w:ascii="Arial" w:cs="Arial" w:eastAsia="Arial" w:hAnsi="Arial"/>
                <w:sz w:val="17"/>
                <w:szCs w:val="17"/>
                <w:b w:val="1"/>
                <w:bCs w:val="1"/>
                <w:color w:val="auto"/>
              </w:rPr>
              <w:t>2016</w:t>
            </w:r>
          </w:p>
        </w:tc>
        <w:tc>
          <w:tcPr>
            <w:tcW w:w="90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700" w:type="dxa"/>
            <w:vAlign w:val="bottom"/>
            <w:tcBorders>
              <w:bottom w:val="single" w:sz="8" w:color="auto"/>
            </w:tcBorders>
            <w:gridSpan w:val="3"/>
          </w:tcPr>
          <w:p>
            <w:pPr>
              <w:jc w:val="right"/>
              <w:ind w:right="220"/>
              <w:spacing w:after="0"/>
              <w:rPr>
                <w:sz w:val="20"/>
                <w:szCs w:val="20"/>
                <w:color w:val="auto"/>
              </w:rPr>
            </w:pPr>
            <w:r>
              <w:rPr>
                <w:rFonts w:ascii="Arial" w:cs="Arial" w:eastAsia="Arial" w:hAnsi="Arial"/>
                <w:sz w:val="17"/>
                <w:szCs w:val="17"/>
                <w:b w:val="1"/>
                <w:bCs w:val="1"/>
                <w:color w:val="auto"/>
              </w:rPr>
              <w:t>2015</w:t>
            </w:r>
          </w:p>
        </w:tc>
        <w:tc>
          <w:tcPr>
            <w:tcW w:w="900" w:type="dxa"/>
            <w:vAlign w:val="bottom"/>
            <w:tcBorders>
              <w:bottom w:val="single" w:sz="8" w:color="auto"/>
            </w:tcBorders>
          </w:tcPr>
          <w:p>
            <w:pPr>
              <w:spacing w:after="0"/>
              <w:rPr>
                <w:sz w:val="19"/>
                <w:szCs w:val="19"/>
                <w:color w:val="auto"/>
              </w:rPr>
            </w:pPr>
          </w:p>
        </w:tc>
      </w:tr>
      <w:tr>
        <w:trPr>
          <w:trHeight w:val="219"/>
        </w:trPr>
        <w:tc>
          <w:tcPr>
            <w:tcW w:w="1760" w:type="dxa"/>
            <w:vAlign w:val="bottom"/>
            <w:gridSpan w:val="3"/>
          </w:tcPr>
          <w:p>
            <w:pPr>
              <w:jc w:val="right"/>
              <w:ind w:right="880"/>
              <w:spacing w:after="0"/>
              <w:rPr>
                <w:sz w:val="20"/>
                <w:szCs w:val="20"/>
                <w:color w:val="auto"/>
              </w:rPr>
            </w:pPr>
            <w:r>
              <w:rPr>
                <w:rFonts w:ascii="Arial" w:cs="Arial" w:eastAsia="Arial" w:hAnsi="Arial"/>
                <w:sz w:val="17"/>
                <w:szCs w:val="17"/>
                <w:b w:val="1"/>
                <w:bCs w:val="1"/>
                <w:color w:val="auto"/>
              </w:rPr>
              <w:t>S/(000)</w:t>
            </w:r>
          </w:p>
        </w:tc>
        <w:tc>
          <w:tcPr>
            <w:tcW w:w="920" w:type="dxa"/>
            <w:vAlign w:val="bottom"/>
          </w:tcPr>
          <w:p>
            <w:pPr>
              <w:jc w:val="right"/>
              <w:ind w:right="433"/>
              <w:spacing w:after="0"/>
              <w:rPr>
                <w:sz w:val="20"/>
                <w:szCs w:val="20"/>
                <w:color w:val="auto"/>
              </w:rPr>
            </w:pPr>
            <w:r>
              <w:rPr>
                <w:rFonts w:ascii="Arial" w:cs="Arial" w:eastAsia="Arial" w:hAnsi="Arial"/>
                <w:sz w:val="17"/>
                <w:szCs w:val="17"/>
                <w:b w:val="1"/>
                <w:bCs w:val="1"/>
                <w:color w:val="auto"/>
              </w:rPr>
              <w:t>%</w:t>
            </w:r>
          </w:p>
        </w:tc>
        <w:tc>
          <w:tcPr>
            <w:tcW w:w="240" w:type="dxa"/>
            <w:vAlign w:val="bottom"/>
          </w:tcPr>
          <w:p>
            <w:pPr>
              <w:spacing w:after="0"/>
              <w:rPr>
                <w:sz w:val="19"/>
                <w:szCs w:val="19"/>
                <w:color w:val="auto"/>
              </w:rPr>
            </w:pPr>
          </w:p>
        </w:tc>
        <w:tc>
          <w:tcPr>
            <w:tcW w:w="1700" w:type="dxa"/>
            <w:vAlign w:val="bottom"/>
            <w:gridSpan w:val="3"/>
          </w:tcPr>
          <w:p>
            <w:pPr>
              <w:jc w:val="right"/>
              <w:ind w:right="840"/>
              <w:spacing w:after="0"/>
              <w:rPr>
                <w:sz w:val="20"/>
                <w:szCs w:val="20"/>
                <w:color w:val="auto"/>
              </w:rPr>
            </w:pPr>
            <w:r>
              <w:rPr>
                <w:rFonts w:ascii="Arial" w:cs="Arial" w:eastAsia="Arial" w:hAnsi="Arial"/>
                <w:sz w:val="17"/>
                <w:szCs w:val="17"/>
                <w:b w:val="1"/>
                <w:bCs w:val="1"/>
                <w:color w:val="auto"/>
              </w:rPr>
              <w:t>S/(000)</w:t>
            </w:r>
          </w:p>
        </w:tc>
        <w:tc>
          <w:tcPr>
            <w:tcW w:w="900" w:type="dxa"/>
            <w:vAlign w:val="bottom"/>
          </w:tcPr>
          <w:p>
            <w:pPr>
              <w:jc w:val="right"/>
              <w:ind w:right="433"/>
              <w:spacing w:after="0"/>
              <w:rPr>
                <w:sz w:val="20"/>
                <w:szCs w:val="20"/>
                <w:color w:val="auto"/>
              </w:rPr>
            </w:pPr>
            <w:r>
              <w:rPr>
                <w:rFonts w:ascii="Arial" w:cs="Arial" w:eastAsia="Arial" w:hAnsi="Arial"/>
                <w:sz w:val="17"/>
                <w:szCs w:val="17"/>
                <w:b w:val="1"/>
                <w:bCs w:val="1"/>
                <w:color w:val="auto"/>
              </w:rPr>
              <w:t>%</w:t>
            </w:r>
          </w:p>
        </w:tc>
        <w:tc>
          <w:tcPr>
            <w:tcW w:w="200" w:type="dxa"/>
            <w:vAlign w:val="bottom"/>
          </w:tcPr>
          <w:p>
            <w:pPr>
              <w:spacing w:after="0"/>
              <w:rPr>
                <w:sz w:val="19"/>
                <w:szCs w:val="19"/>
                <w:color w:val="auto"/>
              </w:rPr>
            </w:pPr>
          </w:p>
        </w:tc>
        <w:tc>
          <w:tcPr>
            <w:tcW w:w="1700" w:type="dxa"/>
            <w:vAlign w:val="bottom"/>
            <w:gridSpan w:val="3"/>
          </w:tcPr>
          <w:p>
            <w:pPr>
              <w:jc w:val="right"/>
              <w:ind w:right="840"/>
              <w:spacing w:after="0"/>
              <w:rPr>
                <w:sz w:val="20"/>
                <w:szCs w:val="20"/>
                <w:color w:val="auto"/>
              </w:rPr>
            </w:pPr>
            <w:r>
              <w:rPr>
                <w:rFonts w:ascii="Arial" w:cs="Arial" w:eastAsia="Arial" w:hAnsi="Arial"/>
                <w:sz w:val="17"/>
                <w:szCs w:val="17"/>
                <w:b w:val="1"/>
                <w:bCs w:val="1"/>
                <w:color w:val="auto"/>
              </w:rPr>
              <w:t>S/(000)</w:t>
            </w:r>
          </w:p>
        </w:tc>
        <w:tc>
          <w:tcPr>
            <w:tcW w:w="900" w:type="dxa"/>
            <w:vAlign w:val="bottom"/>
          </w:tcPr>
          <w:p>
            <w:pPr>
              <w:jc w:val="right"/>
              <w:ind w:right="413"/>
              <w:spacing w:after="0"/>
              <w:rPr>
                <w:sz w:val="20"/>
                <w:szCs w:val="20"/>
                <w:color w:val="auto"/>
              </w:rPr>
            </w:pPr>
            <w:r>
              <w:rPr>
                <w:rFonts w:ascii="Arial" w:cs="Arial" w:eastAsia="Arial" w:hAnsi="Arial"/>
                <w:sz w:val="17"/>
                <w:szCs w:val="17"/>
                <w:b w:val="1"/>
                <w:bCs w:val="1"/>
                <w:color w:val="auto"/>
              </w:rPr>
              <w:t>%</w:t>
            </w:r>
          </w:p>
        </w:tc>
      </w:tr>
      <w:tr>
        <w:trPr>
          <w:trHeight w:val="385"/>
        </w:trPr>
        <w:tc>
          <w:tcPr>
            <w:tcW w:w="1460" w:type="dxa"/>
            <w:vAlign w:val="bottom"/>
            <w:gridSpan w:val="2"/>
          </w:tcPr>
          <w:p>
            <w:pPr>
              <w:jc w:val="right"/>
              <w:ind w:right="220"/>
              <w:spacing w:after="0"/>
              <w:rPr>
                <w:sz w:val="20"/>
                <w:szCs w:val="20"/>
                <w:color w:val="auto"/>
              </w:rPr>
            </w:pPr>
            <w:r>
              <w:rPr>
                <w:rFonts w:ascii="Arial" w:cs="Arial" w:eastAsia="Arial" w:hAnsi="Arial"/>
                <w:sz w:val="17"/>
                <w:szCs w:val="17"/>
                <w:color w:val="auto"/>
              </w:rPr>
              <w:t>949,515</w:t>
            </w:r>
          </w:p>
        </w:tc>
        <w:tc>
          <w:tcPr>
            <w:tcW w:w="3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41.20</w:t>
            </w:r>
          </w:p>
        </w:tc>
        <w:tc>
          <w:tcPr>
            <w:tcW w:w="240" w:type="dxa"/>
            <w:vAlign w:val="bottom"/>
          </w:tcPr>
          <w:p>
            <w:pPr>
              <w:spacing w:after="0"/>
              <w:rPr>
                <w:sz w:val="24"/>
                <w:szCs w:val="24"/>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7"/>
                <w:szCs w:val="17"/>
                <w:color w:val="auto"/>
              </w:rPr>
              <w:t>876,315</w:t>
            </w:r>
          </w:p>
        </w:tc>
        <w:tc>
          <w:tcPr>
            <w:tcW w:w="300" w:type="dxa"/>
            <w:vAlign w:val="bottom"/>
          </w:tcPr>
          <w:p>
            <w:pPr>
              <w:spacing w:after="0"/>
              <w:rPr>
                <w:sz w:val="24"/>
                <w:szCs w:val="24"/>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7"/>
                <w:szCs w:val="17"/>
                <w:color w:val="auto"/>
              </w:rPr>
              <w:t>38.16</w:t>
            </w:r>
          </w:p>
        </w:tc>
        <w:tc>
          <w:tcPr>
            <w:tcW w:w="1400" w:type="dxa"/>
            <w:vAlign w:val="bottom"/>
            <w:gridSpan w:val="2"/>
          </w:tcPr>
          <w:p>
            <w:pPr>
              <w:jc w:val="right"/>
              <w:ind w:right="200"/>
              <w:spacing w:after="0"/>
              <w:rPr>
                <w:sz w:val="20"/>
                <w:szCs w:val="20"/>
                <w:color w:val="auto"/>
              </w:rPr>
            </w:pPr>
            <w:r>
              <w:rPr>
                <w:rFonts w:ascii="Arial" w:cs="Arial" w:eastAsia="Arial" w:hAnsi="Arial"/>
                <w:sz w:val="17"/>
                <w:szCs w:val="17"/>
                <w:color w:val="auto"/>
              </w:rPr>
              <w:t>857,576</w:t>
            </w:r>
          </w:p>
        </w:tc>
        <w:tc>
          <w:tcPr>
            <w:tcW w:w="3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39.09</w:t>
            </w:r>
          </w:p>
        </w:tc>
      </w:tr>
      <w:tr>
        <w:trPr>
          <w:trHeight w:val="220"/>
        </w:trPr>
        <w:tc>
          <w:tcPr>
            <w:tcW w:w="1460" w:type="dxa"/>
            <w:vAlign w:val="bottom"/>
            <w:gridSpan w:val="2"/>
          </w:tcPr>
          <w:p>
            <w:pPr>
              <w:jc w:val="right"/>
              <w:ind w:right="220"/>
              <w:spacing w:after="0"/>
              <w:rPr>
                <w:sz w:val="20"/>
                <w:szCs w:val="20"/>
                <w:color w:val="auto"/>
              </w:rPr>
            </w:pPr>
            <w:r>
              <w:rPr>
                <w:rFonts w:ascii="Arial" w:cs="Arial" w:eastAsia="Arial" w:hAnsi="Arial"/>
                <w:sz w:val="17"/>
                <w:szCs w:val="17"/>
                <w:color w:val="auto"/>
              </w:rPr>
              <w:t>434,808</w:t>
            </w: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18.86</w:t>
            </w:r>
          </w:p>
        </w:tc>
        <w:tc>
          <w:tcPr>
            <w:tcW w:w="240" w:type="dxa"/>
            <w:vAlign w:val="bottom"/>
          </w:tcPr>
          <w:p>
            <w:pPr>
              <w:spacing w:after="0"/>
              <w:rPr>
                <w:sz w:val="19"/>
                <w:szCs w:val="19"/>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7"/>
                <w:szCs w:val="17"/>
                <w:color w:val="auto"/>
              </w:rPr>
              <w:t>415,152</w:t>
            </w:r>
          </w:p>
        </w:tc>
        <w:tc>
          <w:tcPr>
            <w:tcW w:w="300" w:type="dxa"/>
            <w:vAlign w:val="bottom"/>
          </w:tcPr>
          <w:p>
            <w:pPr>
              <w:spacing w:after="0"/>
              <w:rPr>
                <w:sz w:val="19"/>
                <w:szCs w:val="19"/>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7"/>
                <w:szCs w:val="17"/>
                <w:color w:val="auto"/>
              </w:rPr>
              <w:t>18.07</w:t>
            </w:r>
          </w:p>
        </w:tc>
        <w:tc>
          <w:tcPr>
            <w:tcW w:w="1400" w:type="dxa"/>
            <w:vAlign w:val="bottom"/>
            <w:gridSpan w:val="2"/>
          </w:tcPr>
          <w:p>
            <w:pPr>
              <w:jc w:val="right"/>
              <w:ind w:right="200"/>
              <w:spacing w:after="0"/>
              <w:rPr>
                <w:sz w:val="20"/>
                <w:szCs w:val="20"/>
                <w:color w:val="auto"/>
              </w:rPr>
            </w:pPr>
            <w:r>
              <w:rPr>
                <w:rFonts w:ascii="Arial" w:cs="Arial" w:eastAsia="Arial" w:hAnsi="Arial"/>
                <w:sz w:val="17"/>
                <w:szCs w:val="17"/>
                <w:color w:val="auto"/>
              </w:rPr>
              <w:t>388,002</w:t>
            </w: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17.69</w:t>
            </w:r>
          </w:p>
        </w:tc>
      </w:tr>
      <w:tr>
        <w:trPr>
          <w:trHeight w:val="221"/>
        </w:trPr>
        <w:tc>
          <w:tcPr>
            <w:tcW w:w="1240" w:type="dxa"/>
            <w:vAlign w:val="bottom"/>
          </w:tcPr>
          <w:p>
            <w:pPr>
              <w:jc w:val="right"/>
              <w:spacing w:after="0"/>
              <w:rPr>
                <w:sz w:val="20"/>
                <w:szCs w:val="20"/>
                <w:color w:val="auto"/>
              </w:rPr>
            </w:pPr>
            <w:r>
              <w:rPr>
                <w:rFonts w:ascii="Arial" w:cs="Arial" w:eastAsia="Arial" w:hAnsi="Arial"/>
                <w:sz w:val="17"/>
                <w:szCs w:val="17"/>
                <w:color w:val="auto"/>
              </w:rPr>
              <w:t>920,595</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39.94</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1,005,426</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43.77</w:t>
            </w:r>
          </w:p>
        </w:tc>
        <w:tc>
          <w:tcPr>
            <w:tcW w:w="200" w:type="dxa"/>
            <w:vAlign w:val="bottom"/>
          </w:tcPr>
          <w:p>
            <w:pPr>
              <w:spacing w:after="0"/>
              <w:rPr>
                <w:sz w:val="19"/>
                <w:szCs w:val="19"/>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7"/>
                <w:szCs w:val="17"/>
                <w:color w:val="auto"/>
              </w:rPr>
              <w:t>948,177</w:t>
            </w: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43.22</w:t>
            </w:r>
          </w:p>
        </w:tc>
      </w:tr>
      <w:tr>
        <w:trPr>
          <w:trHeight w:val="20"/>
        </w:trPr>
        <w:tc>
          <w:tcPr>
            <w:tcW w:w="12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r>
      <w:tr>
        <w:trPr>
          <w:trHeight w:val="214"/>
        </w:trPr>
        <w:tc>
          <w:tcPr>
            <w:tcW w:w="1240" w:type="dxa"/>
            <w:vAlign w:val="bottom"/>
          </w:tcPr>
          <w:p>
            <w:pPr>
              <w:jc w:val="right"/>
              <w:spacing w:after="0"/>
              <w:rPr>
                <w:sz w:val="20"/>
                <w:szCs w:val="20"/>
                <w:color w:val="auto"/>
              </w:rPr>
            </w:pPr>
            <w:r>
              <w:rPr>
                <w:rFonts w:ascii="Arial" w:cs="Arial" w:eastAsia="Arial" w:hAnsi="Arial"/>
                <w:sz w:val="17"/>
                <w:szCs w:val="17"/>
                <w:color w:val="auto"/>
              </w:rPr>
              <w:t>2,304,918</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7"/>
                <w:szCs w:val="17"/>
                <w:color w:val="auto"/>
              </w:rPr>
              <w:t>100.00</w:t>
            </w:r>
          </w:p>
        </w:tc>
        <w:tc>
          <w:tcPr>
            <w:tcW w:w="1400" w:type="dxa"/>
            <w:vAlign w:val="bottom"/>
            <w:gridSpan w:val="2"/>
          </w:tcPr>
          <w:p>
            <w:pPr>
              <w:jc w:val="right"/>
              <w:ind w:right="200"/>
              <w:spacing w:after="0"/>
              <w:rPr>
                <w:sz w:val="20"/>
                <w:szCs w:val="20"/>
                <w:color w:val="auto"/>
              </w:rPr>
            </w:pPr>
            <w:r>
              <w:rPr>
                <w:rFonts w:ascii="Arial" w:cs="Arial" w:eastAsia="Arial" w:hAnsi="Arial"/>
                <w:sz w:val="17"/>
                <w:szCs w:val="17"/>
                <w:color w:val="auto"/>
              </w:rPr>
              <w:t>2,296,893</w:t>
            </w:r>
          </w:p>
        </w:tc>
        <w:tc>
          <w:tcPr>
            <w:tcW w:w="30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7"/>
                <w:szCs w:val="17"/>
                <w:color w:val="auto"/>
              </w:rPr>
              <w:t>100.00</w:t>
            </w:r>
          </w:p>
        </w:tc>
        <w:tc>
          <w:tcPr>
            <w:tcW w:w="1200" w:type="dxa"/>
            <w:vAlign w:val="bottom"/>
          </w:tcPr>
          <w:p>
            <w:pPr>
              <w:jc w:val="right"/>
              <w:spacing w:after="0"/>
              <w:rPr>
                <w:sz w:val="20"/>
                <w:szCs w:val="20"/>
                <w:color w:val="auto"/>
              </w:rPr>
            </w:pPr>
            <w:r>
              <w:rPr>
                <w:rFonts w:ascii="Arial" w:cs="Arial" w:eastAsia="Arial" w:hAnsi="Arial"/>
                <w:sz w:val="17"/>
                <w:szCs w:val="17"/>
                <w:color w:val="auto"/>
              </w:rPr>
              <w:t>2,193,755</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100.00</w:t>
            </w:r>
          </w:p>
        </w:tc>
      </w:tr>
      <w:tr>
        <w:trPr>
          <w:trHeight w:val="20"/>
        </w:trPr>
        <w:tc>
          <w:tcPr>
            <w:tcW w:w="1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-1602105</wp:posOffset>
            </wp:positionH>
            <wp:positionV relativeFrom="paragraph">
              <wp:posOffset>-576580</wp:posOffset>
            </wp:positionV>
            <wp:extent cx="6954520" cy="13208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954520" cy="132080"/>
                    </a:xfrm>
                    <a:prstGeom prst="rect">
                      <a:avLst/>
                    </a:prstGeom>
                    <a:noFill/>
                  </pic:spPr>
                </pic:pic>
              </a:graphicData>
            </a:graphic>
          </wp:anchor>
        </w:drawing>
        <w:drawing>
          <wp:anchor simplePos="0" relativeHeight="251657728" behindDoc="1" locked="0" layoutInCell="0" allowOverlap="1">
            <wp:simplePos x="0" y="0"/>
            <wp:positionH relativeFrom="column">
              <wp:posOffset>-1602105</wp:posOffset>
            </wp:positionH>
            <wp:positionV relativeFrom="paragraph">
              <wp:posOffset>-313055</wp:posOffset>
            </wp:positionV>
            <wp:extent cx="6954520" cy="14033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954520" cy="14033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120" w:space="720"/>
            <w:col w:w="8320"/>
          </w:cols>
          <w:pgMar w:left="240" w:top="888" w:right="499" w:bottom="1440" w:gutter="0" w:footer="0" w:header="0"/>
          <w:type w:val="continuous"/>
        </w:sectPr>
      </w:pPr>
    </w:p>
    <w:p>
      <w:pPr>
        <w:spacing w:after="0" w:line="203" w:lineRule="exact"/>
        <w:rPr>
          <w:sz w:val="20"/>
          <w:szCs w:val="20"/>
          <w:color w:val="auto"/>
        </w:rPr>
      </w:pPr>
    </w:p>
    <w:p>
      <w:pPr>
        <w:jc w:val="center"/>
        <w:ind w:right="-279"/>
        <w:spacing w:after="0"/>
        <w:rPr>
          <w:sz w:val="20"/>
          <w:szCs w:val="20"/>
          <w:color w:val="auto"/>
        </w:rPr>
      </w:pPr>
      <w:r>
        <w:rPr>
          <w:rFonts w:ascii="Arial" w:cs="Arial" w:eastAsia="Arial" w:hAnsi="Arial"/>
          <w:sz w:val="15"/>
          <w:szCs w:val="15"/>
          <w:color w:val="auto"/>
        </w:rPr>
        <w:t>- 98 -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30480</wp:posOffset>
            </wp:positionV>
            <wp:extent cx="725170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51700" cy="8255"/>
                    </a:xfrm>
                    <a:prstGeom prst="rect">
                      <a:avLst/>
                    </a:prstGeom>
                    <a:noFill/>
                  </pic:spPr>
                </pic:pic>
              </a:graphicData>
            </a:graphic>
          </wp:anchor>
        </w:drawing>
      </w:r>
    </w:p>
    <w:p>
      <w:pPr>
        <w:sectPr>
          <w:pgSz w:w="11900" w:h="16838" w:orient="portrait"/>
          <w:cols w:equalWidth="0" w:num="1">
            <w:col w:w="11160"/>
          </w:cols>
          <w:pgMar w:left="240" w:top="888" w:right="499" w:bottom="1440" w:gutter="0" w:footer="0" w:header="0"/>
          <w:type w:val="continuous"/>
        </w:sectPr>
      </w:pPr>
    </w:p>
    <w:bookmarkStart w:id="104" w:name="page105"/>
    <w:bookmarkEnd w:id="104"/>
    <w:p>
      <w:pPr>
        <w:ind w:left="424" w:hanging="424"/>
        <w:spacing w:after="0"/>
        <w:tabs>
          <w:tab w:leader="none" w:pos="424" w:val="left"/>
        </w:tabs>
        <w:numPr>
          <w:ilvl w:val="0"/>
          <w:numId w:val="118"/>
        </w:numPr>
        <w:rPr>
          <w:rFonts w:ascii="Arial" w:cs="Arial" w:eastAsia="Arial" w:hAnsi="Arial"/>
          <w:sz w:val="17"/>
          <w:szCs w:val="17"/>
          <w:color w:val="auto"/>
        </w:rPr>
      </w:pPr>
      <w:r>
        <w:rPr>
          <w:rFonts w:ascii="Arial" w:cs="Arial" w:eastAsia="Arial" w:hAnsi="Arial"/>
          <w:sz w:val="17"/>
          <w:szCs w:val="17"/>
          <w:color w:val="auto"/>
        </w:rPr>
        <w:t>The breakdown of life insurance gross premiums earned is as follows:</w:t>
      </w:r>
    </w:p>
    <w:p>
      <w:pPr>
        <w:spacing w:after="0" w:line="227" w:lineRule="exact"/>
        <w:rPr>
          <w:sz w:val="20"/>
          <w:szCs w:val="20"/>
          <w:color w:val="auto"/>
        </w:rPr>
      </w:pPr>
    </w:p>
    <w:tbl>
      <w:tblPr>
        <w:tblLayout w:type="fixed"/>
        <w:tblInd w:w="4" w:type="dxa"/>
        <w:tblCellMar>
          <w:top w:w="0" w:type="dxa"/>
          <w:left w:w="0" w:type="dxa"/>
          <w:bottom w:w="0" w:type="dxa"/>
          <w:right w:w="0" w:type="dxa"/>
        </w:tblCellMar>
      </w:tblPr>
      <w:tr>
        <w:trPr>
          <w:trHeight w:val="226"/>
        </w:trPr>
        <w:tc>
          <w:tcPr>
            <w:tcW w:w="2520" w:type="dxa"/>
            <w:vAlign w:val="bottom"/>
          </w:tcPr>
          <w:p>
            <w:pPr>
              <w:spacing w:after="0"/>
              <w:rPr>
                <w:sz w:val="19"/>
                <w:szCs w:val="19"/>
                <w:color w:val="auto"/>
              </w:rPr>
            </w:pPr>
          </w:p>
        </w:tc>
        <w:tc>
          <w:tcPr>
            <w:tcW w:w="1760" w:type="dxa"/>
            <w:vAlign w:val="bottom"/>
            <w:tcBorders>
              <w:bottom w:val="single" w:sz="8" w:color="auto"/>
            </w:tcBorders>
            <w:gridSpan w:val="3"/>
          </w:tcPr>
          <w:p>
            <w:pPr>
              <w:jc w:val="right"/>
              <w:ind w:right="240"/>
              <w:spacing w:after="0"/>
              <w:rPr>
                <w:sz w:val="20"/>
                <w:szCs w:val="20"/>
                <w:color w:val="auto"/>
              </w:rPr>
            </w:pPr>
            <w:r>
              <w:rPr>
                <w:rFonts w:ascii="Arial" w:cs="Arial" w:eastAsia="Arial" w:hAnsi="Arial"/>
                <w:sz w:val="17"/>
                <w:szCs w:val="17"/>
                <w:b w:val="1"/>
                <w:bCs w:val="1"/>
                <w:color w:val="auto"/>
              </w:rPr>
              <w:t>2017</w:t>
            </w:r>
          </w:p>
        </w:tc>
        <w:tc>
          <w:tcPr>
            <w:tcW w:w="92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700" w:type="dxa"/>
            <w:vAlign w:val="bottom"/>
            <w:tcBorders>
              <w:bottom w:val="single" w:sz="8" w:color="auto"/>
            </w:tcBorders>
            <w:gridSpan w:val="3"/>
          </w:tcPr>
          <w:p>
            <w:pPr>
              <w:jc w:val="right"/>
              <w:ind w:right="220"/>
              <w:spacing w:after="0"/>
              <w:rPr>
                <w:sz w:val="20"/>
                <w:szCs w:val="20"/>
                <w:color w:val="auto"/>
              </w:rPr>
            </w:pPr>
            <w:r>
              <w:rPr>
                <w:rFonts w:ascii="Arial" w:cs="Arial" w:eastAsia="Arial" w:hAnsi="Arial"/>
                <w:sz w:val="17"/>
                <w:szCs w:val="17"/>
                <w:b w:val="1"/>
                <w:bCs w:val="1"/>
                <w:color w:val="auto"/>
              </w:rPr>
              <w:t>2016</w:t>
            </w:r>
          </w:p>
        </w:tc>
        <w:tc>
          <w:tcPr>
            <w:tcW w:w="90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700" w:type="dxa"/>
            <w:vAlign w:val="bottom"/>
            <w:tcBorders>
              <w:bottom w:val="single" w:sz="8" w:color="auto"/>
            </w:tcBorders>
            <w:gridSpan w:val="3"/>
          </w:tcPr>
          <w:p>
            <w:pPr>
              <w:jc w:val="right"/>
              <w:ind w:right="220"/>
              <w:spacing w:after="0"/>
              <w:rPr>
                <w:sz w:val="20"/>
                <w:szCs w:val="20"/>
                <w:color w:val="auto"/>
              </w:rPr>
            </w:pPr>
            <w:r>
              <w:rPr>
                <w:rFonts w:ascii="Arial" w:cs="Arial" w:eastAsia="Arial" w:hAnsi="Arial"/>
                <w:sz w:val="17"/>
                <w:szCs w:val="17"/>
                <w:b w:val="1"/>
                <w:bCs w:val="1"/>
                <w:color w:val="auto"/>
              </w:rPr>
              <w:t>2015</w:t>
            </w:r>
          </w:p>
        </w:tc>
        <w:tc>
          <w:tcPr>
            <w:tcW w:w="9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9"/>
        </w:trPr>
        <w:tc>
          <w:tcPr>
            <w:tcW w:w="2520" w:type="dxa"/>
            <w:vAlign w:val="bottom"/>
          </w:tcPr>
          <w:p>
            <w:pPr>
              <w:spacing w:after="0"/>
              <w:rPr>
                <w:sz w:val="19"/>
                <w:szCs w:val="19"/>
                <w:color w:val="auto"/>
              </w:rPr>
            </w:pPr>
          </w:p>
        </w:tc>
        <w:tc>
          <w:tcPr>
            <w:tcW w:w="1760" w:type="dxa"/>
            <w:vAlign w:val="bottom"/>
            <w:gridSpan w:val="3"/>
          </w:tcPr>
          <w:p>
            <w:pPr>
              <w:jc w:val="right"/>
              <w:ind w:right="880"/>
              <w:spacing w:after="0"/>
              <w:rPr>
                <w:sz w:val="20"/>
                <w:szCs w:val="20"/>
                <w:color w:val="auto"/>
              </w:rPr>
            </w:pPr>
            <w:r>
              <w:rPr>
                <w:rFonts w:ascii="Arial" w:cs="Arial" w:eastAsia="Arial" w:hAnsi="Arial"/>
                <w:sz w:val="17"/>
                <w:szCs w:val="17"/>
                <w:b w:val="1"/>
                <w:bCs w:val="1"/>
                <w:color w:val="auto"/>
              </w:rPr>
              <w:t>S/(000)</w:t>
            </w:r>
          </w:p>
        </w:tc>
        <w:tc>
          <w:tcPr>
            <w:tcW w:w="920" w:type="dxa"/>
            <w:vAlign w:val="bottom"/>
          </w:tcPr>
          <w:p>
            <w:pPr>
              <w:jc w:val="right"/>
              <w:ind w:right="433"/>
              <w:spacing w:after="0"/>
              <w:rPr>
                <w:sz w:val="20"/>
                <w:szCs w:val="20"/>
                <w:color w:val="auto"/>
              </w:rPr>
            </w:pPr>
            <w:r>
              <w:rPr>
                <w:rFonts w:ascii="Arial" w:cs="Arial" w:eastAsia="Arial" w:hAnsi="Arial"/>
                <w:sz w:val="17"/>
                <w:szCs w:val="17"/>
                <w:b w:val="1"/>
                <w:bCs w:val="1"/>
                <w:color w:val="auto"/>
              </w:rPr>
              <w:t>%</w:t>
            </w:r>
          </w:p>
        </w:tc>
        <w:tc>
          <w:tcPr>
            <w:tcW w:w="240" w:type="dxa"/>
            <w:vAlign w:val="bottom"/>
          </w:tcPr>
          <w:p>
            <w:pPr>
              <w:spacing w:after="0"/>
              <w:rPr>
                <w:sz w:val="19"/>
                <w:szCs w:val="19"/>
                <w:color w:val="auto"/>
              </w:rPr>
            </w:pPr>
          </w:p>
        </w:tc>
        <w:tc>
          <w:tcPr>
            <w:tcW w:w="1700" w:type="dxa"/>
            <w:vAlign w:val="bottom"/>
            <w:gridSpan w:val="3"/>
          </w:tcPr>
          <w:p>
            <w:pPr>
              <w:jc w:val="right"/>
              <w:ind w:right="840"/>
              <w:spacing w:after="0"/>
              <w:rPr>
                <w:sz w:val="20"/>
                <w:szCs w:val="20"/>
                <w:color w:val="auto"/>
              </w:rPr>
            </w:pPr>
            <w:r>
              <w:rPr>
                <w:rFonts w:ascii="Arial" w:cs="Arial" w:eastAsia="Arial" w:hAnsi="Arial"/>
                <w:sz w:val="17"/>
                <w:szCs w:val="17"/>
                <w:b w:val="1"/>
                <w:bCs w:val="1"/>
                <w:color w:val="auto"/>
              </w:rPr>
              <w:t>S/(000)</w:t>
            </w:r>
          </w:p>
        </w:tc>
        <w:tc>
          <w:tcPr>
            <w:tcW w:w="900" w:type="dxa"/>
            <w:vAlign w:val="bottom"/>
          </w:tcPr>
          <w:p>
            <w:pPr>
              <w:jc w:val="right"/>
              <w:ind w:right="433"/>
              <w:spacing w:after="0"/>
              <w:rPr>
                <w:sz w:val="20"/>
                <w:szCs w:val="20"/>
                <w:color w:val="auto"/>
              </w:rPr>
            </w:pPr>
            <w:r>
              <w:rPr>
                <w:rFonts w:ascii="Arial" w:cs="Arial" w:eastAsia="Arial" w:hAnsi="Arial"/>
                <w:sz w:val="17"/>
                <w:szCs w:val="17"/>
                <w:b w:val="1"/>
                <w:bCs w:val="1"/>
                <w:color w:val="auto"/>
              </w:rPr>
              <w:t>%</w:t>
            </w:r>
          </w:p>
        </w:tc>
        <w:tc>
          <w:tcPr>
            <w:tcW w:w="200" w:type="dxa"/>
            <w:vAlign w:val="bottom"/>
          </w:tcPr>
          <w:p>
            <w:pPr>
              <w:spacing w:after="0"/>
              <w:rPr>
                <w:sz w:val="19"/>
                <w:szCs w:val="19"/>
                <w:color w:val="auto"/>
              </w:rPr>
            </w:pPr>
          </w:p>
        </w:tc>
        <w:tc>
          <w:tcPr>
            <w:tcW w:w="1700" w:type="dxa"/>
            <w:vAlign w:val="bottom"/>
            <w:gridSpan w:val="3"/>
          </w:tcPr>
          <w:p>
            <w:pPr>
              <w:jc w:val="right"/>
              <w:ind w:right="840"/>
              <w:spacing w:after="0"/>
              <w:rPr>
                <w:sz w:val="20"/>
                <w:szCs w:val="20"/>
                <w:color w:val="auto"/>
              </w:rPr>
            </w:pPr>
            <w:r>
              <w:rPr>
                <w:rFonts w:ascii="Arial" w:cs="Arial" w:eastAsia="Arial" w:hAnsi="Arial"/>
                <w:sz w:val="17"/>
                <w:szCs w:val="17"/>
                <w:b w:val="1"/>
                <w:bCs w:val="1"/>
                <w:color w:val="auto"/>
              </w:rPr>
              <w:t>S/(000)</w:t>
            </w:r>
          </w:p>
        </w:tc>
        <w:tc>
          <w:tcPr>
            <w:tcW w:w="900" w:type="dxa"/>
            <w:vAlign w:val="bottom"/>
          </w:tcPr>
          <w:p>
            <w:pPr>
              <w:jc w:val="right"/>
              <w:ind w:right="413"/>
              <w:spacing w:after="0"/>
              <w:rPr>
                <w:sz w:val="20"/>
                <w:szCs w:val="20"/>
                <w:color w:val="auto"/>
              </w:rPr>
            </w:pPr>
            <w:r>
              <w:rPr>
                <w:rFonts w:ascii="Arial" w:cs="Arial" w:eastAsia="Arial" w:hAnsi="Arial"/>
                <w:sz w:val="17"/>
                <w:szCs w:val="17"/>
                <w:b w:val="1"/>
                <w:bCs w:val="1"/>
                <w:color w:val="auto"/>
              </w:rPr>
              <w:t>%</w:t>
            </w:r>
          </w:p>
        </w:tc>
        <w:tc>
          <w:tcPr>
            <w:tcW w:w="100" w:type="dxa"/>
            <w:vAlign w:val="bottom"/>
          </w:tcPr>
          <w:p>
            <w:pPr>
              <w:spacing w:after="0"/>
              <w:rPr>
                <w:sz w:val="19"/>
                <w:szCs w:val="19"/>
                <w:color w:val="auto"/>
              </w:rPr>
            </w:pPr>
          </w:p>
        </w:tc>
      </w:tr>
      <w:tr>
        <w:trPr>
          <w:trHeight w:val="189"/>
        </w:trPr>
        <w:tc>
          <w:tcPr>
            <w:tcW w:w="25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08"/>
        </w:trPr>
        <w:tc>
          <w:tcPr>
            <w:tcW w:w="2520" w:type="dxa"/>
            <w:vAlign w:val="bottom"/>
            <w:shd w:val="clear" w:color="auto" w:fill="CCEEFF"/>
          </w:tcPr>
          <w:p>
            <w:pPr>
              <w:spacing w:after="0"/>
              <w:rPr>
                <w:sz w:val="20"/>
                <w:szCs w:val="20"/>
                <w:color w:val="auto"/>
              </w:rPr>
            </w:pPr>
            <w:r>
              <w:rPr>
                <w:rFonts w:ascii="Arial" w:cs="Arial" w:eastAsia="Arial" w:hAnsi="Arial"/>
                <w:sz w:val="17"/>
                <w:szCs w:val="17"/>
                <w:color w:val="auto"/>
              </w:rPr>
              <w:t>Credit life</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436,443</w:t>
            </w: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45.96</w:t>
            </w:r>
          </w:p>
        </w:tc>
        <w:tc>
          <w:tcPr>
            <w:tcW w:w="2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366,623</w:t>
            </w:r>
          </w:p>
        </w:tc>
        <w:tc>
          <w:tcPr>
            <w:tcW w:w="3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41.83</w:t>
            </w: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343,643</w:t>
            </w: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40.07</w:t>
            </w:r>
          </w:p>
        </w:tc>
        <w:tc>
          <w:tcPr>
            <w:tcW w:w="100" w:type="dxa"/>
            <w:vAlign w:val="bottom"/>
            <w:shd w:val="clear" w:color="auto" w:fill="CCEEFF"/>
          </w:tcPr>
          <w:p>
            <w:pPr>
              <w:spacing w:after="0"/>
              <w:rPr>
                <w:sz w:val="18"/>
                <w:szCs w:val="18"/>
                <w:color w:val="auto"/>
              </w:rPr>
            </w:pPr>
          </w:p>
        </w:tc>
      </w:tr>
      <w:tr>
        <w:trPr>
          <w:trHeight w:val="208"/>
        </w:trPr>
        <w:tc>
          <w:tcPr>
            <w:tcW w:w="2520" w:type="dxa"/>
            <w:vAlign w:val="bottom"/>
          </w:tcPr>
          <w:p>
            <w:pPr>
              <w:spacing w:after="0"/>
              <w:rPr>
                <w:sz w:val="20"/>
                <w:szCs w:val="20"/>
                <w:color w:val="auto"/>
              </w:rPr>
            </w:pPr>
            <w:r>
              <w:rPr>
                <w:rFonts w:ascii="Arial" w:cs="Arial" w:eastAsia="Arial" w:hAnsi="Arial"/>
                <w:sz w:val="17"/>
                <w:szCs w:val="17"/>
                <w:color w:val="auto"/>
              </w:rPr>
              <w:t>Group life</w:t>
            </w:r>
          </w:p>
        </w:tc>
        <w:tc>
          <w:tcPr>
            <w:tcW w:w="1460" w:type="dxa"/>
            <w:vAlign w:val="bottom"/>
            <w:gridSpan w:val="2"/>
          </w:tcPr>
          <w:p>
            <w:pPr>
              <w:jc w:val="right"/>
              <w:ind w:right="220"/>
              <w:spacing w:after="0"/>
              <w:rPr>
                <w:sz w:val="20"/>
                <w:szCs w:val="20"/>
                <w:color w:val="auto"/>
              </w:rPr>
            </w:pPr>
            <w:r>
              <w:rPr>
                <w:rFonts w:ascii="Arial" w:cs="Arial" w:eastAsia="Arial" w:hAnsi="Arial"/>
                <w:sz w:val="17"/>
                <w:szCs w:val="17"/>
                <w:color w:val="auto"/>
              </w:rPr>
              <w:t>117,580</w:t>
            </w:r>
          </w:p>
        </w:tc>
        <w:tc>
          <w:tcPr>
            <w:tcW w:w="3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12.38</w:t>
            </w:r>
          </w:p>
        </w:tc>
        <w:tc>
          <w:tcPr>
            <w:tcW w:w="240" w:type="dxa"/>
            <w:vAlign w:val="bottom"/>
          </w:tcPr>
          <w:p>
            <w:pPr>
              <w:spacing w:after="0"/>
              <w:rPr>
                <w:sz w:val="18"/>
                <w:szCs w:val="18"/>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7"/>
                <w:szCs w:val="17"/>
                <w:color w:val="auto"/>
              </w:rPr>
              <w:t>118,634</w:t>
            </w:r>
          </w:p>
        </w:tc>
        <w:tc>
          <w:tcPr>
            <w:tcW w:w="30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7"/>
                <w:szCs w:val="17"/>
                <w:color w:val="auto"/>
              </w:rPr>
              <w:t>13.54</w:t>
            </w:r>
          </w:p>
        </w:tc>
        <w:tc>
          <w:tcPr>
            <w:tcW w:w="1400" w:type="dxa"/>
            <w:vAlign w:val="bottom"/>
            <w:gridSpan w:val="2"/>
          </w:tcPr>
          <w:p>
            <w:pPr>
              <w:jc w:val="right"/>
              <w:ind w:right="200"/>
              <w:spacing w:after="0"/>
              <w:rPr>
                <w:sz w:val="20"/>
                <w:szCs w:val="20"/>
                <w:color w:val="auto"/>
              </w:rPr>
            </w:pPr>
            <w:r>
              <w:rPr>
                <w:rFonts w:ascii="Arial" w:cs="Arial" w:eastAsia="Arial" w:hAnsi="Arial"/>
                <w:sz w:val="17"/>
                <w:szCs w:val="17"/>
                <w:color w:val="auto"/>
              </w:rPr>
              <w:t>187,857</w:t>
            </w:r>
          </w:p>
        </w:tc>
        <w:tc>
          <w:tcPr>
            <w:tcW w:w="3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21.91</w:t>
            </w:r>
          </w:p>
        </w:tc>
        <w:tc>
          <w:tcPr>
            <w:tcW w:w="100" w:type="dxa"/>
            <w:vAlign w:val="bottom"/>
          </w:tcPr>
          <w:p>
            <w:pPr>
              <w:spacing w:after="0"/>
              <w:rPr>
                <w:sz w:val="18"/>
                <w:szCs w:val="18"/>
                <w:color w:val="auto"/>
              </w:rPr>
            </w:pPr>
          </w:p>
        </w:tc>
      </w:tr>
      <w:tr>
        <w:trPr>
          <w:trHeight w:val="208"/>
        </w:trPr>
        <w:tc>
          <w:tcPr>
            <w:tcW w:w="2520" w:type="dxa"/>
            <w:vAlign w:val="bottom"/>
            <w:shd w:val="clear" w:color="auto" w:fill="CCEEFF"/>
          </w:tcPr>
          <w:p>
            <w:pPr>
              <w:spacing w:after="0"/>
              <w:rPr>
                <w:sz w:val="20"/>
                <w:szCs w:val="20"/>
                <w:color w:val="auto"/>
              </w:rPr>
            </w:pPr>
            <w:r>
              <w:rPr>
                <w:rFonts w:ascii="Arial" w:cs="Arial" w:eastAsia="Arial" w:hAnsi="Arial"/>
                <w:sz w:val="17"/>
                <w:szCs w:val="17"/>
                <w:color w:val="auto"/>
              </w:rPr>
              <w:t>Disability and survival (*)</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237,559</w:t>
            </w: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25.02</w:t>
            </w:r>
          </w:p>
        </w:tc>
        <w:tc>
          <w:tcPr>
            <w:tcW w:w="2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214,310</w:t>
            </w:r>
          </w:p>
        </w:tc>
        <w:tc>
          <w:tcPr>
            <w:tcW w:w="3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24.46</w:t>
            </w: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116,251</w:t>
            </w: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13.56</w:t>
            </w:r>
          </w:p>
        </w:tc>
        <w:tc>
          <w:tcPr>
            <w:tcW w:w="100" w:type="dxa"/>
            <w:vAlign w:val="bottom"/>
            <w:shd w:val="clear" w:color="auto" w:fill="CCEEFF"/>
          </w:tcPr>
          <w:p>
            <w:pPr>
              <w:spacing w:after="0"/>
              <w:rPr>
                <w:sz w:val="18"/>
                <w:szCs w:val="18"/>
                <w:color w:val="auto"/>
              </w:rPr>
            </w:pPr>
          </w:p>
        </w:tc>
      </w:tr>
      <w:tr>
        <w:trPr>
          <w:trHeight w:val="208"/>
        </w:trPr>
        <w:tc>
          <w:tcPr>
            <w:tcW w:w="2520" w:type="dxa"/>
            <w:vAlign w:val="bottom"/>
          </w:tcPr>
          <w:p>
            <w:pPr>
              <w:spacing w:after="0"/>
              <w:rPr>
                <w:sz w:val="20"/>
                <w:szCs w:val="20"/>
                <w:color w:val="auto"/>
              </w:rPr>
            </w:pPr>
            <w:r>
              <w:rPr>
                <w:rFonts w:ascii="Arial" w:cs="Arial" w:eastAsia="Arial" w:hAnsi="Arial"/>
                <w:sz w:val="17"/>
                <w:szCs w:val="17"/>
                <w:color w:val="auto"/>
              </w:rPr>
              <w:t>Annuities</w:t>
            </w:r>
          </w:p>
        </w:tc>
        <w:tc>
          <w:tcPr>
            <w:tcW w:w="1460" w:type="dxa"/>
            <w:vAlign w:val="bottom"/>
            <w:gridSpan w:val="2"/>
          </w:tcPr>
          <w:p>
            <w:pPr>
              <w:jc w:val="right"/>
              <w:ind w:right="220"/>
              <w:spacing w:after="0"/>
              <w:rPr>
                <w:sz w:val="20"/>
                <w:szCs w:val="20"/>
                <w:color w:val="auto"/>
              </w:rPr>
            </w:pPr>
            <w:r>
              <w:rPr>
                <w:rFonts w:ascii="Arial" w:cs="Arial" w:eastAsia="Arial" w:hAnsi="Arial"/>
                <w:sz w:val="17"/>
                <w:szCs w:val="17"/>
                <w:color w:val="auto"/>
              </w:rPr>
              <w:t>26,093</w:t>
            </w:r>
          </w:p>
        </w:tc>
        <w:tc>
          <w:tcPr>
            <w:tcW w:w="30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7"/>
                <w:szCs w:val="17"/>
                <w:color w:val="auto"/>
              </w:rPr>
              <w:t>2.75</w:t>
            </w:r>
          </w:p>
        </w:tc>
        <w:tc>
          <w:tcPr>
            <w:tcW w:w="1400" w:type="dxa"/>
            <w:vAlign w:val="bottom"/>
            <w:gridSpan w:val="2"/>
          </w:tcPr>
          <w:p>
            <w:pPr>
              <w:jc w:val="right"/>
              <w:ind w:right="200"/>
              <w:spacing w:after="0"/>
              <w:rPr>
                <w:sz w:val="20"/>
                <w:szCs w:val="20"/>
                <w:color w:val="auto"/>
              </w:rPr>
            </w:pPr>
            <w:r>
              <w:rPr>
                <w:rFonts w:ascii="Arial" w:cs="Arial" w:eastAsia="Arial" w:hAnsi="Arial"/>
                <w:sz w:val="17"/>
                <w:szCs w:val="17"/>
                <w:color w:val="auto"/>
              </w:rPr>
              <w:t>28,799</w:t>
            </w:r>
          </w:p>
        </w:tc>
        <w:tc>
          <w:tcPr>
            <w:tcW w:w="30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7"/>
                <w:szCs w:val="17"/>
                <w:color w:val="auto"/>
              </w:rPr>
              <w:t>3.29</w:t>
            </w:r>
          </w:p>
        </w:tc>
        <w:tc>
          <w:tcPr>
            <w:tcW w:w="1400" w:type="dxa"/>
            <w:vAlign w:val="bottom"/>
            <w:gridSpan w:val="2"/>
          </w:tcPr>
          <w:p>
            <w:pPr>
              <w:jc w:val="right"/>
              <w:ind w:right="200"/>
              <w:spacing w:after="0"/>
              <w:rPr>
                <w:sz w:val="20"/>
                <w:szCs w:val="20"/>
                <w:color w:val="auto"/>
              </w:rPr>
            </w:pPr>
            <w:r>
              <w:rPr>
                <w:rFonts w:ascii="Arial" w:cs="Arial" w:eastAsia="Arial" w:hAnsi="Arial"/>
                <w:sz w:val="17"/>
                <w:szCs w:val="17"/>
                <w:color w:val="auto"/>
              </w:rPr>
              <w:t>16,853</w:t>
            </w:r>
          </w:p>
        </w:tc>
        <w:tc>
          <w:tcPr>
            <w:tcW w:w="3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1.96</w:t>
            </w:r>
          </w:p>
        </w:tc>
        <w:tc>
          <w:tcPr>
            <w:tcW w:w="100" w:type="dxa"/>
            <w:vAlign w:val="bottom"/>
          </w:tcPr>
          <w:p>
            <w:pPr>
              <w:spacing w:after="0"/>
              <w:rPr>
                <w:sz w:val="18"/>
                <w:szCs w:val="18"/>
                <w:color w:val="auto"/>
              </w:rPr>
            </w:pPr>
          </w:p>
        </w:tc>
      </w:tr>
      <w:tr>
        <w:trPr>
          <w:trHeight w:val="195"/>
        </w:trPr>
        <w:tc>
          <w:tcPr>
            <w:tcW w:w="2520" w:type="dxa"/>
            <w:vAlign w:val="bottom"/>
            <w:shd w:val="clear" w:color="auto" w:fill="CCEEFF"/>
          </w:tcPr>
          <w:p>
            <w:pPr>
              <w:spacing w:after="0"/>
              <w:rPr>
                <w:sz w:val="20"/>
                <w:szCs w:val="20"/>
                <w:color w:val="auto"/>
              </w:rPr>
            </w:pPr>
            <w:r>
              <w:rPr>
                <w:rFonts w:ascii="Arial" w:cs="Arial" w:eastAsia="Arial" w:hAnsi="Arial"/>
                <w:sz w:val="17"/>
                <w:szCs w:val="17"/>
                <w:color w:val="auto"/>
              </w:rPr>
              <w:t>Individual life and personal</w:t>
            </w:r>
          </w:p>
        </w:tc>
        <w:tc>
          <w:tcPr>
            <w:tcW w:w="12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33"/>
        </w:trPr>
        <w:tc>
          <w:tcPr>
            <w:tcW w:w="2520" w:type="dxa"/>
            <w:vAlign w:val="bottom"/>
            <w:shd w:val="clear" w:color="auto" w:fill="CCEEFF"/>
          </w:tcPr>
          <w:p>
            <w:pPr>
              <w:spacing w:after="0"/>
              <w:rPr>
                <w:sz w:val="20"/>
                <w:szCs w:val="20"/>
                <w:color w:val="auto"/>
              </w:rPr>
            </w:pPr>
            <w:r>
              <w:rPr>
                <w:rFonts w:ascii="Arial" w:cs="Arial" w:eastAsia="Arial" w:hAnsi="Arial"/>
                <w:sz w:val="17"/>
                <w:szCs w:val="17"/>
                <w:color w:val="auto"/>
              </w:rPr>
              <w:t>accidents</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131,840</w:t>
            </w:r>
          </w:p>
        </w:tc>
        <w:tc>
          <w:tcPr>
            <w:tcW w:w="30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13.89</w:t>
            </w:r>
          </w:p>
        </w:tc>
        <w:tc>
          <w:tcPr>
            <w:tcW w:w="24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147,949</w:t>
            </w:r>
          </w:p>
        </w:tc>
        <w:tc>
          <w:tcPr>
            <w:tcW w:w="30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16.88</w:t>
            </w: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192,972</w:t>
            </w:r>
          </w:p>
        </w:tc>
        <w:tc>
          <w:tcPr>
            <w:tcW w:w="30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22.50</w:t>
            </w:r>
          </w:p>
        </w:tc>
        <w:tc>
          <w:tcPr>
            <w:tcW w:w="100" w:type="dxa"/>
            <w:vAlign w:val="bottom"/>
            <w:shd w:val="clear" w:color="auto" w:fill="CCEEFF"/>
          </w:tcPr>
          <w:p>
            <w:pPr>
              <w:spacing w:after="0"/>
              <w:rPr>
                <w:sz w:val="20"/>
                <w:szCs w:val="20"/>
                <w:color w:val="auto"/>
              </w:rPr>
            </w:pPr>
          </w:p>
        </w:tc>
      </w:tr>
      <w:tr>
        <w:trPr>
          <w:trHeight w:val="169"/>
        </w:trPr>
        <w:tc>
          <w:tcPr>
            <w:tcW w:w="2520" w:type="dxa"/>
            <w:vAlign w:val="bottom"/>
          </w:tcPr>
          <w:p>
            <w:pPr>
              <w:spacing w:after="0" w:line="170" w:lineRule="exact"/>
              <w:rPr>
                <w:sz w:val="20"/>
                <w:szCs w:val="20"/>
                <w:color w:val="auto"/>
              </w:rPr>
            </w:pPr>
            <w:r>
              <w:rPr>
                <w:rFonts w:ascii="Arial" w:cs="Arial" w:eastAsia="Arial" w:hAnsi="Arial"/>
                <w:sz w:val="17"/>
                <w:szCs w:val="17"/>
                <w:b w:val="1"/>
                <w:bCs w:val="1"/>
                <w:color w:val="auto"/>
              </w:rPr>
              <w:t>Total life insurance gross</w:t>
            </w:r>
          </w:p>
        </w:tc>
        <w:tc>
          <w:tcPr>
            <w:tcW w:w="124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252"/>
        </w:trPr>
        <w:tc>
          <w:tcPr>
            <w:tcW w:w="2520" w:type="dxa"/>
            <w:vAlign w:val="bottom"/>
          </w:tcPr>
          <w:p>
            <w:pPr>
              <w:spacing w:after="0"/>
              <w:rPr>
                <w:sz w:val="20"/>
                <w:szCs w:val="20"/>
                <w:color w:val="auto"/>
              </w:rPr>
            </w:pPr>
            <w:r>
              <w:rPr>
                <w:rFonts w:ascii="Arial" w:cs="Arial" w:eastAsia="Arial" w:hAnsi="Arial"/>
                <w:sz w:val="17"/>
                <w:szCs w:val="17"/>
                <w:b w:val="1"/>
                <w:bCs w:val="1"/>
                <w:color w:val="auto"/>
              </w:rPr>
              <w:t>premiums</w:t>
            </w:r>
          </w:p>
        </w:tc>
        <w:tc>
          <w:tcPr>
            <w:tcW w:w="1460" w:type="dxa"/>
            <w:vAlign w:val="bottom"/>
            <w:gridSpan w:val="2"/>
          </w:tcPr>
          <w:p>
            <w:pPr>
              <w:jc w:val="right"/>
              <w:ind w:right="220"/>
              <w:spacing w:after="0"/>
              <w:rPr>
                <w:sz w:val="20"/>
                <w:szCs w:val="20"/>
                <w:color w:val="auto"/>
              </w:rPr>
            </w:pPr>
            <w:r>
              <w:rPr>
                <w:rFonts w:ascii="Arial" w:cs="Arial" w:eastAsia="Arial" w:hAnsi="Arial"/>
                <w:sz w:val="17"/>
                <w:szCs w:val="17"/>
                <w:color w:val="auto"/>
              </w:rPr>
              <w:t>949,515</w:t>
            </w:r>
          </w:p>
        </w:tc>
        <w:tc>
          <w:tcPr>
            <w:tcW w:w="300" w:type="dxa"/>
            <w:vAlign w:val="bottom"/>
          </w:tcPr>
          <w:p>
            <w:pPr>
              <w:spacing w:after="0"/>
              <w:rPr>
                <w:sz w:val="21"/>
                <w:szCs w:val="21"/>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7"/>
                <w:szCs w:val="17"/>
                <w:color w:val="auto"/>
              </w:rPr>
              <w:t>100.00</w:t>
            </w:r>
          </w:p>
        </w:tc>
        <w:tc>
          <w:tcPr>
            <w:tcW w:w="1400" w:type="dxa"/>
            <w:vAlign w:val="bottom"/>
            <w:gridSpan w:val="2"/>
          </w:tcPr>
          <w:p>
            <w:pPr>
              <w:jc w:val="right"/>
              <w:ind w:right="200"/>
              <w:spacing w:after="0"/>
              <w:rPr>
                <w:sz w:val="20"/>
                <w:szCs w:val="20"/>
                <w:color w:val="auto"/>
              </w:rPr>
            </w:pPr>
            <w:r>
              <w:rPr>
                <w:rFonts w:ascii="Arial" w:cs="Arial" w:eastAsia="Arial" w:hAnsi="Arial"/>
                <w:sz w:val="17"/>
                <w:szCs w:val="17"/>
                <w:color w:val="auto"/>
              </w:rPr>
              <w:t>876,315</w:t>
            </w:r>
          </w:p>
        </w:tc>
        <w:tc>
          <w:tcPr>
            <w:tcW w:w="300" w:type="dxa"/>
            <w:vAlign w:val="bottom"/>
          </w:tcPr>
          <w:p>
            <w:pPr>
              <w:spacing w:after="0"/>
              <w:rPr>
                <w:sz w:val="21"/>
                <w:szCs w:val="21"/>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7"/>
                <w:szCs w:val="17"/>
                <w:color w:val="auto"/>
              </w:rPr>
              <w:t>100.00</w:t>
            </w:r>
          </w:p>
        </w:tc>
        <w:tc>
          <w:tcPr>
            <w:tcW w:w="1400" w:type="dxa"/>
            <w:vAlign w:val="bottom"/>
            <w:gridSpan w:val="2"/>
          </w:tcPr>
          <w:p>
            <w:pPr>
              <w:jc w:val="right"/>
              <w:ind w:right="200"/>
              <w:spacing w:after="0"/>
              <w:rPr>
                <w:sz w:val="20"/>
                <w:szCs w:val="20"/>
                <w:color w:val="auto"/>
              </w:rPr>
            </w:pPr>
            <w:r>
              <w:rPr>
                <w:rFonts w:ascii="Arial" w:cs="Arial" w:eastAsia="Arial" w:hAnsi="Arial"/>
                <w:sz w:val="17"/>
                <w:szCs w:val="17"/>
                <w:color w:val="auto"/>
              </w:rPr>
              <w:t>857,576</w:t>
            </w:r>
          </w:p>
        </w:tc>
        <w:tc>
          <w:tcPr>
            <w:tcW w:w="3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100.00</w:t>
            </w:r>
          </w:p>
        </w:tc>
        <w:tc>
          <w:tcPr>
            <w:tcW w:w="100" w:type="dxa"/>
            <w:vAlign w:val="bottom"/>
          </w:tcPr>
          <w:p>
            <w:pPr>
              <w:spacing w:after="0"/>
              <w:rPr>
                <w:sz w:val="21"/>
                <w:szCs w:val="21"/>
                <w:color w:val="auto"/>
              </w:rPr>
            </w:pPr>
          </w:p>
        </w:tc>
      </w:tr>
      <w:tr>
        <w:trPr>
          <w:trHeight w:val="20"/>
        </w:trPr>
        <w:tc>
          <w:tcPr>
            <w:tcW w:w="252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5" w:lineRule="exact"/>
        <w:rPr>
          <w:sz w:val="20"/>
          <w:szCs w:val="20"/>
          <w:color w:val="auto"/>
        </w:rPr>
      </w:pPr>
    </w:p>
    <w:p>
      <w:pPr>
        <w:ind w:left="664" w:hanging="287"/>
        <w:spacing w:after="0"/>
        <w:tabs>
          <w:tab w:leader="none" w:pos="664" w:val="left"/>
        </w:tabs>
        <w:numPr>
          <w:ilvl w:val="1"/>
          <w:numId w:val="119"/>
        </w:numPr>
        <w:rPr>
          <w:rFonts w:ascii="Arial" w:cs="Arial" w:eastAsia="Arial" w:hAnsi="Arial"/>
          <w:sz w:val="17"/>
          <w:szCs w:val="17"/>
          <w:color w:val="auto"/>
        </w:rPr>
      </w:pPr>
      <w:r>
        <w:rPr>
          <w:rFonts w:ascii="Arial" w:cs="Arial" w:eastAsia="Arial" w:hAnsi="Arial"/>
          <w:sz w:val="17"/>
          <w:szCs w:val="17"/>
          <w:color w:val="auto"/>
        </w:rPr>
        <w:t>This item includes Complementary Work Risk Insurance (“SCTR” from its Spanish acronym).</w:t>
      </w:r>
    </w:p>
    <w:p>
      <w:pPr>
        <w:spacing w:after="0" w:line="220" w:lineRule="exact"/>
        <w:rPr>
          <w:rFonts w:ascii="Arial" w:cs="Arial" w:eastAsia="Arial" w:hAnsi="Arial"/>
          <w:sz w:val="17"/>
          <w:szCs w:val="17"/>
          <w:color w:val="auto"/>
        </w:rPr>
      </w:pPr>
    </w:p>
    <w:p>
      <w:pPr>
        <w:ind w:left="424" w:hanging="424"/>
        <w:spacing w:after="0" w:line="355" w:lineRule="auto"/>
        <w:tabs>
          <w:tab w:leader="none" w:pos="424" w:val="left"/>
        </w:tabs>
        <w:numPr>
          <w:ilvl w:val="0"/>
          <w:numId w:val="119"/>
        </w:numPr>
        <w:rPr>
          <w:rFonts w:ascii="Arial" w:cs="Arial" w:eastAsia="Arial" w:hAnsi="Arial"/>
          <w:sz w:val="15"/>
          <w:szCs w:val="15"/>
          <w:color w:val="auto"/>
        </w:rPr>
      </w:pPr>
      <w:r>
        <w:rPr>
          <w:rFonts w:ascii="Arial" w:cs="Arial" w:eastAsia="Arial" w:hAnsi="Arial"/>
          <w:sz w:val="15"/>
          <w:szCs w:val="15"/>
          <w:color w:val="auto"/>
        </w:rPr>
        <w:t>Health insurance gross premium includes medical assistance which amounts to S/386.3 million at December 31, 2017, (S/371.2 and S/348.8 at December 31, 2016 and 2015, respectively) and represents 88.83 percent of this line of business at 2017 (89.42 and 89.9 percent at 2016 and 2015, respectively).</w:t>
      </w:r>
    </w:p>
    <w:p>
      <w:pPr>
        <w:spacing w:after="0" w:line="321" w:lineRule="exact"/>
        <w:rPr>
          <w:rFonts w:ascii="Arial" w:cs="Arial" w:eastAsia="Arial" w:hAnsi="Arial"/>
          <w:sz w:val="15"/>
          <w:szCs w:val="15"/>
          <w:color w:val="auto"/>
        </w:rPr>
      </w:pPr>
    </w:p>
    <w:p>
      <w:pPr>
        <w:ind w:left="5324" w:hanging="107"/>
        <w:spacing w:after="0"/>
        <w:tabs>
          <w:tab w:leader="none" w:pos="5324" w:val="left"/>
        </w:tabs>
        <w:numPr>
          <w:ilvl w:val="2"/>
          <w:numId w:val="119"/>
        </w:numPr>
        <w:rPr>
          <w:rFonts w:ascii="Arial" w:cs="Arial" w:eastAsia="Arial" w:hAnsi="Arial"/>
          <w:sz w:val="17"/>
          <w:szCs w:val="17"/>
          <w:color w:val="auto"/>
        </w:rPr>
      </w:pPr>
      <w:r>
        <w:rPr>
          <w:rFonts w:ascii="Arial" w:cs="Arial" w:eastAsia="Arial" w:hAnsi="Arial"/>
          <w:sz w:val="17"/>
          <w:szCs w:val="17"/>
          <w:color w:val="auto"/>
        </w:rPr>
        <w:t>99 -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-197485</wp:posOffset>
            </wp:positionH>
            <wp:positionV relativeFrom="paragraph">
              <wp:posOffset>15875</wp:posOffset>
            </wp:positionV>
            <wp:extent cx="725170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51700" cy="8255"/>
                    </a:xfrm>
                    <a:prstGeom prst="rect">
                      <a:avLst/>
                    </a:prstGeom>
                    <a:noFill/>
                  </pic:spPr>
                </pic:pic>
              </a:graphicData>
            </a:graphic>
          </wp:anchor>
        </w:drawing>
      </w:r>
    </w:p>
    <w:p>
      <w:pPr>
        <w:sectPr>
          <w:pgSz w:w="11900" w:h="16838" w:orient="portrait"/>
          <w:cols w:equalWidth="0" w:num="1">
            <w:col w:w="11044"/>
          </w:cols>
          <w:pgMar w:left="556" w:top="881" w:right="299" w:bottom="1440" w:gutter="0" w:footer="0" w:header="0"/>
        </w:sectPr>
      </w:pPr>
    </w:p>
    <w:bookmarkStart w:id="105" w:name="page106"/>
    <w:bookmarkEnd w:id="105"/>
    <w:p>
      <w:pPr>
        <w:spacing w:after="0"/>
        <w:tabs>
          <w:tab w:leader="none" w:pos="400" w:val="left"/>
        </w:tabs>
        <w:rPr>
          <w:sz w:val="20"/>
          <w:szCs w:val="20"/>
          <w:color w:val="auto"/>
        </w:rPr>
      </w:pPr>
      <w:r>
        <w:rPr>
          <w:rFonts w:ascii="Arial" w:cs="Arial" w:eastAsia="Arial" w:hAnsi="Arial"/>
          <w:sz w:val="17"/>
          <w:szCs w:val="17"/>
          <w:color w:val="auto"/>
        </w:rPr>
        <w:t>(iii)</w:t>
      </w:r>
      <w:r>
        <w:rPr>
          <w:sz w:val="20"/>
          <w:szCs w:val="20"/>
          <w:color w:val="auto"/>
        </w:rPr>
        <w:tab/>
      </w:r>
      <w:r>
        <w:rPr>
          <w:rFonts w:ascii="Arial" w:cs="Arial" w:eastAsia="Arial" w:hAnsi="Arial"/>
          <w:sz w:val="15"/>
          <w:szCs w:val="15"/>
          <w:color w:val="auto"/>
        </w:rPr>
        <w:t>General insurance gross premiums consists of the following:</w:t>
      </w:r>
    </w:p>
    <w:p>
      <w:pPr>
        <w:spacing w:after="0" w:line="227" w:lineRule="exact"/>
        <w:rPr>
          <w:sz w:val="20"/>
          <w:szCs w:val="20"/>
          <w:color w:val="auto"/>
        </w:rPr>
      </w:pPr>
    </w:p>
    <w:tbl>
      <w:tblPr>
        <w:tblLayout w:type="fixed"/>
        <w:tblInd w:w="420" w:type="dxa"/>
        <w:tblCellMar>
          <w:top w:w="0" w:type="dxa"/>
          <w:left w:w="0" w:type="dxa"/>
          <w:bottom w:w="0" w:type="dxa"/>
          <w:right w:w="0" w:type="dxa"/>
        </w:tblCellMar>
      </w:tblPr>
      <w:tr>
        <w:trPr>
          <w:trHeight w:val="226"/>
        </w:trPr>
        <w:tc>
          <w:tcPr>
            <w:tcW w:w="2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1640" w:type="dxa"/>
            <w:vAlign w:val="bottom"/>
            <w:tcBorders>
              <w:bottom w:val="single" w:sz="8" w:color="auto"/>
            </w:tcBorders>
            <w:gridSpan w:val="3"/>
          </w:tcPr>
          <w:p>
            <w:pPr>
              <w:jc w:val="right"/>
              <w:ind w:right="220"/>
              <w:spacing w:after="0"/>
              <w:rPr>
                <w:sz w:val="20"/>
                <w:szCs w:val="20"/>
                <w:color w:val="auto"/>
              </w:rPr>
            </w:pPr>
            <w:r>
              <w:rPr>
                <w:rFonts w:ascii="Arial" w:cs="Arial" w:eastAsia="Arial" w:hAnsi="Arial"/>
                <w:sz w:val="17"/>
                <w:szCs w:val="17"/>
                <w:b w:val="1"/>
                <w:bCs w:val="1"/>
                <w:color w:val="auto"/>
              </w:rPr>
              <w:t>2017</w:t>
            </w:r>
          </w:p>
        </w:tc>
        <w:tc>
          <w:tcPr>
            <w:tcW w:w="86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640" w:type="dxa"/>
            <w:vAlign w:val="bottom"/>
            <w:tcBorders>
              <w:bottom w:val="single" w:sz="8" w:color="auto"/>
            </w:tcBorders>
            <w:gridSpan w:val="3"/>
          </w:tcPr>
          <w:p>
            <w:pPr>
              <w:jc w:val="right"/>
              <w:ind w:right="220"/>
              <w:spacing w:after="0"/>
              <w:rPr>
                <w:sz w:val="20"/>
                <w:szCs w:val="20"/>
                <w:color w:val="auto"/>
              </w:rPr>
            </w:pPr>
            <w:r>
              <w:rPr>
                <w:rFonts w:ascii="Arial" w:cs="Arial" w:eastAsia="Arial" w:hAnsi="Arial"/>
                <w:sz w:val="17"/>
                <w:szCs w:val="17"/>
                <w:b w:val="1"/>
                <w:bCs w:val="1"/>
                <w:color w:val="auto"/>
              </w:rPr>
              <w:t>2016</w:t>
            </w:r>
          </w:p>
        </w:tc>
        <w:tc>
          <w:tcPr>
            <w:tcW w:w="86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640" w:type="dxa"/>
            <w:vAlign w:val="bottom"/>
            <w:tcBorders>
              <w:bottom w:val="single" w:sz="8" w:color="auto"/>
            </w:tcBorders>
            <w:gridSpan w:val="3"/>
          </w:tcPr>
          <w:p>
            <w:pPr>
              <w:jc w:val="right"/>
              <w:ind w:right="220"/>
              <w:spacing w:after="0"/>
              <w:rPr>
                <w:sz w:val="20"/>
                <w:szCs w:val="20"/>
                <w:color w:val="auto"/>
              </w:rPr>
            </w:pPr>
            <w:r>
              <w:rPr>
                <w:rFonts w:ascii="Arial" w:cs="Arial" w:eastAsia="Arial" w:hAnsi="Arial"/>
                <w:sz w:val="17"/>
                <w:szCs w:val="17"/>
                <w:b w:val="1"/>
                <w:bCs w:val="1"/>
                <w:color w:val="auto"/>
              </w:rPr>
              <w:t>2015</w:t>
            </w:r>
          </w:p>
        </w:tc>
        <w:tc>
          <w:tcPr>
            <w:tcW w:w="8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1640" w:type="dxa"/>
            <w:vAlign w:val="bottom"/>
            <w:gridSpan w:val="3"/>
          </w:tcPr>
          <w:p>
            <w:pPr>
              <w:jc w:val="right"/>
              <w:ind w:right="800"/>
              <w:spacing w:after="0"/>
              <w:rPr>
                <w:sz w:val="20"/>
                <w:szCs w:val="20"/>
                <w:color w:val="auto"/>
              </w:rPr>
            </w:pPr>
            <w:r>
              <w:rPr>
                <w:rFonts w:ascii="Arial" w:cs="Arial" w:eastAsia="Arial" w:hAnsi="Arial"/>
                <w:sz w:val="17"/>
                <w:szCs w:val="17"/>
                <w:b w:val="1"/>
                <w:bCs w:val="1"/>
                <w:color w:val="auto"/>
              </w:rPr>
              <w:t>S/(000)</w:t>
            </w:r>
          </w:p>
        </w:tc>
        <w:tc>
          <w:tcPr>
            <w:tcW w:w="860" w:type="dxa"/>
            <w:vAlign w:val="bottom"/>
          </w:tcPr>
          <w:p>
            <w:pPr>
              <w:jc w:val="right"/>
              <w:ind w:right="393"/>
              <w:spacing w:after="0"/>
              <w:rPr>
                <w:sz w:val="20"/>
                <w:szCs w:val="20"/>
                <w:color w:val="auto"/>
              </w:rPr>
            </w:pPr>
            <w:r>
              <w:rPr>
                <w:rFonts w:ascii="Arial" w:cs="Arial" w:eastAsia="Arial" w:hAnsi="Arial"/>
                <w:sz w:val="17"/>
                <w:szCs w:val="17"/>
                <w:b w:val="1"/>
                <w:bCs w:val="1"/>
                <w:color w:val="auto"/>
              </w:rPr>
              <w:t>%</w:t>
            </w:r>
          </w:p>
        </w:tc>
        <w:tc>
          <w:tcPr>
            <w:tcW w:w="200" w:type="dxa"/>
            <w:vAlign w:val="bottom"/>
          </w:tcPr>
          <w:p>
            <w:pPr>
              <w:spacing w:after="0"/>
              <w:rPr>
                <w:sz w:val="19"/>
                <w:szCs w:val="19"/>
                <w:color w:val="auto"/>
              </w:rPr>
            </w:pPr>
          </w:p>
        </w:tc>
        <w:tc>
          <w:tcPr>
            <w:tcW w:w="1640" w:type="dxa"/>
            <w:vAlign w:val="bottom"/>
            <w:gridSpan w:val="3"/>
          </w:tcPr>
          <w:p>
            <w:pPr>
              <w:jc w:val="right"/>
              <w:ind w:right="800"/>
              <w:spacing w:after="0"/>
              <w:rPr>
                <w:sz w:val="20"/>
                <w:szCs w:val="20"/>
                <w:color w:val="auto"/>
              </w:rPr>
            </w:pPr>
            <w:r>
              <w:rPr>
                <w:rFonts w:ascii="Arial" w:cs="Arial" w:eastAsia="Arial" w:hAnsi="Arial"/>
                <w:sz w:val="17"/>
                <w:szCs w:val="17"/>
                <w:b w:val="1"/>
                <w:bCs w:val="1"/>
                <w:color w:val="auto"/>
              </w:rPr>
              <w:t>S/(000)</w:t>
            </w:r>
          </w:p>
        </w:tc>
        <w:tc>
          <w:tcPr>
            <w:tcW w:w="860" w:type="dxa"/>
            <w:vAlign w:val="bottom"/>
          </w:tcPr>
          <w:p>
            <w:pPr>
              <w:jc w:val="right"/>
              <w:ind w:right="393"/>
              <w:spacing w:after="0"/>
              <w:rPr>
                <w:sz w:val="20"/>
                <w:szCs w:val="20"/>
                <w:color w:val="auto"/>
              </w:rPr>
            </w:pPr>
            <w:r>
              <w:rPr>
                <w:rFonts w:ascii="Arial" w:cs="Arial" w:eastAsia="Arial" w:hAnsi="Arial"/>
                <w:sz w:val="17"/>
                <w:szCs w:val="17"/>
                <w:b w:val="1"/>
                <w:bCs w:val="1"/>
                <w:color w:val="auto"/>
              </w:rPr>
              <w:t>%</w:t>
            </w:r>
          </w:p>
        </w:tc>
        <w:tc>
          <w:tcPr>
            <w:tcW w:w="200" w:type="dxa"/>
            <w:vAlign w:val="bottom"/>
          </w:tcPr>
          <w:p>
            <w:pPr>
              <w:spacing w:after="0"/>
              <w:rPr>
                <w:sz w:val="19"/>
                <w:szCs w:val="19"/>
                <w:color w:val="auto"/>
              </w:rPr>
            </w:pPr>
          </w:p>
        </w:tc>
        <w:tc>
          <w:tcPr>
            <w:tcW w:w="1640" w:type="dxa"/>
            <w:vAlign w:val="bottom"/>
            <w:gridSpan w:val="3"/>
          </w:tcPr>
          <w:p>
            <w:pPr>
              <w:jc w:val="right"/>
              <w:ind w:right="800"/>
              <w:spacing w:after="0"/>
              <w:rPr>
                <w:sz w:val="20"/>
                <w:szCs w:val="20"/>
                <w:color w:val="auto"/>
              </w:rPr>
            </w:pPr>
            <w:r>
              <w:rPr>
                <w:rFonts w:ascii="Arial" w:cs="Arial" w:eastAsia="Arial" w:hAnsi="Arial"/>
                <w:sz w:val="17"/>
                <w:szCs w:val="17"/>
                <w:b w:val="1"/>
                <w:bCs w:val="1"/>
                <w:color w:val="auto"/>
              </w:rPr>
              <w:t>S/(000)</w:t>
            </w:r>
          </w:p>
        </w:tc>
        <w:tc>
          <w:tcPr>
            <w:tcW w:w="860" w:type="dxa"/>
            <w:vAlign w:val="bottom"/>
          </w:tcPr>
          <w:p>
            <w:pPr>
              <w:jc w:val="right"/>
              <w:ind w:right="393"/>
              <w:spacing w:after="0"/>
              <w:rPr>
                <w:sz w:val="20"/>
                <w:szCs w:val="20"/>
                <w:color w:val="auto"/>
              </w:rPr>
            </w:pPr>
            <w:r>
              <w:rPr>
                <w:rFonts w:ascii="Arial" w:cs="Arial" w:eastAsia="Arial" w:hAnsi="Arial"/>
                <w:sz w:val="17"/>
                <w:szCs w:val="17"/>
                <w:b w:val="1"/>
                <w:bCs w:val="1"/>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23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2360" w:type="dxa"/>
            <w:vAlign w:val="bottom"/>
            <w:shd w:val="clear" w:color="auto" w:fill="CCEEFF"/>
          </w:tcPr>
          <w:p>
            <w:pPr>
              <w:spacing w:after="0"/>
              <w:rPr>
                <w:sz w:val="20"/>
                <w:szCs w:val="20"/>
                <w:color w:val="auto"/>
              </w:rPr>
            </w:pPr>
            <w:r>
              <w:rPr>
                <w:rFonts w:ascii="Arial" w:cs="Arial" w:eastAsia="Arial" w:hAnsi="Arial"/>
                <w:sz w:val="17"/>
                <w:szCs w:val="17"/>
                <w:color w:val="auto"/>
              </w:rPr>
              <w:t>Automobile</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308,910</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33.56</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335,790</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33.39</w:t>
            </w: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319,130</w:t>
            </w: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33.66</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360" w:type="dxa"/>
            <w:vAlign w:val="bottom"/>
          </w:tcPr>
          <w:p>
            <w:pPr>
              <w:spacing w:after="0"/>
              <w:rPr>
                <w:sz w:val="20"/>
                <w:szCs w:val="20"/>
                <w:color w:val="auto"/>
              </w:rPr>
            </w:pPr>
            <w:r>
              <w:rPr>
                <w:rFonts w:ascii="Arial" w:cs="Arial" w:eastAsia="Arial" w:hAnsi="Arial"/>
                <w:sz w:val="17"/>
                <w:szCs w:val="17"/>
                <w:color w:val="auto"/>
              </w:rPr>
              <w:t>Fire and allied lines</w:t>
            </w:r>
          </w:p>
        </w:tc>
        <w:tc>
          <w:tcPr>
            <w:tcW w:w="1360" w:type="dxa"/>
            <w:vAlign w:val="bottom"/>
            <w:gridSpan w:val="2"/>
          </w:tcPr>
          <w:p>
            <w:pPr>
              <w:jc w:val="right"/>
              <w:ind w:right="220"/>
              <w:spacing w:after="0"/>
              <w:rPr>
                <w:sz w:val="20"/>
                <w:szCs w:val="20"/>
                <w:color w:val="auto"/>
              </w:rPr>
            </w:pPr>
            <w:r>
              <w:rPr>
                <w:rFonts w:ascii="Arial" w:cs="Arial" w:eastAsia="Arial" w:hAnsi="Arial"/>
                <w:sz w:val="17"/>
                <w:szCs w:val="17"/>
                <w:color w:val="auto"/>
              </w:rPr>
              <w:t>241,498</w:t>
            </w:r>
          </w:p>
        </w:tc>
        <w:tc>
          <w:tcPr>
            <w:tcW w:w="28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7"/>
                <w:szCs w:val="17"/>
                <w:color w:val="auto"/>
              </w:rPr>
              <w:t>26.23</w:t>
            </w:r>
          </w:p>
        </w:tc>
        <w:tc>
          <w:tcPr>
            <w:tcW w:w="1360" w:type="dxa"/>
            <w:vAlign w:val="bottom"/>
            <w:gridSpan w:val="2"/>
          </w:tcPr>
          <w:p>
            <w:pPr>
              <w:jc w:val="right"/>
              <w:ind w:right="220"/>
              <w:spacing w:after="0"/>
              <w:rPr>
                <w:sz w:val="20"/>
                <w:szCs w:val="20"/>
                <w:color w:val="auto"/>
              </w:rPr>
            </w:pPr>
            <w:r>
              <w:rPr>
                <w:rFonts w:ascii="Arial" w:cs="Arial" w:eastAsia="Arial" w:hAnsi="Arial"/>
                <w:sz w:val="17"/>
                <w:szCs w:val="17"/>
                <w:color w:val="auto"/>
              </w:rPr>
              <w:t>274,206</w:t>
            </w:r>
          </w:p>
        </w:tc>
        <w:tc>
          <w:tcPr>
            <w:tcW w:w="28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7"/>
                <w:szCs w:val="17"/>
                <w:color w:val="auto"/>
              </w:rPr>
              <w:t>27.27</w:t>
            </w:r>
          </w:p>
        </w:tc>
        <w:tc>
          <w:tcPr>
            <w:tcW w:w="1360" w:type="dxa"/>
            <w:vAlign w:val="bottom"/>
            <w:gridSpan w:val="2"/>
          </w:tcPr>
          <w:p>
            <w:pPr>
              <w:jc w:val="right"/>
              <w:ind w:right="200"/>
              <w:spacing w:after="0"/>
              <w:rPr>
                <w:sz w:val="20"/>
                <w:szCs w:val="20"/>
                <w:color w:val="auto"/>
              </w:rPr>
            </w:pPr>
            <w:r>
              <w:rPr>
                <w:rFonts w:ascii="Arial" w:cs="Arial" w:eastAsia="Arial" w:hAnsi="Arial"/>
                <w:sz w:val="17"/>
                <w:szCs w:val="17"/>
                <w:color w:val="auto"/>
              </w:rPr>
              <w:t>212,197</w:t>
            </w:r>
          </w:p>
        </w:tc>
        <w:tc>
          <w:tcPr>
            <w:tcW w:w="2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7"/>
                <w:szCs w:val="17"/>
                <w:color w:val="auto"/>
              </w:rPr>
              <w:t>22.38</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360" w:type="dxa"/>
            <w:vAlign w:val="bottom"/>
            <w:shd w:val="clear" w:color="auto" w:fill="CCEEFF"/>
          </w:tcPr>
          <w:p>
            <w:pPr>
              <w:spacing w:after="0"/>
              <w:rPr>
                <w:sz w:val="20"/>
                <w:szCs w:val="20"/>
                <w:color w:val="auto"/>
              </w:rPr>
            </w:pPr>
            <w:r>
              <w:rPr>
                <w:rFonts w:ascii="Arial" w:cs="Arial" w:eastAsia="Arial" w:hAnsi="Arial"/>
                <w:sz w:val="17"/>
                <w:szCs w:val="17"/>
                <w:color w:val="auto"/>
              </w:rPr>
              <w:t>Theft and robbery</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81,699</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8.87</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79,588</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7.92</w:t>
            </w: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73,305</w:t>
            </w: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7.73</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360" w:type="dxa"/>
            <w:vAlign w:val="bottom"/>
          </w:tcPr>
          <w:p>
            <w:pPr>
              <w:spacing w:after="0"/>
              <w:rPr>
                <w:sz w:val="20"/>
                <w:szCs w:val="20"/>
                <w:color w:val="auto"/>
              </w:rPr>
            </w:pPr>
            <w:r>
              <w:rPr>
                <w:rFonts w:ascii="Arial" w:cs="Arial" w:eastAsia="Arial" w:hAnsi="Arial"/>
                <w:sz w:val="17"/>
                <w:szCs w:val="17"/>
                <w:color w:val="auto"/>
              </w:rPr>
              <w:t>Technical lines (*)</w:t>
            </w:r>
          </w:p>
        </w:tc>
        <w:tc>
          <w:tcPr>
            <w:tcW w:w="1360" w:type="dxa"/>
            <w:vAlign w:val="bottom"/>
            <w:gridSpan w:val="2"/>
          </w:tcPr>
          <w:p>
            <w:pPr>
              <w:jc w:val="right"/>
              <w:ind w:right="220"/>
              <w:spacing w:after="0"/>
              <w:rPr>
                <w:sz w:val="20"/>
                <w:szCs w:val="20"/>
                <w:color w:val="auto"/>
              </w:rPr>
            </w:pPr>
            <w:r>
              <w:rPr>
                <w:rFonts w:ascii="Arial" w:cs="Arial" w:eastAsia="Arial" w:hAnsi="Arial"/>
                <w:sz w:val="17"/>
                <w:szCs w:val="17"/>
                <w:color w:val="auto"/>
              </w:rPr>
              <w:t>62,724</w:t>
            </w:r>
          </w:p>
        </w:tc>
        <w:tc>
          <w:tcPr>
            <w:tcW w:w="28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7"/>
                <w:szCs w:val="17"/>
                <w:color w:val="auto"/>
              </w:rPr>
              <w:t>6.81</w:t>
            </w:r>
          </w:p>
        </w:tc>
        <w:tc>
          <w:tcPr>
            <w:tcW w:w="1360" w:type="dxa"/>
            <w:vAlign w:val="bottom"/>
            <w:gridSpan w:val="2"/>
          </w:tcPr>
          <w:p>
            <w:pPr>
              <w:jc w:val="right"/>
              <w:ind w:right="220"/>
              <w:spacing w:after="0"/>
              <w:rPr>
                <w:sz w:val="20"/>
                <w:szCs w:val="20"/>
                <w:color w:val="auto"/>
              </w:rPr>
            </w:pPr>
            <w:r>
              <w:rPr>
                <w:rFonts w:ascii="Arial" w:cs="Arial" w:eastAsia="Arial" w:hAnsi="Arial"/>
                <w:sz w:val="17"/>
                <w:szCs w:val="17"/>
                <w:color w:val="auto"/>
              </w:rPr>
              <w:t>70,640</w:t>
            </w:r>
          </w:p>
        </w:tc>
        <w:tc>
          <w:tcPr>
            <w:tcW w:w="28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7"/>
                <w:szCs w:val="17"/>
                <w:color w:val="auto"/>
              </w:rPr>
              <w:t>7.03</w:t>
            </w:r>
          </w:p>
        </w:tc>
        <w:tc>
          <w:tcPr>
            <w:tcW w:w="1360" w:type="dxa"/>
            <w:vAlign w:val="bottom"/>
            <w:gridSpan w:val="2"/>
          </w:tcPr>
          <w:p>
            <w:pPr>
              <w:jc w:val="right"/>
              <w:ind w:right="200"/>
              <w:spacing w:after="0"/>
              <w:rPr>
                <w:sz w:val="20"/>
                <w:szCs w:val="20"/>
                <w:color w:val="auto"/>
              </w:rPr>
            </w:pPr>
            <w:r>
              <w:rPr>
                <w:rFonts w:ascii="Arial" w:cs="Arial" w:eastAsia="Arial" w:hAnsi="Arial"/>
                <w:sz w:val="17"/>
                <w:szCs w:val="17"/>
                <w:color w:val="auto"/>
              </w:rPr>
              <w:t>74,182</w:t>
            </w:r>
          </w:p>
        </w:tc>
        <w:tc>
          <w:tcPr>
            <w:tcW w:w="2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7"/>
                <w:szCs w:val="17"/>
                <w:color w:val="auto"/>
              </w:rPr>
              <w:t>7.82</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360" w:type="dxa"/>
            <w:vAlign w:val="bottom"/>
            <w:shd w:val="clear" w:color="auto" w:fill="CCEEFF"/>
          </w:tcPr>
          <w:p>
            <w:pPr>
              <w:spacing w:after="0"/>
              <w:rPr>
                <w:sz w:val="20"/>
                <w:szCs w:val="20"/>
                <w:color w:val="auto"/>
              </w:rPr>
            </w:pPr>
            <w:r>
              <w:rPr>
                <w:rFonts w:ascii="Arial" w:cs="Arial" w:eastAsia="Arial" w:hAnsi="Arial"/>
                <w:sz w:val="17"/>
                <w:szCs w:val="17"/>
                <w:color w:val="auto"/>
              </w:rPr>
              <w:t>Transport</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46,534</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5.05</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51,697</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5.14</w:t>
            </w: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61,424</w:t>
            </w: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6.48</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360" w:type="dxa"/>
            <w:vAlign w:val="bottom"/>
          </w:tcPr>
          <w:p>
            <w:pPr>
              <w:spacing w:after="0"/>
              <w:rPr>
                <w:sz w:val="20"/>
                <w:szCs w:val="20"/>
                <w:color w:val="auto"/>
              </w:rPr>
            </w:pPr>
            <w:r>
              <w:rPr>
                <w:rFonts w:ascii="Arial" w:cs="Arial" w:eastAsia="Arial" w:hAnsi="Arial"/>
                <w:sz w:val="17"/>
                <w:szCs w:val="17"/>
                <w:color w:val="auto"/>
              </w:rPr>
              <w:t>Third party liability</w:t>
            </w:r>
          </w:p>
        </w:tc>
        <w:tc>
          <w:tcPr>
            <w:tcW w:w="1360" w:type="dxa"/>
            <w:vAlign w:val="bottom"/>
            <w:gridSpan w:val="2"/>
          </w:tcPr>
          <w:p>
            <w:pPr>
              <w:jc w:val="right"/>
              <w:ind w:right="220"/>
              <w:spacing w:after="0"/>
              <w:rPr>
                <w:sz w:val="20"/>
                <w:szCs w:val="20"/>
                <w:color w:val="auto"/>
              </w:rPr>
            </w:pPr>
            <w:r>
              <w:rPr>
                <w:rFonts w:ascii="Arial" w:cs="Arial" w:eastAsia="Arial" w:hAnsi="Arial"/>
                <w:sz w:val="17"/>
                <w:szCs w:val="17"/>
                <w:color w:val="auto"/>
              </w:rPr>
              <w:t>44,536</w:t>
            </w:r>
          </w:p>
        </w:tc>
        <w:tc>
          <w:tcPr>
            <w:tcW w:w="28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7"/>
                <w:szCs w:val="17"/>
                <w:color w:val="auto"/>
              </w:rPr>
              <w:t>4.84</w:t>
            </w:r>
          </w:p>
        </w:tc>
        <w:tc>
          <w:tcPr>
            <w:tcW w:w="1360" w:type="dxa"/>
            <w:vAlign w:val="bottom"/>
            <w:gridSpan w:val="2"/>
          </w:tcPr>
          <w:p>
            <w:pPr>
              <w:jc w:val="right"/>
              <w:ind w:right="220"/>
              <w:spacing w:after="0"/>
              <w:rPr>
                <w:sz w:val="20"/>
                <w:szCs w:val="20"/>
                <w:color w:val="auto"/>
              </w:rPr>
            </w:pPr>
            <w:r>
              <w:rPr>
                <w:rFonts w:ascii="Arial" w:cs="Arial" w:eastAsia="Arial" w:hAnsi="Arial"/>
                <w:sz w:val="17"/>
                <w:szCs w:val="17"/>
                <w:color w:val="auto"/>
              </w:rPr>
              <w:t>42,968</w:t>
            </w:r>
          </w:p>
        </w:tc>
        <w:tc>
          <w:tcPr>
            <w:tcW w:w="28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7"/>
                <w:szCs w:val="17"/>
                <w:color w:val="auto"/>
              </w:rPr>
              <w:t>4.27</w:t>
            </w:r>
          </w:p>
        </w:tc>
        <w:tc>
          <w:tcPr>
            <w:tcW w:w="1360" w:type="dxa"/>
            <w:vAlign w:val="bottom"/>
            <w:gridSpan w:val="2"/>
          </w:tcPr>
          <w:p>
            <w:pPr>
              <w:jc w:val="right"/>
              <w:ind w:right="200"/>
              <w:spacing w:after="0"/>
              <w:rPr>
                <w:sz w:val="20"/>
                <w:szCs w:val="20"/>
                <w:color w:val="auto"/>
              </w:rPr>
            </w:pPr>
            <w:r>
              <w:rPr>
                <w:rFonts w:ascii="Arial" w:cs="Arial" w:eastAsia="Arial" w:hAnsi="Arial"/>
                <w:sz w:val="17"/>
                <w:szCs w:val="17"/>
                <w:color w:val="auto"/>
              </w:rPr>
              <w:t>41,815</w:t>
            </w:r>
          </w:p>
        </w:tc>
        <w:tc>
          <w:tcPr>
            <w:tcW w:w="2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7"/>
                <w:szCs w:val="17"/>
                <w:color w:val="auto"/>
              </w:rPr>
              <w:t>4.41</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360" w:type="dxa"/>
            <w:vAlign w:val="bottom"/>
            <w:shd w:val="clear" w:color="auto" w:fill="CCEEFF"/>
          </w:tcPr>
          <w:p>
            <w:pPr>
              <w:spacing w:after="0"/>
              <w:rPr>
                <w:sz w:val="20"/>
                <w:szCs w:val="20"/>
                <w:color w:val="auto"/>
              </w:rPr>
            </w:pPr>
            <w:r>
              <w:rPr>
                <w:rFonts w:ascii="Arial" w:cs="Arial" w:eastAsia="Arial" w:hAnsi="Arial"/>
                <w:sz w:val="17"/>
                <w:szCs w:val="17"/>
                <w:color w:val="auto"/>
              </w:rPr>
              <w:t>Marine Hull</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27,317</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2.97</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27,954</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2.78</w:t>
            </w: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21,851</w:t>
            </w: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2.30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360" w:type="dxa"/>
            <w:vAlign w:val="bottom"/>
          </w:tcPr>
          <w:p>
            <w:pPr>
              <w:spacing w:after="0"/>
              <w:rPr>
                <w:sz w:val="20"/>
                <w:szCs w:val="20"/>
                <w:color w:val="auto"/>
              </w:rPr>
            </w:pPr>
            <w:r>
              <w:rPr>
                <w:rFonts w:ascii="Arial" w:cs="Arial" w:eastAsia="Arial" w:hAnsi="Arial"/>
                <w:sz w:val="17"/>
                <w:szCs w:val="17"/>
                <w:color w:val="auto"/>
              </w:rPr>
              <w:t>Aviation</w:t>
            </w:r>
          </w:p>
        </w:tc>
        <w:tc>
          <w:tcPr>
            <w:tcW w:w="1360" w:type="dxa"/>
            <w:vAlign w:val="bottom"/>
            <w:gridSpan w:val="2"/>
          </w:tcPr>
          <w:p>
            <w:pPr>
              <w:jc w:val="right"/>
              <w:ind w:right="220"/>
              <w:spacing w:after="0"/>
              <w:rPr>
                <w:sz w:val="20"/>
                <w:szCs w:val="20"/>
                <w:color w:val="auto"/>
              </w:rPr>
            </w:pPr>
            <w:r>
              <w:rPr>
                <w:rFonts w:ascii="Arial" w:cs="Arial" w:eastAsia="Arial" w:hAnsi="Arial"/>
                <w:sz w:val="17"/>
                <w:szCs w:val="17"/>
                <w:color w:val="auto"/>
              </w:rPr>
              <w:t>25,185</w:t>
            </w:r>
          </w:p>
        </w:tc>
        <w:tc>
          <w:tcPr>
            <w:tcW w:w="28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7"/>
                <w:szCs w:val="17"/>
                <w:color w:val="auto"/>
              </w:rPr>
              <w:t>2.74</w:t>
            </w:r>
          </w:p>
        </w:tc>
        <w:tc>
          <w:tcPr>
            <w:tcW w:w="1360" w:type="dxa"/>
            <w:vAlign w:val="bottom"/>
            <w:gridSpan w:val="2"/>
          </w:tcPr>
          <w:p>
            <w:pPr>
              <w:jc w:val="right"/>
              <w:ind w:right="220"/>
              <w:spacing w:after="0"/>
              <w:rPr>
                <w:sz w:val="20"/>
                <w:szCs w:val="20"/>
                <w:color w:val="auto"/>
              </w:rPr>
            </w:pPr>
            <w:r>
              <w:rPr>
                <w:rFonts w:ascii="Arial" w:cs="Arial" w:eastAsia="Arial" w:hAnsi="Arial"/>
                <w:sz w:val="17"/>
                <w:szCs w:val="17"/>
                <w:color w:val="auto"/>
              </w:rPr>
              <w:t>55,149</w:t>
            </w:r>
          </w:p>
        </w:tc>
        <w:tc>
          <w:tcPr>
            <w:tcW w:w="28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7"/>
                <w:szCs w:val="17"/>
                <w:color w:val="auto"/>
              </w:rPr>
              <w:t>5.49</w:t>
            </w:r>
          </w:p>
        </w:tc>
        <w:tc>
          <w:tcPr>
            <w:tcW w:w="1360" w:type="dxa"/>
            <w:vAlign w:val="bottom"/>
            <w:gridSpan w:val="2"/>
          </w:tcPr>
          <w:p>
            <w:pPr>
              <w:jc w:val="right"/>
              <w:ind w:right="200"/>
              <w:spacing w:after="0"/>
              <w:rPr>
                <w:sz w:val="20"/>
                <w:szCs w:val="20"/>
                <w:color w:val="auto"/>
              </w:rPr>
            </w:pPr>
            <w:r>
              <w:rPr>
                <w:rFonts w:ascii="Arial" w:cs="Arial" w:eastAsia="Arial" w:hAnsi="Arial"/>
                <w:sz w:val="17"/>
                <w:szCs w:val="17"/>
                <w:color w:val="auto"/>
              </w:rPr>
              <w:t>64,380</w:t>
            </w:r>
          </w:p>
        </w:tc>
        <w:tc>
          <w:tcPr>
            <w:tcW w:w="2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7"/>
                <w:szCs w:val="17"/>
                <w:color w:val="auto"/>
              </w:rPr>
              <w:t>6.79</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360" w:type="dxa"/>
            <w:vAlign w:val="bottom"/>
            <w:shd w:val="clear" w:color="auto" w:fill="CCEEFF"/>
          </w:tcPr>
          <w:p>
            <w:pPr>
              <w:spacing w:after="0"/>
              <w:rPr>
                <w:sz w:val="20"/>
                <w:szCs w:val="20"/>
                <w:color w:val="auto"/>
              </w:rPr>
            </w:pPr>
            <w:r>
              <w:rPr>
                <w:rFonts w:ascii="Arial" w:cs="Arial" w:eastAsia="Arial" w:hAnsi="Arial"/>
                <w:sz w:val="17"/>
                <w:szCs w:val="17"/>
                <w:color w:val="auto"/>
              </w:rPr>
              <w:t>SOAT (Mandatory automobile</w:t>
            </w:r>
          </w:p>
        </w:tc>
        <w:tc>
          <w:tcPr>
            <w:tcW w:w="1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2360" w:type="dxa"/>
            <w:vAlign w:val="bottom"/>
            <w:shd w:val="clear" w:color="auto" w:fill="CCEEFF"/>
          </w:tcPr>
          <w:p>
            <w:pPr>
              <w:spacing w:after="0"/>
              <w:rPr>
                <w:sz w:val="20"/>
                <w:szCs w:val="20"/>
                <w:color w:val="auto"/>
              </w:rPr>
            </w:pPr>
            <w:r>
              <w:rPr>
                <w:rFonts w:ascii="Arial" w:cs="Arial" w:eastAsia="Arial" w:hAnsi="Arial"/>
                <w:sz w:val="17"/>
                <w:szCs w:val="17"/>
                <w:color w:val="auto"/>
              </w:rPr>
              <w:t>line)</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24,573</w:t>
            </w:r>
          </w:p>
        </w:tc>
        <w:tc>
          <w:tcPr>
            <w:tcW w:w="2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2.67</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20,830</w:t>
            </w:r>
          </w:p>
        </w:tc>
        <w:tc>
          <w:tcPr>
            <w:tcW w:w="2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2.07</w:t>
            </w: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23,608</w:t>
            </w:r>
          </w:p>
        </w:tc>
        <w:tc>
          <w:tcPr>
            <w:tcW w:w="2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2.49</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2360" w:type="dxa"/>
            <w:vAlign w:val="bottom"/>
          </w:tcPr>
          <w:p>
            <w:pPr>
              <w:spacing w:after="0"/>
              <w:rPr>
                <w:sz w:val="20"/>
                <w:szCs w:val="20"/>
                <w:color w:val="auto"/>
              </w:rPr>
            </w:pPr>
            <w:r>
              <w:rPr>
                <w:rFonts w:ascii="Arial" w:cs="Arial" w:eastAsia="Arial" w:hAnsi="Arial"/>
                <w:sz w:val="17"/>
                <w:szCs w:val="17"/>
                <w:color w:val="auto"/>
              </w:rPr>
              <w:t>Others</w:t>
            </w:r>
          </w:p>
        </w:tc>
        <w:tc>
          <w:tcPr>
            <w:tcW w:w="1360" w:type="dxa"/>
            <w:vAlign w:val="bottom"/>
            <w:gridSpan w:val="2"/>
          </w:tcPr>
          <w:p>
            <w:pPr>
              <w:jc w:val="right"/>
              <w:ind w:right="220"/>
              <w:spacing w:after="0"/>
              <w:rPr>
                <w:sz w:val="20"/>
                <w:szCs w:val="20"/>
                <w:color w:val="auto"/>
              </w:rPr>
            </w:pPr>
            <w:r>
              <w:rPr>
                <w:rFonts w:ascii="Arial" w:cs="Arial" w:eastAsia="Arial" w:hAnsi="Arial"/>
                <w:sz w:val="17"/>
                <w:szCs w:val="17"/>
                <w:color w:val="auto"/>
              </w:rPr>
              <w:t>57,619</w:t>
            </w:r>
          </w:p>
        </w:tc>
        <w:tc>
          <w:tcPr>
            <w:tcW w:w="280" w:type="dxa"/>
            <w:vAlign w:val="bottom"/>
          </w:tcPr>
          <w:p>
            <w:pPr>
              <w:spacing w:after="0"/>
              <w:rPr>
                <w:sz w:val="19"/>
                <w:szCs w:val="19"/>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7"/>
                <w:szCs w:val="17"/>
                <w:color w:val="auto"/>
              </w:rPr>
              <w:t>6.26</w:t>
            </w:r>
          </w:p>
        </w:tc>
        <w:tc>
          <w:tcPr>
            <w:tcW w:w="1360" w:type="dxa"/>
            <w:vAlign w:val="bottom"/>
            <w:gridSpan w:val="2"/>
          </w:tcPr>
          <w:p>
            <w:pPr>
              <w:jc w:val="right"/>
              <w:ind w:right="220"/>
              <w:spacing w:after="0"/>
              <w:rPr>
                <w:sz w:val="20"/>
                <w:szCs w:val="20"/>
                <w:color w:val="auto"/>
              </w:rPr>
            </w:pPr>
            <w:r>
              <w:rPr>
                <w:rFonts w:ascii="Arial" w:cs="Arial" w:eastAsia="Arial" w:hAnsi="Arial"/>
                <w:sz w:val="17"/>
                <w:szCs w:val="17"/>
                <w:color w:val="auto"/>
              </w:rPr>
              <w:t>46,604</w:t>
            </w:r>
          </w:p>
        </w:tc>
        <w:tc>
          <w:tcPr>
            <w:tcW w:w="280" w:type="dxa"/>
            <w:vAlign w:val="bottom"/>
          </w:tcPr>
          <w:p>
            <w:pPr>
              <w:spacing w:after="0"/>
              <w:rPr>
                <w:sz w:val="19"/>
                <w:szCs w:val="19"/>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7"/>
                <w:szCs w:val="17"/>
                <w:color w:val="auto"/>
              </w:rPr>
              <w:t>4.64</w:t>
            </w:r>
          </w:p>
        </w:tc>
        <w:tc>
          <w:tcPr>
            <w:tcW w:w="1360" w:type="dxa"/>
            <w:vAlign w:val="bottom"/>
            <w:gridSpan w:val="2"/>
          </w:tcPr>
          <w:p>
            <w:pPr>
              <w:jc w:val="right"/>
              <w:ind w:right="200"/>
              <w:spacing w:after="0"/>
              <w:rPr>
                <w:sz w:val="20"/>
                <w:szCs w:val="20"/>
                <w:color w:val="auto"/>
              </w:rPr>
            </w:pPr>
            <w:r>
              <w:rPr>
                <w:rFonts w:ascii="Arial" w:cs="Arial" w:eastAsia="Arial" w:hAnsi="Arial"/>
                <w:sz w:val="17"/>
                <w:szCs w:val="17"/>
                <w:color w:val="auto"/>
              </w:rPr>
              <w:t>56,285</w:t>
            </w:r>
          </w:p>
        </w:tc>
        <w:tc>
          <w:tcPr>
            <w:tcW w:w="280" w:type="dxa"/>
            <w:vAlign w:val="bottom"/>
          </w:tcPr>
          <w:p>
            <w:pPr>
              <w:spacing w:after="0"/>
              <w:rPr>
                <w:sz w:val="19"/>
                <w:szCs w:val="19"/>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7"/>
                <w:szCs w:val="17"/>
                <w:color w:val="auto"/>
              </w:rPr>
              <w:t>5.94</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360" w:type="dxa"/>
            <w:vAlign w:val="bottom"/>
            <w:tcBorders>
              <w:top w:val="single" w:sz="8" w:color="CCEEFF"/>
            </w:tcBorders>
            <w:shd w:val="clear" w:color="auto" w:fill="CCEEFF"/>
          </w:tcPr>
          <w:p>
            <w:pPr>
              <w:spacing w:after="0" w:line="176" w:lineRule="exact"/>
              <w:rPr>
                <w:sz w:val="20"/>
                <w:szCs w:val="20"/>
                <w:color w:val="auto"/>
              </w:rPr>
            </w:pPr>
            <w:r>
              <w:rPr>
                <w:rFonts w:ascii="Arial" w:cs="Arial" w:eastAsia="Arial" w:hAnsi="Arial"/>
                <w:sz w:val="17"/>
                <w:szCs w:val="17"/>
                <w:color w:val="auto"/>
              </w:rPr>
              <w:t>Total life insurance gross</w:t>
            </w:r>
          </w:p>
        </w:tc>
        <w:tc>
          <w:tcPr>
            <w:tcW w:w="114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114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116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2360" w:type="dxa"/>
            <w:vAlign w:val="bottom"/>
            <w:shd w:val="clear" w:color="auto" w:fill="CCEEFF"/>
          </w:tcPr>
          <w:p>
            <w:pPr>
              <w:spacing w:after="0"/>
              <w:rPr>
                <w:sz w:val="20"/>
                <w:szCs w:val="20"/>
                <w:color w:val="auto"/>
              </w:rPr>
            </w:pPr>
            <w:r>
              <w:rPr>
                <w:rFonts w:ascii="Arial" w:cs="Arial" w:eastAsia="Arial" w:hAnsi="Arial"/>
                <w:sz w:val="17"/>
                <w:szCs w:val="17"/>
                <w:color w:val="auto"/>
              </w:rPr>
              <w:t>premiums</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920,595</w:t>
            </w:r>
          </w:p>
        </w:tc>
        <w:tc>
          <w:tcPr>
            <w:tcW w:w="28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100.00</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1,005,426</w:t>
            </w:r>
          </w:p>
        </w:tc>
        <w:tc>
          <w:tcPr>
            <w:tcW w:w="28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100.00</w:t>
            </w: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948,177</w:t>
            </w:r>
          </w:p>
        </w:tc>
        <w:tc>
          <w:tcPr>
            <w:tcW w:w="28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100.00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6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5" w:lineRule="exact"/>
        <w:rPr>
          <w:sz w:val="20"/>
          <w:szCs w:val="20"/>
          <w:color w:val="auto"/>
        </w:rPr>
      </w:pPr>
    </w:p>
    <w:p>
      <w:pPr>
        <w:ind w:left="720" w:right="100" w:hanging="309"/>
        <w:spacing w:after="0" w:line="285" w:lineRule="auto"/>
        <w:tabs>
          <w:tab w:leader="none" w:pos="720" w:val="left"/>
        </w:tabs>
        <w:numPr>
          <w:ilvl w:val="0"/>
          <w:numId w:val="120"/>
        </w:numPr>
        <w:rPr>
          <w:rFonts w:ascii="Arial" w:cs="Arial" w:eastAsia="Arial" w:hAnsi="Arial"/>
          <w:sz w:val="17"/>
          <w:szCs w:val="17"/>
          <w:color w:val="auto"/>
        </w:rPr>
      </w:pPr>
      <w:r>
        <w:rPr>
          <w:rFonts w:ascii="Arial" w:cs="Arial" w:eastAsia="Arial" w:hAnsi="Arial"/>
          <w:sz w:val="17"/>
          <w:szCs w:val="17"/>
          <w:color w:val="auto"/>
        </w:rPr>
        <w:t>Technical lines include Contractor’s All Risk (CAR), Machinery breakdown, All Risk (EAR), Electronic equipment (EE), All Risk Contractor’s Equipment (ARCE).</w:t>
      </w:r>
    </w:p>
    <w:p>
      <w:pPr>
        <w:spacing w:after="0" w:line="367" w:lineRule="exact"/>
        <w:rPr>
          <w:rFonts w:ascii="Arial" w:cs="Arial" w:eastAsia="Arial" w:hAnsi="Arial"/>
          <w:sz w:val="17"/>
          <w:szCs w:val="17"/>
          <w:color w:val="auto"/>
        </w:rPr>
      </w:pPr>
    </w:p>
    <w:p>
      <w:pPr>
        <w:ind w:left="5280" w:hanging="110"/>
        <w:spacing w:after="0"/>
        <w:tabs>
          <w:tab w:leader="none" w:pos="5280" w:val="left"/>
        </w:tabs>
        <w:numPr>
          <w:ilvl w:val="1"/>
          <w:numId w:val="120"/>
        </w:numPr>
        <w:rPr>
          <w:rFonts w:ascii="Arial" w:cs="Arial" w:eastAsia="Arial" w:hAnsi="Arial"/>
          <w:sz w:val="17"/>
          <w:szCs w:val="17"/>
          <w:color w:val="auto"/>
        </w:rPr>
      </w:pPr>
      <w:r>
        <w:rPr>
          <w:rFonts w:ascii="Arial" w:cs="Arial" w:eastAsia="Arial" w:hAnsi="Arial"/>
          <w:sz w:val="17"/>
          <w:szCs w:val="17"/>
          <w:color w:val="auto"/>
        </w:rPr>
        <w:t>100 -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-200025</wp:posOffset>
            </wp:positionH>
            <wp:positionV relativeFrom="paragraph">
              <wp:posOffset>15875</wp:posOffset>
            </wp:positionV>
            <wp:extent cx="725170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51700" cy="8255"/>
                    </a:xfrm>
                    <a:prstGeom prst="rect">
                      <a:avLst/>
                    </a:prstGeom>
                    <a:noFill/>
                  </pic:spPr>
                </pic:pic>
              </a:graphicData>
            </a:graphic>
          </wp:anchor>
        </w:drawing>
      </w:r>
    </w:p>
    <w:p>
      <w:pPr>
        <w:sectPr>
          <w:pgSz w:w="11900" w:h="16838" w:orient="portrait"/>
          <w:cols w:equalWidth="0" w:num="1">
            <w:col w:w="10800"/>
          </w:cols>
          <w:pgMar w:left="560" w:top="881" w:right="539" w:bottom="1440" w:gutter="0" w:footer="0" w:header="0"/>
        </w:sectPr>
      </w:pPr>
    </w:p>
    <w:bookmarkStart w:id="106" w:name="page107"/>
    <w:bookmarkEnd w:id="106"/>
    <w:tbl>
      <w:tblPr>
        <w:tblLayout w:type="fixed"/>
        <w:tblInd w:w="0" w:type="dxa"/>
        <w:tblCellMar>
          <w:top w:w="0" w:type="dxa"/>
          <w:left w:w="0" w:type="dxa"/>
          <w:bottom w:w="0" w:type="dxa"/>
          <w:right w:w="0" w:type="dxa"/>
        </w:tblCellMar>
      </w:tblPr>
      <w:tr>
        <w:trPr>
          <w:trHeight w:val="226"/>
        </w:trPr>
        <w:tc>
          <w:tcPr>
            <w:tcW w:w="8740" w:type="dxa"/>
            <w:vAlign w:val="bottom"/>
            <w:gridSpan w:val="7"/>
          </w:tcPr>
          <w:p>
            <w:pPr>
              <w:spacing w:after="0"/>
              <w:rPr>
                <w:sz w:val="20"/>
                <w:szCs w:val="20"/>
                <w:color w:val="auto"/>
              </w:rPr>
            </w:pPr>
            <w:r>
              <w:rPr>
                <w:rFonts w:ascii="Arial" w:cs="Arial" w:eastAsia="Arial" w:hAnsi="Arial"/>
                <w:sz w:val="17"/>
                <w:szCs w:val="17"/>
                <w:b w:val="1"/>
                <w:bCs w:val="1"/>
                <w:color w:val="auto"/>
              </w:rPr>
              <w:t>24  NET CLAIMS INCURRED FOR LIFE, GENERAL AND HEALTH INSURANCE CONTRACTS</w:t>
            </w:r>
          </w:p>
        </w:tc>
        <w:tc>
          <w:tcPr>
            <w:tcW w:w="1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6"/>
        </w:trPr>
        <w:tc>
          <w:tcPr>
            <w:tcW w:w="4560" w:type="dxa"/>
            <w:vAlign w:val="bottom"/>
          </w:tcPr>
          <w:p>
            <w:pPr>
              <w:spacing w:after="0"/>
              <w:rPr>
                <w:sz w:val="20"/>
                <w:szCs w:val="20"/>
                <w:color w:val="auto"/>
              </w:rPr>
            </w:pPr>
            <w:r>
              <w:rPr>
                <w:rFonts w:ascii="Arial" w:cs="Arial" w:eastAsia="Arial" w:hAnsi="Arial"/>
                <w:sz w:val="17"/>
                <w:szCs w:val="17"/>
                <w:color w:val="auto"/>
              </w:rPr>
              <w:t>This item consists of the following:</w:t>
            </w:r>
          </w:p>
        </w:tc>
        <w:tc>
          <w:tcPr>
            <w:tcW w:w="10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9"/>
        </w:trPr>
        <w:tc>
          <w:tcPr>
            <w:tcW w:w="45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7"/>
                <w:szCs w:val="17"/>
                <w:b w:val="1"/>
                <w:bCs w:val="1"/>
                <w:color w:val="auto"/>
              </w:rPr>
              <w:t>2017</w:t>
            </w:r>
          </w:p>
        </w:tc>
        <w:tc>
          <w:tcPr>
            <w:tcW w:w="1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45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500" w:type="dxa"/>
            <w:vAlign w:val="bottom"/>
            <w:gridSpan w:val="2"/>
          </w:tcPr>
          <w:p>
            <w:pPr>
              <w:jc w:val="center"/>
              <w:ind w:right="280"/>
              <w:spacing w:after="0" w:line="183" w:lineRule="exact"/>
              <w:rPr>
                <w:sz w:val="20"/>
                <w:szCs w:val="20"/>
                <w:color w:val="auto"/>
              </w:rPr>
            </w:pPr>
            <w:r>
              <w:rPr>
                <w:rFonts w:ascii="Arial" w:cs="Arial" w:eastAsia="Arial" w:hAnsi="Arial"/>
                <w:sz w:val="17"/>
                <w:szCs w:val="17"/>
                <w:b w:val="1"/>
                <w:bCs w:val="1"/>
                <w:color w:val="auto"/>
                <w:w w:val="99"/>
              </w:rPr>
              <w:t>Life</w:t>
            </w:r>
          </w:p>
        </w:tc>
        <w:tc>
          <w:tcPr>
            <w:tcW w:w="1640" w:type="dxa"/>
            <w:vAlign w:val="bottom"/>
            <w:gridSpan w:val="3"/>
          </w:tcPr>
          <w:p>
            <w:pPr>
              <w:jc w:val="center"/>
              <w:ind w:right="440"/>
              <w:spacing w:after="0" w:line="183" w:lineRule="exact"/>
              <w:rPr>
                <w:sz w:val="20"/>
                <w:szCs w:val="20"/>
                <w:color w:val="auto"/>
              </w:rPr>
            </w:pPr>
            <w:r>
              <w:rPr>
                <w:rFonts w:ascii="Arial" w:cs="Arial" w:eastAsia="Arial" w:hAnsi="Arial"/>
                <w:sz w:val="17"/>
                <w:szCs w:val="17"/>
                <w:b w:val="1"/>
                <w:bCs w:val="1"/>
                <w:color w:val="auto"/>
                <w:w w:val="94"/>
              </w:rPr>
              <w:t>General</w:t>
            </w:r>
          </w:p>
        </w:tc>
        <w:tc>
          <w:tcPr>
            <w:tcW w:w="1340" w:type="dxa"/>
            <w:vAlign w:val="bottom"/>
            <w:gridSpan w:val="2"/>
          </w:tcPr>
          <w:p>
            <w:pPr>
              <w:jc w:val="right"/>
              <w:ind w:right="620"/>
              <w:spacing w:after="0" w:line="183" w:lineRule="exact"/>
              <w:rPr>
                <w:sz w:val="20"/>
                <w:szCs w:val="20"/>
                <w:color w:val="auto"/>
              </w:rPr>
            </w:pPr>
            <w:r>
              <w:rPr>
                <w:rFonts w:ascii="Arial" w:cs="Arial" w:eastAsia="Arial" w:hAnsi="Arial"/>
                <w:sz w:val="17"/>
                <w:szCs w:val="17"/>
                <w:b w:val="1"/>
                <w:bCs w:val="1"/>
                <w:color w:val="auto"/>
              </w:rPr>
              <w:t>Health</w:t>
            </w: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45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500" w:type="dxa"/>
            <w:vAlign w:val="bottom"/>
            <w:gridSpan w:val="2"/>
          </w:tcPr>
          <w:p>
            <w:pPr>
              <w:jc w:val="right"/>
              <w:ind w:right="500"/>
              <w:spacing w:after="0"/>
              <w:rPr>
                <w:sz w:val="20"/>
                <w:szCs w:val="20"/>
                <w:color w:val="auto"/>
              </w:rPr>
            </w:pPr>
            <w:r>
              <w:rPr>
                <w:rFonts w:ascii="Arial" w:cs="Arial" w:eastAsia="Arial" w:hAnsi="Arial"/>
                <w:sz w:val="17"/>
                <w:szCs w:val="17"/>
                <w:b w:val="1"/>
                <w:bCs w:val="1"/>
                <w:color w:val="auto"/>
              </w:rPr>
              <w:t>insurance</w:t>
            </w:r>
          </w:p>
        </w:tc>
        <w:tc>
          <w:tcPr>
            <w:tcW w:w="1640" w:type="dxa"/>
            <w:vAlign w:val="bottom"/>
            <w:gridSpan w:val="3"/>
          </w:tcPr>
          <w:p>
            <w:pPr>
              <w:jc w:val="center"/>
              <w:ind w:right="400"/>
              <w:spacing w:after="0"/>
              <w:rPr>
                <w:sz w:val="20"/>
                <w:szCs w:val="20"/>
                <w:color w:val="auto"/>
              </w:rPr>
            </w:pPr>
            <w:r>
              <w:rPr>
                <w:rFonts w:ascii="Arial" w:cs="Arial" w:eastAsia="Arial" w:hAnsi="Arial"/>
                <w:sz w:val="17"/>
                <w:szCs w:val="17"/>
                <w:b w:val="1"/>
                <w:bCs w:val="1"/>
                <w:color w:val="auto"/>
                <w:w w:val="89"/>
              </w:rPr>
              <w:t>insurance</w:t>
            </w:r>
          </w:p>
        </w:tc>
        <w:tc>
          <w:tcPr>
            <w:tcW w:w="1340" w:type="dxa"/>
            <w:vAlign w:val="bottom"/>
            <w:gridSpan w:val="2"/>
          </w:tcPr>
          <w:p>
            <w:pPr>
              <w:jc w:val="right"/>
              <w:ind w:right="500"/>
              <w:spacing w:after="0"/>
              <w:rPr>
                <w:sz w:val="20"/>
                <w:szCs w:val="20"/>
                <w:color w:val="auto"/>
              </w:rPr>
            </w:pPr>
            <w:r>
              <w:rPr>
                <w:rFonts w:ascii="Arial" w:cs="Arial" w:eastAsia="Arial" w:hAnsi="Arial"/>
                <w:sz w:val="17"/>
                <w:szCs w:val="17"/>
                <w:b w:val="1"/>
                <w:bCs w:val="1"/>
                <w:color w:val="auto"/>
              </w:rPr>
              <w:t>insurance</w:t>
            </w:r>
          </w:p>
        </w:tc>
        <w:tc>
          <w:tcPr>
            <w:tcW w:w="1340" w:type="dxa"/>
            <w:vAlign w:val="bottom"/>
            <w:gridSpan w:val="2"/>
          </w:tcPr>
          <w:p>
            <w:pPr>
              <w:jc w:val="right"/>
              <w:ind w:right="520"/>
              <w:spacing w:after="0"/>
              <w:rPr>
                <w:sz w:val="20"/>
                <w:szCs w:val="20"/>
                <w:color w:val="auto"/>
              </w:rPr>
            </w:pPr>
            <w:r>
              <w:rPr>
                <w:rFonts w:ascii="Arial" w:cs="Arial" w:eastAsia="Arial" w:hAnsi="Arial"/>
                <w:sz w:val="17"/>
                <w:szCs w:val="17"/>
                <w:b w:val="1"/>
                <w:bCs w:val="1"/>
                <w:color w:val="auto"/>
              </w:rPr>
              <w:t>Total</w:t>
            </w:r>
          </w:p>
        </w:tc>
        <w:tc>
          <w:tcPr>
            <w:tcW w:w="0" w:type="dxa"/>
            <w:vAlign w:val="bottom"/>
          </w:tcPr>
          <w:p>
            <w:pPr>
              <w:spacing w:after="0"/>
              <w:rPr>
                <w:sz w:val="1"/>
                <w:szCs w:val="1"/>
                <w:color w:val="auto"/>
              </w:rPr>
            </w:pPr>
          </w:p>
        </w:tc>
      </w:tr>
      <w:tr>
        <w:trPr>
          <w:trHeight w:val="219"/>
        </w:trPr>
        <w:tc>
          <w:tcPr>
            <w:tcW w:w="45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60" w:type="dxa"/>
            <w:vAlign w:val="bottom"/>
            <w:tcBorders>
              <w:top w:val="single" w:sz="8" w:color="auto"/>
            </w:tcBorders>
          </w:tcPr>
          <w:p>
            <w:pPr>
              <w:jc w:val="center"/>
              <w:spacing w:after="0"/>
              <w:rPr>
                <w:sz w:val="20"/>
                <w:szCs w:val="20"/>
                <w:color w:val="auto"/>
              </w:rPr>
            </w:pPr>
            <w:r>
              <w:rPr>
                <w:rFonts w:ascii="Arial" w:cs="Arial" w:eastAsia="Arial" w:hAnsi="Arial"/>
                <w:sz w:val="17"/>
                <w:szCs w:val="17"/>
                <w:b w:val="1"/>
                <w:bCs w:val="1"/>
                <w:color w:val="auto"/>
                <w:w w:val="93"/>
              </w:rPr>
              <w:t>S/(000)</w:t>
            </w:r>
          </w:p>
        </w:tc>
        <w:tc>
          <w:tcPr>
            <w:tcW w:w="240" w:type="dxa"/>
            <w:vAlign w:val="bottom"/>
          </w:tcPr>
          <w:p>
            <w:pPr>
              <w:spacing w:after="0"/>
              <w:rPr>
                <w:sz w:val="19"/>
                <w:szCs w:val="19"/>
                <w:color w:val="auto"/>
              </w:rPr>
            </w:pPr>
          </w:p>
        </w:tc>
        <w:tc>
          <w:tcPr>
            <w:tcW w:w="1260" w:type="dxa"/>
            <w:vAlign w:val="bottom"/>
            <w:tcBorders>
              <w:top w:val="single" w:sz="8" w:color="auto"/>
            </w:tcBorders>
          </w:tcPr>
          <w:p>
            <w:pPr>
              <w:jc w:val="center"/>
              <w:spacing w:after="0"/>
              <w:rPr>
                <w:sz w:val="20"/>
                <w:szCs w:val="20"/>
                <w:color w:val="auto"/>
              </w:rPr>
            </w:pPr>
            <w:r>
              <w:rPr>
                <w:rFonts w:ascii="Arial" w:cs="Arial" w:eastAsia="Arial" w:hAnsi="Arial"/>
                <w:sz w:val="17"/>
                <w:szCs w:val="17"/>
                <w:b w:val="1"/>
                <w:bCs w:val="1"/>
                <w:color w:val="auto"/>
                <w:w w:val="93"/>
              </w:rPr>
              <w:t>S/(000)</w:t>
            </w:r>
          </w:p>
        </w:tc>
        <w:tc>
          <w:tcPr>
            <w:tcW w:w="2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center"/>
              <w:ind w:right="73"/>
              <w:spacing w:after="0"/>
              <w:rPr>
                <w:sz w:val="20"/>
                <w:szCs w:val="20"/>
                <w:color w:val="auto"/>
              </w:rPr>
            </w:pPr>
            <w:r>
              <w:rPr>
                <w:rFonts w:ascii="Arial" w:cs="Arial" w:eastAsia="Arial" w:hAnsi="Arial"/>
                <w:sz w:val="17"/>
                <w:szCs w:val="17"/>
                <w:b w:val="1"/>
                <w:bCs w:val="1"/>
                <w:color w:val="auto"/>
                <w:w w:val="93"/>
              </w:rPr>
              <w:t>S/(000)</w:t>
            </w:r>
          </w:p>
        </w:tc>
        <w:tc>
          <w:tcPr>
            <w:tcW w:w="220" w:type="dxa"/>
            <w:vAlign w:val="bottom"/>
          </w:tcPr>
          <w:p>
            <w:pPr>
              <w:spacing w:after="0"/>
              <w:rPr>
                <w:sz w:val="19"/>
                <w:szCs w:val="19"/>
                <w:color w:val="auto"/>
              </w:rPr>
            </w:pPr>
          </w:p>
        </w:tc>
        <w:tc>
          <w:tcPr>
            <w:tcW w:w="1240" w:type="dxa"/>
            <w:vAlign w:val="bottom"/>
            <w:tcBorders>
              <w:top w:val="single" w:sz="8" w:color="auto"/>
            </w:tcBorders>
          </w:tcPr>
          <w:p>
            <w:pPr>
              <w:jc w:val="center"/>
              <w:spacing w:after="0"/>
              <w:rPr>
                <w:sz w:val="20"/>
                <w:szCs w:val="20"/>
                <w:color w:val="auto"/>
              </w:rPr>
            </w:pPr>
            <w:r>
              <w:rPr>
                <w:rFonts w:ascii="Arial" w:cs="Arial" w:eastAsia="Arial" w:hAnsi="Arial"/>
                <w:sz w:val="17"/>
                <w:szCs w:val="17"/>
                <w:b w:val="1"/>
                <w:bCs w:val="1"/>
                <w:color w:val="auto"/>
                <w:w w:val="93"/>
              </w:rPr>
              <w:t>S/(000)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45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4560" w:type="dxa"/>
            <w:vAlign w:val="bottom"/>
            <w:shd w:val="clear" w:color="auto" w:fill="CCEEFF"/>
          </w:tcPr>
          <w:p>
            <w:pPr>
              <w:spacing w:after="0"/>
              <w:rPr>
                <w:sz w:val="20"/>
                <w:szCs w:val="20"/>
                <w:color w:val="auto"/>
              </w:rPr>
            </w:pPr>
            <w:r>
              <w:rPr>
                <w:rFonts w:ascii="Arial" w:cs="Arial" w:eastAsia="Arial" w:hAnsi="Arial"/>
                <w:sz w:val="17"/>
                <w:szCs w:val="17"/>
                <w:color w:val="auto"/>
              </w:rPr>
              <w:t>Gross claims, Note 15(b)</w:t>
            </w:r>
          </w:p>
        </w:tc>
        <w:tc>
          <w:tcPr>
            <w:tcW w:w="23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646,026</w:t>
            </w:r>
          </w:p>
        </w:tc>
        <w:tc>
          <w:tcPr>
            <w:tcW w:w="2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661,108</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294,557</w:t>
            </w: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1,601,691</w:t>
            </w:r>
          </w:p>
        </w:tc>
        <w:tc>
          <w:tcPr>
            <w:tcW w:w="0" w:type="dxa"/>
            <w:vAlign w:val="bottom"/>
          </w:tcPr>
          <w:p>
            <w:pPr>
              <w:spacing w:after="0"/>
              <w:rPr>
                <w:sz w:val="1"/>
                <w:szCs w:val="1"/>
                <w:color w:val="auto"/>
              </w:rPr>
            </w:pPr>
          </w:p>
        </w:tc>
      </w:tr>
      <w:tr>
        <w:trPr>
          <w:trHeight w:val="221"/>
        </w:trPr>
        <w:tc>
          <w:tcPr>
            <w:tcW w:w="4560" w:type="dxa"/>
            <w:vAlign w:val="bottom"/>
          </w:tcPr>
          <w:p>
            <w:pPr>
              <w:spacing w:after="0"/>
              <w:rPr>
                <w:sz w:val="20"/>
                <w:szCs w:val="20"/>
                <w:color w:val="auto"/>
              </w:rPr>
            </w:pPr>
            <w:r>
              <w:rPr>
                <w:rFonts w:ascii="Arial" w:cs="Arial" w:eastAsia="Arial" w:hAnsi="Arial"/>
                <w:sz w:val="17"/>
                <w:szCs w:val="17"/>
                <w:color w:val="auto"/>
              </w:rPr>
              <w:t>Ceded claims, Note 9(b)</w:t>
            </w:r>
          </w:p>
        </w:tc>
        <w:tc>
          <w:tcPr>
            <w:tcW w:w="2540" w:type="dxa"/>
            <w:vAlign w:val="bottom"/>
            <w:gridSpan w:val="3"/>
          </w:tcPr>
          <w:p>
            <w:pPr>
              <w:jc w:val="right"/>
              <w:ind w:right="180"/>
              <w:spacing w:after="0"/>
              <w:rPr>
                <w:sz w:val="20"/>
                <w:szCs w:val="20"/>
                <w:color w:val="auto"/>
              </w:rPr>
            </w:pPr>
            <w:r>
              <w:rPr>
                <w:rFonts w:ascii="Arial" w:cs="Arial" w:eastAsia="Arial" w:hAnsi="Arial"/>
                <w:sz w:val="17"/>
                <w:szCs w:val="17"/>
                <w:color w:val="auto"/>
              </w:rPr>
              <w:t>(79,845)</w:t>
            </w:r>
          </w:p>
        </w:tc>
        <w:tc>
          <w:tcPr>
            <w:tcW w:w="1500" w:type="dxa"/>
            <w:vAlign w:val="bottom"/>
            <w:gridSpan w:val="2"/>
          </w:tcPr>
          <w:p>
            <w:pPr>
              <w:jc w:val="right"/>
              <w:ind w:right="180"/>
              <w:spacing w:after="0"/>
              <w:rPr>
                <w:sz w:val="20"/>
                <w:szCs w:val="20"/>
                <w:color w:val="auto"/>
              </w:rPr>
            </w:pPr>
            <w:r>
              <w:rPr>
                <w:rFonts w:ascii="Arial" w:cs="Arial" w:eastAsia="Arial" w:hAnsi="Arial"/>
                <w:sz w:val="17"/>
                <w:szCs w:val="17"/>
                <w:color w:val="auto"/>
              </w:rPr>
              <w:t>(391,263)</w:t>
            </w:r>
          </w:p>
        </w:tc>
        <w:tc>
          <w:tcPr>
            <w:tcW w:w="14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7"/>
                <w:szCs w:val="17"/>
                <w:color w:val="auto"/>
              </w:rPr>
              <w:t>(12,279)</w:t>
            </w:r>
          </w:p>
        </w:tc>
        <w:tc>
          <w:tcPr>
            <w:tcW w:w="1340" w:type="dxa"/>
            <w:vAlign w:val="bottom"/>
            <w:gridSpan w:val="2"/>
          </w:tcPr>
          <w:p>
            <w:pPr>
              <w:jc w:val="right"/>
              <w:ind w:right="40"/>
              <w:spacing w:after="0"/>
              <w:rPr>
                <w:sz w:val="20"/>
                <w:szCs w:val="20"/>
                <w:color w:val="auto"/>
              </w:rPr>
            </w:pPr>
            <w:r>
              <w:rPr>
                <w:rFonts w:ascii="Arial" w:cs="Arial" w:eastAsia="Arial" w:hAnsi="Arial"/>
                <w:sz w:val="17"/>
                <w:szCs w:val="17"/>
                <w:color w:val="auto"/>
              </w:rPr>
              <w:t>(483,387)</w:t>
            </w:r>
          </w:p>
        </w:tc>
        <w:tc>
          <w:tcPr>
            <w:tcW w:w="0" w:type="dxa"/>
            <w:vAlign w:val="bottom"/>
          </w:tcPr>
          <w:p>
            <w:pPr>
              <w:spacing w:after="0"/>
              <w:rPr>
                <w:sz w:val="1"/>
                <w:szCs w:val="1"/>
                <w:color w:val="auto"/>
              </w:rPr>
            </w:pPr>
          </w:p>
        </w:tc>
      </w:tr>
      <w:tr>
        <w:trPr>
          <w:trHeight w:val="201"/>
        </w:trPr>
        <w:tc>
          <w:tcPr>
            <w:tcW w:w="45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7"/>
                <w:szCs w:val="17"/>
                <w:b w:val="1"/>
                <w:bCs w:val="1"/>
                <w:color w:val="auto"/>
              </w:rPr>
              <w:t>Net insurance claims</w:t>
            </w:r>
          </w:p>
        </w:tc>
        <w:tc>
          <w:tcPr>
            <w:tcW w:w="1040" w:type="dxa"/>
            <w:vAlign w:val="bottom"/>
            <w:tcBorders>
              <w:top w:val="single" w:sz="8" w:color="CCEEFF"/>
              <w:bottom w:val="single" w:sz="8" w:color="CCEEFF"/>
            </w:tcBorders>
            <w:shd w:val="clear" w:color="auto" w:fill="CCEEFF"/>
          </w:tcPr>
          <w:p>
            <w:pPr>
              <w:spacing w:after="0"/>
              <w:rPr>
                <w:sz w:val="17"/>
                <w:szCs w:val="17"/>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566,181</w:t>
            </w:r>
          </w:p>
        </w:tc>
        <w:tc>
          <w:tcPr>
            <w:tcW w:w="240" w:type="dxa"/>
            <w:vAlign w:val="bottom"/>
            <w:tcBorders>
              <w:top w:val="single" w:sz="8" w:color="CCEEFF"/>
              <w:bottom w:val="single" w:sz="8" w:color="CCEEFF"/>
            </w:tcBorders>
            <w:shd w:val="clear" w:color="auto" w:fill="CCEEFF"/>
          </w:tcPr>
          <w:p>
            <w:pPr>
              <w:spacing w:after="0"/>
              <w:rPr>
                <w:sz w:val="17"/>
                <w:szCs w:val="17"/>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269,845</w:t>
            </w:r>
          </w:p>
        </w:tc>
        <w:tc>
          <w:tcPr>
            <w:tcW w:w="24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spacing w:after="0"/>
              <w:rPr>
                <w:sz w:val="17"/>
                <w:szCs w:val="17"/>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282,278</w:t>
            </w: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1,118,304</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5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8"/>
        </w:trPr>
        <w:tc>
          <w:tcPr>
            <w:tcW w:w="45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7"/>
                <w:szCs w:val="17"/>
                <w:b w:val="1"/>
                <w:bCs w:val="1"/>
                <w:color w:val="auto"/>
              </w:rPr>
              <w:t>2016</w:t>
            </w:r>
          </w:p>
        </w:tc>
        <w:tc>
          <w:tcPr>
            <w:tcW w:w="1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45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500" w:type="dxa"/>
            <w:vAlign w:val="bottom"/>
            <w:gridSpan w:val="2"/>
          </w:tcPr>
          <w:p>
            <w:pPr>
              <w:jc w:val="center"/>
              <w:ind w:right="280"/>
              <w:spacing w:after="0" w:line="183" w:lineRule="exact"/>
              <w:rPr>
                <w:sz w:val="20"/>
                <w:szCs w:val="20"/>
                <w:color w:val="auto"/>
              </w:rPr>
            </w:pPr>
            <w:r>
              <w:rPr>
                <w:rFonts w:ascii="Arial" w:cs="Arial" w:eastAsia="Arial" w:hAnsi="Arial"/>
                <w:sz w:val="17"/>
                <w:szCs w:val="17"/>
                <w:b w:val="1"/>
                <w:bCs w:val="1"/>
                <w:color w:val="auto"/>
                <w:w w:val="99"/>
              </w:rPr>
              <w:t>Life</w:t>
            </w:r>
          </w:p>
        </w:tc>
        <w:tc>
          <w:tcPr>
            <w:tcW w:w="1640" w:type="dxa"/>
            <w:vAlign w:val="bottom"/>
            <w:gridSpan w:val="3"/>
          </w:tcPr>
          <w:p>
            <w:pPr>
              <w:jc w:val="center"/>
              <w:ind w:right="440"/>
              <w:spacing w:after="0" w:line="183" w:lineRule="exact"/>
              <w:rPr>
                <w:sz w:val="20"/>
                <w:szCs w:val="20"/>
                <w:color w:val="auto"/>
              </w:rPr>
            </w:pPr>
            <w:r>
              <w:rPr>
                <w:rFonts w:ascii="Arial" w:cs="Arial" w:eastAsia="Arial" w:hAnsi="Arial"/>
                <w:sz w:val="17"/>
                <w:szCs w:val="17"/>
                <w:b w:val="1"/>
                <w:bCs w:val="1"/>
                <w:color w:val="auto"/>
                <w:w w:val="94"/>
              </w:rPr>
              <w:t>General</w:t>
            </w:r>
          </w:p>
        </w:tc>
        <w:tc>
          <w:tcPr>
            <w:tcW w:w="1340" w:type="dxa"/>
            <w:vAlign w:val="bottom"/>
            <w:gridSpan w:val="2"/>
          </w:tcPr>
          <w:p>
            <w:pPr>
              <w:jc w:val="right"/>
              <w:ind w:right="620"/>
              <w:spacing w:after="0" w:line="183" w:lineRule="exact"/>
              <w:rPr>
                <w:sz w:val="20"/>
                <w:szCs w:val="20"/>
                <w:color w:val="auto"/>
              </w:rPr>
            </w:pPr>
            <w:r>
              <w:rPr>
                <w:rFonts w:ascii="Arial" w:cs="Arial" w:eastAsia="Arial" w:hAnsi="Arial"/>
                <w:sz w:val="17"/>
                <w:szCs w:val="17"/>
                <w:b w:val="1"/>
                <w:bCs w:val="1"/>
                <w:color w:val="auto"/>
              </w:rPr>
              <w:t>Health</w:t>
            </w: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45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500" w:type="dxa"/>
            <w:vAlign w:val="bottom"/>
            <w:gridSpan w:val="2"/>
          </w:tcPr>
          <w:p>
            <w:pPr>
              <w:jc w:val="right"/>
              <w:ind w:right="500"/>
              <w:spacing w:after="0"/>
              <w:rPr>
                <w:sz w:val="20"/>
                <w:szCs w:val="20"/>
                <w:color w:val="auto"/>
              </w:rPr>
            </w:pPr>
            <w:r>
              <w:rPr>
                <w:rFonts w:ascii="Arial" w:cs="Arial" w:eastAsia="Arial" w:hAnsi="Arial"/>
                <w:sz w:val="17"/>
                <w:szCs w:val="17"/>
                <w:b w:val="1"/>
                <w:bCs w:val="1"/>
                <w:color w:val="auto"/>
              </w:rPr>
              <w:t>insurance</w:t>
            </w:r>
          </w:p>
        </w:tc>
        <w:tc>
          <w:tcPr>
            <w:tcW w:w="1640" w:type="dxa"/>
            <w:vAlign w:val="bottom"/>
            <w:gridSpan w:val="3"/>
          </w:tcPr>
          <w:p>
            <w:pPr>
              <w:jc w:val="center"/>
              <w:ind w:right="400"/>
              <w:spacing w:after="0"/>
              <w:rPr>
                <w:sz w:val="20"/>
                <w:szCs w:val="20"/>
                <w:color w:val="auto"/>
              </w:rPr>
            </w:pPr>
            <w:r>
              <w:rPr>
                <w:rFonts w:ascii="Arial" w:cs="Arial" w:eastAsia="Arial" w:hAnsi="Arial"/>
                <w:sz w:val="17"/>
                <w:szCs w:val="17"/>
                <w:b w:val="1"/>
                <w:bCs w:val="1"/>
                <w:color w:val="auto"/>
                <w:w w:val="89"/>
              </w:rPr>
              <w:t>insurance</w:t>
            </w:r>
          </w:p>
        </w:tc>
        <w:tc>
          <w:tcPr>
            <w:tcW w:w="1340" w:type="dxa"/>
            <w:vAlign w:val="bottom"/>
            <w:gridSpan w:val="2"/>
          </w:tcPr>
          <w:p>
            <w:pPr>
              <w:jc w:val="right"/>
              <w:ind w:right="500"/>
              <w:spacing w:after="0"/>
              <w:rPr>
                <w:sz w:val="20"/>
                <w:szCs w:val="20"/>
                <w:color w:val="auto"/>
              </w:rPr>
            </w:pPr>
            <w:r>
              <w:rPr>
                <w:rFonts w:ascii="Arial" w:cs="Arial" w:eastAsia="Arial" w:hAnsi="Arial"/>
                <w:sz w:val="17"/>
                <w:szCs w:val="17"/>
                <w:b w:val="1"/>
                <w:bCs w:val="1"/>
                <w:color w:val="auto"/>
              </w:rPr>
              <w:t>insurance</w:t>
            </w:r>
          </w:p>
        </w:tc>
        <w:tc>
          <w:tcPr>
            <w:tcW w:w="1340" w:type="dxa"/>
            <w:vAlign w:val="bottom"/>
            <w:gridSpan w:val="2"/>
          </w:tcPr>
          <w:p>
            <w:pPr>
              <w:jc w:val="right"/>
              <w:ind w:right="520"/>
              <w:spacing w:after="0"/>
              <w:rPr>
                <w:sz w:val="20"/>
                <w:szCs w:val="20"/>
                <w:color w:val="auto"/>
              </w:rPr>
            </w:pPr>
            <w:r>
              <w:rPr>
                <w:rFonts w:ascii="Arial" w:cs="Arial" w:eastAsia="Arial" w:hAnsi="Arial"/>
                <w:sz w:val="17"/>
                <w:szCs w:val="17"/>
                <w:b w:val="1"/>
                <w:bCs w:val="1"/>
                <w:color w:val="auto"/>
              </w:rPr>
              <w:t>Total</w:t>
            </w:r>
          </w:p>
        </w:tc>
        <w:tc>
          <w:tcPr>
            <w:tcW w:w="0" w:type="dxa"/>
            <w:vAlign w:val="bottom"/>
          </w:tcPr>
          <w:p>
            <w:pPr>
              <w:spacing w:after="0"/>
              <w:rPr>
                <w:sz w:val="1"/>
                <w:szCs w:val="1"/>
                <w:color w:val="auto"/>
              </w:rPr>
            </w:pPr>
          </w:p>
        </w:tc>
      </w:tr>
      <w:tr>
        <w:trPr>
          <w:trHeight w:val="219"/>
        </w:trPr>
        <w:tc>
          <w:tcPr>
            <w:tcW w:w="45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60" w:type="dxa"/>
            <w:vAlign w:val="bottom"/>
            <w:tcBorders>
              <w:top w:val="single" w:sz="8" w:color="auto"/>
            </w:tcBorders>
          </w:tcPr>
          <w:p>
            <w:pPr>
              <w:jc w:val="center"/>
              <w:spacing w:after="0"/>
              <w:rPr>
                <w:sz w:val="20"/>
                <w:szCs w:val="20"/>
                <w:color w:val="auto"/>
              </w:rPr>
            </w:pPr>
            <w:r>
              <w:rPr>
                <w:rFonts w:ascii="Arial" w:cs="Arial" w:eastAsia="Arial" w:hAnsi="Arial"/>
                <w:sz w:val="17"/>
                <w:szCs w:val="17"/>
                <w:b w:val="1"/>
                <w:bCs w:val="1"/>
                <w:color w:val="auto"/>
                <w:w w:val="93"/>
              </w:rPr>
              <w:t>S/(000)</w:t>
            </w:r>
          </w:p>
        </w:tc>
        <w:tc>
          <w:tcPr>
            <w:tcW w:w="240" w:type="dxa"/>
            <w:vAlign w:val="bottom"/>
          </w:tcPr>
          <w:p>
            <w:pPr>
              <w:spacing w:after="0"/>
              <w:rPr>
                <w:sz w:val="19"/>
                <w:szCs w:val="19"/>
                <w:color w:val="auto"/>
              </w:rPr>
            </w:pPr>
          </w:p>
        </w:tc>
        <w:tc>
          <w:tcPr>
            <w:tcW w:w="1260" w:type="dxa"/>
            <w:vAlign w:val="bottom"/>
            <w:tcBorders>
              <w:top w:val="single" w:sz="8" w:color="auto"/>
            </w:tcBorders>
          </w:tcPr>
          <w:p>
            <w:pPr>
              <w:jc w:val="center"/>
              <w:spacing w:after="0"/>
              <w:rPr>
                <w:sz w:val="20"/>
                <w:szCs w:val="20"/>
                <w:color w:val="auto"/>
              </w:rPr>
            </w:pPr>
            <w:r>
              <w:rPr>
                <w:rFonts w:ascii="Arial" w:cs="Arial" w:eastAsia="Arial" w:hAnsi="Arial"/>
                <w:sz w:val="17"/>
                <w:szCs w:val="17"/>
                <w:b w:val="1"/>
                <w:bCs w:val="1"/>
                <w:color w:val="auto"/>
                <w:w w:val="93"/>
              </w:rPr>
              <w:t>S/(000)</w:t>
            </w:r>
          </w:p>
        </w:tc>
        <w:tc>
          <w:tcPr>
            <w:tcW w:w="2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center"/>
              <w:ind w:right="73"/>
              <w:spacing w:after="0"/>
              <w:rPr>
                <w:sz w:val="20"/>
                <w:szCs w:val="20"/>
                <w:color w:val="auto"/>
              </w:rPr>
            </w:pPr>
            <w:r>
              <w:rPr>
                <w:rFonts w:ascii="Arial" w:cs="Arial" w:eastAsia="Arial" w:hAnsi="Arial"/>
                <w:sz w:val="17"/>
                <w:szCs w:val="17"/>
                <w:b w:val="1"/>
                <w:bCs w:val="1"/>
                <w:color w:val="auto"/>
                <w:w w:val="93"/>
              </w:rPr>
              <w:t>S/(000)</w:t>
            </w:r>
          </w:p>
        </w:tc>
        <w:tc>
          <w:tcPr>
            <w:tcW w:w="220" w:type="dxa"/>
            <w:vAlign w:val="bottom"/>
          </w:tcPr>
          <w:p>
            <w:pPr>
              <w:spacing w:after="0"/>
              <w:rPr>
                <w:sz w:val="19"/>
                <w:szCs w:val="19"/>
                <w:color w:val="auto"/>
              </w:rPr>
            </w:pPr>
          </w:p>
        </w:tc>
        <w:tc>
          <w:tcPr>
            <w:tcW w:w="1240" w:type="dxa"/>
            <w:vAlign w:val="bottom"/>
            <w:tcBorders>
              <w:top w:val="single" w:sz="8" w:color="auto"/>
            </w:tcBorders>
          </w:tcPr>
          <w:p>
            <w:pPr>
              <w:jc w:val="center"/>
              <w:spacing w:after="0"/>
              <w:rPr>
                <w:sz w:val="20"/>
                <w:szCs w:val="20"/>
                <w:color w:val="auto"/>
              </w:rPr>
            </w:pPr>
            <w:r>
              <w:rPr>
                <w:rFonts w:ascii="Arial" w:cs="Arial" w:eastAsia="Arial" w:hAnsi="Arial"/>
                <w:sz w:val="17"/>
                <w:szCs w:val="17"/>
                <w:b w:val="1"/>
                <w:bCs w:val="1"/>
                <w:color w:val="auto"/>
                <w:w w:val="93"/>
              </w:rPr>
              <w:t>S/(000)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4560" w:type="dxa"/>
            <w:vAlign w:val="bottom"/>
          </w:tcPr>
          <w:p>
            <w:pPr>
              <w:spacing w:after="0"/>
              <w:rPr>
                <w:sz w:val="16"/>
                <w:szCs w:val="16"/>
                <w:color w:val="auto"/>
              </w:rPr>
            </w:pPr>
          </w:p>
        </w:tc>
        <w:tc>
          <w:tcPr>
            <w:tcW w:w="2300" w:type="dxa"/>
            <w:vAlign w:val="bottom"/>
            <w:gridSpan w:val="2"/>
          </w:tcPr>
          <w:p>
            <w:pPr>
              <w:spacing w:after="0"/>
              <w:rPr>
                <w:sz w:val="16"/>
                <w:szCs w:val="16"/>
                <w:color w:val="auto"/>
              </w:rPr>
            </w:pPr>
          </w:p>
        </w:tc>
        <w:tc>
          <w:tcPr>
            <w:tcW w:w="240" w:type="dxa"/>
            <w:vAlign w:val="bottom"/>
          </w:tcPr>
          <w:p>
            <w:pPr>
              <w:spacing w:after="0"/>
              <w:rPr>
                <w:sz w:val="16"/>
                <w:szCs w:val="16"/>
                <w:color w:val="auto"/>
              </w:rPr>
            </w:pPr>
          </w:p>
        </w:tc>
        <w:tc>
          <w:tcPr>
            <w:tcW w:w="1500" w:type="dxa"/>
            <w:vAlign w:val="bottom"/>
            <w:gridSpan w:val="2"/>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4560" w:type="dxa"/>
            <w:vAlign w:val="bottom"/>
            <w:shd w:val="clear" w:color="auto" w:fill="CCEEFF"/>
          </w:tcPr>
          <w:p>
            <w:pPr>
              <w:spacing w:after="0"/>
              <w:rPr>
                <w:sz w:val="20"/>
                <w:szCs w:val="20"/>
                <w:color w:val="auto"/>
              </w:rPr>
            </w:pPr>
            <w:r>
              <w:rPr>
                <w:rFonts w:ascii="Arial" w:cs="Arial" w:eastAsia="Arial" w:hAnsi="Arial"/>
                <w:sz w:val="17"/>
                <w:szCs w:val="17"/>
                <w:color w:val="auto"/>
              </w:rPr>
              <w:t>Gross claims, Note 15(b)</w:t>
            </w:r>
          </w:p>
        </w:tc>
        <w:tc>
          <w:tcPr>
            <w:tcW w:w="23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618,274</w:t>
            </w:r>
          </w:p>
        </w:tc>
        <w:tc>
          <w:tcPr>
            <w:tcW w:w="2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351,227</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274,902</w:t>
            </w: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1,244,403</w:t>
            </w:r>
          </w:p>
        </w:tc>
        <w:tc>
          <w:tcPr>
            <w:tcW w:w="0" w:type="dxa"/>
            <w:vAlign w:val="bottom"/>
          </w:tcPr>
          <w:p>
            <w:pPr>
              <w:spacing w:after="0"/>
              <w:rPr>
                <w:sz w:val="1"/>
                <w:szCs w:val="1"/>
                <w:color w:val="auto"/>
              </w:rPr>
            </w:pPr>
          </w:p>
        </w:tc>
      </w:tr>
      <w:tr>
        <w:trPr>
          <w:trHeight w:val="221"/>
        </w:trPr>
        <w:tc>
          <w:tcPr>
            <w:tcW w:w="4560" w:type="dxa"/>
            <w:vAlign w:val="bottom"/>
          </w:tcPr>
          <w:p>
            <w:pPr>
              <w:spacing w:after="0"/>
              <w:rPr>
                <w:sz w:val="20"/>
                <w:szCs w:val="20"/>
                <w:color w:val="auto"/>
              </w:rPr>
            </w:pPr>
            <w:r>
              <w:rPr>
                <w:rFonts w:ascii="Arial" w:cs="Arial" w:eastAsia="Arial" w:hAnsi="Arial"/>
                <w:sz w:val="17"/>
                <w:szCs w:val="17"/>
                <w:color w:val="auto"/>
              </w:rPr>
              <w:t>Ceded claims, Note 9(b)</w:t>
            </w:r>
          </w:p>
        </w:tc>
        <w:tc>
          <w:tcPr>
            <w:tcW w:w="2540" w:type="dxa"/>
            <w:vAlign w:val="bottom"/>
            <w:gridSpan w:val="3"/>
          </w:tcPr>
          <w:p>
            <w:pPr>
              <w:jc w:val="right"/>
              <w:ind w:right="180"/>
              <w:spacing w:after="0"/>
              <w:rPr>
                <w:sz w:val="20"/>
                <w:szCs w:val="20"/>
                <w:color w:val="auto"/>
              </w:rPr>
            </w:pPr>
            <w:r>
              <w:rPr>
                <w:rFonts w:ascii="Arial" w:cs="Arial" w:eastAsia="Arial" w:hAnsi="Arial"/>
                <w:sz w:val="17"/>
                <w:szCs w:val="17"/>
                <w:color w:val="auto"/>
              </w:rPr>
              <w:t>(28,128)</w:t>
            </w:r>
          </w:p>
        </w:tc>
        <w:tc>
          <w:tcPr>
            <w:tcW w:w="1500" w:type="dxa"/>
            <w:vAlign w:val="bottom"/>
            <w:gridSpan w:val="2"/>
          </w:tcPr>
          <w:p>
            <w:pPr>
              <w:jc w:val="right"/>
              <w:ind w:right="180"/>
              <w:spacing w:after="0"/>
              <w:rPr>
                <w:sz w:val="20"/>
                <w:szCs w:val="20"/>
                <w:color w:val="auto"/>
              </w:rPr>
            </w:pPr>
            <w:r>
              <w:rPr>
                <w:rFonts w:ascii="Arial" w:cs="Arial" w:eastAsia="Arial" w:hAnsi="Arial"/>
                <w:sz w:val="17"/>
                <w:szCs w:val="17"/>
                <w:color w:val="auto"/>
              </w:rPr>
              <w:t>(106,450)</w:t>
            </w:r>
          </w:p>
        </w:tc>
        <w:tc>
          <w:tcPr>
            <w:tcW w:w="14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7"/>
                <w:szCs w:val="17"/>
                <w:color w:val="auto"/>
              </w:rPr>
              <w:t>(10,920)</w:t>
            </w:r>
          </w:p>
        </w:tc>
        <w:tc>
          <w:tcPr>
            <w:tcW w:w="1340" w:type="dxa"/>
            <w:vAlign w:val="bottom"/>
            <w:gridSpan w:val="2"/>
          </w:tcPr>
          <w:p>
            <w:pPr>
              <w:jc w:val="right"/>
              <w:ind w:right="40"/>
              <w:spacing w:after="0"/>
              <w:rPr>
                <w:sz w:val="20"/>
                <w:szCs w:val="20"/>
                <w:color w:val="auto"/>
              </w:rPr>
            </w:pPr>
            <w:r>
              <w:rPr>
                <w:rFonts w:ascii="Arial" w:cs="Arial" w:eastAsia="Arial" w:hAnsi="Arial"/>
                <w:sz w:val="17"/>
                <w:szCs w:val="17"/>
                <w:color w:val="auto"/>
              </w:rPr>
              <w:t>(145,498)</w:t>
            </w:r>
          </w:p>
        </w:tc>
        <w:tc>
          <w:tcPr>
            <w:tcW w:w="0" w:type="dxa"/>
            <w:vAlign w:val="bottom"/>
          </w:tcPr>
          <w:p>
            <w:pPr>
              <w:spacing w:after="0"/>
              <w:rPr>
                <w:sz w:val="1"/>
                <w:szCs w:val="1"/>
                <w:color w:val="auto"/>
              </w:rPr>
            </w:pPr>
          </w:p>
        </w:tc>
      </w:tr>
      <w:tr>
        <w:trPr>
          <w:trHeight w:val="201"/>
        </w:trPr>
        <w:tc>
          <w:tcPr>
            <w:tcW w:w="45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7"/>
                <w:szCs w:val="17"/>
                <w:b w:val="1"/>
                <w:bCs w:val="1"/>
                <w:color w:val="auto"/>
              </w:rPr>
              <w:t>Net insurance claims</w:t>
            </w:r>
          </w:p>
        </w:tc>
        <w:tc>
          <w:tcPr>
            <w:tcW w:w="1040" w:type="dxa"/>
            <w:vAlign w:val="bottom"/>
            <w:tcBorders>
              <w:top w:val="single" w:sz="8" w:color="CCEEFF"/>
              <w:bottom w:val="single" w:sz="8" w:color="CCEEFF"/>
            </w:tcBorders>
            <w:shd w:val="clear" w:color="auto" w:fill="CCEEFF"/>
          </w:tcPr>
          <w:p>
            <w:pPr>
              <w:spacing w:after="0"/>
              <w:rPr>
                <w:sz w:val="17"/>
                <w:szCs w:val="17"/>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590,146</w:t>
            </w:r>
          </w:p>
        </w:tc>
        <w:tc>
          <w:tcPr>
            <w:tcW w:w="240" w:type="dxa"/>
            <w:vAlign w:val="bottom"/>
            <w:tcBorders>
              <w:top w:val="single" w:sz="8" w:color="CCEEFF"/>
              <w:bottom w:val="single" w:sz="8" w:color="CCEEFF"/>
            </w:tcBorders>
            <w:shd w:val="clear" w:color="auto" w:fill="CCEEFF"/>
          </w:tcPr>
          <w:p>
            <w:pPr>
              <w:spacing w:after="0"/>
              <w:rPr>
                <w:sz w:val="17"/>
                <w:szCs w:val="17"/>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244,777</w:t>
            </w:r>
          </w:p>
        </w:tc>
        <w:tc>
          <w:tcPr>
            <w:tcW w:w="24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spacing w:after="0"/>
              <w:rPr>
                <w:sz w:val="17"/>
                <w:szCs w:val="17"/>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263,982</w:t>
            </w: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1,098,905</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5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8"/>
        </w:trPr>
        <w:tc>
          <w:tcPr>
            <w:tcW w:w="45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7"/>
                <w:szCs w:val="17"/>
                <w:b w:val="1"/>
                <w:bCs w:val="1"/>
                <w:color w:val="auto"/>
              </w:rPr>
              <w:t>2015</w:t>
            </w:r>
          </w:p>
        </w:tc>
        <w:tc>
          <w:tcPr>
            <w:tcW w:w="1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45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500" w:type="dxa"/>
            <w:vAlign w:val="bottom"/>
            <w:gridSpan w:val="2"/>
          </w:tcPr>
          <w:p>
            <w:pPr>
              <w:jc w:val="center"/>
              <w:ind w:right="280"/>
              <w:spacing w:after="0" w:line="183" w:lineRule="exact"/>
              <w:rPr>
                <w:sz w:val="20"/>
                <w:szCs w:val="20"/>
                <w:color w:val="auto"/>
              </w:rPr>
            </w:pPr>
            <w:r>
              <w:rPr>
                <w:rFonts w:ascii="Arial" w:cs="Arial" w:eastAsia="Arial" w:hAnsi="Arial"/>
                <w:sz w:val="17"/>
                <w:szCs w:val="17"/>
                <w:b w:val="1"/>
                <w:bCs w:val="1"/>
                <w:color w:val="auto"/>
                <w:w w:val="99"/>
              </w:rPr>
              <w:t>Life</w:t>
            </w:r>
          </w:p>
        </w:tc>
        <w:tc>
          <w:tcPr>
            <w:tcW w:w="1640" w:type="dxa"/>
            <w:vAlign w:val="bottom"/>
            <w:gridSpan w:val="3"/>
          </w:tcPr>
          <w:p>
            <w:pPr>
              <w:jc w:val="center"/>
              <w:ind w:right="440"/>
              <w:spacing w:after="0" w:line="183" w:lineRule="exact"/>
              <w:rPr>
                <w:sz w:val="20"/>
                <w:szCs w:val="20"/>
                <w:color w:val="auto"/>
              </w:rPr>
            </w:pPr>
            <w:r>
              <w:rPr>
                <w:rFonts w:ascii="Arial" w:cs="Arial" w:eastAsia="Arial" w:hAnsi="Arial"/>
                <w:sz w:val="17"/>
                <w:szCs w:val="17"/>
                <w:b w:val="1"/>
                <w:bCs w:val="1"/>
                <w:color w:val="auto"/>
                <w:w w:val="94"/>
              </w:rPr>
              <w:t>General</w:t>
            </w:r>
          </w:p>
        </w:tc>
        <w:tc>
          <w:tcPr>
            <w:tcW w:w="1340" w:type="dxa"/>
            <w:vAlign w:val="bottom"/>
            <w:gridSpan w:val="2"/>
          </w:tcPr>
          <w:p>
            <w:pPr>
              <w:jc w:val="right"/>
              <w:ind w:right="620"/>
              <w:spacing w:after="0" w:line="183" w:lineRule="exact"/>
              <w:rPr>
                <w:sz w:val="20"/>
                <w:szCs w:val="20"/>
                <w:color w:val="auto"/>
              </w:rPr>
            </w:pPr>
            <w:r>
              <w:rPr>
                <w:rFonts w:ascii="Arial" w:cs="Arial" w:eastAsia="Arial" w:hAnsi="Arial"/>
                <w:sz w:val="17"/>
                <w:szCs w:val="17"/>
                <w:b w:val="1"/>
                <w:bCs w:val="1"/>
                <w:color w:val="auto"/>
              </w:rPr>
              <w:t>Health</w:t>
            </w: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45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500" w:type="dxa"/>
            <w:vAlign w:val="bottom"/>
            <w:gridSpan w:val="2"/>
          </w:tcPr>
          <w:p>
            <w:pPr>
              <w:jc w:val="right"/>
              <w:ind w:right="500"/>
              <w:spacing w:after="0"/>
              <w:rPr>
                <w:sz w:val="20"/>
                <w:szCs w:val="20"/>
                <w:color w:val="auto"/>
              </w:rPr>
            </w:pPr>
            <w:r>
              <w:rPr>
                <w:rFonts w:ascii="Arial" w:cs="Arial" w:eastAsia="Arial" w:hAnsi="Arial"/>
                <w:sz w:val="17"/>
                <w:szCs w:val="17"/>
                <w:b w:val="1"/>
                <w:bCs w:val="1"/>
                <w:color w:val="auto"/>
              </w:rPr>
              <w:t>insurance</w:t>
            </w:r>
          </w:p>
        </w:tc>
        <w:tc>
          <w:tcPr>
            <w:tcW w:w="1640" w:type="dxa"/>
            <w:vAlign w:val="bottom"/>
            <w:gridSpan w:val="3"/>
          </w:tcPr>
          <w:p>
            <w:pPr>
              <w:jc w:val="center"/>
              <w:ind w:right="400"/>
              <w:spacing w:after="0"/>
              <w:rPr>
                <w:sz w:val="20"/>
                <w:szCs w:val="20"/>
                <w:color w:val="auto"/>
              </w:rPr>
            </w:pPr>
            <w:r>
              <w:rPr>
                <w:rFonts w:ascii="Arial" w:cs="Arial" w:eastAsia="Arial" w:hAnsi="Arial"/>
                <w:sz w:val="17"/>
                <w:szCs w:val="17"/>
                <w:b w:val="1"/>
                <w:bCs w:val="1"/>
                <w:color w:val="auto"/>
                <w:w w:val="89"/>
              </w:rPr>
              <w:t>insurance</w:t>
            </w:r>
          </w:p>
        </w:tc>
        <w:tc>
          <w:tcPr>
            <w:tcW w:w="1340" w:type="dxa"/>
            <w:vAlign w:val="bottom"/>
            <w:gridSpan w:val="2"/>
          </w:tcPr>
          <w:p>
            <w:pPr>
              <w:jc w:val="right"/>
              <w:ind w:right="500"/>
              <w:spacing w:after="0"/>
              <w:rPr>
                <w:sz w:val="20"/>
                <w:szCs w:val="20"/>
                <w:color w:val="auto"/>
              </w:rPr>
            </w:pPr>
            <w:r>
              <w:rPr>
                <w:rFonts w:ascii="Arial" w:cs="Arial" w:eastAsia="Arial" w:hAnsi="Arial"/>
                <w:sz w:val="17"/>
                <w:szCs w:val="17"/>
                <w:b w:val="1"/>
                <w:bCs w:val="1"/>
                <w:color w:val="auto"/>
              </w:rPr>
              <w:t>insurance</w:t>
            </w:r>
          </w:p>
        </w:tc>
        <w:tc>
          <w:tcPr>
            <w:tcW w:w="1340" w:type="dxa"/>
            <w:vAlign w:val="bottom"/>
            <w:gridSpan w:val="2"/>
          </w:tcPr>
          <w:p>
            <w:pPr>
              <w:jc w:val="right"/>
              <w:ind w:right="520"/>
              <w:spacing w:after="0"/>
              <w:rPr>
                <w:sz w:val="20"/>
                <w:szCs w:val="20"/>
                <w:color w:val="auto"/>
              </w:rPr>
            </w:pPr>
            <w:r>
              <w:rPr>
                <w:rFonts w:ascii="Arial" w:cs="Arial" w:eastAsia="Arial" w:hAnsi="Arial"/>
                <w:sz w:val="17"/>
                <w:szCs w:val="17"/>
                <w:b w:val="1"/>
                <w:bCs w:val="1"/>
                <w:color w:val="auto"/>
              </w:rPr>
              <w:t>Total</w:t>
            </w:r>
          </w:p>
        </w:tc>
        <w:tc>
          <w:tcPr>
            <w:tcW w:w="0" w:type="dxa"/>
            <w:vAlign w:val="bottom"/>
          </w:tcPr>
          <w:p>
            <w:pPr>
              <w:spacing w:after="0"/>
              <w:rPr>
                <w:sz w:val="1"/>
                <w:szCs w:val="1"/>
                <w:color w:val="auto"/>
              </w:rPr>
            </w:pPr>
          </w:p>
        </w:tc>
      </w:tr>
      <w:tr>
        <w:trPr>
          <w:trHeight w:val="219"/>
        </w:trPr>
        <w:tc>
          <w:tcPr>
            <w:tcW w:w="45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60" w:type="dxa"/>
            <w:vAlign w:val="bottom"/>
            <w:tcBorders>
              <w:top w:val="single" w:sz="8" w:color="auto"/>
            </w:tcBorders>
          </w:tcPr>
          <w:p>
            <w:pPr>
              <w:jc w:val="center"/>
              <w:spacing w:after="0"/>
              <w:rPr>
                <w:sz w:val="20"/>
                <w:szCs w:val="20"/>
                <w:color w:val="auto"/>
              </w:rPr>
            </w:pPr>
            <w:r>
              <w:rPr>
                <w:rFonts w:ascii="Arial" w:cs="Arial" w:eastAsia="Arial" w:hAnsi="Arial"/>
                <w:sz w:val="17"/>
                <w:szCs w:val="17"/>
                <w:b w:val="1"/>
                <w:bCs w:val="1"/>
                <w:color w:val="auto"/>
                <w:w w:val="93"/>
              </w:rPr>
              <w:t>S/(000)</w:t>
            </w:r>
          </w:p>
        </w:tc>
        <w:tc>
          <w:tcPr>
            <w:tcW w:w="240" w:type="dxa"/>
            <w:vAlign w:val="bottom"/>
          </w:tcPr>
          <w:p>
            <w:pPr>
              <w:spacing w:after="0"/>
              <w:rPr>
                <w:sz w:val="19"/>
                <w:szCs w:val="19"/>
                <w:color w:val="auto"/>
              </w:rPr>
            </w:pPr>
          </w:p>
        </w:tc>
        <w:tc>
          <w:tcPr>
            <w:tcW w:w="1260" w:type="dxa"/>
            <w:vAlign w:val="bottom"/>
            <w:tcBorders>
              <w:top w:val="single" w:sz="8" w:color="auto"/>
            </w:tcBorders>
          </w:tcPr>
          <w:p>
            <w:pPr>
              <w:jc w:val="center"/>
              <w:spacing w:after="0"/>
              <w:rPr>
                <w:sz w:val="20"/>
                <w:szCs w:val="20"/>
                <w:color w:val="auto"/>
              </w:rPr>
            </w:pPr>
            <w:r>
              <w:rPr>
                <w:rFonts w:ascii="Arial" w:cs="Arial" w:eastAsia="Arial" w:hAnsi="Arial"/>
                <w:sz w:val="17"/>
                <w:szCs w:val="17"/>
                <w:b w:val="1"/>
                <w:bCs w:val="1"/>
                <w:color w:val="auto"/>
                <w:w w:val="93"/>
              </w:rPr>
              <w:t>S/(000)</w:t>
            </w:r>
          </w:p>
        </w:tc>
        <w:tc>
          <w:tcPr>
            <w:tcW w:w="2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center"/>
              <w:ind w:right="73"/>
              <w:spacing w:after="0"/>
              <w:rPr>
                <w:sz w:val="20"/>
                <w:szCs w:val="20"/>
                <w:color w:val="auto"/>
              </w:rPr>
            </w:pPr>
            <w:r>
              <w:rPr>
                <w:rFonts w:ascii="Arial" w:cs="Arial" w:eastAsia="Arial" w:hAnsi="Arial"/>
                <w:sz w:val="17"/>
                <w:szCs w:val="17"/>
                <w:b w:val="1"/>
                <w:bCs w:val="1"/>
                <w:color w:val="auto"/>
                <w:w w:val="93"/>
              </w:rPr>
              <w:t>S/(000)</w:t>
            </w:r>
          </w:p>
        </w:tc>
        <w:tc>
          <w:tcPr>
            <w:tcW w:w="220" w:type="dxa"/>
            <w:vAlign w:val="bottom"/>
          </w:tcPr>
          <w:p>
            <w:pPr>
              <w:spacing w:after="0"/>
              <w:rPr>
                <w:sz w:val="19"/>
                <w:szCs w:val="19"/>
                <w:color w:val="auto"/>
              </w:rPr>
            </w:pPr>
          </w:p>
        </w:tc>
        <w:tc>
          <w:tcPr>
            <w:tcW w:w="1240" w:type="dxa"/>
            <w:vAlign w:val="bottom"/>
            <w:tcBorders>
              <w:top w:val="single" w:sz="8" w:color="auto"/>
            </w:tcBorders>
          </w:tcPr>
          <w:p>
            <w:pPr>
              <w:jc w:val="center"/>
              <w:spacing w:after="0"/>
              <w:rPr>
                <w:sz w:val="20"/>
                <w:szCs w:val="20"/>
                <w:color w:val="auto"/>
              </w:rPr>
            </w:pPr>
            <w:r>
              <w:rPr>
                <w:rFonts w:ascii="Arial" w:cs="Arial" w:eastAsia="Arial" w:hAnsi="Arial"/>
                <w:sz w:val="17"/>
                <w:szCs w:val="17"/>
                <w:b w:val="1"/>
                <w:bCs w:val="1"/>
                <w:color w:val="auto"/>
                <w:w w:val="93"/>
              </w:rPr>
              <w:t>S/(000)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4560" w:type="dxa"/>
            <w:vAlign w:val="bottom"/>
          </w:tcPr>
          <w:p>
            <w:pPr>
              <w:spacing w:after="0"/>
              <w:rPr>
                <w:sz w:val="16"/>
                <w:szCs w:val="16"/>
                <w:color w:val="auto"/>
              </w:rPr>
            </w:pPr>
          </w:p>
        </w:tc>
        <w:tc>
          <w:tcPr>
            <w:tcW w:w="2300" w:type="dxa"/>
            <w:vAlign w:val="bottom"/>
            <w:gridSpan w:val="2"/>
          </w:tcPr>
          <w:p>
            <w:pPr>
              <w:spacing w:after="0"/>
              <w:rPr>
                <w:sz w:val="16"/>
                <w:szCs w:val="16"/>
                <w:color w:val="auto"/>
              </w:rPr>
            </w:pPr>
          </w:p>
        </w:tc>
        <w:tc>
          <w:tcPr>
            <w:tcW w:w="240" w:type="dxa"/>
            <w:vAlign w:val="bottom"/>
          </w:tcPr>
          <w:p>
            <w:pPr>
              <w:spacing w:after="0"/>
              <w:rPr>
                <w:sz w:val="16"/>
                <w:szCs w:val="16"/>
                <w:color w:val="auto"/>
              </w:rPr>
            </w:pPr>
          </w:p>
        </w:tc>
        <w:tc>
          <w:tcPr>
            <w:tcW w:w="1500" w:type="dxa"/>
            <w:vAlign w:val="bottom"/>
            <w:gridSpan w:val="2"/>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4560" w:type="dxa"/>
            <w:vAlign w:val="bottom"/>
            <w:shd w:val="clear" w:color="auto" w:fill="CCEEFF"/>
          </w:tcPr>
          <w:p>
            <w:pPr>
              <w:spacing w:after="0"/>
              <w:rPr>
                <w:sz w:val="20"/>
                <w:szCs w:val="20"/>
                <w:color w:val="auto"/>
              </w:rPr>
            </w:pPr>
            <w:r>
              <w:rPr>
                <w:rFonts w:ascii="Arial" w:cs="Arial" w:eastAsia="Arial" w:hAnsi="Arial"/>
                <w:sz w:val="17"/>
                <w:szCs w:val="17"/>
                <w:color w:val="auto"/>
              </w:rPr>
              <w:t>Gross claims</w:t>
            </w:r>
          </w:p>
        </w:tc>
        <w:tc>
          <w:tcPr>
            <w:tcW w:w="23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546,645</w:t>
            </w:r>
          </w:p>
        </w:tc>
        <w:tc>
          <w:tcPr>
            <w:tcW w:w="2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341,470</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263,438</w:t>
            </w: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1,151,553</w:t>
            </w:r>
          </w:p>
        </w:tc>
        <w:tc>
          <w:tcPr>
            <w:tcW w:w="0" w:type="dxa"/>
            <w:vAlign w:val="bottom"/>
          </w:tcPr>
          <w:p>
            <w:pPr>
              <w:spacing w:after="0"/>
              <w:rPr>
                <w:sz w:val="1"/>
                <w:szCs w:val="1"/>
                <w:color w:val="auto"/>
              </w:rPr>
            </w:pPr>
          </w:p>
        </w:tc>
      </w:tr>
      <w:tr>
        <w:trPr>
          <w:trHeight w:val="221"/>
        </w:trPr>
        <w:tc>
          <w:tcPr>
            <w:tcW w:w="4560" w:type="dxa"/>
            <w:vAlign w:val="bottom"/>
          </w:tcPr>
          <w:p>
            <w:pPr>
              <w:spacing w:after="0"/>
              <w:rPr>
                <w:sz w:val="20"/>
                <w:szCs w:val="20"/>
                <w:color w:val="auto"/>
              </w:rPr>
            </w:pPr>
            <w:r>
              <w:rPr>
                <w:rFonts w:ascii="Arial" w:cs="Arial" w:eastAsia="Arial" w:hAnsi="Arial"/>
                <w:sz w:val="17"/>
                <w:szCs w:val="17"/>
                <w:color w:val="auto"/>
              </w:rPr>
              <w:t>Ceded claims, Note 9(b)</w:t>
            </w:r>
          </w:p>
        </w:tc>
        <w:tc>
          <w:tcPr>
            <w:tcW w:w="2540" w:type="dxa"/>
            <w:vAlign w:val="bottom"/>
            <w:gridSpan w:val="3"/>
          </w:tcPr>
          <w:p>
            <w:pPr>
              <w:jc w:val="right"/>
              <w:ind w:right="180"/>
              <w:spacing w:after="0"/>
              <w:rPr>
                <w:sz w:val="20"/>
                <w:szCs w:val="20"/>
                <w:color w:val="auto"/>
              </w:rPr>
            </w:pPr>
            <w:r>
              <w:rPr>
                <w:rFonts w:ascii="Arial" w:cs="Arial" w:eastAsia="Arial" w:hAnsi="Arial"/>
                <w:sz w:val="17"/>
                <w:szCs w:val="17"/>
                <w:color w:val="auto"/>
              </w:rPr>
              <w:t>(26,490)</w:t>
            </w:r>
          </w:p>
        </w:tc>
        <w:tc>
          <w:tcPr>
            <w:tcW w:w="1500" w:type="dxa"/>
            <w:vAlign w:val="bottom"/>
            <w:gridSpan w:val="2"/>
          </w:tcPr>
          <w:p>
            <w:pPr>
              <w:jc w:val="right"/>
              <w:ind w:right="180"/>
              <w:spacing w:after="0"/>
              <w:rPr>
                <w:sz w:val="20"/>
                <w:szCs w:val="20"/>
                <w:color w:val="auto"/>
              </w:rPr>
            </w:pPr>
            <w:r>
              <w:rPr>
                <w:rFonts w:ascii="Arial" w:cs="Arial" w:eastAsia="Arial" w:hAnsi="Arial"/>
                <w:sz w:val="17"/>
                <w:szCs w:val="17"/>
                <w:color w:val="auto"/>
              </w:rPr>
              <w:t>(85,109)</w:t>
            </w:r>
          </w:p>
        </w:tc>
        <w:tc>
          <w:tcPr>
            <w:tcW w:w="14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7"/>
                <w:szCs w:val="17"/>
                <w:color w:val="auto"/>
              </w:rPr>
              <w:t>(8,295)</w:t>
            </w:r>
          </w:p>
        </w:tc>
        <w:tc>
          <w:tcPr>
            <w:tcW w:w="1340" w:type="dxa"/>
            <w:vAlign w:val="bottom"/>
            <w:gridSpan w:val="2"/>
          </w:tcPr>
          <w:p>
            <w:pPr>
              <w:jc w:val="right"/>
              <w:ind w:right="40"/>
              <w:spacing w:after="0"/>
              <w:rPr>
                <w:sz w:val="20"/>
                <w:szCs w:val="20"/>
                <w:color w:val="auto"/>
              </w:rPr>
            </w:pPr>
            <w:r>
              <w:rPr>
                <w:rFonts w:ascii="Arial" w:cs="Arial" w:eastAsia="Arial" w:hAnsi="Arial"/>
                <w:sz w:val="17"/>
                <w:szCs w:val="17"/>
                <w:color w:val="auto"/>
              </w:rPr>
              <w:t>(119,894)</w:t>
            </w:r>
          </w:p>
        </w:tc>
        <w:tc>
          <w:tcPr>
            <w:tcW w:w="0" w:type="dxa"/>
            <w:vAlign w:val="bottom"/>
          </w:tcPr>
          <w:p>
            <w:pPr>
              <w:spacing w:after="0"/>
              <w:rPr>
                <w:sz w:val="1"/>
                <w:szCs w:val="1"/>
                <w:color w:val="auto"/>
              </w:rPr>
            </w:pPr>
          </w:p>
        </w:tc>
      </w:tr>
      <w:tr>
        <w:trPr>
          <w:trHeight w:val="201"/>
        </w:trPr>
        <w:tc>
          <w:tcPr>
            <w:tcW w:w="45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7"/>
                <w:szCs w:val="17"/>
                <w:b w:val="1"/>
                <w:bCs w:val="1"/>
                <w:color w:val="auto"/>
              </w:rPr>
              <w:t>Net insurance claims</w:t>
            </w:r>
          </w:p>
        </w:tc>
        <w:tc>
          <w:tcPr>
            <w:tcW w:w="1040" w:type="dxa"/>
            <w:vAlign w:val="bottom"/>
            <w:tcBorders>
              <w:top w:val="single" w:sz="8" w:color="CCEEFF"/>
              <w:bottom w:val="single" w:sz="8" w:color="CCEEFF"/>
            </w:tcBorders>
            <w:shd w:val="clear" w:color="auto" w:fill="CCEEFF"/>
          </w:tcPr>
          <w:p>
            <w:pPr>
              <w:spacing w:after="0"/>
              <w:rPr>
                <w:sz w:val="17"/>
                <w:szCs w:val="17"/>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520,155</w:t>
            </w:r>
          </w:p>
        </w:tc>
        <w:tc>
          <w:tcPr>
            <w:tcW w:w="240" w:type="dxa"/>
            <w:vAlign w:val="bottom"/>
            <w:tcBorders>
              <w:top w:val="single" w:sz="8" w:color="CCEEFF"/>
              <w:bottom w:val="single" w:sz="8" w:color="CCEEFF"/>
            </w:tcBorders>
            <w:shd w:val="clear" w:color="auto" w:fill="CCEEFF"/>
          </w:tcPr>
          <w:p>
            <w:pPr>
              <w:spacing w:after="0"/>
              <w:rPr>
                <w:sz w:val="17"/>
                <w:szCs w:val="17"/>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256,361</w:t>
            </w:r>
          </w:p>
        </w:tc>
        <w:tc>
          <w:tcPr>
            <w:tcW w:w="24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spacing w:after="0"/>
              <w:rPr>
                <w:sz w:val="17"/>
                <w:szCs w:val="17"/>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255,143</w:t>
            </w: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1,031,659</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560" w:type="dxa"/>
            <w:vAlign w:val="bottom"/>
            <w:vMerge w:val="restart"/>
          </w:tcPr>
          <w:p>
            <w:pPr>
              <w:spacing w:after="0"/>
              <w:rPr>
                <w:sz w:val="20"/>
                <w:szCs w:val="20"/>
                <w:color w:val="auto"/>
              </w:rPr>
            </w:pPr>
            <w:r>
              <w:rPr>
                <w:rFonts w:ascii="Arial" w:cs="Arial" w:eastAsia="Arial" w:hAnsi="Arial"/>
                <w:sz w:val="17"/>
                <w:szCs w:val="17"/>
                <w:b w:val="1"/>
                <w:bCs w:val="1"/>
                <w:color w:val="auto"/>
              </w:rPr>
              <w:t>25  SALARIES AND EMPLOYEES BENEFITS</w:t>
            </w:r>
          </w:p>
        </w:tc>
        <w:tc>
          <w:tcPr>
            <w:tcW w:w="104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5"/>
        </w:trPr>
        <w:tc>
          <w:tcPr>
            <w:tcW w:w="4560" w:type="dxa"/>
            <w:vAlign w:val="bottom"/>
            <w:vMerge w:val="continue"/>
          </w:tcPr>
          <w:p>
            <w:pPr>
              <w:spacing w:after="0"/>
              <w:rPr>
                <w:sz w:val="24"/>
                <w:szCs w:val="24"/>
                <w:color w:val="auto"/>
              </w:rPr>
            </w:pPr>
          </w:p>
        </w:tc>
        <w:tc>
          <w:tcPr>
            <w:tcW w:w="10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6"/>
        </w:trPr>
        <w:tc>
          <w:tcPr>
            <w:tcW w:w="4560" w:type="dxa"/>
            <w:vAlign w:val="bottom"/>
          </w:tcPr>
          <w:p>
            <w:pPr>
              <w:spacing w:after="0"/>
              <w:rPr>
                <w:sz w:val="20"/>
                <w:szCs w:val="20"/>
                <w:color w:val="auto"/>
              </w:rPr>
            </w:pPr>
            <w:r>
              <w:rPr>
                <w:rFonts w:ascii="Arial" w:cs="Arial" w:eastAsia="Arial" w:hAnsi="Arial"/>
                <w:sz w:val="17"/>
                <w:szCs w:val="17"/>
                <w:color w:val="auto"/>
              </w:rPr>
              <w:t>This item consists of the following:</w:t>
            </w:r>
          </w:p>
        </w:tc>
        <w:tc>
          <w:tcPr>
            <w:tcW w:w="10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9"/>
        </w:trPr>
        <w:tc>
          <w:tcPr>
            <w:tcW w:w="45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89"/>
              </w:rPr>
              <w:t>2017</w:t>
            </w:r>
          </w:p>
        </w:tc>
        <w:tc>
          <w:tcPr>
            <w:tcW w:w="2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center"/>
              <w:ind w:right="73"/>
              <w:spacing w:after="0"/>
              <w:rPr>
                <w:sz w:val="20"/>
                <w:szCs w:val="20"/>
                <w:color w:val="auto"/>
              </w:rPr>
            </w:pPr>
            <w:r>
              <w:rPr>
                <w:rFonts w:ascii="Arial" w:cs="Arial" w:eastAsia="Arial" w:hAnsi="Arial"/>
                <w:sz w:val="17"/>
                <w:szCs w:val="17"/>
                <w:b w:val="1"/>
                <w:bCs w:val="1"/>
                <w:color w:val="auto"/>
                <w:w w:val="95"/>
              </w:rPr>
              <w:t>2016</w:t>
            </w:r>
          </w:p>
        </w:tc>
        <w:tc>
          <w:tcPr>
            <w:tcW w:w="220" w:type="dxa"/>
            <w:vAlign w:val="bottom"/>
          </w:tcPr>
          <w:p>
            <w:pPr>
              <w:spacing w:after="0"/>
              <w:rPr>
                <w:sz w:val="24"/>
                <w:szCs w:val="24"/>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95"/>
              </w:rPr>
              <w:t>2015</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45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jc w:val="center"/>
              <w:spacing w:after="0"/>
              <w:rPr>
                <w:sz w:val="20"/>
                <w:szCs w:val="20"/>
                <w:color w:val="auto"/>
              </w:rPr>
            </w:pPr>
            <w:r>
              <w:rPr>
                <w:rFonts w:ascii="Arial" w:cs="Arial" w:eastAsia="Arial" w:hAnsi="Arial"/>
                <w:sz w:val="17"/>
                <w:szCs w:val="17"/>
                <w:b w:val="1"/>
                <w:bCs w:val="1"/>
                <w:color w:val="auto"/>
                <w:w w:val="93"/>
              </w:rPr>
              <w:t>S/(000)</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center"/>
              <w:ind w:right="73"/>
              <w:spacing w:after="0"/>
              <w:rPr>
                <w:sz w:val="20"/>
                <w:szCs w:val="20"/>
                <w:color w:val="auto"/>
              </w:rPr>
            </w:pPr>
            <w:r>
              <w:rPr>
                <w:rFonts w:ascii="Arial" w:cs="Arial" w:eastAsia="Arial" w:hAnsi="Arial"/>
                <w:sz w:val="17"/>
                <w:szCs w:val="17"/>
                <w:b w:val="1"/>
                <w:bCs w:val="1"/>
                <w:color w:val="auto"/>
                <w:w w:val="93"/>
              </w:rPr>
              <w:t>S/(000)</w:t>
            </w:r>
          </w:p>
        </w:tc>
        <w:tc>
          <w:tcPr>
            <w:tcW w:w="220" w:type="dxa"/>
            <w:vAlign w:val="bottom"/>
          </w:tcPr>
          <w:p>
            <w:pPr>
              <w:spacing w:after="0"/>
              <w:rPr>
                <w:sz w:val="19"/>
                <w:szCs w:val="19"/>
                <w:color w:val="auto"/>
              </w:rPr>
            </w:pPr>
          </w:p>
        </w:tc>
        <w:tc>
          <w:tcPr>
            <w:tcW w:w="1240" w:type="dxa"/>
            <w:vAlign w:val="bottom"/>
          </w:tcPr>
          <w:p>
            <w:pPr>
              <w:jc w:val="center"/>
              <w:spacing w:after="0"/>
              <w:rPr>
                <w:sz w:val="20"/>
                <w:szCs w:val="20"/>
                <w:color w:val="auto"/>
              </w:rPr>
            </w:pPr>
            <w:r>
              <w:rPr>
                <w:rFonts w:ascii="Arial" w:cs="Arial" w:eastAsia="Arial" w:hAnsi="Arial"/>
                <w:sz w:val="17"/>
                <w:szCs w:val="17"/>
                <w:b w:val="1"/>
                <w:bCs w:val="1"/>
                <w:color w:val="auto"/>
                <w:w w:val="93"/>
              </w:rPr>
              <w:t>S/(000)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45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00" w:type="dxa"/>
            <w:vAlign w:val="bottom"/>
            <w:gridSpan w:val="2"/>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4560" w:type="dxa"/>
            <w:vAlign w:val="bottom"/>
            <w:shd w:val="clear" w:color="auto" w:fill="CCEEFF"/>
          </w:tcPr>
          <w:p>
            <w:pPr>
              <w:spacing w:after="0"/>
              <w:rPr>
                <w:sz w:val="20"/>
                <w:szCs w:val="20"/>
                <w:color w:val="auto"/>
              </w:rPr>
            </w:pPr>
            <w:r>
              <w:rPr>
                <w:rFonts w:ascii="Arial" w:cs="Arial" w:eastAsia="Arial" w:hAnsi="Arial"/>
                <w:sz w:val="17"/>
                <w:szCs w:val="17"/>
                <w:color w:val="auto"/>
              </w:rPr>
              <w:t>Salaries</w:t>
            </w:r>
          </w:p>
        </w:tc>
        <w:tc>
          <w:tcPr>
            <w:tcW w:w="10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1,662,327</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1,622,065</w:t>
            </w: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1,594,538</w:t>
            </w:r>
          </w:p>
        </w:tc>
        <w:tc>
          <w:tcPr>
            <w:tcW w:w="0" w:type="dxa"/>
            <w:vAlign w:val="bottom"/>
          </w:tcPr>
          <w:p>
            <w:pPr>
              <w:spacing w:after="0"/>
              <w:rPr>
                <w:sz w:val="1"/>
                <w:szCs w:val="1"/>
                <w:color w:val="auto"/>
              </w:rPr>
            </w:pPr>
          </w:p>
        </w:tc>
      </w:tr>
      <w:tr>
        <w:trPr>
          <w:trHeight w:val="208"/>
        </w:trPr>
        <w:tc>
          <w:tcPr>
            <w:tcW w:w="4560" w:type="dxa"/>
            <w:vAlign w:val="bottom"/>
          </w:tcPr>
          <w:p>
            <w:pPr>
              <w:spacing w:after="0"/>
              <w:rPr>
                <w:sz w:val="20"/>
                <w:szCs w:val="20"/>
                <w:color w:val="auto"/>
              </w:rPr>
            </w:pPr>
            <w:r>
              <w:rPr>
                <w:rFonts w:ascii="Arial" w:cs="Arial" w:eastAsia="Arial" w:hAnsi="Arial"/>
                <w:sz w:val="17"/>
                <w:szCs w:val="17"/>
                <w:color w:val="auto"/>
              </w:rPr>
              <w:t>Vacations, medical assistance and others</w:t>
            </w:r>
          </w:p>
        </w:tc>
        <w:tc>
          <w:tcPr>
            <w:tcW w:w="10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gridSpan w:val="2"/>
          </w:tcPr>
          <w:p>
            <w:pPr>
              <w:jc w:val="right"/>
              <w:ind w:right="240"/>
              <w:spacing w:after="0"/>
              <w:rPr>
                <w:sz w:val="20"/>
                <w:szCs w:val="20"/>
                <w:color w:val="auto"/>
              </w:rPr>
            </w:pPr>
            <w:r>
              <w:rPr>
                <w:rFonts w:ascii="Arial" w:cs="Arial" w:eastAsia="Arial" w:hAnsi="Arial"/>
                <w:sz w:val="17"/>
                <w:szCs w:val="17"/>
                <w:color w:val="auto"/>
              </w:rPr>
              <w:t>361,511</w:t>
            </w: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316,345</w:t>
            </w:r>
          </w:p>
        </w:tc>
        <w:tc>
          <w:tcPr>
            <w:tcW w:w="22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7"/>
                <w:szCs w:val="17"/>
                <w:color w:val="auto"/>
              </w:rPr>
              <w:t>309,096</w:t>
            </w:r>
          </w:p>
        </w:tc>
        <w:tc>
          <w:tcPr>
            <w:tcW w:w="0" w:type="dxa"/>
            <w:vAlign w:val="bottom"/>
          </w:tcPr>
          <w:p>
            <w:pPr>
              <w:spacing w:after="0"/>
              <w:rPr>
                <w:sz w:val="1"/>
                <w:szCs w:val="1"/>
                <w:color w:val="auto"/>
              </w:rPr>
            </w:pPr>
          </w:p>
        </w:tc>
      </w:tr>
      <w:tr>
        <w:trPr>
          <w:trHeight w:val="208"/>
        </w:trPr>
        <w:tc>
          <w:tcPr>
            <w:tcW w:w="4560" w:type="dxa"/>
            <w:vAlign w:val="bottom"/>
            <w:shd w:val="clear" w:color="auto" w:fill="CCEEFF"/>
          </w:tcPr>
          <w:p>
            <w:pPr>
              <w:spacing w:after="0"/>
              <w:rPr>
                <w:sz w:val="20"/>
                <w:szCs w:val="20"/>
                <w:color w:val="auto"/>
              </w:rPr>
            </w:pPr>
            <w:r>
              <w:rPr>
                <w:rFonts w:ascii="Arial" w:cs="Arial" w:eastAsia="Arial" w:hAnsi="Arial"/>
                <w:sz w:val="17"/>
                <w:szCs w:val="17"/>
                <w:color w:val="auto"/>
              </w:rPr>
              <w:t>Bonuses</w:t>
            </w:r>
          </w:p>
        </w:tc>
        <w:tc>
          <w:tcPr>
            <w:tcW w:w="10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237,192</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233,163</w:t>
            </w: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221,654</w:t>
            </w:r>
          </w:p>
        </w:tc>
        <w:tc>
          <w:tcPr>
            <w:tcW w:w="0" w:type="dxa"/>
            <w:vAlign w:val="bottom"/>
          </w:tcPr>
          <w:p>
            <w:pPr>
              <w:spacing w:after="0"/>
              <w:rPr>
                <w:sz w:val="1"/>
                <w:szCs w:val="1"/>
                <w:color w:val="auto"/>
              </w:rPr>
            </w:pPr>
          </w:p>
        </w:tc>
      </w:tr>
      <w:tr>
        <w:trPr>
          <w:trHeight w:val="208"/>
        </w:trPr>
        <w:tc>
          <w:tcPr>
            <w:tcW w:w="4560" w:type="dxa"/>
            <w:vAlign w:val="bottom"/>
          </w:tcPr>
          <w:p>
            <w:pPr>
              <w:spacing w:after="0"/>
              <w:rPr>
                <w:sz w:val="20"/>
                <w:szCs w:val="20"/>
                <w:color w:val="auto"/>
              </w:rPr>
            </w:pPr>
            <w:r>
              <w:rPr>
                <w:rFonts w:ascii="Arial" w:cs="Arial" w:eastAsia="Arial" w:hAnsi="Arial"/>
                <w:sz w:val="17"/>
                <w:szCs w:val="17"/>
                <w:color w:val="auto"/>
              </w:rPr>
              <w:t>Workers’ profit sharing</w:t>
            </w:r>
          </w:p>
        </w:tc>
        <w:tc>
          <w:tcPr>
            <w:tcW w:w="10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gridSpan w:val="2"/>
          </w:tcPr>
          <w:p>
            <w:pPr>
              <w:jc w:val="right"/>
              <w:ind w:right="240"/>
              <w:spacing w:after="0"/>
              <w:rPr>
                <w:sz w:val="20"/>
                <w:szCs w:val="20"/>
                <w:color w:val="auto"/>
              </w:rPr>
            </w:pPr>
            <w:r>
              <w:rPr>
                <w:rFonts w:ascii="Arial" w:cs="Arial" w:eastAsia="Arial" w:hAnsi="Arial"/>
                <w:sz w:val="17"/>
                <w:szCs w:val="17"/>
                <w:color w:val="auto"/>
              </w:rPr>
              <w:t>220,967</w:t>
            </w: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194,851</w:t>
            </w:r>
          </w:p>
        </w:tc>
        <w:tc>
          <w:tcPr>
            <w:tcW w:w="22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7"/>
                <w:szCs w:val="17"/>
                <w:color w:val="auto"/>
              </w:rPr>
              <w:t>230,701</w:t>
            </w:r>
          </w:p>
        </w:tc>
        <w:tc>
          <w:tcPr>
            <w:tcW w:w="0" w:type="dxa"/>
            <w:vAlign w:val="bottom"/>
          </w:tcPr>
          <w:p>
            <w:pPr>
              <w:spacing w:after="0"/>
              <w:rPr>
                <w:sz w:val="1"/>
                <w:szCs w:val="1"/>
                <w:color w:val="auto"/>
              </w:rPr>
            </w:pPr>
          </w:p>
        </w:tc>
      </w:tr>
      <w:tr>
        <w:trPr>
          <w:trHeight w:val="208"/>
        </w:trPr>
        <w:tc>
          <w:tcPr>
            <w:tcW w:w="4560" w:type="dxa"/>
            <w:vAlign w:val="bottom"/>
            <w:shd w:val="clear" w:color="auto" w:fill="CCEEFF"/>
          </w:tcPr>
          <w:p>
            <w:pPr>
              <w:spacing w:after="0"/>
              <w:rPr>
                <w:sz w:val="20"/>
                <w:szCs w:val="20"/>
                <w:color w:val="auto"/>
              </w:rPr>
            </w:pPr>
            <w:r>
              <w:rPr>
                <w:rFonts w:ascii="Arial" w:cs="Arial" w:eastAsia="Arial" w:hAnsi="Arial"/>
                <w:sz w:val="17"/>
                <w:szCs w:val="17"/>
                <w:color w:val="auto"/>
              </w:rPr>
              <w:t>Social security</w:t>
            </w:r>
          </w:p>
        </w:tc>
        <w:tc>
          <w:tcPr>
            <w:tcW w:w="10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205,714</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172,090</w:t>
            </w: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172,909</w:t>
            </w:r>
          </w:p>
        </w:tc>
        <w:tc>
          <w:tcPr>
            <w:tcW w:w="0" w:type="dxa"/>
            <w:vAlign w:val="bottom"/>
          </w:tcPr>
          <w:p>
            <w:pPr>
              <w:spacing w:after="0"/>
              <w:rPr>
                <w:sz w:val="1"/>
                <w:szCs w:val="1"/>
                <w:color w:val="auto"/>
              </w:rPr>
            </w:pPr>
          </w:p>
        </w:tc>
      </w:tr>
      <w:tr>
        <w:trPr>
          <w:trHeight w:val="208"/>
        </w:trPr>
        <w:tc>
          <w:tcPr>
            <w:tcW w:w="4560" w:type="dxa"/>
            <w:vAlign w:val="bottom"/>
          </w:tcPr>
          <w:p>
            <w:pPr>
              <w:spacing w:after="0"/>
              <w:rPr>
                <w:sz w:val="20"/>
                <w:szCs w:val="20"/>
                <w:color w:val="auto"/>
              </w:rPr>
            </w:pPr>
            <w:r>
              <w:rPr>
                <w:rFonts w:ascii="Arial" w:cs="Arial" w:eastAsia="Arial" w:hAnsi="Arial"/>
                <w:sz w:val="17"/>
                <w:szCs w:val="17"/>
                <w:color w:val="auto"/>
              </w:rPr>
              <w:t>Additional Participation</w:t>
            </w:r>
          </w:p>
        </w:tc>
        <w:tc>
          <w:tcPr>
            <w:tcW w:w="10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gridSpan w:val="2"/>
          </w:tcPr>
          <w:p>
            <w:pPr>
              <w:jc w:val="right"/>
              <w:ind w:right="240"/>
              <w:spacing w:after="0"/>
              <w:rPr>
                <w:sz w:val="20"/>
                <w:szCs w:val="20"/>
                <w:color w:val="auto"/>
              </w:rPr>
            </w:pPr>
            <w:r>
              <w:rPr>
                <w:rFonts w:ascii="Arial" w:cs="Arial" w:eastAsia="Arial" w:hAnsi="Arial"/>
                <w:sz w:val="17"/>
                <w:szCs w:val="17"/>
                <w:color w:val="auto"/>
              </w:rPr>
              <w:t>188,870</w:t>
            </w: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200,120</w:t>
            </w:r>
          </w:p>
        </w:tc>
        <w:tc>
          <w:tcPr>
            <w:tcW w:w="22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7"/>
                <w:szCs w:val="17"/>
                <w:color w:val="auto"/>
              </w:rPr>
              <w:t>160,336</w:t>
            </w:r>
          </w:p>
        </w:tc>
        <w:tc>
          <w:tcPr>
            <w:tcW w:w="0" w:type="dxa"/>
            <w:vAlign w:val="bottom"/>
          </w:tcPr>
          <w:p>
            <w:pPr>
              <w:spacing w:after="0"/>
              <w:rPr>
                <w:sz w:val="1"/>
                <w:szCs w:val="1"/>
                <w:color w:val="auto"/>
              </w:rPr>
            </w:pPr>
          </w:p>
        </w:tc>
      </w:tr>
      <w:tr>
        <w:trPr>
          <w:trHeight w:val="208"/>
        </w:trPr>
        <w:tc>
          <w:tcPr>
            <w:tcW w:w="4560" w:type="dxa"/>
            <w:vAlign w:val="bottom"/>
            <w:shd w:val="clear" w:color="auto" w:fill="CCEEFF"/>
          </w:tcPr>
          <w:p>
            <w:pPr>
              <w:spacing w:after="0"/>
              <w:rPr>
                <w:sz w:val="20"/>
                <w:szCs w:val="20"/>
                <w:color w:val="auto"/>
              </w:rPr>
            </w:pPr>
            <w:r>
              <w:rPr>
                <w:rFonts w:ascii="Arial" w:cs="Arial" w:eastAsia="Arial" w:hAnsi="Arial"/>
                <w:sz w:val="17"/>
                <w:szCs w:val="17"/>
                <w:color w:val="auto"/>
              </w:rPr>
              <w:t>Severance indemnities</w:t>
            </w:r>
          </w:p>
        </w:tc>
        <w:tc>
          <w:tcPr>
            <w:tcW w:w="10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132,396</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130,179</w:t>
            </w: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123,552</w:t>
            </w:r>
          </w:p>
        </w:tc>
        <w:tc>
          <w:tcPr>
            <w:tcW w:w="0" w:type="dxa"/>
            <w:vAlign w:val="bottom"/>
          </w:tcPr>
          <w:p>
            <w:pPr>
              <w:spacing w:after="0"/>
              <w:rPr>
                <w:sz w:val="1"/>
                <w:szCs w:val="1"/>
                <w:color w:val="auto"/>
              </w:rPr>
            </w:pPr>
          </w:p>
        </w:tc>
      </w:tr>
      <w:tr>
        <w:trPr>
          <w:trHeight w:val="221"/>
        </w:trPr>
        <w:tc>
          <w:tcPr>
            <w:tcW w:w="4560" w:type="dxa"/>
            <w:vAlign w:val="bottom"/>
          </w:tcPr>
          <w:p>
            <w:pPr>
              <w:spacing w:after="0"/>
              <w:rPr>
                <w:sz w:val="20"/>
                <w:szCs w:val="20"/>
                <w:color w:val="auto"/>
              </w:rPr>
            </w:pPr>
            <w:r>
              <w:rPr>
                <w:rFonts w:ascii="Arial" w:cs="Arial" w:eastAsia="Arial" w:hAnsi="Arial"/>
                <w:sz w:val="17"/>
                <w:szCs w:val="17"/>
                <w:color w:val="auto"/>
              </w:rPr>
              <w:t>Share-based payment plans</w:t>
            </w:r>
          </w:p>
        </w:tc>
        <w:tc>
          <w:tcPr>
            <w:tcW w:w="10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00" w:type="dxa"/>
            <w:vAlign w:val="bottom"/>
            <w:gridSpan w:val="2"/>
          </w:tcPr>
          <w:p>
            <w:pPr>
              <w:jc w:val="right"/>
              <w:ind w:right="240"/>
              <w:spacing w:after="0"/>
              <w:rPr>
                <w:sz w:val="20"/>
                <w:szCs w:val="20"/>
                <w:color w:val="auto"/>
              </w:rPr>
            </w:pPr>
            <w:r>
              <w:rPr>
                <w:rFonts w:ascii="Arial" w:cs="Arial" w:eastAsia="Arial" w:hAnsi="Arial"/>
                <w:sz w:val="17"/>
                <w:szCs w:val="17"/>
                <w:color w:val="auto"/>
              </w:rPr>
              <w:t>62,043</w:t>
            </w:r>
          </w:p>
        </w:tc>
        <w:tc>
          <w:tcPr>
            <w:tcW w:w="140" w:type="dxa"/>
            <w:vAlign w:val="bottom"/>
          </w:tcPr>
          <w:p>
            <w:pPr>
              <w:spacing w:after="0"/>
              <w:rPr>
                <w:sz w:val="19"/>
                <w:szCs w:val="19"/>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7"/>
                <w:szCs w:val="17"/>
                <w:color w:val="auto"/>
              </w:rPr>
              <w:t>73,930</w:t>
            </w:r>
          </w:p>
        </w:tc>
        <w:tc>
          <w:tcPr>
            <w:tcW w:w="1340" w:type="dxa"/>
            <w:vAlign w:val="bottom"/>
            <w:gridSpan w:val="2"/>
          </w:tcPr>
          <w:p>
            <w:pPr>
              <w:jc w:val="right"/>
              <w:ind w:right="100"/>
              <w:spacing w:after="0"/>
              <w:rPr>
                <w:sz w:val="20"/>
                <w:szCs w:val="20"/>
                <w:color w:val="auto"/>
              </w:rPr>
            </w:pPr>
            <w:r>
              <w:rPr>
                <w:rFonts w:ascii="Arial" w:cs="Arial" w:eastAsia="Arial" w:hAnsi="Arial"/>
                <w:sz w:val="17"/>
                <w:szCs w:val="17"/>
                <w:color w:val="auto"/>
              </w:rPr>
              <w:t>65,532</w:t>
            </w:r>
          </w:p>
        </w:tc>
        <w:tc>
          <w:tcPr>
            <w:tcW w:w="0" w:type="dxa"/>
            <w:vAlign w:val="bottom"/>
          </w:tcPr>
          <w:p>
            <w:pPr>
              <w:spacing w:after="0"/>
              <w:rPr>
                <w:sz w:val="1"/>
                <w:szCs w:val="1"/>
                <w:color w:val="auto"/>
              </w:rPr>
            </w:pPr>
          </w:p>
        </w:tc>
      </w:tr>
      <w:tr>
        <w:trPr>
          <w:trHeight w:val="201"/>
        </w:trPr>
        <w:tc>
          <w:tcPr>
            <w:tcW w:w="45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Total</w:t>
            </w:r>
          </w:p>
        </w:tc>
        <w:tc>
          <w:tcPr>
            <w:tcW w:w="1040" w:type="dxa"/>
            <w:vAlign w:val="bottom"/>
            <w:tcBorders>
              <w:top w:val="single" w:sz="8" w:color="CCEEFF"/>
              <w:bottom w:val="single" w:sz="8" w:color="CCEEFF"/>
            </w:tcBorders>
            <w:shd w:val="clear" w:color="auto" w:fill="CCEEFF"/>
          </w:tcPr>
          <w:p>
            <w:pPr>
              <w:spacing w:after="0"/>
              <w:rPr>
                <w:sz w:val="17"/>
                <w:szCs w:val="17"/>
                <w:color w:val="auto"/>
              </w:rPr>
            </w:pPr>
          </w:p>
        </w:tc>
        <w:tc>
          <w:tcPr>
            <w:tcW w:w="1260" w:type="dxa"/>
            <w:vAlign w:val="bottom"/>
            <w:tcBorders>
              <w:top w:val="single" w:sz="8" w:color="CCEEFF"/>
              <w:bottom w:val="single" w:sz="8" w:color="CCEEFF"/>
            </w:tcBorders>
            <w:shd w:val="clear" w:color="auto" w:fill="CCEEFF"/>
          </w:tcPr>
          <w:p>
            <w:pPr>
              <w:spacing w:after="0"/>
              <w:rPr>
                <w:sz w:val="17"/>
                <w:szCs w:val="17"/>
                <w:color w:val="auto"/>
              </w:rPr>
            </w:pPr>
          </w:p>
        </w:tc>
        <w:tc>
          <w:tcPr>
            <w:tcW w:w="240" w:type="dxa"/>
            <w:vAlign w:val="bottom"/>
            <w:tcBorders>
              <w:top w:val="single" w:sz="8" w:color="CCEEFF"/>
              <w:bottom w:val="single" w:sz="8" w:color="CCEEFF"/>
            </w:tcBorders>
            <w:shd w:val="clear" w:color="auto" w:fill="CCEEFF"/>
          </w:tcPr>
          <w:p>
            <w:pPr>
              <w:spacing w:after="0"/>
              <w:rPr>
                <w:sz w:val="17"/>
                <w:szCs w:val="17"/>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3,071,020</w:t>
            </w:r>
          </w:p>
        </w:tc>
        <w:tc>
          <w:tcPr>
            <w:tcW w:w="24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spacing w:after="0"/>
              <w:rPr>
                <w:sz w:val="17"/>
                <w:szCs w:val="17"/>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2,942,743</w:t>
            </w: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2,878,318</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560" w:type="dxa"/>
            <w:vAlign w:val="bottom"/>
          </w:tcPr>
          <w:p>
            <w:pPr>
              <w:spacing w:after="0" w:line="20" w:lineRule="exact"/>
              <w:rPr>
                <w:sz w:val="1"/>
                <w:szCs w:val="1"/>
                <w:color w:val="auto"/>
              </w:rPr>
            </w:pPr>
          </w:p>
        </w:tc>
        <w:tc>
          <w:tcPr>
            <w:tcW w:w="2300" w:type="dxa"/>
            <w:vAlign w:val="bottom"/>
            <w:gridSpan w:val="2"/>
            <w:vMerge w:val="restart"/>
          </w:tcPr>
          <w:p>
            <w:pPr>
              <w:jc w:val="right"/>
              <w:ind w:right="813"/>
              <w:spacing w:after="0"/>
              <w:rPr>
                <w:sz w:val="20"/>
                <w:szCs w:val="20"/>
                <w:color w:val="auto"/>
              </w:rPr>
            </w:pPr>
            <w:r>
              <w:rPr>
                <w:rFonts w:ascii="Arial" w:cs="Arial" w:eastAsia="Arial" w:hAnsi="Arial"/>
                <w:sz w:val="17"/>
                <w:szCs w:val="17"/>
                <w:color w:val="auto"/>
              </w:rPr>
              <w:t>- 101 -</w:t>
            </w:r>
          </w:p>
        </w:tc>
        <w:tc>
          <w:tcPr>
            <w:tcW w:w="24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3"/>
        </w:trPr>
        <w:tc>
          <w:tcPr>
            <w:tcW w:w="456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gridSpan w:val="2"/>
            <w:vMerge w:val="continue"/>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75" w:right="239" w:bottom="1440" w:gutter="0" w:footer="0" w:header="0"/>
        </w:sectPr>
      </w:pPr>
    </w:p>
    <w:bookmarkStart w:id="107" w:name="page108"/>
    <w:bookmarkEnd w:id="10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7100" w:type="dxa"/>
            <w:vAlign w:val="bottom"/>
          </w:tcPr>
          <w:p>
            <w:pPr>
              <w:spacing w:after="0"/>
              <w:rPr>
                <w:sz w:val="20"/>
                <w:szCs w:val="20"/>
                <w:color w:val="auto"/>
              </w:rPr>
            </w:pPr>
            <w:r>
              <w:rPr>
                <w:rFonts w:ascii="Arial" w:cs="Arial" w:eastAsia="Arial" w:hAnsi="Arial"/>
                <w:sz w:val="17"/>
                <w:szCs w:val="17"/>
                <w:b w:val="1"/>
                <w:bCs w:val="1"/>
                <w:color w:val="auto"/>
              </w:rPr>
              <w:t>26  ADMINISTRATIVE EXPENSES</w:t>
            </w:r>
          </w:p>
        </w:tc>
        <w:tc>
          <w:tcPr>
            <w:tcW w:w="1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6"/>
        </w:trPr>
        <w:tc>
          <w:tcPr>
            <w:tcW w:w="7100" w:type="dxa"/>
            <w:vAlign w:val="bottom"/>
          </w:tcPr>
          <w:p>
            <w:pPr>
              <w:spacing w:after="0"/>
              <w:rPr>
                <w:sz w:val="20"/>
                <w:szCs w:val="20"/>
                <w:color w:val="auto"/>
              </w:rPr>
            </w:pPr>
            <w:r>
              <w:rPr>
                <w:rFonts w:ascii="Arial" w:cs="Arial" w:eastAsia="Arial" w:hAnsi="Arial"/>
                <w:sz w:val="17"/>
                <w:szCs w:val="17"/>
                <w:color w:val="auto"/>
              </w:rPr>
              <w:t>This item consists of the following:</w:t>
            </w:r>
          </w:p>
        </w:tc>
        <w:tc>
          <w:tcPr>
            <w:tcW w:w="1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9"/>
        </w:trPr>
        <w:tc>
          <w:tcPr>
            <w:tcW w:w="7100" w:type="dxa"/>
            <w:vAlign w:val="bottom"/>
          </w:tcPr>
          <w:p>
            <w:pPr>
              <w:spacing w:after="0"/>
              <w:rPr>
                <w:sz w:val="24"/>
                <w:szCs w:val="24"/>
                <w:color w:val="auto"/>
              </w:rPr>
            </w:pPr>
          </w:p>
        </w:tc>
        <w:tc>
          <w:tcPr>
            <w:tcW w:w="1260" w:type="dxa"/>
            <w:vAlign w:val="bottom"/>
            <w:tcBorders>
              <w:bottom w:val="single" w:sz="8" w:color="auto"/>
            </w:tcBorders>
          </w:tcPr>
          <w:p>
            <w:pPr>
              <w:jc w:val="right"/>
              <w:ind w:right="373"/>
              <w:spacing w:after="0"/>
              <w:rPr>
                <w:sz w:val="20"/>
                <w:szCs w:val="20"/>
                <w:color w:val="auto"/>
              </w:rPr>
            </w:pPr>
            <w:r>
              <w:rPr>
                <w:rFonts w:ascii="Arial" w:cs="Arial" w:eastAsia="Arial" w:hAnsi="Arial"/>
                <w:sz w:val="17"/>
                <w:szCs w:val="17"/>
                <w:b w:val="1"/>
                <w:bCs w:val="1"/>
                <w:color w:val="auto"/>
              </w:rPr>
              <w:t>2017</w:t>
            </w:r>
          </w:p>
        </w:tc>
        <w:tc>
          <w:tcPr>
            <w:tcW w:w="240" w:type="dxa"/>
            <w:vAlign w:val="bottom"/>
          </w:tcPr>
          <w:p>
            <w:pPr>
              <w:spacing w:after="0"/>
              <w:rPr>
                <w:sz w:val="24"/>
                <w:szCs w:val="24"/>
                <w:color w:val="auto"/>
              </w:rPr>
            </w:pPr>
          </w:p>
        </w:tc>
        <w:tc>
          <w:tcPr>
            <w:tcW w:w="1260" w:type="dxa"/>
            <w:vAlign w:val="bottom"/>
            <w:tcBorders>
              <w:bottom w:val="single" w:sz="8" w:color="auto"/>
            </w:tcBorders>
          </w:tcPr>
          <w:p>
            <w:pPr>
              <w:jc w:val="right"/>
              <w:ind w:right="373"/>
              <w:spacing w:after="0"/>
              <w:rPr>
                <w:sz w:val="20"/>
                <w:szCs w:val="20"/>
                <w:color w:val="auto"/>
              </w:rPr>
            </w:pPr>
            <w:r>
              <w:rPr>
                <w:rFonts w:ascii="Arial" w:cs="Arial" w:eastAsia="Arial" w:hAnsi="Arial"/>
                <w:sz w:val="17"/>
                <w:szCs w:val="17"/>
                <w:b w:val="1"/>
                <w:bCs w:val="1"/>
                <w:color w:val="auto"/>
              </w:rPr>
              <w:t>2016</w:t>
            </w:r>
          </w:p>
        </w:tc>
        <w:tc>
          <w:tcPr>
            <w:tcW w:w="220" w:type="dxa"/>
            <w:vAlign w:val="bottom"/>
          </w:tcPr>
          <w:p>
            <w:pPr>
              <w:spacing w:after="0"/>
              <w:rPr>
                <w:sz w:val="24"/>
                <w:szCs w:val="24"/>
                <w:color w:val="auto"/>
              </w:rPr>
            </w:pPr>
          </w:p>
        </w:tc>
        <w:tc>
          <w:tcPr>
            <w:tcW w:w="1240" w:type="dxa"/>
            <w:vAlign w:val="bottom"/>
            <w:tcBorders>
              <w:bottom w:val="single" w:sz="8" w:color="auto"/>
            </w:tcBorders>
          </w:tcPr>
          <w:p>
            <w:pPr>
              <w:jc w:val="right"/>
              <w:ind w:right="353"/>
              <w:spacing w:after="0"/>
              <w:rPr>
                <w:sz w:val="20"/>
                <w:szCs w:val="20"/>
                <w:color w:val="auto"/>
              </w:rPr>
            </w:pPr>
            <w:r>
              <w:rPr>
                <w:rFonts w:ascii="Arial" w:cs="Arial" w:eastAsia="Arial" w:hAnsi="Arial"/>
                <w:sz w:val="17"/>
                <w:szCs w:val="17"/>
                <w:b w:val="1"/>
                <w:bCs w:val="1"/>
                <w:color w:val="auto"/>
              </w:rPr>
              <w:t>2015</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7100" w:type="dxa"/>
            <w:vAlign w:val="bottom"/>
          </w:tcPr>
          <w:p>
            <w:pPr>
              <w:spacing w:after="0"/>
              <w:rPr>
                <w:sz w:val="19"/>
                <w:szCs w:val="19"/>
                <w:color w:val="auto"/>
              </w:rPr>
            </w:pPr>
          </w:p>
        </w:tc>
        <w:tc>
          <w:tcPr>
            <w:tcW w:w="1260" w:type="dxa"/>
            <w:vAlign w:val="bottom"/>
          </w:tcPr>
          <w:p>
            <w:pPr>
              <w:jc w:val="center"/>
              <w:spacing w:after="0"/>
              <w:rPr>
                <w:sz w:val="20"/>
                <w:szCs w:val="20"/>
                <w:color w:val="auto"/>
              </w:rPr>
            </w:pPr>
            <w:r>
              <w:rPr>
                <w:rFonts w:ascii="Arial" w:cs="Arial" w:eastAsia="Arial" w:hAnsi="Arial"/>
                <w:sz w:val="17"/>
                <w:szCs w:val="17"/>
                <w:b w:val="1"/>
                <w:bCs w:val="1"/>
                <w:color w:val="auto"/>
                <w:w w:val="93"/>
              </w:rPr>
              <w:t>S/(000)</w:t>
            </w:r>
          </w:p>
        </w:tc>
        <w:tc>
          <w:tcPr>
            <w:tcW w:w="240" w:type="dxa"/>
            <w:vAlign w:val="bottom"/>
          </w:tcPr>
          <w:p>
            <w:pPr>
              <w:spacing w:after="0"/>
              <w:rPr>
                <w:sz w:val="19"/>
                <w:szCs w:val="19"/>
                <w:color w:val="auto"/>
              </w:rPr>
            </w:pPr>
          </w:p>
        </w:tc>
        <w:tc>
          <w:tcPr>
            <w:tcW w:w="1260" w:type="dxa"/>
            <w:vAlign w:val="bottom"/>
          </w:tcPr>
          <w:p>
            <w:pPr>
              <w:jc w:val="center"/>
              <w:spacing w:after="0"/>
              <w:rPr>
                <w:sz w:val="20"/>
                <w:szCs w:val="20"/>
                <w:color w:val="auto"/>
              </w:rPr>
            </w:pPr>
            <w:r>
              <w:rPr>
                <w:rFonts w:ascii="Arial" w:cs="Arial" w:eastAsia="Arial" w:hAnsi="Arial"/>
                <w:sz w:val="17"/>
                <w:szCs w:val="17"/>
                <w:b w:val="1"/>
                <w:bCs w:val="1"/>
                <w:color w:val="auto"/>
                <w:w w:val="93"/>
              </w:rPr>
              <w:t>S/(000)</w:t>
            </w:r>
          </w:p>
        </w:tc>
        <w:tc>
          <w:tcPr>
            <w:tcW w:w="220" w:type="dxa"/>
            <w:vAlign w:val="bottom"/>
          </w:tcPr>
          <w:p>
            <w:pPr>
              <w:spacing w:after="0"/>
              <w:rPr>
                <w:sz w:val="19"/>
                <w:szCs w:val="19"/>
                <w:color w:val="auto"/>
              </w:rPr>
            </w:pPr>
          </w:p>
        </w:tc>
        <w:tc>
          <w:tcPr>
            <w:tcW w:w="1240" w:type="dxa"/>
            <w:vAlign w:val="bottom"/>
          </w:tcPr>
          <w:p>
            <w:pPr>
              <w:jc w:val="center"/>
              <w:spacing w:after="0"/>
              <w:rPr>
                <w:sz w:val="20"/>
                <w:szCs w:val="20"/>
                <w:color w:val="auto"/>
              </w:rPr>
            </w:pPr>
            <w:r>
              <w:rPr>
                <w:rFonts w:ascii="Arial" w:cs="Arial" w:eastAsia="Arial" w:hAnsi="Arial"/>
                <w:sz w:val="17"/>
                <w:szCs w:val="17"/>
                <w:b w:val="1"/>
                <w:bCs w:val="1"/>
                <w:color w:val="auto"/>
                <w:w w:val="93"/>
              </w:rPr>
              <w:t>S/(000)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7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7100" w:type="dxa"/>
            <w:vAlign w:val="bottom"/>
            <w:shd w:val="clear" w:color="auto" w:fill="CCEEFF"/>
          </w:tcPr>
          <w:p>
            <w:pPr>
              <w:spacing w:after="0"/>
              <w:rPr>
                <w:sz w:val="20"/>
                <w:szCs w:val="20"/>
                <w:color w:val="auto"/>
              </w:rPr>
            </w:pPr>
            <w:r>
              <w:rPr>
                <w:rFonts w:ascii="Arial" w:cs="Arial" w:eastAsia="Arial" w:hAnsi="Arial"/>
                <w:sz w:val="17"/>
                <w:szCs w:val="17"/>
                <w:color w:val="auto"/>
              </w:rPr>
              <w:t>Repair and maintenance</w:t>
            </w:r>
          </w:p>
        </w:tc>
        <w:tc>
          <w:tcPr>
            <w:tcW w:w="150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414,784</w:t>
            </w: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423,219</w:t>
            </w: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387,222</w:t>
            </w:r>
          </w:p>
        </w:tc>
        <w:tc>
          <w:tcPr>
            <w:tcW w:w="0" w:type="dxa"/>
            <w:vAlign w:val="bottom"/>
          </w:tcPr>
          <w:p>
            <w:pPr>
              <w:spacing w:after="0"/>
              <w:rPr>
                <w:sz w:val="1"/>
                <w:szCs w:val="1"/>
                <w:color w:val="auto"/>
              </w:rPr>
            </w:pPr>
          </w:p>
        </w:tc>
      </w:tr>
      <w:tr>
        <w:trPr>
          <w:trHeight w:val="208"/>
        </w:trPr>
        <w:tc>
          <w:tcPr>
            <w:tcW w:w="7100" w:type="dxa"/>
            <w:vAlign w:val="bottom"/>
          </w:tcPr>
          <w:p>
            <w:pPr>
              <w:spacing w:after="0"/>
              <w:rPr>
                <w:sz w:val="20"/>
                <w:szCs w:val="20"/>
                <w:color w:val="auto"/>
              </w:rPr>
            </w:pPr>
            <w:r>
              <w:rPr>
                <w:rFonts w:ascii="Arial" w:cs="Arial" w:eastAsia="Arial" w:hAnsi="Arial"/>
                <w:sz w:val="17"/>
                <w:szCs w:val="17"/>
                <w:color w:val="auto"/>
              </w:rPr>
              <w:t>Publicity</w:t>
            </w:r>
          </w:p>
        </w:tc>
        <w:tc>
          <w:tcPr>
            <w:tcW w:w="1500" w:type="dxa"/>
            <w:vAlign w:val="bottom"/>
            <w:gridSpan w:val="2"/>
          </w:tcPr>
          <w:p>
            <w:pPr>
              <w:jc w:val="right"/>
              <w:ind w:right="240"/>
              <w:spacing w:after="0"/>
              <w:rPr>
                <w:sz w:val="20"/>
                <w:szCs w:val="20"/>
                <w:color w:val="auto"/>
              </w:rPr>
            </w:pPr>
            <w:r>
              <w:rPr>
                <w:rFonts w:ascii="Arial" w:cs="Arial" w:eastAsia="Arial" w:hAnsi="Arial"/>
                <w:sz w:val="17"/>
                <w:szCs w:val="17"/>
                <w:color w:val="auto"/>
              </w:rPr>
              <w:t>304,119</w:t>
            </w:r>
          </w:p>
        </w:tc>
        <w:tc>
          <w:tcPr>
            <w:tcW w:w="1260" w:type="dxa"/>
            <w:vAlign w:val="bottom"/>
          </w:tcPr>
          <w:p>
            <w:pPr>
              <w:jc w:val="right"/>
              <w:spacing w:after="0"/>
              <w:rPr>
                <w:sz w:val="20"/>
                <w:szCs w:val="20"/>
                <w:color w:val="auto"/>
              </w:rPr>
            </w:pPr>
            <w:r>
              <w:rPr>
                <w:rFonts w:ascii="Arial" w:cs="Arial" w:eastAsia="Arial" w:hAnsi="Arial"/>
                <w:sz w:val="17"/>
                <w:szCs w:val="17"/>
                <w:color w:val="auto"/>
              </w:rPr>
              <w:t>300,401</w:t>
            </w:r>
          </w:p>
        </w:tc>
        <w:tc>
          <w:tcPr>
            <w:tcW w:w="22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7"/>
                <w:szCs w:val="17"/>
                <w:color w:val="auto"/>
              </w:rPr>
              <w:t>273,881</w:t>
            </w:r>
          </w:p>
        </w:tc>
        <w:tc>
          <w:tcPr>
            <w:tcW w:w="0" w:type="dxa"/>
            <w:vAlign w:val="bottom"/>
          </w:tcPr>
          <w:p>
            <w:pPr>
              <w:spacing w:after="0"/>
              <w:rPr>
                <w:sz w:val="1"/>
                <w:szCs w:val="1"/>
                <w:color w:val="auto"/>
              </w:rPr>
            </w:pPr>
          </w:p>
        </w:tc>
      </w:tr>
      <w:tr>
        <w:trPr>
          <w:trHeight w:val="208"/>
        </w:trPr>
        <w:tc>
          <w:tcPr>
            <w:tcW w:w="7100" w:type="dxa"/>
            <w:vAlign w:val="bottom"/>
            <w:shd w:val="clear" w:color="auto" w:fill="CCEEFF"/>
          </w:tcPr>
          <w:p>
            <w:pPr>
              <w:spacing w:after="0"/>
              <w:rPr>
                <w:sz w:val="20"/>
                <w:szCs w:val="20"/>
                <w:color w:val="auto"/>
              </w:rPr>
            </w:pPr>
            <w:r>
              <w:rPr>
                <w:rFonts w:ascii="Arial" w:cs="Arial" w:eastAsia="Arial" w:hAnsi="Arial"/>
                <w:sz w:val="17"/>
                <w:szCs w:val="17"/>
                <w:color w:val="auto"/>
              </w:rPr>
              <w:t>Taxes and contributions</w:t>
            </w:r>
          </w:p>
        </w:tc>
        <w:tc>
          <w:tcPr>
            <w:tcW w:w="150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259,523</w:t>
            </w: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270,932</w:t>
            </w: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249,474</w:t>
            </w:r>
          </w:p>
        </w:tc>
        <w:tc>
          <w:tcPr>
            <w:tcW w:w="0" w:type="dxa"/>
            <w:vAlign w:val="bottom"/>
          </w:tcPr>
          <w:p>
            <w:pPr>
              <w:spacing w:after="0"/>
              <w:rPr>
                <w:sz w:val="1"/>
                <w:szCs w:val="1"/>
                <w:color w:val="auto"/>
              </w:rPr>
            </w:pPr>
          </w:p>
        </w:tc>
      </w:tr>
      <w:tr>
        <w:trPr>
          <w:trHeight w:val="208"/>
        </w:trPr>
        <w:tc>
          <w:tcPr>
            <w:tcW w:w="7100" w:type="dxa"/>
            <w:vAlign w:val="bottom"/>
          </w:tcPr>
          <w:p>
            <w:pPr>
              <w:spacing w:after="0"/>
              <w:rPr>
                <w:sz w:val="20"/>
                <w:szCs w:val="20"/>
                <w:color w:val="auto"/>
              </w:rPr>
            </w:pPr>
            <w:r>
              <w:rPr>
                <w:rFonts w:ascii="Arial" w:cs="Arial" w:eastAsia="Arial" w:hAnsi="Arial"/>
                <w:sz w:val="17"/>
                <w:szCs w:val="17"/>
                <w:color w:val="auto"/>
              </w:rPr>
              <w:t>Rental</w:t>
            </w:r>
          </w:p>
        </w:tc>
        <w:tc>
          <w:tcPr>
            <w:tcW w:w="1500" w:type="dxa"/>
            <w:vAlign w:val="bottom"/>
            <w:gridSpan w:val="2"/>
          </w:tcPr>
          <w:p>
            <w:pPr>
              <w:jc w:val="right"/>
              <w:ind w:right="240"/>
              <w:spacing w:after="0"/>
              <w:rPr>
                <w:sz w:val="20"/>
                <w:szCs w:val="20"/>
                <w:color w:val="auto"/>
              </w:rPr>
            </w:pPr>
            <w:r>
              <w:rPr>
                <w:rFonts w:ascii="Arial" w:cs="Arial" w:eastAsia="Arial" w:hAnsi="Arial"/>
                <w:sz w:val="17"/>
                <w:szCs w:val="17"/>
                <w:color w:val="auto"/>
              </w:rPr>
              <w:t>230,257</w:t>
            </w:r>
          </w:p>
        </w:tc>
        <w:tc>
          <w:tcPr>
            <w:tcW w:w="1260" w:type="dxa"/>
            <w:vAlign w:val="bottom"/>
          </w:tcPr>
          <w:p>
            <w:pPr>
              <w:jc w:val="right"/>
              <w:spacing w:after="0"/>
              <w:rPr>
                <w:sz w:val="20"/>
                <w:szCs w:val="20"/>
                <w:color w:val="auto"/>
              </w:rPr>
            </w:pPr>
            <w:r>
              <w:rPr>
                <w:rFonts w:ascii="Arial" w:cs="Arial" w:eastAsia="Arial" w:hAnsi="Arial"/>
                <w:sz w:val="17"/>
                <w:szCs w:val="17"/>
                <w:color w:val="auto"/>
              </w:rPr>
              <w:t>226,301</w:t>
            </w:r>
          </w:p>
        </w:tc>
        <w:tc>
          <w:tcPr>
            <w:tcW w:w="22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7"/>
                <w:szCs w:val="17"/>
                <w:color w:val="auto"/>
              </w:rPr>
              <w:t>214,012</w:t>
            </w:r>
          </w:p>
        </w:tc>
        <w:tc>
          <w:tcPr>
            <w:tcW w:w="0" w:type="dxa"/>
            <w:vAlign w:val="bottom"/>
          </w:tcPr>
          <w:p>
            <w:pPr>
              <w:spacing w:after="0"/>
              <w:rPr>
                <w:sz w:val="1"/>
                <w:szCs w:val="1"/>
                <w:color w:val="auto"/>
              </w:rPr>
            </w:pPr>
          </w:p>
        </w:tc>
      </w:tr>
      <w:tr>
        <w:trPr>
          <w:trHeight w:val="208"/>
        </w:trPr>
        <w:tc>
          <w:tcPr>
            <w:tcW w:w="7100" w:type="dxa"/>
            <w:vAlign w:val="bottom"/>
            <w:shd w:val="clear" w:color="auto" w:fill="CCEEFF"/>
          </w:tcPr>
          <w:p>
            <w:pPr>
              <w:spacing w:after="0"/>
              <w:rPr>
                <w:sz w:val="20"/>
                <w:szCs w:val="20"/>
                <w:color w:val="auto"/>
              </w:rPr>
            </w:pPr>
            <w:r>
              <w:rPr>
                <w:rFonts w:ascii="Arial" w:cs="Arial" w:eastAsia="Arial" w:hAnsi="Arial"/>
                <w:sz w:val="17"/>
                <w:szCs w:val="17"/>
                <w:color w:val="auto"/>
              </w:rPr>
              <w:t>Consulting and professional fees</w:t>
            </w:r>
          </w:p>
        </w:tc>
        <w:tc>
          <w:tcPr>
            <w:tcW w:w="150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206,224</w:t>
            </w: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183,751</w:t>
            </w: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177,145</w:t>
            </w:r>
          </w:p>
        </w:tc>
        <w:tc>
          <w:tcPr>
            <w:tcW w:w="0" w:type="dxa"/>
            <w:vAlign w:val="bottom"/>
          </w:tcPr>
          <w:p>
            <w:pPr>
              <w:spacing w:after="0"/>
              <w:rPr>
                <w:sz w:val="1"/>
                <w:szCs w:val="1"/>
                <w:color w:val="auto"/>
              </w:rPr>
            </w:pPr>
          </w:p>
        </w:tc>
      </w:tr>
      <w:tr>
        <w:trPr>
          <w:trHeight w:val="208"/>
        </w:trPr>
        <w:tc>
          <w:tcPr>
            <w:tcW w:w="7100" w:type="dxa"/>
            <w:vAlign w:val="bottom"/>
          </w:tcPr>
          <w:p>
            <w:pPr>
              <w:spacing w:after="0"/>
              <w:rPr>
                <w:sz w:val="20"/>
                <w:szCs w:val="20"/>
                <w:color w:val="auto"/>
              </w:rPr>
            </w:pPr>
            <w:r>
              <w:rPr>
                <w:rFonts w:ascii="Arial" w:cs="Arial" w:eastAsia="Arial" w:hAnsi="Arial"/>
                <w:sz w:val="17"/>
                <w:szCs w:val="17"/>
                <w:color w:val="auto"/>
              </w:rPr>
              <w:t>Transport and communications</w:t>
            </w:r>
          </w:p>
        </w:tc>
        <w:tc>
          <w:tcPr>
            <w:tcW w:w="1500" w:type="dxa"/>
            <w:vAlign w:val="bottom"/>
            <w:gridSpan w:val="2"/>
          </w:tcPr>
          <w:p>
            <w:pPr>
              <w:jc w:val="right"/>
              <w:ind w:right="240"/>
              <w:spacing w:after="0"/>
              <w:rPr>
                <w:sz w:val="20"/>
                <w:szCs w:val="20"/>
                <w:color w:val="auto"/>
              </w:rPr>
            </w:pPr>
            <w:r>
              <w:rPr>
                <w:rFonts w:ascii="Arial" w:cs="Arial" w:eastAsia="Arial" w:hAnsi="Arial"/>
                <w:sz w:val="17"/>
                <w:szCs w:val="17"/>
                <w:color w:val="auto"/>
              </w:rPr>
              <w:t>176,273</w:t>
            </w:r>
          </w:p>
        </w:tc>
        <w:tc>
          <w:tcPr>
            <w:tcW w:w="1260" w:type="dxa"/>
            <w:vAlign w:val="bottom"/>
          </w:tcPr>
          <w:p>
            <w:pPr>
              <w:jc w:val="right"/>
              <w:spacing w:after="0"/>
              <w:rPr>
                <w:sz w:val="20"/>
                <w:szCs w:val="20"/>
                <w:color w:val="auto"/>
              </w:rPr>
            </w:pPr>
            <w:r>
              <w:rPr>
                <w:rFonts w:ascii="Arial" w:cs="Arial" w:eastAsia="Arial" w:hAnsi="Arial"/>
                <w:sz w:val="17"/>
                <w:szCs w:val="17"/>
                <w:color w:val="auto"/>
              </w:rPr>
              <w:t>188,444</w:t>
            </w:r>
          </w:p>
        </w:tc>
        <w:tc>
          <w:tcPr>
            <w:tcW w:w="22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7"/>
                <w:szCs w:val="17"/>
                <w:color w:val="auto"/>
              </w:rPr>
              <w:t>195,118</w:t>
            </w:r>
          </w:p>
        </w:tc>
        <w:tc>
          <w:tcPr>
            <w:tcW w:w="0" w:type="dxa"/>
            <w:vAlign w:val="bottom"/>
          </w:tcPr>
          <w:p>
            <w:pPr>
              <w:spacing w:after="0"/>
              <w:rPr>
                <w:sz w:val="1"/>
                <w:szCs w:val="1"/>
                <w:color w:val="auto"/>
              </w:rPr>
            </w:pPr>
          </w:p>
        </w:tc>
      </w:tr>
      <w:tr>
        <w:trPr>
          <w:trHeight w:val="208"/>
        </w:trPr>
        <w:tc>
          <w:tcPr>
            <w:tcW w:w="7100" w:type="dxa"/>
            <w:vAlign w:val="bottom"/>
            <w:shd w:val="clear" w:color="auto" w:fill="CCEEFF"/>
          </w:tcPr>
          <w:p>
            <w:pPr>
              <w:spacing w:after="0"/>
              <w:rPr>
                <w:sz w:val="20"/>
                <w:szCs w:val="20"/>
                <w:color w:val="auto"/>
              </w:rPr>
            </w:pPr>
            <w:r>
              <w:rPr>
                <w:rFonts w:ascii="Arial" w:cs="Arial" w:eastAsia="Arial" w:hAnsi="Arial"/>
                <w:sz w:val="17"/>
                <w:szCs w:val="17"/>
                <w:color w:val="auto"/>
              </w:rPr>
              <w:t>Sundry supplies</w:t>
            </w:r>
          </w:p>
        </w:tc>
        <w:tc>
          <w:tcPr>
            <w:tcW w:w="150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49,935</w:t>
            </w: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45,878</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46,027</w:t>
            </w:r>
          </w:p>
        </w:tc>
        <w:tc>
          <w:tcPr>
            <w:tcW w:w="0" w:type="dxa"/>
            <w:vAlign w:val="bottom"/>
          </w:tcPr>
          <w:p>
            <w:pPr>
              <w:spacing w:after="0"/>
              <w:rPr>
                <w:sz w:val="1"/>
                <w:szCs w:val="1"/>
                <w:color w:val="auto"/>
              </w:rPr>
            </w:pPr>
          </w:p>
        </w:tc>
      </w:tr>
      <w:tr>
        <w:trPr>
          <w:trHeight w:val="221"/>
        </w:trPr>
        <w:tc>
          <w:tcPr>
            <w:tcW w:w="7100" w:type="dxa"/>
            <w:vAlign w:val="bottom"/>
          </w:tcPr>
          <w:p>
            <w:pPr>
              <w:spacing w:after="0"/>
              <w:rPr>
                <w:sz w:val="20"/>
                <w:szCs w:val="20"/>
                <w:color w:val="auto"/>
              </w:rPr>
            </w:pPr>
            <w:r>
              <w:rPr>
                <w:rFonts w:ascii="Arial" w:cs="Arial" w:eastAsia="Arial" w:hAnsi="Arial"/>
                <w:sz w:val="17"/>
                <w:szCs w:val="17"/>
                <w:color w:val="auto"/>
              </w:rPr>
              <w:t>Others (*)</w:t>
            </w:r>
          </w:p>
        </w:tc>
        <w:tc>
          <w:tcPr>
            <w:tcW w:w="1260" w:type="dxa"/>
            <w:vAlign w:val="bottom"/>
          </w:tcPr>
          <w:p>
            <w:pPr>
              <w:jc w:val="right"/>
              <w:spacing w:after="0"/>
              <w:rPr>
                <w:sz w:val="20"/>
                <w:szCs w:val="20"/>
                <w:color w:val="auto"/>
              </w:rPr>
            </w:pPr>
            <w:r>
              <w:rPr>
                <w:rFonts w:ascii="Arial" w:cs="Arial" w:eastAsia="Arial" w:hAnsi="Arial"/>
                <w:sz w:val="17"/>
                <w:szCs w:val="17"/>
                <w:color w:val="auto"/>
              </w:rPr>
              <w:t>517,708</w:t>
            </w:r>
          </w:p>
        </w:tc>
        <w:tc>
          <w:tcPr>
            <w:tcW w:w="2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455,752</w:t>
            </w:r>
          </w:p>
        </w:tc>
        <w:tc>
          <w:tcPr>
            <w:tcW w:w="220" w:type="dxa"/>
            <w:vAlign w:val="bottom"/>
          </w:tcPr>
          <w:p>
            <w:pPr>
              <w:spacing w:after="0"/>
              <w:rPr>
                <w:sz w:val="19"/>
                <w:szCs w:val="19"/>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7"/>
                <w:szCs w:val="17"/>
                <w:color w:val="auto"/>
              </w:rPr>
              <w:t>452,923</w:t>
            </w:r>
          </w:p>
        </w:tc>
        <w:tc>
          <w:tcPr>
            <w:tcW w:w="0" w:type="dxa"/>
            <w:vAlign w:val="bottom"/>
          </w:tcPr>
          <w:p>
            <w:pPr>
              <w:spacing w:after="0"/>
              <w:rPr>
                <w:sz w:val="1"/>
                <w:szCs w:val="1"/>
                <w:color w:val="auto"/>
              </w:rPr>
            </w:pPr>
          </w:p>
        </w:tc>
      </w:tr>
      <w:tr>
        <w:trPr>
          <w:trHeight w:val="20"/>
        </w:trPr>
        <w:tc>
          <w:tcPr>
            <w:tcW w:w="7100" w:type="dxa"/>
            <w:vAlign w:val="bottom"/>
            <w:vMerge w:val="restart"/>
            <w:shd w:val="clear" w:color="auto" w:fill="CCEEFF"/>
          </w:tcPr>
          <w:p>
            <w:pPr>
              <w:spacing w:after="0"/>
              <w:rPr>
                <w:sz w:val="20"/>
                <w:szCs w:val="20"/>
                <w:color w:val="auto"/>
              </w:rPr>
            </w:pPr>
            <w:r>
              <w:rPr>
                <w:rFonts w:ascii="Arial" w:cs="Arial" w:eastAsia="Arial" w:hAnsi="Arial"/>
                <w:sz w:val="17"/>
                <w:szCs w:val="17"/>
                <w:color w:val="auto"/>
              </w:rPr>
              <w:t>Total</w:t>
            </w:r>
          </w:p>
        </w:tc>
        <w:tc>
          <w:tcPr>
            <w:tcW w:w="12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7100" w:type="dxa"/>
            <w:vAlign w:val="bottom"/>
            <w:vMerge w:val="continue"/>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2,158,823</w:t>
            </w: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2,094,678</w:t>
            </w: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1,995,802</w:t>
            </w:r>
          </w:p>
        </w:tc>
        <w:tc>
          <w:tcPr>
            <w:tcW w:w="0" w:type="dxa"/>
            <w:vAlign w:val="bottom"/>
          </w:tcPr>
          <w:p>
            <w:pPr>
              <w:spacing w:after="0"/>
              <w:rPr>
                <w:sz w:val="1"/>
                <w:szCs w:val="1"/>
                <w:color w:val="auto"/>
              </w:rPr>
            </w:pPr>
          </w:p>
        </w:tc>
      </w:tr>
      <w:tr>
        <w:trPr>
          <w:trHeight w:val="20"/>
        </w:trPr>
        <w:tc>
          <w:tcPr>
            <w:tcW w:w="71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5" w:lineRule="exact"/>
        <w:rPr>
          <w:sz w:val="20"/>
          <w:szCs w:val="20"/>
          <w:color w:val="auto"/>
        </w:rPr>
      </w:pPr>
    </w:p>
    <w:p>
      <w:pPr>
        <w:ind w:left="320" w:hanging="316"/>
        <w:spacing w:after="0" w:line="285" w:lineRule="auto"/>
        <w:tabs>
          <w:tab w:leader="none" w:pos="320" w:val="left"/>
        </w:tabs>
        <w:numPr>
          <w:ilvl w:val="0"/>
          <w:numId w:val="121"/>
        </w:numPr>
        <w:rPr>
          <w:rFonts w:ascii="Arial" w:cs="Arial" w:eastAsia="Arial" w:hAnsi="Arial"/>
          <w:sz w:val="17"/>
          <w:szCs w:val="17"/>
          <w:color w:val="auto"/>
        </w:rPr>
      </w:pPr>
      <w:r>
        <w:rPr>
          <w:rFonts w:ascii="Arial" w:cs="Arial" w:eastAsia="Arial" w:hAnsi="Arial"/>
          <w:sz w:val="17"/>
          <w:szCs w:val="17"/>
          <w:color w:val="auto"/>
        </w:rPr>
        <w:t>The balance is made up mainly of security and protection, cleaning service, representation expenses, light and water, insurance expenses, subscription expenses, Agentes BCP commission expenses.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5080" w:type="dxa"/>
            <w:vAlign w:val="bottom"/>
          </w:tcPr>
          <w:p>
            <w:pPr>
              <w:spacing w:after="0"/>
              <w:rPr>
                <w:sz w:val="20"/>
                <w:szCs w:val="20"/>
                <w:color w:val="auto"/>
              </w:rPr>
            </w:pPr>
            <w:r>
              <w:rPr>
                <w:rFonts w:ascii="Arial" w:cs="Arial" w:eastAsia="Arial" w:hAnsi="Arial"/>
                <w:sz w:val="17"/>
                <w:szCs w:val="17"/>
                <w:b w:val="1"/>
                <w:bCs w:val="1"/>
                <w:color w:val="auto"/>
              </w:rPr>
              <w:t>27  OTHER INCOME AND EXPENSES</w:t>
            </w:r>
          </w:p>
        </w:tc>
        <w:tc>
          <w:tcPr>
            <w:tcW w:w="20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6"/>
        </w:trPr>
        <w:tc>
          <w:tcPr>
            <w:tcW w:w="5080" w:type="dxa"/>
            <w:vAlign w:val="bottom"/>
          </w:tcPr>
          <w:p>
            <w:pPr>
              <w:spacing w:after="0"/>
              <w:rPr>
                <w:sz w:val="20"/>
                <w:szCs w:val="20"/>
                <w:color w:val="auto"/>
              </w:rPr>
            </w:pPr>
            <w:r>
              <w:rPr>
                <w:rFonts w:ascii="Arial" w:cs="Arial" w:eastAsia="Arial" w:hAnsi="Arial"/>
                <w:sz w:val="17"/>
                <w:szCs w:val="17"/>
                <w:color w:val="auto"/>
              </w:rPr>
              <w:t>This item consists of the following:</w:t>
            </w:r>
          </w:p>
        </w:tc>
        <w:tc>
          <w:tcPr>
            <w:tcW w:w="20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9"/>
        </w:trPr>
        <w:tc>
          <w:tcPr>
            <w:tcW w:w="5080" w:type="dxa"/>
            <w:vAlign w:val="bottom"/>
          </w:tcPr>
          <w:p>
            <w:pPr>
              <w:spacing w:after="0"/>
              <w:rPr>
                <w:sz w:val="24"/>
                <w:szCs w:val="24"/>
                <w:color w:val="auto"/>
              </w:rPr>
            </w:pPr>
          </w:p>
        </w:tc>
        <w:tc>
          <w:tcPr>
            <w:tcW w:w="3280" w:type="dxa"/>
            <w:vAlign w:val="bottom"/>
            <w:gridSpan w:val="2"/>
          </w:tcPr>
          <w:p>
            <w:pPr>
              <w:jc w:val="right"/>
              <w:ind w:right="373"/>
              <w:spacing w:after="0"/>
              <w:rPr>
                <w:sz w:val="20"/>
                <w:szCs w:val="20"/>
                <w:color w:val="auto"/>
              </w:rPr>
            </w:pPr>
            <w:r>
              <w:rPr>
                <w:rFonts w:ascii="Arial" w:cs="Arial" w:eastAsia="Arial" w:hAnsi="Arial"/>
                <w:sz w:val="17"/>
                <w:szCs w:val="17"/>
                <w:b w:val="1"/>
                <w:bCs w:val="1"/>
                <w:color w:val="auto"/>
              </w:rPr>
              <w:t>2017</w:t>
            </w:r>
          </w:p>
        </w:tc>
        <w:tc>
          <w:tcPr>
            <w:tcW w:w="240" w:type="dxa"/>
            <w:vAlign w:val="bottom"/>
          </w:tcPr>
          <w:p>
            <w:pPr>
              <w:spacing w:after="0"/>
              <w:rPr>
                <w:sz w:val="24"/>
                <w:szCs w:val="24"/>
                <w:color w:val="auto"/>
              </w:rPr>
            </w:pPr>
          </w:p>
        </w:tc>
        <w:tc>
          <w:tcPr>
            <w:tcW w:w="1260" w:type="dxa"/>
            <w:vAlign w:val="bottom"/>
          </w:tcPr>
          <w:p>
            <w:pPr>
              <w:jc w:val="right"/>
              <w:ind w:right="373"/>
              <w:spacing w:after="0"/>
              <w:rPr>
                <w:sz w:val="20"/>
                <w:szCs w:val="20"/>
                <w:color w:val="auto"/>
              </w:rPr>
            </w:pPr>
            <w:r>
              <w:rPr>
                <w:rFonts w:ascii="Arial" w:cs="Arial" w:eastAsia="Arial" w:hAnsi="Arial"/>
                <w:sz w:val="17"/>
                <w:szCs w:val="17"/>
                <w:b w:val="1"/>
                <w:bCs w:val="1"/>
                <w:color w:val="auto"/>
              </w:rPr>
              <w:t>2016</w:t>
            </w:r>
          </w:p>
        </w:tc>
        <w:tc>
          <w:tcPr>
            <w:tcW w:w="220" w:type="dxa"/>
            <w:vAlign w:val="bottom"/>
          </w:tcPr>
          <w:p>
            <w:pPr>
              <w:spacing w:after="0"/>
              <w:rPr>
                <w:sz w:val="24"/>
                <w:szCs w:val="24"/>
                <w:color w:val="auto"/>
              </w:rPr>
            </w:pPr>
          </w:p>
        </w:tc>
        <w:tc>
          <w:tcPr>
            <w:tcW w:w="1240" w:type="dxa"/>
            <w:vAlign w:val="bottom"/>
          </w:tcPr>
          <w:p>
            <w:pPr>
              <w:jc w:val="right"/>
              <w:ind w:right="353"/>
              <w:spacing w:after="0"/>
              <w:rPr>
                <w:sz w:val="20"/>
                <w:szCs w:val="20"/>
                <w:color w:val="auto"/>
              </w:rPr>
            </w:pPr>
            <w:r>
              <w:rPr>
                <w:rFonts w:ascii="Arial" w:cs="Arial" w:eastAsia="Arial" w:hAnsi="Arial"/>
                <w:sz w:val="17"/>
                <w:szCs w:val="17"/>
                <w:b w:val="1"/>
                <w:bCs w:val="1"/>
                <w:color w:val="auto"/>
              </w:rPr>
              <w:t>2015</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1"/>
        </w:trPr>
        <w:tc>
          <w:tcPr>
            <w:tcW w:w="508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1260" w:type="dxa"/>
            <w:vAlign w:val="bottom"/>
            <w:tcBorders>
              <w:top w:val="single" w:sz="8" w:color="auto"/>
            </w:tcBorders>
          </w:tcPr>
          <w:p>
            <w:pPr>
              <w:jc w:val="center"/>
              <w:spacing w:after="0"/>
              <w:rPr>
                <w:sz w:val="20"/>
                <w:szCs w:val="20"/>
                <w:color w:val="auto"/>
              </w:rPr>
            </w:pPr>
            <w:r>
              <w:rPr>
                <w:rFonts w:ascii="Arial" w:cs="Arial" w:eastAsia="Arial" w:hAnsi="Arial"/>
                <w:sz w:val="17"/>
                <w:szCs w:val="17"/>
                <w:b w:val="1"/>
                <w:bCs w:val="1"/>
                <w:color w:val="auto"/>
                <w:w w:val="93"/>
              </w:rPr>
              <w:t>S/(000)</w:t>
            </w:r>
          </w:p>
        </w:tc>
        <w:tc>
          <w:tcPr>
            <w:tcW w:w="240" w:type="dxa"/>
            <w:vAlign w:val="bottom"/>
          </w:tcPr>
          <w:p>
            <w:pPr>
              <w:spacing w:after="0"/>
              <w:rPr>
                <w:sz w:val="17"/>
                <w:szCs w:val="17"/>
                <w:color w:val="auto"/>
              </w:rPr>
            </w:pPr>
          </w:p>
        </w:tc>
        <w:tc>
          <w:tcPr>
            <w:tcW w:w="1260" w:type="dxa"/>
            <w:vAlign w:val="bottom"/>
            <w:tcBorders>
              <w:top w:val="single" w:sz="8" w:color="auto"/>
            </w:tcBorders>
          </w:tcPr>
          <w:p>
            <w:pPr>
              <w:jc w:val="center"/>
              <w:spacing w:after="0"/>
              <w:rPr>
                <w:sz w:val="20"/>
                <w:szCs w:val="20"/>
                <w:color w:val="auto"/>
              </w:rPr>
            </w:pPr>
            <w:r>
              <w:rPr>
                <w:rFonts w:ascii="Arial" w:cs="Arial" w:eastAsia="Arial" w:hAnsi="Arial"/>
                <w:sz w:val="17"/>
                <w:szCs w:val="17"/>
                <w:b w:val="1"/>
                <w:bCs w:val="1"/>
                <w:color w:val="auto"/>
                <w:w w:val="93"/>
              </w:rPr>
              <w:t>S/(000)</w:t>
            </w:r>
          </w:p>
        </w:tc>
        <w:tc>
          <w:tcPr>
            <w:tcW w:w="220" w:type="dxa"/>
            <w:vAlign w:val="bottom"/>
          </w:tcPr>
          <w:p>
            <w:pPr>
              <w:spacing w:after="0"/>
              <w:rPr>
                <w:sz w:val="17"/>
                <w:szCs w:val="17"/>
                <w:color w:val="auto"/>
              </w:rPr>
            </w:pPr>
          </w:p>
        </w:tc>
        <w:tc>
          <w:tcPr>
            <w:tcW w:w="1240" w:type="dxa"/>
            <w:vAlign w:val="bottom"/>
            <w:tcBorders>
              <w:top w:val="single" w:sz="8" w:color="auto"/>
            </w:tcBorders>
          </w:tcPr>
          <w:p>
            <w:pPr>
              <w:jc w:val="center"/>
              <w:spacing w:after="0"/>
              <w:rPr>
                <w:sz w:val="20"/>
                <w:szCs w:val="20"/>
                <w:color w:val="auto"/>
              </w:rPr>
            </w:pPr>
            <w:r>
              <w:rPr>
                <w:rFonts w:ascii="Arial" w:cs="Arial" w:eastAsia="Arial" w:hAnsi="Arial"/>
                <w:sz w:val="17"/>
                <w:szCs w:val="17"/>
                <w:b w:val="1"/>
                <w:bCs w:val="1"/>
                <w:color w:val="auto"/>
                <w:w w:val="93"/>
              </w:rPr>
              <w:t>S/(000)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508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Other income</w:t>
            </w:r>
          </w:p>
        </w:tc>
        <w:tc>
          <w:tcPr>
            <w:tcW w:w="20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5080" w:type="dxa"/>
            <w:vAlign w:val="bottom"/>
          </w:tcPr>
          <w:p>
            <w:pPr>
              <w:spacing w:after="0"/>
              <w:rPr>
                <w:sz w:val="20"/>
                <w:szCs w:val="20"/>
                <w:color w:val="auto"/>
              </w:rPr>
            </w:pPr>
            <w:r>
              <w:rPr>
                <w:rFonts w:ascii="Arial" w:cs="Arial" w:eastAsia="Arial" w:hAnsi="Arial"/>
                <w:sz w:val="17"/>
                <w:szCs w:val="17"/>
                <w:color w:val="auto"/>
              </w:rPr>
              <w:t>Income from premiums comissions and technical insurance income</w:t>
            </w:r>
          </w:p>
        </w:tc>
        <w:tc>
          <w:tcPr>
            <w:tcW w:w="3520" w:type="dxa"/>
            <w:vAlign w:val="bottom"/>
            <w:gridSpan w:val="3"/>
          </w:tcPr>
          <w:p>
            <w:pPr>
              <w:jc w:val="right"/>
              <w:ind w:right="240"/>
              <w:spacing w:after="0"/>
              <w:rPr>
                <w:sz w:val="20"/>
                <w:szCs w:val="20"/>
                <w:color w:val="auto"/>
              </w:rPr>
            </w:pPr>
            <w:r>
              <w:rPr>
                <w:rFonts w:ascii="Arial" w:cs="Arial" w:eastAsia="Arial" w:hAnsi="Arial"/>
                <w:sz w:val="17"/>
                <w:szCs w:val="17"/>
                <w:color w:val="auto"/>
              </w:rPr>
              <w:t>127,729</w:t>
            </w:r>
          </w:p>
        </w:tc>
        <w:tc>
          <w:tcPr>
            <w:tcW w:w="1260" w:type="dxa"/>
            <w:vAlign w:val="bottom"/>
          </w:tcPr>
          <w:p>
            <w:pPr>
              <w:jc w:val="right"/>
              <w:spacing w:after="0"/>
              <w:rPr>
                <w:sz w:val="20"/>
                <w:szCs w:val="20"/>
                <w:color w:val="auto"/>
              </w:rPr>
            </w:pPr>
            <w:r>
              <w:rPr>
                <w:rFonts w:ascii="Arial" w:cs="Arial" w:eastAsia="Arial" w:hAnsi="Arial"/>
                <w:sz w:val="17"/>
                <w:szCs w:val="17"/>
                <w:color w:val="auto"/>
              </w:rPr>
              <w:t>136,919</w:t>
            </w:r>
          </w:p>
        </w:tc>
        <w:tc>
          <w:tcPr>
            <w:tcW w:w="22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7"/>
                <w:szCs w:val="17"/>
                <w:color w:val="auto"/>
              </w:rPr>
              <w:t>133,828</w:t>
            </w:r>
          </w:p>
        </w:tc>
        <w:tc>
          <w:tcPr>
            <w:tcW w:w="0" w:type="dxa"/>
            <w:vAlign w:val="bottom"/>
          </w:tcPr>
          <w:p>
            <w:pPr>
              <w:spacing w:after="0"/>
              <w:rPr>
                <w:sz w:val="1"/>
                <w:szCs w:val="1"/>
                <w:color w:val="auto"/>
              </w:rPr>
            </w:pPr>
          </w:p>
        </w:tc>
      </w:tr>
      <w:tr>
        <w:trPr>
          <w:trHeight w:val="208"/>
        </w:trPr>
        <w:tc>
          <w:tcPr>
            <w:tcW w:w="5080" w:type="dxa"/>
            <w:vAlign w:val="bottom"/>
            <w:shd w:val="clear" w:color="auto" w:fill="CCEEFF"/>
          </w:tcPr>
          <w:p>
            <w:pPr>
              <w:spacing w:after="0"/>
              <w:rPr>
                <w:sz w:val="20"/>
                <w:szCs w:val="20"/>
                <w:color w:val="auto"/>
              </w:rPr>
            </w:pPr>
            <w:r>
              <w:rPr>
                <w:rFonts w:ascii="Arial" w:cs="Arial" w:eastAsia="Arial" w:hAnsi="Arial"/>
                <w:sz w:val="17"/>
                <w:szCs w:val="17"/>
                <w:color w:val="auto"/>
              </w:rPr>
              <w:t>Rental income</w:t>
            </w:r>
          </w:p>
        </w:tc>
        <w:tc>
          <w:tcPr>
            <w:tcW w:w="3520" w:type="dxa"/>
            <w:vAlign w:val="bottom"/>
            <w:gridSpan w:val="3"/>
            <w:shd w:val="clear" w:color="auto" w:fill="CCEEFF"/>
          </w:tcPr>
          <w:p>
            <w:pPr>
              <w:jc w:val="right"/>
              <w:ind w:right="240"/>
              <w:spacing w:after="0"/>
              <w:rPr>
                <w:sz w:val="20"/>
                <w:szCs w:val="20"/>
                <w:color w:val="auto"/>
              </w:rPr>
            </w:pPr>
            <w:r>
              <w:rPr>
                <w:rFonts w:ascii="Arial" w:cs="Arial" w:eastAsia="Arial" w:hAnsi="Arial"/>
                <w:sz w:val="17"/>
                <w:szCs w:val="17"/>
                <w:color w:val="auto"/>
              </w:rPr>
              <w:t>43,118</w:t>
            </w: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37,324</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26,357</w:t>
            </w:r>
          </w:p>
        </w:tc>
        <w:tc>
          <w:tcPr>
            <w:tcW w:w="0" w:type="dxa"/>
            <w:vAlign w:val="bottom"/>
          </w:tcPr>
          <w:p>
            <w:pPr>
              <w:spacing w:after="0"/>
              <w:rPr>
                <w:sz w:val="1"/>
                <w:szCs w:val="1"/>
                <w:color w:val="auto"/>
              </w:rPr>
            </w:pPr>
          </w:p>
        </w:tc>
      </w:tr>
      <w:tr>
        <w:trPr>
          <w:trHeight w:val="208"/>
        </w:trPr>
        <w:tc>
          <w:tcPr>
            <w:tcW w:w="5080" w:type="dxa"/>
            <w:vAlign w:val="bottom"/>
          </w:tcPr>
          <w:p>
            <w:pPr>
              <w:spacing w:after="0"/>
              <w:rPr>
                <w:sz w:val="20"/>
                <w:szCs w:val="20"/>
                <w:color w:val="auto"/>
              </w:rPr>
            </w:pPr>
            <w:r>
              <w:rPr>
                <w:rFonts w:ascii="Arial" w:cs="Arial" w:eastAsia="Arial" w:hAnsi="Arial"/>
                <w:sz w:val="17"/>
                <w:szCs w:val="17"/>
                <w:color w:val="auto"/>
              </w:rPr>
              <w:t>Recoveries of other accounts receivable and other assets</w:t>
            </w:r>
          </w:p>
        </w:tc>
        <w:tc>
          <w:tcPr>
            <w:tcW w:w="3520" w:type="dxa"/>
            <w:vAlign w:val="bottom"/>
            <w:gridSpan w:val="3"/>
          </w:tcPr>
          <w:p>
            <w:pPr>
              <w:jc w:val="right"/>
              <w:ind w:right="240"/>
              <w:spacing w:after="0"/>
              <w:rPr>
                <w:sz w:val="20"/>
                <w:szCs w:val="20"/>
                <w:color w:val="auto"/>
              </w:rPr>
            </w:pPr>
            <w:r>
              <w:rPr>
                <w:rFonts w:ascii="Arial" w:cs="Arial" w:eastAsia="Arial" w:hAnsi="Arial"/>
                <w:sz w:val="17"/>
                <w:szCs w:val="17"/>
                <w:color w:val="auto"/>
              </w:rPr>
              <w:t>14,824</w:t>
            </w:r>
          </w:p>
        </w:tc>
        <w:tc>
          <w:tcPr>
            <w:tcW w:w="1260" w:type="dxa"/>
            <w:vAlign w:val="bottom"/>
          </w:tcPr>
          <w:p>
            <w:pPr>
              <w:jc w:val="right"/>
              <w:spacing w:after="0"/>
              <w:rPr>
                <w:sz w:val="20"/>
                <w:szCs w:val="20"/>
                <w:color w:val="auto"/>
              </w:rPr>
            </w:pPr>
            <w:r>
              <w:rPr>
                <w:rFonts w:ascii="Arial" w:cs="Arial" w:eastAsia="Arial" w:hAnsi="Arial"/>
                <w:sz w:val="17"/>
                <w:szCs w:val="17"/>
                <w:color w:val="auto"/>
              </w:rPr>
              <w:t>4,660</w:t>
            </w:r>
          </w:p>
        </w:tc>
        <w:tc>
          <w:tcPr>
            <w:tcW w:w="22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7"/>
                <w:szCs w:val="17"/>
                <w:color w:val="auto"/>
              </w:rPr>
              <w:t>1,481</w:t>
            </w:r>
          </w:p>
        </w:tc>
        <w:tc>
          <w:tcPr>
            <w:tcW w:w="0" w:type="dxa"/>
            <w:vAlign w:val="bottom"/>
          </w:tcPr>
          <w:p>
            <w:pPr>
              <w:spacing w:after="0"/>
              <w:rPr>
                <w:sz w:val="1"/>
                <w:szCs w:val="1"/>
                <w:color w:val="auto"/>
              </w:rPr>
            </w:pPr>
          </w:p>
        </w:tc>
      </w:tr>
      <w:tr>
        <w:trPr>
          <w:trHeight w:val="208"/>
        </w:trPr>
        <w:tc>
          <w:tcPr>
            <w:tcW w:w="5080" w:type="dxa"/>
            <w:vAlign w:val="bottom"/>
            <w:shd w:val="clear" w:color="auto" w:fill="CCEEFF"/>
          </w:tcPr>
          <w:p>
            <w:pPr>
              <w:spacing w:after="0"/>
              <w:rPr>
                <w:sz w:val="20"/>
                <w:szCs w:val="20"/>
                <w:color w:val="auto"/>
              </w:rPr>
            </w:pPr>
            <w:r>
              <w:rPr>
                <w:rFonts w:ascii="Arial" w:cs="Arial" w:eastAsia="Arial" w:hAnsi="Arial"/>
                <w:sz w:val="17"/>
                <w:szCs w:val="17"/>
                <w:color w:val="auto"/>
              </w:rPr>
              <w:t>Net gain from sale of seized and recovered assets</w:t>
            </w:r>
          </w:p>
        </w:tc>
        <w:tc>
          <w:tcPr>
            <w:tcW w:w="3520" w:type="dxa"/>
            <w:vAlign w:val="bottom"/>
            <w:gridSpan w:val="3"/>
            <w:shd w:val="clear" w:color="auto" w:fill="CCEEFF"/>
          </w:tcPr>
          <w:p>
            <w:pPr>
              <w:jc w:val="right"/>
              <w:ind w:right="240"/>
              <w:spacing w:after="0"/>
              <w:rPr>
                <w:sz w:val="20"/>
                <w:szCs w:val="20"/>
                <w:color w:val="auto"/>
              </w:rPr>
            </w:pPr>
            <w:r>
              <w:rPr>
                <w:rFonts w:ascii="Arial" w:cs="Arial" w:eastAsia="Arial" w:hAnsi="Arial"/>
                <w:sz w:val="17"/>
                <w:szCs w:val="17"/>
                <w:color w:val="auto"/>
              </w:rPr>
              <w:t>2,494</w:t>
            </w: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1,377</w:t>
            </w: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4,195</w:t>
            </w:r>
          </w:p>
        </w:tc>
        <w:tc>
          <w:tcPr>
            <w:tcW w:w="0" w:type="dxa"/>
            <w:vAlign w:val="bottom"/>
          </w:tcPr>
          <w:p>
            <w:pPr>
              <w:spacing w:after="0"/>
              <w:rPr>
                <w:sz w:val="1"/>
                <w:szCs w:val="1"/>
                <w:color w:val="auto"/>
              </w:rPr>
            </w:pPr>
          </w:p>
        </w:tc>
      </w:tr>
      <w:tr>
        <w:trPr>
          <w:trHeight w:val="221"/>
        </w:trPr>
        <w:tc>
          <w:tcPr>
            <w:tcW w:w="5080" w:type="dxa"/>
            <w:vAlign w:val="bottom"/>
          </w:tcPr>
          <w:p>
            <w:pPr>
              <w:spacing w:after="0"/>
              <w:rPr>
                <w:sz w:val="20"/>
                <w:szCs w:val="20"/>
                <w:color w:val="auto"/>
              </w:rPr>
            </w:pPr>
            <w:r>
              <w:rPr>
                <w:rFonts w:ascii="Arial" w:cs="Arial" w:eastAsia="Arial" w:hAnsi="Arial"/>
                <w:sz w:val="17"/>
                <w:szCs w:val="17"/>
                <w:color w:val="auto"/>
              </w:rPr>
              <w:t>Others (*)</w:t>
            </w:r>
          </w:p>
        </w:tc>
        <w:tc>
          <w:tcPr>
            <w:tcW w:w="3520" w:type="dxa"/>
            <w:vAlign w:val="bottom"/>
            <w:gridSpan w:val="3"/>
          </w:tcPr>
          <w:p>
            <w:pPr>
              <w:jc w:val="right"/>
              <w:ind w:right="240"/>
              <w:spacing w:after="0"/>
              <w:rPr>
                <w:sz w:val="20"/>
                <w:szCs w:val="20"/>
                <w:color w:val="auto"/>
              </w:rPr>
            </w:pPr>
            <w:r>
              <w:rPr>
                <w:rFonts w:ascii="Arial" w:cs="Arial" w:eastAsia="Arial" w:hAnsi="Arial"/>
                <w:sz w:val="17"/>
                <w:szCs w:val="17"/>
                <w:color w:val="auto"/>
              </w:rPr>
              <w:t>208,518</w:t>
            </w:r>
          </w:p>
        </w:tc>
        <w:tc>
          <w:tcPr>
            <w:tcW w:w="1260" w:type="dxa"/>
            <w:vAlign w:val="bottom"/>
          </w:tcPr>
          <w:p>
            <w:pPr>
              <w:jc w:val="right"/>
              <w:spacing w:after="0"/>
              <w:rPr>
                <w:sz w:val="20"/>
                <w:szCs w:val="20"/>
                <w:color w:val="auto"/>
              </w:rPr>
            </w:pPr>
            <w:r>
              <w:rPr>
                <w:rFonts w:ascii="Arial" w:cs="Arial" w:eastAsia="Arial" w:hAnsi="Arial"/>
                <w:sz w:val="17"/>
                <w:szCs w:val="17"/>
                <w:color w:val="auto"/>
              </w:rPr>
              <w:t>164,180</w:t>
            </w:r>
          </w:p>
        </w:tc>
        <w:tc>
          <w:tcPr>
            <w:tcW w:w="220" w:type="dxa"/>
            <w:vAlign w:val="bottom"/>
          </w:tcPr>
          <w:p>
            <w:pPr>
              <w:spacing w:after="0"/>
              <w:rPr>
                <w:sz w:val="19"/>
                <w:szCs w:val="19"/>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7"/>
                <w:szCs w:val="17"/>
                <w:color w:val="auto"/>
              </w:rPr>
              <w:t>159,805</w:t>
            </w:r>
          </w:p>
        </w:tc>
        <w:tc>
          <w:tcPr>
            <w:tcW w:w="0" w:type="dxa"/>
            <w:vAlign w:val="bottom"/>
          </w:tcPr>
          <w:p>
            <w:pPr>
              <w:spacing w:after="0"/>
              <w:rPr>
                <w:sz w:val="1"/>
                <w:szCs w:val="1"/>
                <w:color w:val="auto"/>
              </w:rPr>
            </w:pPr>
          </w:p>
        </w:tc>
      </w:tr>
      <w:tr>
        <w:trPr>
          <w:trHeight w:val="201"/>
        </w:trPr>
        <w:tc>
          <w:tcPr>
            <w:tcW w:w="50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7"/>
                <w:szCs w:val="17"/>
                <w:b w:val="1"/>
                <w:bCs w:val="1"/>
                <w:color w:val="auto"/>
              </w:rPr>
              <w:t>Total other income</w:t>
            </w:r>
          </w:p>
        </w:tc>
        <w:tc>
          <w:tcPr>
            <w:tcW w:w="2020" w:type="dxa"/>
            <w:vAlign w:val="bottom"/>
            <w:tcBorders>
              <w:top w:val="single" w:sz="8" w:color="CCEEFF"/>
              <w:bottom w:val="single" w:sz="8" w:color="CCEEFF"/>
            </w:tcBorders>
            <w:shd w:val="clear" w:color="auto" w:fill="CCEEFF"/>
          </w:tcPr>
          <w:p>
            <w:pPr>
              <w:spacing w:after="0"/>
              <w:rPr>
                <w:sz w:val="17"/>
                <w:szCs w:val="17"/>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396,683</w:t>
            </w:r>
          </w:p>
        </w:tc>
        <w:tc>
          <w:tcPr>
            <w:tcW w:w="240" w:type="dxa"/>
            <w:vAlign w:val="bottom"/>
            <w:tcBorders>
              <w:top w:val="single" w:sz="8" w:color="CCEEFF"/>
              <w:bottom w:val="single" w:sz="8" w:color="CCEEFF"/>
            </w:tcBorders>
            <w:shd w:val="clear" w:color="auto" w:fill="CCEEFF"/>
          </w:tcPr>
          <w:p>
            <w:pPr>
              <w:spacing w:after="0"/>
              <w:rPr>
                <w:sz w:val="17"/>
                <w:szCs w:val="17"/>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344,460</w:t>
            </w: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325,666</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08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508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508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Other expenses</w:t>
            </w:r>
          </w:p>
        </w:tc>
        <w:tc>
          <w:tcPr>
            <w:tcW w:w="20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5080" w:type="dxa"/>
            <w:vAlign w:val="bottom"/>
          </w:tcPr>
          <w:p>
            <w:pPr>
              <w:spacing w:after="0"/>
              <w:rPr>
                <w:sz w:val="20"/>
                <w:szCs w:val="20"/>
                <w:color w:val="auto"/>
              </w:rPr>
            </w:pPr>
            <w:r>
              <w:rPr>
                <w:rFonts w:ascii="Arial" w:cs="Arial" w:eastAsia="Arial" w:hAnsi="Arial"/>
                <w:sz w:val="17"/>
                <w:szCs w:val="17"/>
                <w:color w:val="auto"/>
              </w:rPr>
              <w:t>Commissions from insurance activities</w:t>
            </w:r>
          </w:p>
        </w:tc>
        <w:tc>
          <w:tcPr>
            <w:tcW w:w="3520" w:type="dxa"/>
            <w:vAlign w:val="bottom"/>
            <w:gridSpan w:val="3"/>
          </w:tcPr>
          <w:p>
            <w:pPr>
              <w:jc w:val="right"/>
              <w:ind w:right="240"/>
              <w:spacing w:after="0"/>
              <w:rPr>
                <w:sz w:val="20"/>
                <w:szCs w:val="20"/>
                <w:color w:val="auto"/>
              </w:rPr>
            </w:pPr>
            <w:r>
              <w:rPr>
                <w:rFonts w:ascii="Arial" w:cs="Arial" w:eastAsia="Arial" w:hAnsi="Arial"/>
                <w:sz w:val="17"/>
                <w:szCs w:val="17"/>
                <w:color w:val="auto"/>
              </w:rPr>
              <w:t>277,878</w:t>
            </w:r>
          </w:p>
        </w:tc>
        <w:tc>
          <w:tcPr>
            <w:tcW w:w="1260" w:type="dxa"/>
            <w:vAlign w:val="bottom"/>
          </w:tcPr>
          <w:p>
            <w:pPr>
              <w:jc w:val="right"/>
              <w:spacing w:after="0"/>
              <w:rPr>
                <w:sz w:val="20"/>
                <w:szCs w:val="20"/>
                <w:color w:val="auto"/>
              </w:rPr>
            </w:pPr>
            <w:r>
              <w:rPr>
                <w:rFonts w:ascii="Arial" w:cs="Arial" w:eastAsia="Arial" w:hAnsi="Arial"/>
                <w:sz w:val="17"/>
                <w:szCs w:val="17"/>
                <w:color w:val="auto"/>
              </w:rPr>
              <w:t>272,949</w:t>
            </w:r>
          </w:p>
        </w:tc>
        <w:tc>
          <w:tcPr>
            <w:tcW w:w="22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7"/>
                <w:szCs w:val="17"/>
                <w:color w:val="auto"/>
              </w:rPr>
              <w:t>231,521</w:t>
            </w:r>
          </w:p>
        </w:tc>
        <w:tc>
          <w:tcPr>
            <w:tcW w:w="0" w:type="dxa"/>
            <w:vAlign w:val="bottom"/>
          </w:tcPr>
          <w:p>
            <w:pPr>
              <w:spacing w:after="0"/>
              <w:rPr>
                <w:sz w:val="1"/>
                <w:szCs w:val="1"/>
                <w:color w:val="auto"/>
              </w:rPr>
            </w:pPr>
          </w:p>
        </w:tc>
      </w:tr>
      <w:tr>
        <w:trPr>
          <w:trHeight w:val="208"/>
        </w:trPr>
        <w:tc>
          <w:tcPr>
            <w:tcW w:w="5080" w:type="dxa"/>
            <w:vAlign w:val="bottom"/>
            <w:shd w:val="clear" w:color="auto" w:fill="CCEEFF"/>
          </w:tcPr>
          <w:p>
            <w:pPr>
              <w:spacing w:after="0"/>
              <w:rPr>
                <w:sz w:val="20"/>
                <w:szCs w:val="20"/>
                <w:color w:val="auto"/>
              </w:rPr>
            </w:pPr>
            <w:r>
              <w:rPr>
                <w:rFonts w:ascii="Arial" w:cs="Arial" w:eastAsia="Arial" w:hAnsi="Arial"/>
                <w:sz w:val="17"/>
                <w:szCs w:val="17"/>
                <w:color w:val="auto"/>
              </w:rPr>
              <w:t>Sundry technical insurance expenses</w:t>
            </w:r>
          </w:p>
        </w:tc>
        <w:tc>
          <w:tcPr>
            <w:tcW w:w="3520" w:type="dxa"/>
            <w:vAlign w:val="bottom"/>
            <w:gridSpan w:val="3"/>
            <w:shd w:val="clear" w:color="auto" w:fill="CCEEFF"/>
          </w:tcPr>
          <w:p>
            <w:pPr>
              <w:jc w:val="right"/>
              <w:ind w:right="240"/>
              <w:spacing w:after="0"/>
              <w:rPr>
                <w:sz w:val="20"/>
                <w:szCs w:val="20"/>
                <w:color w:val="auto"/>
              </w:rPr>
            </w:pPr>
            <w:r>
              <w:rPr>
                <w:rFonts w:ascii="Arial" w:cs="Arial" w:eastAsia="Arial" w:hAnsi="Arial"/>
                <w:sz w:val="17"/>
                <w:szCs w:val="17"/>
                <w:color w:val="auto"/>
              </w:rPr>
              <w:t>119,355</w:t>
            </w: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102,670</w:t>
            </w: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95,857</w:t>
            </w:r>
          </w:p>
        </w:tc>
        <w:tc>
          <w:tcPr>
            <w:tcW w:w="0" w:type="dxa"/>
            <w:vAlign w:val="bottom"/>
          </w:tcPr>
          <w:p>
            <w:pPr>
              <w:spacing w:after="0"/>
              <w:rPr>
                <w:sz w:val="1"/>
                <w:szCs w:val="1"/>
                <w:color w:val="auto"/>
              </w:rPr>
            </w:pPr>
          </w:p>
        </w:tc>
      </w:tr>
      <w:tr>
        <w:trPr>
          <w:trHeight w:val="208"/>
        </w:trPr>
        <w:tc>
          <w:tcPr>
            <w:tcW w:w="5080" w:type="dxa"/>
            <w:vAlign w:val="bottom"/>
          </w:tcPr>
          <w:p>
            <w:pPr>
              <w:spacing w:after="0"/>
              <w:rPr>
                <w:sz w:val="20"/>
                <w:szCs w:val="20"/>
                <w:color w:val="auto"/>
              </w:rPr>
            </w:pPr>
            <w:r>
              <w:rPr>
                <w:rFonts w:ascii="Arial" w:cs="Arial" w:eastAsia="Arial" w:hAnsi="Arial"/>
                <w:sz w:val="17"/>
                <w:szCs w:val="17"/>
                <w:color w:val="auto"/>
              </w:rPr>
              <w:t>Losses due to operational risk</w:t>
            </w:r>
          </w:p>
        </w:tc>
        <w:tc>
          <w:tcPr>
            <w:tcW w:w="3520" w:type="dxa"/>
            <w:vAlign w:val="bottom"/>
            <w:gridSpan w:val="3"/>
          </w:tcPr>
          <w:p>
            <w:pPr>
              <w:jc w:val="right"/>
              <w:ind w:right="240"/>
              <w:spacing w:after="0"/>
              <w:rPr>
                <w:sz w:val="20"/>
                <w:szCs w:val="20"/>
                <w:color w:val="auto"/>
              </w:rPr>
            </w:pPr>
            <w:r>
              <w:rPr>
                <w:rFonts w:ascii="Arial" w:cs="Arial" w:eastAsia="Arial" w:hAnsi="Arial"/>
                <w:sz w:val="17"/>
                <w:szCs w:val="17"/>
                <w:color w:val="auto"/>
              </w:rPr>
              <w:t>55,477</w:t>
            </w:r>
          </w:p>
        </w:tc>
        <w:tc>
          <w:tcPr>
            <w:tcW w:w="1480" w:type="dxa"/>
            <w:vAlign w:val="bottom"/>
            <w:gridSpan w:val="2"/>
          </w:tcPr>
          <w:p>
            <w:pPr>
              <w:jc w:val="right"/>
              <w:ind w:right="220"/>
              <w:spacing w:after="0"/>
              <w:rPr>
                <w:sz w:val="20"/>
                <w:szCs w:val="20"/>
                <w:color w:val="auto"/>
              </w:rPr>
            </w:pPr>
            <w:r>
              <w:rPr>
                <w:rFonts w:ascii="Arial" w:cs="Arial" w:eastAsia="Arial" w:hAnsi="Arial"/>
                <w:sz w:val="17"/>
                <w:szCs w:val="17"/>
                <w:color w:val="auto"/>
              </w:rPr>
              <w:t>37,407</w:t>
            </w:r>
          </w:p>
        </w:tc>
        <w:tc>
          <w:tcPr>
            <w:tcW w:w="1340" w:type="dxa"/>
            <w:vAlign w:val="bottom"/>
            <w:gridSpan w:val="2"/>
          </w:tcPr>
          <w:p>
            <w:pPr>
              <w:jc w:val="right"/>
              <w:ind w:right="100"/>
              <w:spacing w:after="0"/>
              <w:rPr>
                <w:sz w:val="20"/>
                <w:szCs w:val="20"/>
                <w:color w:val="auto"/>
              </w:rPr>
            </w:pPr>
            <w:r>
              <w:rPr>
                <w:rFonts w:ascii="Arial" w:cs="Arial" w:eastAsia="Arial" w:hAnsi="Arial"/>
                <w:sz w:val="17"/>
                <w:szCs w:val="17"/>
                <w:color w:val="auto"/>
              </w:rPr>
              <w:t>21,439</w:t>
            </w:r>
          </w:p>
        </w:tc>
        <w:tc>
          <w:tcPr>
            <w:tcW w:w="0" w:type="dxa"/>
            <w:vAlign w:val="bottom"/>
          </w:tcPr>
          <w:p>
            <w:pPr>
              <w:spacing w:after="0"/>
              <w:rPr>
                <w:sz w:val="1"/>
                <w:szCs w:val="1"/>
                <w:color w:val="auto"/>
              </w:rPr>
            </w:pPr>
          </w:p>
        </w:tc>
      </w:tr>
      <w:tr>
        <w:trPr>
          <w:trHeight w:val="208"/>
        </w:trPr>
        <w:tc>
          <w:tcPr>
            <w:tcW w:w="5080" w:type="dxa"/>
            <w:vAlign w:val="bottom"/>
            <w:shd w:val="clear" w:color="auto" w:fill="CCEEFF"/>
          </w:tcPr>
          <w:p>
            <w:pPr>
              <w:spacing w:after="0"/>
              <w:rPr>
                <w:sz w:val="20"/>
                <w:szCs w:val="20"/>
                <w:color w:val="auto"/>
              </w:rPr>
            </w:pPr>
            <w:r>
              <w:rPr>
                <w:rFonts w:ascii="Arial" w:cs="Arial" w:eastAsia="Arial" w:hAnsi="Arial"/>
                <w:sz w:val="17"/>
                <w:szCs w:val="17"/>
                <w:color w:val="auto"/>
              </w:rPr>
              <w:t>Expenses on improvements in building for rent</w:t>
            </w:r>
          </w:p>
        </w:tc>
        <w:tc>
          <w:tcPr>
            <w:tcW w:w="3520" w:type="dxa"/>
            <w:vAlign w:val="bottom"/>
            <w:gridSpan w:val="3"/>
            <w:shd w:val="clear" w:color="auto" w:fill="CCEEFF"/>
          </w:tcPr>
          <w:p>
            <w:pPr>
              <w:jc w:val="right"/>
              <w:ind w:right="240"/>
              <w:spacing w:after="0"/>
              <w:rPr>
                <w:sz w:val="20"/>
                <w:szCs w:val="20"/>
                <w:color w:val="auto"/>
              </w:rPr>
            </w:pPr>
            <w:r>
              <w:rPr>
                <w:rFonts w:ascii="Arial" w:cs="Arial" w:eastAsia="Arial" w:hAnsi="Arial"/>
                <w:sz w:val="17"/>
                <w:szCs w:val="17"/>
                <w:color w:val="auto"/>
              </w:rPr>
              <w:t>42,083</w:t>
            </w: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43,775</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45,266</w:t>
            </w:r>
          </w:p>
        </w:tc>
        <w:tc>
          <w:tcPr>
            <w:tcW w:w="0" w:type="dxa"/>
            <w:vAlign w:val="bottom"/>
          </w:tcPr>
          <w:p>
            <w:pPr>
              <w:spacing w:after="0"/>
              <w:rPr>
                <w:sz w:val="1"/>
                <w:szCs w:val="1"/>
                <w:color w:val="auto"/>
              </w:rPr>
            </w:pPr>
          </w:p>
        </w:tc>
      </w:tr>
      <w:tr>
        <w:trPr>
          <w:trHeight w:val="208"/>
        </w:trPr>
        <w:tc>
          <w:tcPr>
            <w:tcW w:w="5080" w:type="dxa"/>
            <w:vAlign w:val="bottom"/>
          </w:tcPr>
          <w:p>
            <w:pPr>
              <w:spacing w:after="0"/>
              <w:rPr>
                <w:sz w:val="20"/>
                <w:szCs w:val="20"/>
                <w:color w:val="auto"/>
              </w:rPr>
            </w:pPr>
            <w:r>
              <w:rPr>
                <w:rFonts w:ascii="Arial" w:cs="Arial" w:eastAsia="Arial" w:hAnsi="Arial"/>
                <w:sz w:val="17"/>
                <w:szCs w:val="17"/>
                <w:color w:val="auto"/>
              </w:rPr>
              <w:t>Provision for sundry risks, Note 12(d)</w:t>
            </w:r>
          </w:p>
        </w:tc>
        <w:tc>
          <w:tcPr>
            <w:tcW w:w="3520" w:type="dxa"/>
            <w:vAlign w:val="bottom"/>
            <w:gridSpan w:val="3"/>
          </w:tcPr>
          <w:p>
            <w:pPr>
              <w:jc w:val="right"/>
              <w:ind w:right="240"/>
              <w:spacing w:after="0"/>
              <w:rPr>
                <w:sz w:val="20"/>
                <w:szCs w:val="20"/>
                <w:color w:val="auto"/>
              </w:rPr>
            </w:pPr>
            <w:r>
              <w:rPr>
                <w:rFonts w:ascii="Arial" w:cs="Arial" w:eastAsia="Arial" w:hAnsi="Arial"/>
                <w:sz w:val="17"/>
                <w:szCs w:val="17"/>
                <w:color w:val="auto"/>
              </w:rPr>
              <w:t>29,023</w:t>
            </w:r>
          </w:p>
        </w:tc>
        <w:tc>
          <w:tcPr>
            <w:tcW w:w="1480" w:type="dxa"/>
            <w:vAlign w:val="bottom"/>
            <w:gridSpan w:val="2"/>
          </w:tcPr>
          <w:p>
            <w:pPr>
              <w:jc w:val="right"/>
              <w:ind w:right="220"/>
              <w:spacing w:after="0"/>
              <w:rPr>
                <w:sz w:val="20"/>
                <w:szCs w:val="20"/>
                <w:color w:val="auto"/>
              </w:rPr>
            </w:pPr>
            <w:r>
              <w:rPr>
                <w:rFonts w:ascii="Arial" w:cs="Arial" w:eastAsia="Arial" w:hAnsi="Arial"/>
                <w:sz w:val="17"/>
                <w:szCs w:val="17"/>
                <w:color w:val="auto"/>
              </w:rPr>
              <w:t>28,093</w:t>
            </w:r>
          </w:p>
        </w:tc>
        <w:tc>
          <w:tcPr>
            <w:tcW w:w="1340" w:type="dxa"/>
            <w:vAlign w:val="bottom"/>
            <w:gridSpan w:val="2"/>
          </w:tcPr>
          <w:p>
            <w:pPr>
              <w:jc w:val="right"/>
              <w:ind w:right="100"/>
              <w:spacing w:after="0"/>
              <w:rPr>
                <w:sz w:val="20"/>
                <w:szCs w:val="20"/>
                <w:color w:val="auto"/>
              </w:rPr>
            </w:pPr>
            <w:r>
              <w:rPr>
                <w:rFonts w:ascii="Arial" w:cs="Arial" w:eastAsia="Arial" w:hAnsi="Arial"/>
                <w:sz w:val="17"/>
                <w:szCs w:val="17"/>
                <w:color w:val="auto"/>
              </w:rPr>
              <w:t>38,248</w:t>
            </w:r>
          </w:p>
        </w:tc>
        <w:tc>
          <w:tcPr>
            <w:tcW w:w="0" w:type="dxa"/>
            <w:vAlign w:val="bottom"/>
          </w:tcPr>
          <w:p>
            <w:pPr>
              <w:spacing w:after="0"/>
              <w:rPr>
                <w:sz w:val="1"/>
                <w:szCs w:val="1"/>
                <w:color w:val="auto"/>
              </w:rPr>
            </w:pPr>
          </w:p>
        </w:tc>
      </w:tr>
      <w:tr>
        <w:trPr>
          <w:trHeight w:val="208"/>
        </w:trPr>
        <w:tc>
          <w:tcPr>
            <w:tcW w:w="5080" w:type="dxa"/>
            <w:vAlign w:val="bottom"/>
            <w:shd w:val="clear" w:color="auto" w:fill="CCEEFF"/>
          </w:tcPr>
          <w:p>
            <w:pPr>
              <w:spacing w:after="0"/>
              <w:rPr>
                <w:sz w:val="20"/>
                <w:szCs w:val="20"/>
                <w:color w:val="auto"/>
              </w:rPr>
            </w:pPr>
            <w:r>
              <w:rPr>
                <w:rFonts w:ascii="Arial" w:cs="Arial" w:eastAsia="Arial" w:hAnsi="Arial"/>
                <w:sz w:val="17"/>
                <w:szCs w:val="17"/>
                <w:color w:val="auto"/>
              </w:rPr>
              <w:t>Provision for other accounts receivable</w:t>
            </w:r>
          </w:p>
        </w:tc>
        <w:tc>
          <w:tcPr>
            <w:tcW w:w="3520" w:type="dxa"/>
            <w:vAlign w:val="bottom"/>
            <w:gridSpan w:val="3"/>
            <w:shd w:val="clear" w:color="auto" w:fill="CCEEFF"/>
          </w:tcPr>
          <w:p>
            <w:pPr>
              <w:jc w:val="right"/>
              <w:ind w:right="240"/>
              <w:spacing w:after="0"/>
              <w:rPr>
                <w:sz w:val="20"/>
                <w:szCs w:val="20"/>
                <w:color w:val="auto"/>
              </w:rPr>
            </w:pPr>
            <w:r>
              <w:rPr>
                <w:rFonts w:ascii="Arial" w:cs="Arial" w:eastAsia="Arial" w:hAnsi="Arial"/>
                <w:sz w:val="17"/>
                <w:szCs w:val="17"/>
                <w:color w:val="auto"/>
              </w:rPr>
              <w:t>19,316</w:t>
            </w: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8,239</w:t>
            </w: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12,516</w:t>
            </w:r>
          </w:p>
        </w:tc>
        <w:tc>
          <w:tcPr>
            <w:tcW w:w="0" w:type="dxa"/>
            <w:vAlign w:val="bottom"/>
          </w:tcPr>
          <w:p>
            <w:pPr>
              <w:spacing w:after="0"/>
              <w:rPr>
                <w:sz w:val="1"/>
                <w:szCs w:val="1"/>
                <w:color w:val="auto"/>
              </w:rPr>
            </w:pPr>
          </w:p>
        </w:tc>
      </w:tr>
      <w:tr>
        <w:trPr>
          <w:trHeight w:val="208"/>
        </w:trPr>
        <w:tc>
          <w:tcPr>
            <w:tcW w:w="5080" w:type="dxa"/>
            <w:vAlign w:val="bottom"/>
          </w:tcPr>
          <w:p>
            <w:pPr>
              <w:spacing w:after="0"/>
              <w:rPr>
                <w:sz w:val="20"/>
                <w:szCs w:val="20"/>
                <w:color w:val="auto"/>
              </w:rPr>
            </w:pPr>
            <w:r>
              <w:rPr>
                <w:rFonts w:ascii="Arial" w:cs="Arial" w:eastAsia="Arial" w:hAnsi="Arial"/>
                <w:sz w:val="17"/>
                <w:szCs w:val="17"/>
                <w:color w:val="auto"/>
              </w:rPr>
              <w:t>Administrative and tax penalties</w:t>
            </w:r>
          </w:p>
        </w:tc>
        <w:tc>
          <w:tcPr>
            <w:tcW w:w="3520" w:type="dxa"/>
            <w:vAlign w:val="bottom"/>
            <w:gridSpan w:val="3"/>
          </w:tcPr>
          <w:p>
            <w:pPr>
              <w:jc w:val="right"/>
              <w:ind w:right="240"/>
              <w:spacing w:after="0"/>
              <w:rPr>
                <w:sz w:val="20"/>
                <w:szCs w:val="20"/>
                <w:color w:val="auto"/>
              </w:rPr>
            </w:pPr>
            <w:r>
              <w:rPr>
                <w:rFonts w:ascii="Arial" w:cs="Arial" w:eastAsia="Arial" w:hAnsi="Arial"/>
                <w:sz w:val="17"/>
                <w:szCs w:val="17"/>
                <w:color w:val="auto"/>
              </w:rPr>
              <w:t>8,387</w:t>
            </w:r>
          </w:p>
        </w:tc>
        <w:tc>
          <w:tcPr>
            <w:tcW w:w="1480" w:type="dxa"/>
            <w:vAlign w:val="bottom"/>
            <w:gridSpan w:val="2"/>
          </w:tcPr>
          <w:p>
            <w:pPr>
              <w:jc w:val="right"/>
              <w:ind w:right="220"/>
              <w:spacing w:after="0"/>
              <w:rPr>
                <w:sz w:val="20"/>
                <w:szCs w:val="20"/>
                <w:color w:val="auto"/>
              </w:rPr>
            </w:pPr>
            <w:r>
              <w:rPr>
                <w:rFonts w:ascii="Arial" w:cs="Arial" w:eastAsia="Arial" w:hAnsi="Arial"/>
                <w:sz w:val="17"/>
                <w:szCs w:val="17"/>
                <w:color w:val="auto"/>
              </w:rPr>
              <w:t>16,374</w:t>
            </w:r>
          </w:p>
        </w:tc>
        <w:tc>
          <w:tcPr>
            <w:tcW w:w="1340" w:type="dxa"/>
            <w:vAlign w:val="bottom"/>
            <w:gridSpan w:val="2"/>
          </w:tcPr>
          <w:p>
            <w:pPr>
              <w:jc w:val="right"/>
              <w:ind w:right="100"/>
              <w:spacing w:after="0"/>
              <w:rPr>
                <w:sz w:val="20"/>
                <w:szCs w:val="20"/>
                <w:color w:val="auto"/>
              </w:rPr>
            </w:pPr>
            <w:r>
              <w:rPr>
                <w:rFonts w:ascii="Arial" w:cs="Arial" w:eastAsia="Arial" w:hAnsi="Arial"/>
                <w:sz w:val="17"/>
                <w:szCs w:val="17"/>
                <w:color w:val="auto"/>
              </w:rPr>
              <w:t>5,581</w:t>
            </w:r>
          </w:p>
        </w:tc>
        <w:tc>
          <w:tcPr>
            <w:tcW w:w="0" w:type="dxa"/>
            <w:vAlign w:val="bottom"/>
          </w:tcPr>
          <w:p>
            <w:pPr>
              <w:spacing w:after="0"/>
              <w:rPr>
                <w:sz w:val="1"/>
                <w:szCs w:val="1"/>
                <w:color w:val="auto"/>
              </w:rPr>
            </w:pPr>
          </w:p>
        </w:tc>
      </w:tr>
      <w:tr>
        <w:trPr>
          <w:trHeight w:val="208"/>
        </w:trPr>
        <w:tc>
          <w:tcPr>
            <w:tcW w:w="5080" w:type="dxa"/>
            <w:vAlign w:val="bottom"/>
            <w:shd w:val="clear" w:color="auto" w:fill="CCEEFF"/>
          </w:tcPr>
          <w:p>
            <w:pPr>
              <w:spacing w:after="0"/>
              <w:rPr>
                <w:sz w:val="20"/>
                <w:szCs w:val="20"/>
                <w:color w:val="auto"/>
              </w:rPr>
            </w:pPr>
            <w:r>
              <w:rPr>
                <w:rFonts w:ascii="Arial" w:cs="Arial" w:eastAsia="Arial" w:hAnsi="Arial"/>
                <w:sz w:val="17"/>
                <w:szCs w:val="17"/>
                <w:color w:val="auto"/>
              </w:rPr>
              <w:t>Put option write on non-controlling interests</w:t>
            </w:r>
          </w:p>
        </w:tc>
        <w:tc>
          <w:tcPr>
            <w:tcW w:w="3520" w:type="dxa"/>
            <w:vAlign w:val="bottom"/>
            <w:gridSpan w:val="3"/>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11,890</w:t>
            </w: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8,972</w:t>
            </w:r>
          </w:p>
        </w:tc>
        <w:tc>
          <w:tcPr>
            <w:tcW w:w="0" w:type="dxa"/>
            <w:vAlign w:val="bottom"/>
          </w:tcPr>
          <w:p>
            <w:pPr>
              <w:spacing w:after="0"/>
              <w:rPr>
                <w:sz w:val="1"/>
                <w:szCs w:val="1"/>
                <w:color w:val="auto"/>
              </w:rPr>
            </w:pPr>
          </w:p>
        </w:tc>
      </w:tr>
      <w:tr>
        <w:trPr>
          <w:trHeight w:val="208"/>
        </w:trPr>
        <w:tc>
          <w:tcPr>
            <w:tcW w:w="5080" w:type="dxa"/>
            <w:vAlign w:val="bottom"/>
          </w:tcPr>
          <w:p>
            <w:pPr>
              <w:spacing w:after="0"/>
              <w:rPr>
                <w:sz w:val="20"/>
                <w:szCs w:val="20"/>
                <w:color w:val="auto"/>
              </w:rPr>
            </w:pPr>
            <w:r>
              <w:rPr>
                <w:rFonts w:ascii="Arial" w:cs="Arial" w:eastAsia="Arial" w:hAnsi="Arial"/>
                <w:sz w:val="17"/>
                <w:szCs w:val="17"/>
                <w:color w:val="auto"/>
              </w:rPr>
              <w:t>Loss from sale adjudicated assets</w:t>
            </w:r>
          </w:p>
        </w:tc>
        <w:tc>
          <w:tcPr>
            <w:tcW w:w="3520" w:type="dxa"/>
            <w:vAlign w:val="bottom"/>
            <w:gridSpan w:val="3"/>
          </w:tcPr>
          <w:p>
            <w:pPr>
              <w:jc w:val="right"/>
              <w:ind w:right="240"/>
              <w:spacing w:after="0"/>
              <w:rPr>
                <w:sz w:val="20"/>
                <w:szCs w:val="20"/>
                <w:color w:val="auto"/>
              </w:rPr>
            </w:pPr>
            <w:r>
              <w:rPr>
                <w:rFonts w:ascii="Arial" w:cs="Arial" w:eastAsia="Arial" w:hAnsi="Arial"/>
                <w:sz w:val="17"/>
                <w:szCs w:val="17"/>
                <w:color w:val="auto"/>
              </w:rPr>
              <w:t>-</w:t>
            </w:r>
          </w:p>
        </w:tc>
        <w:tc>
          <w:tcPr>
            <w:tcW w:w="1260" w:type="dxa"/>
            <w:vAlign w:val="bottom"/>
          </w:tcPr>
          <w:p>
            <w:pPr>
              <w:jc w:val="right"/>
              <w:spacing w:after="0"/>
              <w:rPr>
                <w:sz w:val="20"/>
                <w:szCs w:val="20"/>
                <w:color w:val="auto"/>
              </w:rPr>
            </w:pPr>
            <w:r>
              <w:rPr>
                <w:rFonts w:ascii="Arial" w:cs="Arial" w:eastAsia="Arial" w:hAnsi="Arial"/>
                <w:sz w:val="17"/>
                <w:szCs w:val="17"/>
                <w:color w:val="auto"/>
              </w:rPr>
              <w:t>1,426</w:t>
            </w:r>
          </w:p>
        </w:tc>
        <w:tc>
          <w:tcPr>
            <w:tcW w:w="22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7"/>
                <w:szCs w:val="17"/>
                <w:color w:val="auto"/>
              </w:rPr>
              <w:t>783</w:t>
            </w:r>
          </w:p>
        </w:tc>
        <w:tc>
          <w:tcPr>
            <w:tcW w:w="0" w:type="dxa"/>
            <w:vAlign w:val="bottom"/>
          </w:tcPr>
          <w:p>
            <w:pPr>
              <w:spacing w:after="0"/>
              <w:rPr>
                <w:sz w:val="1"/>
                <w:szCs w:val="1"/>
                <w:color w:val="auto"/>
              </w:rPr>
            </w:pPr>
          </w:p>
        </w:tc>
      </w:tr>
      <w:tr>
        <w:trPr>
          <w:trHeight w:val="221"/>
        </w:trPr>
        <w:tc>
          <w:tcPr>
            <w:tcW w:w="5080" w:type="dxa"/>
            <w:vAlign w:val="bottom"/>
            <w:shd w:val="clear" w:color="auto" w:fill="CCEEFF"/>
          </w:tcPr>
          <w:p>
            <w:pPr>
              <w:spacing w:after="0"/>
              <w:rPr>
                <w:sz w:val="20"/>
                <w:szCs w:val="20"/>
                <w:color w:val="auto"/>
              </w:rPr>
            </w:pPr>
            <w:r>
              <w:rPr>
                <w:rFonts w:ascii="Arial" w:cs="Arial" w:eastAsia="Arial" w:hAnsi="Arial"/>
                <w:sz w:val="17"/>
                <w:szCs w:val="17"/>
                <w:color w:val="auto"/>
              </w:rPr>
              <w:t>Others</w:t>
            </w:r>
          </w:p>
        </w:tc>
        <w:tc>
          <w:tcPr>
            <w:tcW w:w="3520" w:type="dxa"/>
            <w:vAlign w:val="bottom"/>
            <w:gridSpan w:val="3"/>
            <w:shd w:val="clear" w:color="auto" w:fill="CCEEFF"/>
          </w:tcPr>
          <w:p>
            <w:pPr>
              <w:jc w:val="right"/>
              <w:ind w:right="240"/>
              <w:spacing w:after="0"/>
              <w:rPr>
                <w:sz w:val="20"/>
                <w:szCs w:val="20"/>
                <w:color w:val="auto"/>
              </w:rPr>
            </w:pPr>
            <w:r>
              <w:rPr>
                <w:rFonts w:ascii="Arial" w:cs="Arial" w:eastAsia="Arial" w:hAnsi="Arial"/>
                <w:sz w:val="17"/>
                <w:szCs w:val="17"/>
                <w:color w:val="auto"/>
              </w:rPr>
              <w:t>84,028</w:t>
            </w: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86,252</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74,189</w:t>
            </w:r>
          </w:p>
        </w:tc>
        <w:tc>
          <w:tcPr>
            <w:tcW w:w="0" w:type="dxa"/>
            <w:vAlign w:val="bottom"/>
          </w:tcPr>
          <w:p>
            <w:pPr>
              <w:spacing w:after="0"/>
              <w:rPr>
                <w:sz w:val="1"/>
                <w:szCs w:val="1"/>
                <w:color w:val="auto"/>
              </w:rPr>
            </w:pPr>
          </w:p>
        </w:tc>
      </w:tr>
      <w:tr>
        <w:trPr>
          <w:trHeight w:val="201"/>
        </w:trPr>
        <w:tc>
          <w:tcPr>
            <w:tcW w:w="5080" w:type="dxa"/>
            <w:vAlign w:val="bottom"/>
          </w:tcPr>
          <w:p>
            <w:pPr>
              <w:spacing w:after="0"/>
              <w:rPr>
                <w:sz w:val="20"/>
                <w:szCs w:val="20"/>
                <w:color w:val="auto"/>
              </w:rPr>
            </w:pPr>
            <w:r>
              <w:rPr>
                <w:rFonts w:ascii="Arial" w:cs="Arial" w:eastAsia="Arial" w:hAnsi="Arial"/>
                <w:sz w:val="17"/>
                <w:szCs w:val="17"/>
                <w:b w:val="1"/>
                <w:bCs w:val="1"/>
                <w:color w:val="auto"/>
              </w:rPr>
              <w:t>Total other expenses</w:t>
            </w:r>
          </w:p>
        </w:tc>
        <w:tc>
          <w:tcPr>
            <w:tcW w:w="2020" w:type="dxa"/>
            <w:vAlign w:val="bottom"/>
          </w:tcPr>
          <w:p>
            <w:pPr>
              <w:spacing w:after="0"/>
              <w:rPr>
                <w:sz w:val="17"/>
                <w:szCs w:val="17"/>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635,547</w:t>
            </w:r>
          </w:p>
        </w:tc>
        <w:tc>
          <w:tcPr>
            <w:tcW w:w="240" w:type="dxa"/>
            <w:vAlign w:val="bottom"/>
          </w:tcPr>
          <w:p>
            <w:pPr>
              <w:spacing w:after="0"/>
              <w:rPr>
                <w:sz w:val="17"/>
                <w:szCs w:val="17"/>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609,075</w:t>
            </w:r>
          </w:p>
        </w:tc>
        <w:tc>
          <w:tcPr>
            <w:tcW w:w="220" w:type="dxa"/>
            <w:vAlign w:val="bottom"/>
          </w:tcPr>
          <w:p>
            <w:pPr>
              <w:spacing w:after="0"/>
              <w:rPr>
                <w:sz w:val="17"/>
                <w:szCs w:val="17"/>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534,372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080" w:type="dxa"/>
            <w:vAlign w:val="bottom"/>
          </w:tcPr>
          <w:p>
            <w:pPr>
              <w:spacing w:after="0" w:line="20" w:lineRule="exact"/>
              <w:rPr>
                <w:sz w:val="1"/>
                <w:szCs w:val="1"/>
                <w:color w:val="auto"/>
              </w:rPr>
            </w:pPr>
          </w:p>
        </w:tc>
        <w:tc>
          <w:tcPr>
            <w:tcW w:w="2020" w:type="dxa"/>
            <w:vAlign w:val="bottom"/>
            <w:vMerge w:val="restart"/>
          </w:tcPr>
          <w:p>
            <w:pPr>
              <w:jc w:val="right"/>
              <w:ind w:right="1053"/>
              <w:spacing w:after="0"/>
              <w:rPr>
                <w:sz w:val="20"/>
                <w:szCs w:val="20"/>
                <w:color w:val="auto"/>
              </w:rPr>
            </w:pPr>
            <w:r>
              <w:rPr>
                <w:rFonts w:ascii="Arial" w:cs="Arial" w:eastAsia="Arial" w:hAnsi="Arial"/>
                <w:sz w:val="17"/>
                <w:szCs w:val="17"/>
                <w:color w:val="auto"/>
              </w:rPr>
              <w:t>- 102 -</w:t>
            </w:r>
          </w:p>
        </w:tc>
        <w:tc>
          <w:tcPr>
            <w:tcW w:w="12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3"/>
        </w:trPr>
        <w:tc>
          <w:tcPr>
            <w:tcW w:w="508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vMerge w:val="continue"/>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75" w:right="239" w:bottom="1440" w:gutter="0" w:footer="0" w:header="0"/>
        </w:sectPr>
      </w:pPr>
    </w:p>
    <w:bookmarkStart w:id="108" w:name="page109"/>
    <w:bookmarkEnd w:id="108"/>
    <w:p>
      <w:pPr>
        <w:jc w:val="both"/>
        <w:ind w:left="320" w:right="120" w:hanging="316"/>
        <w:spacing w:after="0" w:line="270" w:lineRule="auto"/>
        <w:tabs>
          <w:tab w:leader="none" w:pos="320" w:val="left"/>
        </w:tabs>
        <w:numPr>
          <w:ilvl w:val="0"/>
          <w:numId w:val="122"/>
        </w:numPr>
        <w:rPr>
          <w:rFonts w:ascii="Arial" w:cs="Arial" w:eastAsia="Arial" w:hAnsi="Arial"/>
          <w:sz w:val="17"/>
          <w:szCs w:val="17"/>
          <w:color w:val="auto"/>
        </w:rPr>
      </w:pPr>
      <w:r>
        <w:rPr>
          <w:rFonts w:ascii="Arial" w:cs="Arial" w:eastAsia="Arial" w:hAnsi="Arial"/>
          <w:sz w:val="17"/>
          <w:szCs w:val="17"/>
          <w:color w:val="auto"/>
        </w:rPr>
        <w:t>The balance mainly comprises property sales, liquidation for sale of shares of Credicorp, penalty for breach of contract, commissions for recovery in civil and judicial lawsuits of Personal Credits and Credit Card products; also, collection of commission for relocation, vehicle taxes, municipal property taxes, fines and penalties to clients related to the Leasing product.</w:t>
      </w:r>
    </w:p>
    <w:p>
      <w:pPr>
        <w:spacing w:after="0" w:line="166" w:lineRule="exact"/>
        <w:rPr>
          <w:sz w:val="20"/>
          <w:szCs w:val="20"/>
          <w:color w:val="auto"/>
        </w:rPr>
      </w:pPr>
    </w:p>
    <w:p>
      <w:pPr>
        <w:spacing w:after="0"/>
        <w:tabs>
          <w:tab w:leader="none" w:pos="300" w:val="left"/>
        </w:tabs>
        <w:rPr>
          <w:sz w:val="20"/>
          <w:szCs w:val="20"/>
          <w:color w:val="auto"/>
        </w:rPr>
      </w:pPr>
      <w:r>
        <w:rPr>
          <w:rFonts w:ascii="Arial" w:cs="Arial" w:eastAsia="Arial" w:hAnsi="Arial"/>
          <w:sz w:val="17"/>
          <w:szCs w:val="17"/>
          <w:b w:val="1"/>
          <w:bCs w:val="1"/>
          <w:color w:val="auto"/>
        </w:rPr>
        <w:t>28</w:t>
        <w:tab/>
        <w:t>EARNINGS PER SHARE</w:t>
      </w:r>
    </w:p>
    <w:p>
      <w:pPr>
        <w:spacing w:after="0" w:line="226" w:lineRule="exact"/>
        <w:rPr>
          <w:sz w:val="20"/>
          <w:szCs w:val="20"/>
          <w:color w:val="auto"/>
        </w:rPr>
      </w:pPr>
    </w:p>
    <w:p>
      <w:pPr>
        <w:spacing w:after="0"/>
        <w:rPr>
          <w:sz w:val="20"/>
          <w:szCs w:val="20"/>
          <w:color w:val="auto"/>
        </w:rPr>
      </w:pPr>
      <w:r>
        <w:rPr>
          <w:rFonts w:ascii="Arial" w:cs="Arial" w:eastAsia="Arial" w:hAnsi="Arial"/>
          <w:sz w:val="17"/>
          <w:szCs w:val="17"/>
          <w:color w:val="auto"/>
        </w:rPr>
        <w:t>The net earnings per ordinary share were determined based on the net income attributable to equity holders of the Group as follows: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7100" w:type="dxa"/>
            <w:vAlign w:val="bottom"/>
          </w:tcPr>
          <w:p>
            <w:pPr>
              <w:spacing w:after="0"/>
              <w:rPr>
                <w:sz w:val="19"/>
                <w:szCs w:val="19"/>
                <w:color w:val="auto"/>
              </w:rPr>
            </w:pPr>
          </w:p>
        </w:tc>
        <w:tc>
          <w:tcPr>
            <w:tcW w:w="1260" w:type="dxa"/>
            <w:vAlign w:val="bottom"/>
            <w:tcBorders>
              <w:bottom w:val="single" w:sz="8" w:color="auto"/>
            </w:tcBorders>
          </w:tcPr>
          <w:p>
            <w:pPr>
              <w:jc w:val="right"/>
              <w:ind w:right="373"/>
              <w:spacing w:after="0"/>
              <w:rPr>
                <w:sz w:val="20"/>
                <w:szCs w:val="20"/>
                <w:color w:val="auto"/>
              </w:rPr>
            </w:pPr>
            <w:r>
              <w:rPr>
                <w:rFonts w:ascii="Arial" w:cs="Arial" w:eastAsia="Arial" w:hAnsi="Arial"/>
                <w:sz w:val="17"/>
                <w:szCs w:val="17"/>
                <w:b w:val="1"/>
                <w:bCs w:val="1"/>
                <w:color w:val="auto"/>
              </w:rPr>
              <w:t>2017</w:t>
            </w:r>
          </w:p>
        </w:tc>
        <w:tc>
          <w:tcPr>
            <w:tcW w:w="240" w:type="dxa"/>
            <w:vAlign w:val="bottom"/>
          </w:tcPr>
          <w:p>
            <w:pPr>
              <w:spacing w:after="0"/>
              <w:rPr>
                <w:sz w:val="19"/>
                <w:szCs w:val="19"/>
                <w:color w:val="auto"/>
              </w:rPr>
            </w:pPr>
          </w:p>
        </w:tc>
        <w:tc>
          <w:tcPr>
            <w:tcW w:w="1260" w:type="dxa"/>
            <w:vAlign w:val="bottom"/>
            <w:tcBorders>
              <w:bottom w:val="single" w:sz="8" w:color="auto"/>
            </w:tcBorders>
          </w:tcPr>
          <w:p>
            <w:pPr>
              <w:jc w:val="right"/>
              <w:ind w:right="373"/>
              <w:spacing w:after="0"/>
              <w:rPr>
                <w:sz w:val="20"/>
                <w:szCs w:val="20"/>
                <w:color w:val="auto"/>
              </w:rPr>
            </w:pPr>
            <w:r>
              <w:rPr>
                <w:rFonts w:ascii="Arial" w:cs="Arial" w:eastAsia="Arial" w:hAnsi="Arial"/>
                <w:sz w:val="17"/>
                <w:szCs w:val="17"/>
                <w:b w:val="1"/>
                <w:bCs w:val="1"/>
                <w:color w:val="auto"/>
              </w:rPr>
              <w:t>2016</w:t>
            </w:r>
          </w:p>
        </w:tc>
        <w:tc>
          <w:tcPr>
            <w:tcW w:w="220" w:type="dxa"/>
            <w:vAlign w:val="bottom"/>
          </w:tcPr>
          <w:p>
            <w:pPr>
              <w:spacing w:after="0"/>
              <w:rPr>
                <w:sz w:val="19"/>
                <w:szCs w:val="19"/>
                <w:color w:val="auto"/>
              </w:rPr>
            </w:pPr>
          </w:p>
        </w:tc>
        <w:tc>
          <w:tcPr>
            <w:tcW w:w="1240" w:type="dxa"/>
            <w:vAlign w:val="bottom"/>
            <w:tcBorders>
              <w:bottom w:val="single" w:sz="8" w:color="auto"/>
            </w:tcBorders>
          </w:tcPr>
          <w:p>
            <w:pPr>
              <w:jc w:val="right"/>
              <w:ind w:right="353"/>
              <w:spacing w:after="0"/>
              <w:rPr>
                <w:sz w:val="20"/>
                <w:szCs w:val="20"/>
                <w:color w:val="auto"/>
              </w:rPr>
            </w:pPr>
            <w:r>
              <w:rPr>
                <w:rFonts w:ascii="Arial" w:cs="Arial" w:eastAsia="Arial" w:hAnsi="Arial"/>
                <w:sz w:val="17"/>
                <w:szCs w:val="17"/>
                <w:b w:val="1"/>
                <w:bCs w:val="1"/>
                <w:color w:val="auto"/>
              </w:rPr>
              <w:t>2015</w:t>
            </w:r>
          </w:p>
        </w:tc>
        <w:tc>
          <w:tcPr>
            <w:tcW w:w="100" w:type="dxa"/>
            <w:vAlign w:val="bottom"/>
          </w:tcPr>
          <w:p>
            <w:pPr>
              <w:spacing w:after="0"/>
              <w:rPr>
                <w:sz w:val="19"/>
                <w:szCs w:val="19"/>
                <w:color w:val="auto"/>
              </w:rPr>
            </w:pPr>
          </w:p>
        </w:tc>
      </w:tr>
      <w:tr>
        <w:trPr>
          <w:trHeight w:val="219"/>
        </w:trPr>
        <w:tc>
          <w:tcPr>
            <w:tcW w:w="7100" w:type="dxa"/>
            <w:vAlign w:val="bottom"/>
          </w:tcPr>
          <w:p>
            <w:pPr>
              <w:spacing w:after="0"/>
              <w:rPr>
                <w:sz w:val="19"/>
                <w:szCs w:val="19"/>
                <w:color w:val="auto"/>
              </w:rPr>
            </w:pPr>
          </w:p>
        </w:tc>
        <w:tc>
          <w:tcPr>
            <w:tcW w:w="1260" w:type="dxa"/>
            <w:vAlign w:val="bottom"/>
          </w:tcPr>
          <w:p>
            <w:pPr>
              <w:jc w:val="center"/>
              <w:spacing w:after="0"/>
              <w:rPr>
                <w:sz w:val="20"/>
                <w:szCs w:val="20"/>
                <w:color w:val="auto"/>
              </w:rPr>
            </w:pPr>
            <w:r>
              <w:rPr>
                <w:rFonts w:ascii="Arial" w:cs="Arial" w:eastAsia="Arial" w:hAnsi="Arial"/>
                <w:sz w:val="17"/>
                <w:szCs w:val="17"/>
                <w:b w:val="1"/>
                <w:bCs w:val="1"/>
                <w:color w:val="auto"/>
                <w:w w:val="94"/>
              </w:rPr>
              <w:t>S/000</w:t>
            </w:r>
          </w:p>
        </w:tc>
        <w:tc>
          <w:tcPr>
            <w:tcW w:w="240" w:type="dxa"/>
            <w:vAlign w:val="bottom"/>
          </w:tcPr>
          <w:p>
            <w:pPr>
              <w:spacing w:after="0"/>
              <w:rPr>
                <w:sz w:val="19"/>
                <w:szCs w:val="19"/>
                <w:color w:val="auto"/>
              </w:rPr>
            </w:pPr>
          </w:p>
        </w:tc>
        <w:tc>
          <w:tcPr>
            <w:tcW w:w="1260" w:type="dxa"/>
            <w:vAlign w:val="bottom"/>
          </w:tcPr>
          <w:p>
            <w:pPr>
              <w:jc w:val="center"/>
              <w:spacing w:after="0"/>
              <w:rPr>
                <w:sz w:val="20"/>
                <w:szCs w:val="20"/>
                <w:color w:val="auto"/>
              </w:rPr>
            </w:pPr>
            <w:r>
              <w:rPr>
                <w:rFonts w:ascii="Arial" w:cs="Arial" w:eastAsia="Arial" w:hAnsi="Arial"/>
                <w:sz w:val="17"/>
                <w:szCs w:val="17"/>
                <w:b w:val="1"/>
                <w:bCs w:val="1"/>
                <w:color w:val="auto"/>
                <w:w w:val="89"/>
              </w:rPr>
              <w:t>S/000</w:t>
            </w:r>
          </w:p>
        </w:tc>
        <w:tc>
          <w:tcPr>
            <w:tcW w:w="220" w:type="dxa"/>
            <w:vAlign w:val="bottom"/>
          </w:tcPr>
          <w:p>
            <w:pPr>
              <w:spacing w:after="0"/>
              <w:rPr>
                <w:sz w:val="19"/>
                <w:szCs w:val="19"/>
                <w:color w:val="auto"/>
              </w:rPr>
            </w:pPr>
          </w:p>
        </w:tc>
        <w:tc>
          <w:tcPr>
            <w:tcW w:w="1240" w:type="dxa"/>
            <w:vAlign w:val="bottom"/>
          </w:tcPr>
          <w:p>
            <w:pPr>
              <w:jc w:val="center"/>
              <w:spacing w:after="0"/>
              <w:rPr>
                <w:sz w:val="20"/>
                <w:szCs w:val="20"/>
                <w:color w:val="auto"/>
              </w:rPr>
            </w:pPr>
            <w:r>
              <w:rPr>
                <w:rFonts w:ascii="Arial" w:cs="Arial" w:eastAsia="Arial" w:hAnsi="Arial"/>
                <w:sz w:val="17"/>
                <w:szCs w:val="17"/>
                <w:b w:val="1"/>
                <w:bCs w:val="1"/>
                <w:color w:val="auto"/>
                <w:w w:val="89"/>
              </w:rPr>
              <w:t>S/000</w:t>
            </w:r>
          </w:p>
        </w:tc>
        <w:tc>
          <w:tcPr>
            <w:tcW w:w="100" w:type="dxa"/>
            <w:vAlign w:val="bottom"/>
          </w:tcPr>
          <w:p>
            <w:pPr>
              <w:spacing w:after="0"/>
              <w:rPr>
                <w:sz w:val="19"/>
                <w:szCs w:val="19"/>
                <w:color w:val="auto"/>
              </w:rPr>
            </w:pPr>
          </w:p>
        </w:tc>
      </w:tr>
      <w:tr>
        <w:trPr>
          <w:trHeight w:val="189"/>
        </w:trPr>
        <w:tc>
          <w:tcPr>
            <w:tcW w:w="7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21"/>
        </w:trPr>
        <w:tc>
          <w:tcPr>
            <w:tcW w:w="710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Net income attributable to equity holders of Credicorp (in thousands of soles)</w:t>
            </w:r>
          </w:p>
        </w:tc>
        <w:tc>
          <w:tcPr>
            <w:tcW w:w="150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4,091,753</w:t>
            </w: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3,514,582</w:t>
            </w:r>
          </w:p>
        </w:tc>
        <w:tc>
          <w:tcPr>
            <w:tcW w:w="2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3,092,303</w:t>
            </w:r>
          </w:p>
        </w:tc>
      </w:tr>
      <w:tr>
        <w:trPr>
          <w:trHeight w:val="201"/>
        </w:trPr>
        <w:tc>
          <w:tcPr>
            <w:tcW w:w="7100" w:type="dxa"/>
            <w:vAlign w:val="bottom"/>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08"/>
        </w:trPr>
        <w:tc>
          <w:tcPr>
            <w:tcW w:w="7100" w:type="dxa"/>
            <w:vAlign w:val="bottom"/>
            <w:shd w:val="clear" w:color="auto" w:fill="CCEEFF"/>
          </w:tcPr>
          <w:p>
            <w:pPr>
              <w:spacing w:after="0"/>
              <w:rPr>
                <w:sz w:val="20"/>
                <w:szCs w:val="20"/>
                <w:color w:val="auto"/>
              </w:rPr>
            </w:pPr>
            <w:r>
              <w:rPr>
                <w:rFonts w:ascii="Arial" w:cs="Arial" w:eastAsia="Arial" w:hAnsi="Arial"/>
                <w:sz w:val="17"/>
                <w:szCs w:val="17"/>
                <w:color w:val="auto"/>
              </w:rPr>
              <w:t>Number of stock</w:t>
            </w:r>
          </w:p>
        </w:tc>
        <w:tc>
          <w:tcPr>
            <w:tcW w:w="1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8"/>
        </w:trPr>
        <w:tc>
          <w:tcPr>
            <w:tcW w:w="7100" w:type="dxa"/>
            <w:vAlign w:val="bottom"/>
          </w:tcPr>
          <w:p>
            <w:pPr>
              <w:spacing w:after="0"/>
              <w:rPr>
                <w:sz w:val="20"/>
                <w:szCs w:val="20"/>
                <w:color w:val="auto"/>
              </w:rPr>
            </w:pPr>
            <w:r>
              <w:rPr>
                <w:rFonts w:ascii="Arial" w:cs="Arial" w:eastAsia="Arial" w:hAnsi="Arial"/>
                <w:sz w:val="17"/>
                <w:szCs w:val="17"/>
                <w:color w:val="auto"/>
              </w:rPr>
              <w:t>Ordinary stock, Note 17(a)</w:t>
            </w:r>
          </w:p>
        </w:tc>
        <w:tc>
          <w:tcPr>
            <w:tcW w:w="1500" w:type="dxa"/>
            <w:vAlign w:val="bottom"/>
            <w:gridSpan w:val="2"/>
          </w:tcPr>
          <w:p>
            <w:pPr>
              <w:jc w:val="right"/>
              <w:ind w:right="240"/>
              <w:spacing w:after="0"/>
              <w:rPr>
                <w:sz w:val="20"/>
                <w:szCs w:val="20"/>
                <w:color w:val="auto"/>
              </w:rPr>
            </w:pPr>
            <w:r>
              <w:rPr>
                <w:rFonts w:ascii="Arial" w:cs="Arial" w:eastAsia="Arial" w:hAnsi="Arial"/>
                <w:sz w:val="17"/>
                <w:szCs w:val="17"/>
                <w:color w:val="auto"/>
              </w:rPr>
              <w:t>94,382,317</w:t>
            </w:r>
          </w:p>
        </w:tc>
        <w:tc>
          <w:tcPr>
            <w:tcW w:w="1480" w:type="dxa"/>
            <w:vAlign w:val="bottom"/>
            <w:gridSpan w:val="2"/>
          </w:tcPr>
          <w:p>
            <w:pPr>
              <w:jc w:val="right"/>
              <w:ind w:right="220"/>
              <w:spacing w:after="0"/>
              <w:rPr>
                <w:sz w:val="20"/>
                <w:szCs w:val="20"/>
                <w:color w:val="auto"/>
              </w:rPr>
            </w:pPr>
            <w:r>
              <w:rPr>
                <w:rFonts w:ascii="Arial" w:cs="Arial" w:eastAsia="Arial" w:hAnsi="Arial"/>
                <w:sz w:val="17"/>
                <w:szCs w:val="17"/>
                <w:color w:val="auto"/>
              </w:rPr>
              <w:t>94,382,317</w:t>
            </w:r>
          </w:p>
        </w:tc>
        <w:tc>
          <w:tcPr>
            <w:tcW w:w="1340" w:type="dxa"/>
            <w:vAlign w:val="bottom"/>
            <w:gridSpan w:val="2"/>
          </w:tcPr>
          <w:p>
            <w:pPr>
              <w:jc w:val="right"/>
              <w:ind w:right="100"/>
              <w:spacing w:after="0"/>
              <w:rPr>
                <w:sz w:val="20"/>
                <w:szCs w:val="20"/>
                <w:color w:val="auto"/>
              </w:rPr>
            </w:pPr>
            <w:r>
              <w:rPr>
                <w:rFonts w:ascii="Arial" w:cs="Arial" w:eastAsia="Arial" w:hAnsi="Arial"/>
                <w:sz w:val="17"/>
                <w:szCs w:val="17"/>
                <w:color w:val="auto"/>
              </w:rPr>
              <w:t>94,382,317</w:t>
            </w:r>
          </w:p>
        </w:tc>
      </w:tr>
      <w:tr>
        <w:trPr>
          <w:trHeight w:val="208"/>
        </w:trPr>
        <w:tc>
          <w:tcPr>
            <w:tcW w:w="7100" w:type="dxa"/>
            <w:vAlign w:val="bottom"/>
            <w:shd w:val="clear" w:color="auto" w:fill="CCEEFF"/>
          </w:tcPr>
          <w:p>
            <w:pPr>
              <w:spacing w:after="0"/>
              <w:rPr>
                <w:sz w:val="20"/>
                <w:szCs w:val="20"/>
                <w:color w:val="auto"/>
              </w:rPr>
            </w:pPr>
            <w:r>
              <w:rPr>
                <w:rFonts w:ascii="Arial" w:cs="Arial" w:eastAsia="Arial" w:hAnsi="Arial"/>
                <w:sz w:val="17"/>
                <w:szCs w:val="17"/>
                <w:color w:val="auto"/>
              </w:rPr>
              <w:t>Less – beginning balance of treasury stock</w:t>
            </w:r>
          </w:p>
        </w:tc>
        <w:tc>
          <w:tcPr>
            <w:tcW w:w="15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(14,915,537)</w:t>
            </w:r>
          </w:p>
        </w:tc>
        <w:tc>
          <w:tcPr>
            <w:tcW w:w="14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(14,903,833)</w:t>
            </w:r>
          </w:p>
        </w:tc>
        <w:tc>
          <w:tcPr>
            <w:tcW w:w="13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(14,894,664)</w:t>
            </w:r>
          </w:p>
        </w:tc>
      </w:tr>
      <w:tr>
        <w:trPr>
          <w:trHeight w:val="221"/>
        </w:trPr>
        <w:tc>
          <w:tcPr>
            <w:tcW w:w="7100" w:type="dxa"/>
            <w:vAlign w:val="bottom"/>
          </w:tcPr>
          <w:p>
            <w:pPr>
              <w:spacing w:after="0"/>
              <w:rPr>
                <w:sz w:val="20"/>
                <w:szCs w:val="20"/>
                <w:color w:val="auto"/>
              </w:rPr>
            </w:pPr>
            <w:r>
              <w:rPr>
                <w:rFonts w:ascii="Arial" w:cs="Arial" w:eastAsia="Arial" w:hAnsi="Arial"/>
                <w:sz w:val="17"/>
                <w:szCs w:val="17"/>
                <w:color w:val="auto"/>
              </w:rPr>
              <w:t>Acquisition of treasury stock, net</w:t>
            </w:r>
          </w:p>
        </w:tc>
        <w:tc>
          <w:tcPr>
            <w:tcW w:w="1500" w:type="dxa"/>
            <w:vAlign w:val="bottom"/>
            <w:gridSpan w:val="2"/>
          </w:tcPr>
          <w:p>
            <w:pPr>
              <w:jc w:val="right"/>
              <w:ind w:right="240"/>
              <w:spacing w:after="0"/>
              <w:rPr>
                <w:sz w:val="20"/>
                <w:szCs w:val="20"/>
                <w:color w:val="auto"/>
              </w:rPr>
            </w:pPr>
            <w:r>
              <w:rPr>
                <w:rFonts w:ascii="Arial" w:cs="Arial" w:eastAsia="Arial" w:hAnsi="Arial"/>
                <w:sz w:val="17"/>
                <w:szCs w:val="17"/>
                <w:color w:val="auto"/>
              </w:rPr>
              <w:t>3,088</w:t>
            </w:r>
          </w:p>
        </w:tc>
        <w:tc>
          <w:tcPr>
            <w:tcW w:w="1480" w:type="dxa"/>
            <w:vAlign w:val="bottom"/>
            <w:gridSpan w:val="2"/>
          </w:tcPr>
          <w:p>
            <w:pPr>
              <w:jc w:val="right"/>
              <w:ind w:right="180"/>
              <w:spacing w:after="0"/>
              <w:rPr>
                <w:sz w:val="20"/>
                <w:szCs w:val="20"/>
                <w:color w:val="auto"/>
              </w:rPr>
            </w:pPr>
            <w:r>
              <w:rPr>
                <w:rFonts w:ascii="Arial" w:cs="Arial" w:eastAsia="Arial" w:hAnsi="Arial"/>
                <w:sz w:val="17"/>
                <w:szCs w:val="17"/>
                <w:color w:val="auto"/>
              </w:rPr>
              <w:t>(8,778)</w:t>
            </w:r>
          </w:p>
        </w:tc>
        <w:tc>
          <w:tcPr>
            <w:tcW w:w="1340" w:type="dxa"/>
            <w:vAlign w:val="bottom"/>
            <w:gridSpan w:val="2"/>
          </w:tcPr>
          <w:p>
            <w:pPr>
              <w:jc w:val="right"/>
              <w:ind w:right="40"/>
              <w:spacing w:after="0"/>
              <w:rPr>
                <w:sz w:val="20"/>
                <w:szCs w:val="20"/>
                <w:color w:val="auto"/>
              </w:rPr>
            </w:pPr>
            <w:r>
              <w:rPr>
                <w:rFonts w:ascii="Arial" w:cs="Arial" w:eastAsia="Arial" w:hAnsi="Arial"/>
                <w:sz w:val="17"/>
                <w:szCs w:val="17"/>
                <w:color w:val="auto"/>
              </w:rPr>
              <w:t>(6,877)</w:t>
            </w:r>
          </w:p>
        </w:tc>
      </w:tr>
      <w:tr>
        <w:trPr>
          <w:trHeight w:val="201"/>
        </w:trPr>
        <w:tc>
          <w:tcPr>
            <w:tcW w:w="7100" w:type="dxa"/>
            <w:vAlign w:val="bottom"/>
            <w:tcBorders>
              <w:top w:val="single" w:sz="8" w:color="CCEEFF"/>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08"/>
        </w:trPr>
        <w:tc>
          <w:tcPr>
            <w:tcW w:w="7100" w:type="dxa"/>
            <w:vAlign w:val="bottom"/>
          </w:tcPr>
          <w:p>
            <w:pPr>
              <w:spacing w:after="0"/>
              <w:rPr>
                <w:sz w:val="20"/>
                <w:szCs w:val="20"/>
                <w:color w:val="auto"/>
              </w:rPr>
            </w:pPr>
            <w:r>
              <w:rPr>
                <w:rFonts w:ascii="Arial" w:cs="Arial" w:eastAsia="Arial" w:hAnsi="Arial"/>
                <w:sz w:val="17"/>
                <w:szCs w:val="17"/>
                <w:b w:val="1"/>
                <w:bCs w:val="1"/>
                <w:color w:val="auto"/>
              </w:rPr>
              <w:t>Weighted average number of ordinary shares for basic earnings</w:t>
            </w:r>
          </w:p>
        </w:tc>
        <w:tc>
          <w:tcPr>
            <w:tcW w:w="1500" w:type="dxa"/>
            <w:vAlign w:val="bottom"/>
            <w:gridSpan w:val="2"/>
          </w:tcPr>
          <w:p>
            <w:pPr>
              <w:jc w:val="right"/>
              <w:ind w:right="240"/>
              <w:spacing w:after="0"/>
              <w:rPr>
                <w:sz w:val="20"/>
                <w:szCs w:val="20"/>
                <w:color w:val="auto"/>
              </w:rPr>
            </w:pPr>
            <w:r>
              <w:rPr>
                <w:rFonts w:ascii="Arial" w:cs="Arial" w:eastAsia="Arial" w:hAnsi="Arial"/>
                <w:sz w:val="17"/>
                <w:szCs w:val="17"/>
                <w:color w:val="auto"/>
              </w:rPr>
              <w:t>79,469,868</w:t>
            </w:r>
          </w:p>
        </w:tc>
        <w:tc>
          <w:tcPr>
            <w:tcW w:w="1480" w:type="dxa"/>
            <w:vAlign w:val="bottom"/>
            <w:gridSpan w:val="2"/>
          </w:tcPr>
          <w:p>
            <w:pPr>
              <w:jc w:val="right"/>
              <w:ind w:right="220"/>
              <w:spacing w:after="0"/>
              <w:rPr>
                <w:sz w:val="20"/>
                <w:szCs w:val="20"/>
                <w:color w:val="auto"/>
              </w:rPr>
            </w:pPr>
            <w:r>
              <w:rPr>
                <w:rFonts w:ascii="Arial" w:cs="Arial" w:eastAsia="Arial" w:hAnsi="Arial"/>
                <w:sz w:val="17"/>
                <w:szCs w:val="17"/>
                <w:color w:val="auto"/>
              </w:rPr>
              <w:t>79,469,706</w:t>
            </w:r>
          </w:p>
        </w:tc>
        <w:tc>
          <w:tcPr>
            <w:tcW w:w="1340" w:type="dxa"/>
            <w:vAlign w:val="bottom"/>
            <w:gridSpan w:val="2"/>
          </w:tcPr>
          <w:p>
            <w:pPr>
              <w:jc w:val="right"/>
              <w:ind w:right="100"/>
              <w:spacing w:after="0"/>
              <w:rPr>
                <w:sz w:val="20"/>
                <w:szCs w:val="20"/>
                <w:color w:val="auto"/>
              </w:rPr>
            </w:pPr>
            <w:r>
              <w:rPr>
                <w:rFonts w:ascii="Arial" w:cs="Arial" w:eastAsia="Arial" w:hAnsi="Arial"/>
                <w:sz w:val="17"/>
                <w:szCs w:val="17"/>
                <w:color w:val="auto"/>
              </w:rPr>
              <w:t>79,480,776</w:t>
            </w:r>
          </w:p>
        </w:tc>
      </w:tr>
      <w:tr>
        <w:trPr>
          <w:trHeight w:val="221"/>
        </w:trPr>
        <w:tc>
          <w:tcPr>
            <w:tcW w:w="7100" w:type="dxa"/>
            <w:vAlign w:val="bottom"/>
            <w:shd w:val="clear" w:color="auto" w:fill="CCEEFF"/>
          </w:tcPr>
          <w:p>
            <w:pPr>
              <w:spacing w:after="0"/>
              <w:rPr>
                <w:sz w:val="20"/>
                <w:szCs w:val="20"/>
                <w:color w:val="auto"/>
              </w:rPr>
            </w:pPr>
            <w:r>
              <w:rPr>
                <w:rFonts w:ascii="Arial" w:cs="Arial" w:eastAsia="Arial" w:hAnsi="Arial"/>
                <w:sz w:val="17"/>
                <w:szCs w:val="17"/>
                <w:color w:val="auto"/>
              </w:rPr>
              <w:t>Plus - dilution effect - stock awards</w:t>
            </w:r>
          </w:p>
        </w:tc>
        <w:tc>
          <w:tcPr>
            <w:tcW w:w="150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220,296</w:t>
            </w: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143,903</w:t>
            </w:r>
          </w:p>
        </w:tc>
        <w:tc>
          <w:tcPr>
            <w:tcW w:w="2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128,373</w:t>
            </w:r>
          </w:p>
        </w:tc>
      </w:tr>
      <w:tr>
        <w:trPr>
          <w:trHeight w:val="201"/>
        </w:trPr>
        <w:tc>
          <w:tcPr>
            <w:tcW w:w="7100" w:type="dxa"/>
            <w:vAlign w:val="bottom"/>
          </w:tcPr>
          <w:p>
            <w:pPr>
              <w:spacing w:after="0"/>
              <w:rPr>
                <w:sz w:val="20"/>
                <w:szCs w:val="20"/>
                <w:color w:val="auto"/>
              </w:rPr>
            </w:pPr>
            <w:r>
              <w:rPr>
                <w:rFonts w:ascii="Arial" w:cs="Arial" w:eastAsia="Arial" w:hAnsi="Arial"/>
                <w:sz w:val="17"/>
                <w:szCs w:val="17"/>
                <w:color w:val="auto"/>
              </w:rPr>
              <w:t>Weighted average number of ordinary shares adjusted for the effect of dilution</w:t>
            </w: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79,690,164</w:t>
            </w:r>
          </w:p>
        </w:tc>
        <w:tc>
          <w:tcPr>
            <w:tcW w:w="240" w:type="dxa"/>
            <w:vAlign w:val="bottom"/>
          </w:tcPr>
          <w:p>
            <w:pPr>
              <w:spacing w:after="0"/>
              <w:rPr>
                <w:sz w:val="17"/>
                <w:szCs w:val="17"/>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79,613,609</w:t>
            </w:r>
          </w:p>
        </w:tc>
        <w:tc>
          <w:tcPr>
            <w:tcW w:w="220" w:type="dxa"/>
            <w:vAlign w:val="bottom"/>
          </w:tcPr>
          <w:p>
            <w:pPr>
              <w:spacing w:after="0"/>
              <w:rPr>
                <w:sz w:val="17"/>
                <w:szCs w:val="17"/>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79,609,149</w:t>
            </w:r>
          </w:p>
        </w:tc>
        <w:tc>
          <w:tcPr>
            <w:tcW w:w="100" w:type="dxa"/>
            <w:vAlign w:val="bottom"/>
          </w:tcPr>
          <w:p>
            <w:pPr>
              <w:spacing w:after="0"/>
              <w:rPr>
                <w:sz w:val="17"/>
                <w:szCs w:val="17"/>
                <w:color w:val="auto"/>
              </w:rPr>
            </w:pPr>
          </w:p>
        </w:tc>
      </w:tr>
      <w:tr>
        <w:trPr>
          <w:trHeight w:val="208"/>
        </w:trPr>
        <w:tc>
          <w:tcPr>
            <w:tcW w:w="7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8"/>
        </w:trPr>
        <w:tc>
          <w:tcPr>
            <w:tcW w:w="7100" w:type="dxa"/>
            <w:vAlign w:val="bottom"/>
          </w:tcPr>
          <w:p>
            <w:pPr>
              <w:spacing w:after="0"/>
              <w:rPr>
                <w:sz w:val="20"/>
                <w:szCs w:val="20"/>
                <w:color w:val="auto"/>
              </w:rPr>
            </w:pPr>
            <w:r>
              <w:rPr>
                <w:rFonts w:ascii="Arial" w:cs="Arial" w:eastAsia="Arial" w:hAnsi="Arial"/>
                <w:sz w:val="17"/>
                <w:szCs w:val="17"/>
                <w:color w:val="auto"/>
              </w:rPr>
              <w:t>Basic earnings per share (in soles)</w:t>
            </w:r>
          </w:p>
        </w:tc>
        <w:tc>
          <w:tcPr>
            <w:tcW w:w="1500" w:type="dxa"/>
            <w:vAlign w:val="bottom"/>
            <w:gridSpan w:val="2"/>
          </w:tcPr>
          <w:p>
            <w:pPr>
              <w:jc w:val="right"/>
              <w:ind w:right="240"/>
              <w:spacing w:after="0"/>
              <w:rPr>
                <w:sz w:val="20"/>
                <w:szCs w:val="20"/>
                <w:color w:val="auto"/>
              </w:rPr>
            </w:pPr>
            <w:r>
              <w:rPr>
                <w:rFonts w:ascii="Arial" w:cs="Arial" w:eastAsia="Arial" w:hAnsi="Arial"/>
                <w:sz w:val="17"/>
                <w:szCs w:val="17"/>
                <w:color w:val="auto"/>
              </w:rPr>
              <w:t>51.49</w:t>
            </w:r>
          </w:p>
        </w:tc>
        <w:tc>
          <w:tcPr>
            <w:tcW w:w="1260" w:type="dxa"/>
            <w:vAlign w:val="bottom"/>
          </w:tcPr>
          <w:p>
            <w:pPr>
              <w:jc w:val="right"/>
              <w:spacing w:after="0"/>
              <w:rPr>
                <w:sz w:val="20"/>
                <w:szCs w:val="20"/>
                <w:color w:val="auto"/>
              </w:rPr>
            </w:pPr>
            <w:r>
              <w:rPr>
                <w:rFonts w:ascii="Arial" w:cs="Arial" w:eastAsia="Arial" w:hAnsi="Arial"/>
                <w:sz w:val="17"/>
                <w:szCs w:val="17"/>
                <w:color w:val="auto"/>
              </w:rPr>
              <w:t>44.23</w:t>
            </w:r>
          </w:p>
        </w:tc>
        <w:tc>
          <w:tcPr>
            <w:tcW w:w="22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7"/>
                <w:szCs w:val="17"/>
                <w:color w:val="auto"/>
              </w:rPr>
              <w:t>38.91</w:t>
            </w:r>
          </w:p>
        </w:tc>
      </w:tr>
      <w:tr>
        <w:trPr>
          <w:trHeight w:val="208"/>
        </w:trPr>
        <w:tc>
          <w:tcPr>
            <w:tcW w:w="7100" w:type="dxa"/>
            <w:vAlign w:val="bottom"/>
            <w:shd w:val="clear" w:color="auto" w:fill="CCEEFF"/>
          </w:tcPr>
          <w:p>
            <w:pPr>
              <w:spacing w:after="0"/>
              <w:rPr>
                <w:sz w:val="20"/>
                <w:szCs w:val="20"/>
                <w:color w:val="auto"/>
              </w:rPr>
            </w:pPr>
            <w:r>
              <w:rPr>
                <w:rFonts w:ascii="Arial" w:cs="Arial" w:eastAsia="Arial" w:hAnsi="Arial"/>
                <w:sz w:val="17"/>
                <w:szCs w:val="17"/>
                <w:color w:val="auto"/>
              </w:rPr>
              <w:t>Diluted earnings per share (in soles)</w:t>
            </w:r>
          </w:p>
        </w:tc>
        <w:tc>
          <w:tcPr>
            <w:tcW w:w="150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51.35</w:t>
            </w: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44.15</w:t>
            </w: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38.84</w:t>
            </w:r>
          </w:p>
        </w:tc>
      </w:tr>
    </w:tbl>
    <w:p>
      <w:pPr>
        <w:spacing w:after="0" w:line="189" w:lineRule="exact"/>
        <w:rPr>
          <w:sz w:val="20"/>
          <w:szCs w:val="20"/>
          <w:color w:val="auto"/>
        </w:rPr>
      </w:pPr>
    </w:p>
    <w:p>
      <w:pPr>
        <w:spacing w:after="0"/>
        <w:tabs>
          <w:tab w:leader="none" w:pos="300" w:val="left"/>
        </w:tabs>
        <w:rPr>
          <w:sz w:val="20"/>
          <w:szCs w:val="20"/>
          <w:color w:val="auto"/>
        </w:rPr>
      </w:pPr>
      <w:r>
        <w:rPr>
          <w:rFonts w:ascii="Arial" w:cs="Arial" w:eastAsia="Arial" w:hAnsi="Arial"/>
          <w:sz w:val="17"/>
          <w:szCs w:val="17"/>
          <w:b w:val="1"/>
          <w:bCs w:val="1"/>
          <w:color w:val="auto"/>
        </w:rPr>
        <w:t>29</w:t>
        <w:tab/>
        <w:t>OPERATING SEGMENTS</w:t>
      </w:r>
    </w:p>
    <w:p>
      <w:pPr>
        <w:spacing w:after="0" w:line="226" w:lineRule="exact"/>
        <w:rPr>
          <w:sz w:val="20"/>
          <w:szCs w:val="20"/>
          <w:color w:val="auto"/>
        </w:rPr>
      </w:pPr>
    </w:p>
    <w:p>
      <w:pPr>
        <w:spacing w:after="0"/>
        <w:rPr>
          <w:sz w:val="20"/>
          <w:szCs w:val="20"/>
          <w:color w:val="auto"/>
        </w:rPr>
      </w:pPr>
      <w:r>
        <w:rPr>
          <w:rFonts w:ascii="Arial" w:cs="Arial" w:eastAsia="Arial" w:hAnsi="Arial"/>
          <w:sz w:val="17"/>
          <w:szCs w:val="17"/>
          <w:color w:val="auto"/>
        </w:rPr>
        <w:t>For management purposes, the Group is organized into four reportable segments based on products and services as follows:</w:t>
      </w:r>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color w:val="auto"/>
        </w:rPr>
        <w:t>Banking -</w:t>
      </w:r>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color w:val="auto"/>
        </w:rPr>
        <w:t>Principally handling loans, credit facilities, deposits and current accounts.</w:t>
      </w:r>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color w:val="auto"/>
        </w:rPr>
        <w:t>Insurance -</w:t>
      </w:r>
    </w:p>
    <w:p>
      <w:pPr>
        <w:spacing w:after="0" w:line="220" w:lineRule="exact"/>
        <w:rPr>
          <w:sz w:val="20"/>
          <w:szCs w:val="20"/>
          <w:color w:val="auto"/>
        </w:rPr>
      </w:pPr>
    </w:p>
    <w:p>
      <w:pPr>
        <w:ind w:right="280"/>
        <w:spacing w:after="0" w:line="285" w:lineRule="auto"/>
        <w:rPr>
          <w:sz w:val="20"/>
          <w:szCs w:val="20"/>
          <w:color w:val="auto"/>
        </w:rPr>
      </w:pPr>
      <w:r>
        <w:rPr>
          <w:rFonts w:ascii="Arial" w:cs="Arial" w:eastAsia="Arial" w:hAnsi="Arial"/>
          <w:sz w:val="17"/>
          <w:szCs w:val="17"/>
          <w:color w:val="auto"/>
        </w:rPr>
        <w:t>Principally comprising the issue of insurance policies to cover losses in commercial property, transportation, marine vessels, automobile, life, health and pension funds.</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color w:val="auto"/>
        </w:rPr>
        <w:t>Pension funds -</w:t>
      </w:r>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color w:val="auto"/>
        </w:rPr>
        <w:t>Providing services of private pension fund management to affiliated pensioners.</w:t>
      </w:r>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color w:val="auto"/>
        </w:rPr>
        <w:t>Investment banking -</w:t>
      </w:r>
    </w:p>
    <w:p>
      <w:pPr>
        <w:spacing w:after="0" w:line="220" w:lineRule="exact"/>
        <w:rPr>
          <w:sz w:val="20"/>
          <w:szCs w:val="20"/>
          <w:color w:val="auto"/>
        </w:rPr>
      </w:pPr>
    </w:p>
    <w:p>
      <w:pPr>
        <w:ind w:right="140"/>
        <w:spacing w:after="0" w:line="270" w:lineRule="auto"/>
        <w:rPr>
          <w:sz w:val="20"/>
          <w:szCs w:val="20"/>
          <w:color w:val="auto"/>
        </w:rPr>
      </w:pPr>
      <w:r>
        <w:rPr>
          <w:rFonts w:ascii="Arial" w:cs="Arial" w:eastAsia="Arial" w:hAnsi="Arial"/>
          <w:sz w:val="17"/>
          <w:szCs w:val="17"/>
          <w:color w:val="auto"/>
        </w:rPr>
        <w:t>Provide investment brokerage and management to a broad and diverse clientele, including corporations, institutional investors, governments and foundations. Also the structuring, and placement of issues in the primary market, as well as the execution and negotiation of operations in the secondary market. Additionally, it structures securitization processes for companies and manages mutual funds.</w:t>
      </w: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- 103 -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15875</wp:posOffset>
            </wp:positionV>
            <wp:extent cx="725170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51700" cy="8255"/>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109" w:name="page110"/>
    <w:bookmarkEnd w:id="109"/>
    <w:p>
      <w:pPr>
        <w:spacing w:after="0" w:line="270" w:lineRule="auto"/>
        <w:rPr>
          <w:sz w:val="20"/>
          <w:szCs w:val="20"/>
          <w:color w:val="auto"/>
        </w:rPr>
      </w:pPr>
      <w:r>
        <w:rPr>
          <w:rFonts w:ascii="Arial" w:cs="Arial" w:eastAsia="Arial" w:hAnsi="Arial"/>
          <w:sz w:val="17"/>
          <w:szCs w:val="17"/>
          <w:color w:val="auto"/>
        </w:rPr>
        <w:t>The Group monitors the operating results of its business units separately for the purpose of making decisions about resource allocation and performance assessment. Segment performance is evaluated based on operating profit or loss and is measured consistently with operating profit or loss in the consolidated financial statements.</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color w:val="auto"/>
        </w:rPr>
        <w:t>Transfer prices used between operating segments are on an arm’s length basis in a manner similar to transactions with third parties.</w:t>
      </w:r>
    </w:p>
    <w:p>
      <w:pPr>
        <w:spacing w:after="0" w:line="220" w:lineRule="exact"/>
        <w:rPr>
          <w:sz w:val="20"/>
          <w:szCs w:val="20"/>
          <w:color w:val="auto"/>
        </w:rPr>
      </w:pPr>
    </w:p>
    <w:p>
      <w:pPr>
        <w:ind w:right="120"/>
        <w:spacing w:after="0" w:line="285" w:lineRule="auto"/>
        <w:rPr>
          <w:sz w:val="20"/>
          <w:szCs w:val="20"/>
          <w:color w:val="auto"/>
        </w:rPr>
      </w:pPr>
      <w:r>
        <w:rPr>
          <w:rFonts w:ascii="Arial" w:cs="Arial" w:eastAsia="Arial" w:hAnsi="Arial"/>
          <w:sz w:val="17"/>
          <w:szCs w:val="17"/>
          <w:color w:val="auto"/>
        </w:rPr>
        <w:t>No revenue from transactions with a single external customer or counterparty amounted to 10 percent or more of the Group’s total revenue in the years 2017, 2016 and 2015.</w:t>
      </w:r>
    </w:p>
    <w:p>
      <w:pPr>
        <w:spacing w:after="0" w:line="367"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- 104 -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15875</wp:posOffset>
            </wp:positionV>
            <wp:extent cx="725170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51700" cy="8255"/>
                    </a:xfrm>
                    <a:prstGeom prst="rect">
                      <a:avLst/>
                    </a:prstGeom>
                    <a:noFill/>
                  </pic:spPr>
                </pic:pic>
              </a:graphicData>
            </a:graphic>
          </wp:anchor>
        </w:drawing>
      </w:r>
    </w:p>
    <w:p>
      <w:pPr>
        <w:sectPr>
          <w:pgSz w:w="11900" w:h="16838" w:orient="portrait"/>
          <w:cols w:equalWidth="0" w:num="1">
            <w:col w:w="11400"/>
          </w:cols>
          <w:pgMar w:left="240" w:top="881" w:right="259" w:bottom="1440" w:gutter="0" w:footer="0" w:header="0"/>
        </w:sectPr>
      </w:pPr>
    </w:p>
    <w:bookmarkStart w:id="110" w:name="page111"/>
    <w:bookmarkEnd w:id="110"/>
    <w:p>
      <w:pPr>
        <w:ind w:left="320" w:right="520" w:hanging="316"/>
        <w:spacing w:after="0" w:line="285" w:lineRule="auto"/>
        <w:tabs>
          <w:tab w:leader="none" w:pos="320" w:val="left"/>
        </w:tabs>
        <w:numPr>
          <w:ilvl w:val="0"/>
          <w:numId w:val="123"/>
        </w:numPr>
        <w:rPr>
          <w:rFonts w:ascii="Arial" w:cs="Arial" w:eastAsia="Arial" w:hAnsi="Arial"/>
          <w:sz w:val="17"/>
          <w:szCs w:val="17"/>
          <w:color w:val="auto"/>
        </w:rPr>
      </w:pPr>
      <w:r>
        <w:rPr>
          <w:rFonts w:ascii="Arial" w:cs="Arial" w:eastAsia="Arial" w:hAnsi="Arial"/>
          <w:sz w:val="17"/>
          <w:szCs w:val="17"/>
          <w:color w:val="auto"/>
        </w:rPr>
        <w:t>The table below shows (in millions of soles) a breakdown of the Group’s total income, operating income and non-current assets; classified by location of customers and assets, respectively for the years ended December 31, 2017, 2016 and 2015:</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1"/>
              </w:rPr>
              <w:t>Allowance for</w:t>
            </w:r>
          </w:p>
        </w:tc>
        <w:tc>
          <w:tcPr>
            <w:tcW w:w="1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2"/>
              </w:rPr>
              <w:t>Impairment of</w:t>
            </w: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4"/>
              </w:rPr>
              <w:t>Capital</w:t>
            </w: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9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Operating</w:t>
            </w:r>
          </w:p>
        </w:tc>
        <w:tc>
          <w:tcPr>
            <w:tcW w:w="1000" w:type="dxa"/>
            <w:vAlign w:val="bottom"/>
            <w:gridSpan w:val="2"/>
          </w:tcPr>
          <w:p>
            <w:pPr>
              <w:jc w:val="center"/>
              <w:ind w:right="180"/>
              <w:spacing w:after="0" w:line="143" w:lineRule="exact"/>
              <w:rPr>
                <w:sz w:val="20"/>
                <w:szCs w:val="20"/>
                <w:color w:val="auto"/>
              </w:rPr>
            </w:pPr>
            <w:r>
              <w:rPr>
                <w:rFonts w:ascii="Arial" w:cs="Arial" w:eastAsia="Arial" w:hAnsi="Arial"/>
                <w:sz w:val="14"/>
                <w:szCs w:val="14"/>
                <w:b w:val="1"/>
                <w:bCs w:val="1"/>
                <w:color w:val="auto"/>
                <w:w w:val="82"/>
              </w:rPr>
              <w:t>loan losses,</w:t>
            </w:r>
          </w:p>
        </w:tc>
        <w:tc>
          <w:tcPr>
            <w:tcW w:w="118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rPr>
              <w:t>Depreciation</w:t>
            </w:r>
          </w:p>
        </w:tc>
        <w:tc>
          <w:tcPr>
            <w:tcW w:w="1180" w:type="dxa"/>
            <w:vAlign w:val="bottom"/>
            <w:gridSpan w:val="2"/>
            <w:vMerge w:val="continue"/>
          </w:tcPr>
          <w:p>
            <w:pPr>
              <w:spacing w:after="0"/>
              <w:rPr>
                <w:sz w:val="12"/>
                <w:szCs w:val="12"/>
                <w:color w:val="auto"/>
              </w:rPr>
            </w:pPr>
          </w:p>
        </w:tc>
        <w:tc>
          <w:tcPr>
            <w:tcW w:w="102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7"/>
              </w:rPr>
              <w:t>Income before</w:t>
            </w: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tcPr>
          <w:p>
            <w:pPr>
              <w:jc w:val="center"/>
              <w:ind w:right="160"/>
              <w:spacing w:after="0" w:line="143" w:lineRule="exact"/>
              <w:rPr>
                <w:sz w:val="20"/>
                <w:szCs w:val="20"/>
                <w:color w:val="auto"/>
              </w:rPr>
            </w:pPr>
            <w:r>
              <w:rPr>
                <w:rFonts w:ascii="Arial" w:cs="Arial" w:eastAsia="Arial" w:hAnsi="Arial"/>
                <w:sz w:val="14"/>
                <w:szCs w:val="14"/>
                <w:b w:val="1"/>
                <w:bCs w:val="1"/>
                <w:color w:val="auto"/>
                <w:w w:val="87"/>
              </w:rPr>
              <w:t>expenditures</w:t>
            </w: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3"/>
        </w:trPr>
        <w:tc>
          <w:tcPr>
            <w:tcW w:w="980" w:type="dxa"/>
            <w:vAlign w:val="bottom"/>
            <w:vMerge w:val="restart"/>
          </w:tcPr>
          <w:p>
            <w:pPr>
              <w:spacing w:after="0"/>
              <w:rPr>
                <w:sz w:val="20"/>
                <w:szCs w:val="20"/>
                <w:color w:val="auto"/>
              </w:rPr>
            </w:pPr>
            <w:r>
              <w:rPr>
                <w:rFonts w:ascii="Arial" w:cs="Arial" w:eastAsia="Arial" w:hAnsi="Arial"/>
                <w:sz w:val="14"/>
                <w:szCs w:val="14"/>
                <w:b w:val="1"/>
                <w:bCs w:val="1"/>
                <w:color w:val="auto"/>
              </w:rPr>
              <w:t>2017</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20" w:type="dxa"/>
            <w:vAlign w:val="bottom"/>
            <w:gridSpan w:val="3"/>
            <w:vMerge w:val="restart"/>
          </w:tcPr>
          <w:p>
            <w:pPr>
              <w:spacing w:after="0"/>
              <w:rPr>
                <w:sz w:val="20"/>
                <w:szCs w:val="20"/>
                <w:color w:val="auto"/>
              </w:rPr>
            </w:pPr>
            <w:r>
              <w:rPr>
                <w:rFonts w:ascii="Arial" w:cs="Arial" w:eastAsia="Arial" w:hAnsi="Arial"/>
                <w:sz w:val="14"/>
                <w:szCs w:val="14"/>
                <w:b w:val="1"/>
                <w:bCs w:val="1"/>
                <w:color w:val="auto"/>
                <w:w w:val="95"/>
              </w:rPr>
              <w:t>Total income (*)</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20" w:type="dxa"/>
            <w:vAlign w:val="bottom"/>
            <w:gridSpan w:val="3"/>
            <w:vMerge w:val="continue"/>
          </w:tcPr>
          <w:p>
            <w:pPr>
              <w:spacing w:after="0"/>
              <w:rPr>
                <w:sz w:val="12"/>
                <w:szCs w:val="12"/>
                <w:color w:val="auto"/>
              </w:rPr>
            </w:pPr>
          </w:p>
        </w:tc>
        <w:tc>
          <w:tcPr>
            <w:tcW w:w="1000" w:type="dxa"/>
            <w:vAlign w:val="bottom"/>
            <w:gridSpan w:val="2"/>
          </w:tcPr>
          <w:p>
            <w:pPr>
              <w:jc w:val="center"/>
              <w:ind w:right="180"/>
              <w:spacing w:after="0" w:line="143" w:lineRule="exact"/>
              <w:rPr>
                <w:sz w:val="20"/>
                <w:szCs w:val="20"/>
                <w:color w:val="auto"/>
              </w:rPr>
            </w:pPr>
            <w:r>
              <w:rPr>
                <w:rFonts w:ascii="Arial" w:cs="Arial" w:eastAsia="Arial" w:hAnsi="Arial"/>
                <w:sz w:val="14"/>
                <w:szCs w:val="14"/>
                <w:b w:val="1"/>
                <w:bCs w:val="1"/>
                <w:color w:val="auto"/>
                <w:w w:val="89"/>
              </w:rPr>
              <w:t>net of</w:t>
            </w:r>
          </w:p>
        </w:tc>
        <w:tc>
          <w:tcPr>
            <w:tcW w:w="1180" w:type="dxa"/>
            <w:vAlign w:val="bottom"/>
            <w:gridSpan w:val="2"/>
            <w:vMerge w:val="continue"/>
          </w:tcPr>
          <w:p>
            <w:pPr>
              <w:spacing w:after="0"/>
              <w:rPr>
                <w:sz w:val="12"/>
                <w:szCs w:val="12"/>
                <w:color w:val="auto"/>
              </w:rPr>
            </w:pPr>
          </w:p>
        </w:tc>
        <w:tc>
          <w:tcPr>
            <w:tcW w:w="1180" w:type="dxa"/>
            <w:vAlign w:val="bottom"/>
            <w:gridSpan w:val="2"/>
          </w:tcPr>
          <w:p>
            <w:pPr>
              <w:jc w:val="center"/>
              <w:ind w:right="180"/>
              <w:spacing w:after="0" w:line="143" w:lineRule="exact"/>
              <w:rPr>
                <w:sz w:val="20"/>
                <w:szCs w:val="20"/>
                <w:color w:val="auto"/>
              </w:rPr>
            </w:pPr>
            <w:r>
              <w:rPr>
                <w:rFonts w:ascii="Arial" w:cs="Arial" w:eastAsia="Arial" w:hAnsi="Arial"/>
                <w:sz w:val="14"/>
                <w:szCs w:val="14"/>
                <w:b w:val="1"/>
                <w:bCs w:val="1"/>
                <w:color w:val="auto"/>
                <w:w w:val="88"/>
              </w:rPr>
              <w:t>available for sale</w:t>
            </w:r>
          </w:p>
        </w:tc>
        <w:tc>
          <w:tcPr>
            <w:tcW w:w="1020" w:type="dxa"/>
            <w:vAlign w:val="bottom"/>
            <w:gridSpan w:val="2"/>
            <w:vMerge w:val="continue"/>
          </w:tcPr>
          <w:p>
            <w:pPr>
              <w:spacing w:after="0"/>
              <w:rPr>
                <w:sz w:val="12"/>
                <w:szCs w:val="12"/>
                <w:color w:val="auto"/>
              </w:rPr>
            </w:pPr>
          </w:p>
        </w:tc>
        <w:tc>
          <w:tcPr>
            <w:tcW w:w="820" w:type="dxa"/>
            <w:vAlign w:val="bottom"/>
            <w:gridSpan w:val="2"/>
            <w:vMerge w:val="restart"/>
          </w:tcPr>
          <w:p>
            <w:pPr>
              <w:jc w:val="right"/>
              <w:ind w:right="160"/>
              <w:spacing w:after="0"/>
              <w:rPr>
                <w:sz w:val="20"/>
                <w:szCs w:val="20"/>
                <w:color w:val="auto"/>
              </w:rPr>
            </w:pPr>
            <w:r>
              <w:rPr>
                <w:rFonts w:ascii="Arial" w:cs="Arial" w:eastAsia="Arial" w:hAnsi="Arial"/>
                <w:sz w:val="14"/>
                <w:szCs w:val="14"/>
                <w:b w:val="1"/>
                <w:bCs w:val="1"/>
                <w:color w:val="auto"/>
                <w:w w:val="87"/>
              </w:rPr>
              <w:t>Income tax</w:t>
            </w:r>
          </w:p>
        </w:tc>
        <w:tc>
          <w:tcPr>
            <w:tcW w:w="780" w:type="dxa"/>
            <w:vAlign w:val="bottom"/>
            <w:gridSpan w:val="2"/>
            <w:vMerge w:val="restart"/>
          </w:tcPr>
          <w:p>
            <w:pPr>
              <w:jc w:val="right"/>
              <w:ind w:right="180"/>
              <w:spacing w:after="0"/>
              <w:rPr>
                <w:sz w:val="20"/>
                <w:szCs w:val="20"/>
                <w:color w:val="auto"/>
              </w:rPr>
            </w:pPr>
            <w:r>
              <w:rPr>
                <w:rFonts w:ascii="Arial" w:cs="Arial" w:eastAsia="Arial" w:hAnsi="Arial"/>
                <w:sz w:val="14"/>
                <w:szCs w:val="14"/>
                <w:b w:val="1"/>
                <w:bCs w:val="1"/>
                <w:color w:val="auto"/>
                <w:w w:val="93"/>
              </w:rPr>
              <w:t>Net profit</w:t>
            </w:r>
          </w:p>
        </w:tc>
        <w:tc>
          <w:tcPr>
            <w:tcW w:w="960" w:type="dxa"/>
            <w:vAlign w:val="bottom"/>
            <w:gridSpan w:val="2"/>
          </w:tcPr>
          <w:p>
            <w:pPr>
              <w:jc w:val="center"/>
              <w:ind w:right="200"/>
              <w:spacing w:after="0" w:line="143" w:lineRule="exact"/>
              <w:rPr>
                <w:sz w:val="20"/>
                <w:szCs w:val="20"/>
                <w:color w:val="auto"/>
              </w:rPr>
            </w:pPr>
            <w:r>
              <w:rPr>
                <w:rFonts w:ascii="Arial" w:cs="Arial" w:eastAsia="Arial" w:hAnsi="Arial"/>
                <w:sz w:val="14"/>
                <w:szCs w:val="14"/>
                <w:b w:val="1"/>
                <w:bCs w:val="1"/>
                <w:color w:val="auto"/>
                <w:w w:val="86"/>
              </w:rPr>
              <w:t>intangibles</w:t>
            </w:r>
          </w:p>
        </w:tc>
        <w:tc>
          <w:tcPr>
            <w:tcW w:w="820" w:type="dxa"/>
            <w:vAlign w:val="bottom"/>
            <w:gridSpan w:val="2"/>
            <w:vMerge w:val="restart"/>
          </w:tcPr>
          <w:p>
            <w:pPr>
              <w:jc w:val="right"/>
              <w:ind w:right="160"/>
              <w:spacing w:after="0"/>
              <w:rPr>
                <w:sz w:val="20"/>
                <w:szCs w:val="20"/>
                <w:color w:val="auto"/>
              </w:rPr>
            </w:pPr>
            <w:r>
              <w:rPr>
                <w:rFonts w:ascii="Arial" w:cs="Arial" w:eastAsia="Arial" w:hAnsi="Arial"/>
                <w:sz w:val="14"/>
                <w:szCs w:val="14"/>
                <w:b w:val="1"/>
                <w:bCs w:val="1"/>
                <w:color w:val="auto"/>
                <w:w w:val="79"/>
              </w:rPr>
              <w:t>Total assets</w:t>
            </w:r>
          </w:p>
        </w:tc>
        <w:tc>
          <w:tcPr>
            <w:tcW w:w="7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98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20" w:type="dxa"/>
            <w:vAlign w:val="bottom"/>
            <w:gridSpan w:val="3"/>
            <w:vMerge w:val="continue"/>
          </w:tcPr>
          <w:p>
            <w:pPr>
              <w:spacing w:after="0"/>
              <w:rPr>
                <w:sz w:val="14"/>
                <w:szCs w:val="14"/>
                <w:color w:val="auto"/>
              </w:rPr>
            </w:pPr>
          </w:p>
        </w:tc>
        <w:tc>
          <w:tcPr>
            <w:tcW w:w="900" w:type="dxa"/>
            <w:vAlign w:val="bottom"/>
            <w:gridSpan w:val="5"/>
          </w:tcPr>
          <w:p>
            <w:pPr>
              <w:jc w:val="right"/>
              <w:ind w:right="160"/>
              <w:spacing w:after="0"/>
              <w:rPr>
                <w:sz w:val="20"/>
                <w:szCs w:val="20"/>
                <w:color w:val="auto"/>
              </w:rPr>
            </w:pPr>
            <w:r>
              <w:rPr>
                <w:rFonts w:ascii="Arial" w:cs="Arial" w:eastAsia="Arial" w:hAnsi="Arial"/>
                <w:sz w:val="14"/>
                <w:szCs w:val="14"/>
                <w:b w:val="1"/>
                <w:bCs w:val="1"/>
                <w:color w:val="auto"/>
                <w:w w:val="98"/>
              </w:rPr>
              <w:t>income (**)</w:t>
            </w:r>
          </w:p>
        </w:tc>
        <w:tc>
          <w:tcPr>
            <w:tcW w:w="10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5"/>
              </w:rPr>
              <w:t>recoveries</w:t>
            </w:r>
          </w:p>
        </w:tc>
        <w:tc>
          <w:tcPr>
            <w:tcW w:w="118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89"/>
              </w:rPr>
              <w:t>and amortization</w:t>
            </w:r>
          </w:p>
        </w:tc>
        <w:tc>
          <w:tcPr>
            <w:tcW w:w="11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77"/>
              </w:rPr>
              <w:t>assets</w:t>
            </w:r>
          </w:p>
        </w:tc>
        <w:tc>
          <w:tcPr>
            <w:tcW w:w="10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7"/>
              </w:rPr>
              <w:t>income tax</w:t>
            </w:r>
          </w:p>
        </w:tc>
        <w:tc>
          <w:tcPr>
            <w:tcW w:w="820" w:type="dxa"/>
            <w:vAlign w:val="bottom"/>
            <w:gridSpan w:val="2"/>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9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8"/>
              </w:rPr>
              <w:t>and goodwill</w:t>
            </w:r>
          </w:p>
        </w:tc>
        <w:tc>
          <w:tcPr>
            <w:tcW w:w="820" w:type="dxa"/>
            <w:vAlign w:val="bottom"/>
            <w:gridSpan w:val="2"/>
            <w:vMerge w:val="continue"/>
          </w:tcPr>
          <w:p>
            <w:pPr>
              <w:spacing w:after="0"/>
              <w:rPr>
                <w:sz w:val="14"/>
                <w:szCs w:val="14"/>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w w:val="93"/>
              </w:rPr>
              <w:t>liabilities</w:t>
            </w:r>
          </w:p>
        </w:tc>
        <w:tc>
          <w:tcPr>
            <w:tcW w:w="0" w:type="dxa"/>
            <w:vAlign w:val="bottom"/>
          </w:tcPr>
          <w:p>
            <w:pPr>
              <w:spacing w:after="0"/>
              <w:rPr>
                <w:sz w:val="1"/>
                <w:szCs w:val="1"/>
                <w:color w:val="auto"/>
              </w:rPr>
            </w:pPr>
          </w:p>
        </w:tc>
      </w:tr>
      <w:tr>
        <w:trPr>
          <w:trHeight w:val="136"/>
        </w:trPr>
        <w:tc>
          <w:tcPr>
            <w:tcW w:w="98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02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1040" w:type="dxa"/>
            <w:vAlign w:val="bottom"/>
            <w:gridSpan w:val="3"/>
            <w:shd w:val="clear" w:color="auto" w:fill="CCEEFF"/>
          </w:tcPr>
          <w:p>
            <w:pPr>
              <w:spacing w:after="0" w:line="143" w:lineRule="exact"/>
              <w:rPr>
                <w:sz w:val="20"/>
                <w:szCs w:val="20"/>
                <w:color w:val="auto"/>
              </w:rPr>
            </w:pPr>
            <w:r>
              <w:rPr>
                <w:rFonts w:ascii="Arial" w:cs="Arial" w:eastAsia="Arial" w:hAnsi="Arial"/>
                <w:sz w:val="14"/>
                <w:szCs w:val="14"/>
                <w:color w:val="auto"/>
              </w:rPr>
              <w:t>Banking</w:t>
            </w:r>
          </w:p>
        </w:tc>
        <w:tc>
          <w:tcPr>
            <w:tcW w:w="960" w:type="dxa"/>
            <w:vAlign w:val="bottom"/>
            <w:gridSpan w:val="2"/>
            <w:shd w:val="clear" w:color="auto" w:fill="CCEEFF"/>
          </w:tcPr>
          <w:p>
            <w:pPr>
              <w:jc w:val="right"/>
              <w:spacing w:after="0" w:line="143" w:lineRule="exact"/>
              <w:rPr>
                <w:sz w:val="20"/>
                <w:szCs w:val="20"/>
                <w:color w:val="auto"/>
              </w:rPr>
            </w:pPr>
            <w:r>
              <w:rPr>
                <w:rFonts w:ascii="Arial" w:cs="Arial" w:eastAsia="Arial" w:hAnsi="Arial"/>
                <w:sz w:val="14"/>
                <w:szCs w:val="14"/>
                <w:color w:val="auto"/>
              </w:rPr>
              <w:t>14,071</w:t>
            </w:r>
          </w:p>
        </w:tc>
        <w:tc>
          <w:tcPr>
            <w:tcW w:w="60" w:type="dxa"/>
            <w:vAlign w:val="bottom"/>
            <w:shd w:val="clear" w:color="auto" w:fill="CCEEFF"/>
          </w:tcPr>
          <w:p>
            <w:pPr>
              <w:spacing w:after="0"/>
              <w:rPr>
                <w:sz w:val="12"/>
                <w:szCs w:val="12"/>
                <w:color w:val="auto"/>
              </w:rPr>
            </w:pPr>
          </w:p>
        </w:tc>
        <w:tc>
          <w:tcPr>
            <w:tcW w:w="760" w:type="dxa"/>
            <w:vAlign w:val="bottom"/>
            <w:gridSpan w:val="4"/>
            <w:shd w:val="clear" w:color="auto" w:fill="CCEEFF"/>
          </w:tcPr>
          <w:p>
            <w:pPr>
              <w:jc w:val="right"/>
              <w:ind w:right="20"/>
              <w:spacing w:after="0" w:line="143" w:lineRule="exact"/>
              <w:rPr>
                <w:sz w:val="20"/>
                <w:szCs w:val="20"/>
                <w:color w:val="auto"/>
              </w:rPr>
            </w:pPr>
            <w:r>
              <w:rPr>
                <w:rFonts w:ascii="Arial" w:cs="Arial" w:eastAsia="Arial" w:hAnsi="Arial"/>
                <w:sz w:val="14"/>
                <w:szCs w:val="14"/>
                <w:color w:val="auto"/>
              </w:rPr>
              <w:t>8,154</w:t>
            </w:r>
          </w:p>
        </w:tc>
        <w:tc>
          <w:tcPr>
            <w:tcW w:w="1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00"/>
              <w:spacing w:after="0" w:line="143" w:lineRule="exact"/>
              <w:rPr>
                <w:sz w:val="20"/>
                <w:szCs w:val="20"/>
                <w:color w:val="auto"/>
              </w:rPr>
            </w:pPr>
            <w:r>
              <w:rPr>
                <w:rFonts w:ascii="Arial" w:cs="Arial" w:eastAsia="Arial" w:hAnsi="Arial"/>
                <w:sz w:val="14"/>
                <w:szCs w:val="14"/>
                <w:color w:val="auto"/>
              </w:rPr>
              <w:t>(1,789)</w:t>
            </w:r>
          </w:p>
        </w:tc>
        <w:tc>
          <w:tcPr>
            <w:tcW w:w="1180" w:type="dxa"/>
            <w:vAlign w:val="bottom"/>
            <w:gridSpan w:val="2"/>
            <w:shd w:val="clear" w:color="auto" w:fill="CCEEFF"/>
          </w:tcPr>
          <w:p>
            <w:pPr>
              <w:jc w:val="right"/>
              <w:ind w:right="120"/>
              <w:spacing w:after="0" w:line="143" w:lineRule="exact"/>
              <w:rPr>
                <w:sz w:val="20"/>
                <w:szCs w:val="20"/>
                <w:color w:val="auto"/>
              </w:rPr>
            </w:pPr>
            <w:r>
              <w:rPr>
                <w:rFonts w:ascii="Arial" w:cs="Arial" w:eastAsia="Arial" w:hAnsi="Arial"/>
                <w:sz w:val="14"/>
                <w:szCs w:val="14"/>
                <w:color w:val="auto"/>
              </w:rPr>
              <w:t>(326)</w:t>
            </w:r>
          </w:p>
        </w:tc>
        <w:tc>
          <w:tcPr>
            <w:tcW w:w="1180" w:type="dxa"/>
            <w:vAlign w:val="bottom"/>
            <w:gridSpan w:val="2"/>
            <w:shd w:val="clear" w:color="auto" w:fill="CCEEFF"/>
          </w:tcPr>
          <w:p>
            <w:pPr>
              <w:jc w:val="right"/>
              <w:ind w:right="120"/>
              <w:spacing w:after="0" w:line="143" w:lineRule="exact"/>
              <w:rPr>
                <w:sz w:val="20"/>
                <w:szCs w:val="20"/>
                <w:color w:val="auto"/>
              </w:rPr>
            </w:pPr>
            <w:r>
              <w:rPr>
                <w:rFonts w:ascii="Arial" w:cs="Arial" w:eastAsia="Arial" w:hAnsi="Arial"/>
                <w:sz w:val="14"/>
                <w:szCs w:val="14"/>
                <w:color w:val="auto"/>
              </w:rPr>
              <w:t>(8)</w:t>
            </w:r>
          </w:p>
        </w:tc>
        <w:tc>
          <w:tcPr>
            <w:tcW w:w="1020" w:type="dxa"/>
            <w:vAlign w:val="bottom"/>
            <w:gridSpan w:val="2"/>
            <w:shd w:val="clear" w:color="auto" w:fill="CCEEFF"/>
          </w:tcPr>
          <w:p>
            <w:pPr>
              <w:jc w:val="right"/>
              <w:ind w:right="160"/>
              <w:spacing w:after="0" w:line="143" w:lineRule="exact"/>
              <w:rPr>
                <w:sz w:val="20"/>
                <w:szCs w:val="20"/>
                <w:color w:val="auto"/>
              </w:rPr>
            </w:pPr>
            <w:r>
              <w:rPr>
                <w:rFonts w:ascii="Arial" w:cs="Arial" w:eastAsia="Arial" w:hAnsi="Arial"/>
                <w:sz w:val="14"/>
                <w:szCs w:val="14"/>
                <w:color w:val="auto"/>
              </w:rPr>
              <w:t>4,886</w:t>
            </w:r>
          </w:p>
        </w:tc>
        <w:tc>
          <w:tcPr>
            <w:tcW w:w="820" w:type="dxa"/>
            <w:vAlign w:val="bottom"/>
            <w:gridSpan w:val="2"/>
            <w:shd w:val="clear" w:color="auto" w:fill="CCEEFF"/>
          </w:tcPr>
          <w:p>
            <w:pPr>
              <w:jc w:val="right"/>
              <w:ind w:right="100"/>
              <w:spacing w:after="0" w:line="143" w:lineRule="exact"/>
              <w:rPr>
                <w:sz w:val="20"/>
                <w:szCs w:val="20"/>
                <w:color w:val="auto"/>
              </w:rPr>
            </w:pPr>
            <w:r>
              <w:rPr>
                <w:rFonts w:ascii="Arial" w:cs="Arial" w:eastAsia="Arial" w:hAnsi="Arial"/>
                <w:sz w:val="14"/>
                <w:szCs w:val="14"/>
                <w:color w:val="auto"/>
              </w:rPr>
              <w:t>(1,266)</w:t>
            </w:r>
          </w:p>
        </w:tc>
        <w:tc>
          <w:tcPr>
            <w:tcW w:w="780" w:type="dxa"/>
            <w:vAlign w:val="bottom"/>
            <w:gridSpan w:val="2"/>
            <w:shd w:val="clear" w:color="auto" w:fill="CCEEFF"/>
          </w:tcPr>
          <w:p>
            <w:pPr>
              <w:jc w:val="right"/>
              <w:ind w:right="160"/>
              <w:spacing w:after="0" w:line="143" w:lineRule="exact"/>
              <w:rPr>
                <w:sz w:val="20"/>
                <w:szCs w:val="20"/>
                <w:color w:val="auto"/>
              </w:rPr>
            </w:pPr>
            <w:r>
              <w:rPr>
                <w:rFonts w:ascii="Arial" w:cs="Arial" w:eastAsia="Arial" w:hAnsi="Arial"/>
                <w:sz w:val="14"/>
                <w:szCs w:val="14"/>
                <w:color w:val="auto"/>
              </w:rPr>
              <w:t>3,620</w:t>
            </w:r>
          </w:p>
        </w:tc>
        <w:tc>
          <w:tcPr>
            <w:tcW w:w="960" w:type="dxa"/>
            <w:vAlign w:val="bottom"/>
            <w:gridSpan w:val="2"/>
            <w:shd w:val="clear" w:color="auto" w:fill="CCEEFF"/>
          </w:tcPr>
          <w:p>
            <w:pPr>
              <w:jc w:val="right"/>
              <w:ind w:right="160"/>
              <w:spacing w:after="0" w:line="143" w:lineRule="exact"/>
              <w:rPr>
                <w:sz w:val="20"/>
                <w:szCs w:val="20"/>
                <w:color w:val="auto"/>
              </w:rPr>
            </w:pPr>
            <w:r>
              <w:rPr>
                <w:rFonts w:ascii="Arial" w:cs="Arial" w:eastAsia="Arial" w:hAnsi="Arial"/>
                <w:sz w:val="14"/>
                <w:szCs w:val="14"/>
                <w:color w:val="auto"/>
              </w:rPr>
              <w:t>339</w:t>
            </w:r>
          </w:p>
        </w:tc>
        <w:tc>
          <w:tcPr>
            <w:tcW w:w="820" w:type="dxa"/>
            <w:vAlign w:val="bottom"/>
            <w:gridSpan w:val="2"/>
            <w:shd w:val="clear" w:color="auto" w:fill="CCEEFF"/>
          </w:tcPr>
          <w:p>
            <w:pPr>
              <w:jc w:val="right"/>
              <w:ind w:right="160"/>
              <w:spacing w:after="0" w:line="143" w:lineRule="exact"/>
              <w:rPr>
                <w:sz w:val="20"/>
                <w:szCs w:val="20"/>
                <w:color w:val="auto"/>
              </w:rPr>
            </w:pPr>
            <w:r>
              <w:rPr>
                <w:rFonts w:ascii="Arial" w:cs="Arial" w:eastAsia="Arial" w:hAnsi="Arial"/>
                <w:sz w:val="14"/>
                <w:szCs w:val="14"/>
                <w:color w:val="auto"/>
              </w:rPr>
              <w:t>145,999</w:t>
            </w:r>
          </w:p>
        </w:tc>
        <w:tc>
          <w:tcPr>
            <w:tcW w:w="700" w:type="dxa"/>
            <w:vAlign w:val="bottom"/>
            <w:gridSpan w:val="2"/>
            <w:shd w:val="clear" w:color="auto" w:fill="CCEEFF"/>
          </w:tcPr>
          <w:p>
            <w:pPr>
              <w:jc w:val="right"/>
              <w:ind w:right="80"/>
              <w:spacing w:after="0" w:line="143" w:lineRule="exact"/>
              <w:rPr>
                <w:sz w:val="20"/>
                <w:szCs w:val="20"/>
                <w:color w:val="auto"/>
              </w:rPr>
            </w:pPr>
            <w:r>
              <w:rPr>
                <w:rFonts w:ascii="Arial" w:cs="Arial" w:eastAsia="Arial" w:hAnsi="Arial"/>
                <w:sz w:val="14"/>
                <w:szCs w:val="14"/>
                <w:color w:val="auto"/>
              </w:rPr>
              <w:t>128,324</w:t>
            </w:r>
          </w:p>
        </w:tc>
        <w:tc>
          <w:tcPr>
            <w:tcW w:w="0" w:type="dxa"/>
            <w:vAlign w:val="bottom"/>
          </w:tcPr>
          <w:p>
            <w:pPr>
              <w:spacing w:after="0"/>
              <w:rPr>
                <w:sz w:val="1"/>
                <w:szCs w:val="1"/>
                <w:color w:val="auto"/>
              </w:rPr>
            </w:pPr>
          </w:p>
        </w:tc>
      </w:tr>
      <w:tr>
        <w:trPr>
          <w:trHeight w:val="143"/>
        </w:trPr>
        <w:tc>
          <w:tcPr>
            <w:tcW w:w="1040" w:type="dxa"/>
            <w:vAlign w:val="bottom"/>
            <w:gridSpan w:val="3"/>
          </w:tcPr>
          <w:p>
            <w:pPr>
              <w:spacing w:after="0" w:line="143" w:lineRule="exact"/>
              <w:rPr>
                <w:sz w:val="20"/>
                <w:szCs w:val="20"/>
                <w:color w:val="auto"/>
              </w:rPr>
            </w:pPr>
            <w:r>
              <w:rPr>
                <w:rFonts w:ascii="Arial" w:cs="Arial" w:eastAsia="Arial" w:hAnsi="Arial"/>
                <w:sz w:val="14"/>
                <w:szCs w:val="14"/>
                <w:color w:val="auto"/>
              </w:rPr>
              <w:t>Insurance</w:t>
            </w:r>
          </w:p>
        </w:tc>
        <w:tc>
          <w:tcPr>
            <w:tcW w:w="960" w:type="dxa"/>
            <w:vAlign w:val="bottom"/>
            <w:gridSpan w:val="2"/>
          </w:tcPr>
          <w:p>
            <w:pPr>
              <w:jc w:val="right"/>
              <w:spacing w:after="0" w:line="143" w:lineRule="exact"/>
              <w:rPr>
                <w:sz w:val="20"/>
                <w:szCs w:val="20"/>
                <w:color w:val="auto"/>
              </w:rPr>
            </w:pPr>
            <w:r>
              <w:rPr>
                <w:rFonts w:ascii="Arial" w:cs="Arial" w:eastAsia="Arial" w:hAnsi="Arial"/>
                <w:sz w:val="14"/>
                <w:szCs w:val="14"/>
                <w:color w:val="auto"/>
              </w:rPr>
              <w:t>2,474</w:t>
            </w:r>
          </w:p>
        </w:tc>
        <w:tc>
          <w:tcPr>
            <w:tcW w:w="60" w:type="dxa"/>
            <w:vAlign w:val="bottom"/>
          </w:tcPr>
          <w:p>
            <w:pPr>
              <w:spacing w:after="0"/>
              <w:rPr>
                <w:sz w:val="12"/>
                <w:szCs w:val="12"/>
                <w:color w:val="auto"/>
              </w:rPr>
            </w:pPr>
          </w:p>
        </w:tc>
        <w:tc>
          <w:tcPr>
            <w:tcW w:w="740" w:type="dxa"/>
            <w:vAlign w:val="bottom"/>
            <w:gridSpan w:val="3"/>
          </w:tcPr>
          <w:p>
            <w:pPr>
              <w:jc w:val="right"/>
              <w:spacing w:after="0" w:line="143" w:lineRule="exact"/>
              <w:rPr>
                <w:sz w:val="20"/>
                <w:szCs w:val="20"/>
                <w:color w:val="auto"/>
              </w:rPr>
            </w:pPr>
            <w:r>
              <w:rPr>
                <w:rFonts w:ascii="Arial" w:cs="Arial" w:eastAsia="Arial" w:hAnsi="Arial"/>
                <w:sz w:val="14"/>
                <w:szCs w:val="14"/>
                <w:color w:val="auto"/>
              </w:rPr>
              <w:t>619</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jc w:val="right"/>
              <w:spacing w:after="0" w:line="143"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180" w:type="dxa"/>
            <w:vAlign w:val="bottom"/>
            <w:gridSpan w:val="2"/>
          </w:tcPr>
          <w:p>
            <w:pPr>
              <w:jc w:val="right"/>
              <w:ind w:right="120"/>
              <w:spacing w:after="0" w:line="143" w:lineRule="exact"/>
              <w:rPr>
                <w:sz w:val="20"/>
                <w:szCs w:val="20"/>
                <w:color w:val="auto"/>
              </w:rPr>
            </w:pPr>
            <w:r>
              <w:rPr>
                <w:rFonts w:ascii="Arial" w:cs="Arial" w:eastAsia="Arial" w:hAnsi="Arial"/>
                <w:sz w:val="14"/>
                <w:szCs w:val="14"/>
                <w:color w:val="auto"/>
              </w:rPr>
              <w:t>(49)</w:t>
            </w:r>
          </w:p>
        </w:tc>
        <w:tc>
          <w:tcPr>
            <w:tcW w:w="1020" w:type="dxa"/>
            <w:vAlign w:val="bottom"/>
          </w:tcPr>
          <w:p>
            <w:pPr>
              <w:jc w:val="right"/>
              <w:spacing w:after="0" w:line="143"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60" w:type="dxa"/>
            <w:vAlign w:val="bottom"/>
          </w:tcPr>
          <w:p>
            <w:pPr>
              <w:jc w:val="right"/>
              <w:spacing w:after="0" w:line="143" w:lineRule="exact"/>
              <w:rPr>
                <w:sz w:val="20"/>
                <w:szCs w:val="20"/>
                <w:color w:val="auto"/>
              </w:rPr>
            </w:pPr>
            <w:r>
              <w:rPr>
                <w:rFonts w:ascii="Arial" w:cs="Arial" w:eastAsia="Arial" w:hAnsi="Arial"/>
                <w:sz w:val="14"/>
                <w:szCs w:val="14"/>
                <w:color w:val="auto"/>
              </w:rPr>
              <w:t>353</w:t>
            </w:r>
          </w:p>
        </w:tc>
        <w:tc>
          <w:tcPr>
            <w:tcW w:w="160" w:type="dxa"/>
            <w:vAlign w:val="bottom"/>
          </w:tcPr>
          <w:p>
            <w:pPr>
              <w:spacing w:after="0"/>
              <w:rPr>
                <w:sz w:val="12"/>
                <w:szCs w:val="12"/>
                <w:color w:val="auto"/>
              </w:rPr>
            </w:pPr>
          </w:p>
        </w:tc>
        <w:tc>
          <w:tcPr>
            <w:tcW w:w="820" w:type="dxa"/>
            <w:vAlign w:val="bottom"/>
            <w:gridSpan w:val="2"/>
          </w:tcPr>
          <w:p>
            <w:pPr>
              <w:jc w:val="right"/>
              <w:ind w:right="100"/>
              <w:spacing w:after="0" w:line="143" w:lineRule="exact"/>
              <w:rPr>
                <w:sz w:val="20"/>
                <w:szCs w:val="20"/>
                <w:color w:val="auto"/>
              </w:rPr>
            </w:pPr>
            <w:r>
              <w:rPr>
                <w:rFonts w:ascii="Arial" w:cs="Arial" w:eastAsia="Arial" w:hAnsi="Arial"/>
                <w:sz w:val="14"/>
                <w:szCs w:val="14"/>
                <w:color w:val="auto"/>
              </w:rPr>
              <w:t>(28)</w:t>
            </w:r>
          </w:p>
        </w:tc>
        <w:tc>
          <w:tcPr>
            <w:tcW w:w="620" w:type="dxa"/>
            <w:vAlign w:val="bottom"/>
          </w:tcPr>
          <w:p>
            <w:pPr>
              <w:jc w:val="right"/>
              <w:spacing w:after="0" w:line="143" w:lineRule="exact"/>
              <w:rPr>
                <w:sz w:val="20"/>
                <w:szCs w:val="20"/>
                <w:color w:val="auto"/>
              </w:rPr>
            </w:pPr>
            <w:r>
              <w:rPr>
                <w:rFonts w:ascii="Arial" w:cs="Arial" w:eastAsia="Arial" w:hAnsi="Arial"/>
                <w:sz w:val="14"/>
                <w:szCs w:val="14"/>
                <w:color w:val="auto"/>
              </w:rPr>
              <w:t>325</w:t>
            </w:r>
          </w:p>
        </w:tc>
        <w:tc>
          <w:tcPr>
            <w:tcW w:w="160" w:type="dxa"/>
            <w:vAlign w:val="bottom"/>
          </w:tcPr>
          <w:p>
            <w:pPr>
              <w:spacing w:after="0"/>
              <w:rPr>
                <w:sz w:val="12"/>
                <w:szCs w:val="12"/>
                <w:color w:val="auto"/>
              </w:rPr>
            </w:pPr>
          </w:p>
        </w:tc>
        <w:tc>
          <w:tcPr>
            <w:tcW w:w="960" w:type="dxa"/>
            <w:vAlign w:val="bottom"/>
            <w:gridSpan w:val="2"/>
          </w:tcPr>
          <w:p>
            <w:pPr>
              <w:jc w:val="right"/>
              <w:ind w:right="160"/>
              <w:spacing w:after="0" w:line="143" w:lineRule="exact"/>
              <w:rPr>
                <w:sz w:val="20"/>
                <w:szCs w:val="20"/>
                <w:color w:val="auto"/>
              </w:rPr>
            </w:pPr>
            <w:r>
              <w:rPr>
                <w:rFonts w:ascii="Arial" w:cs="Arial" w:eastAsia="Arial" w:hAnsi="Arial"/>
                <w:sz w:val="14"/>
                <w:szCs w:val="14"/>
                <w:color w:val="auto"/>
              </w:rPr>
              <w:t>59</w:t>
            </w:r>
          </w:p>
        </w:tc>
        <w:tc>
          <w:tcPr>
            <w:tcW w:w="820" w:type="dxa"/>
            <w:vAlign w:val="bottom"/>
            <w:gridSpan w:val="2"/>
          </w:tcPr>
          <w:p>
            <w:pPr>
              <w:jc w:val="right"/>
              <w:ind w:right="160"/>
              <w:spacing w:after="0" w:line="143" w:lineRule="exact"/>
              <w:rPr>
                <w:sz w:val="20"/>
                <w:szCs w:val="20"/>
                <w:color w:val="auto"/>
              </w:rPr>
            </w:pPr>
            <w:r>
              <w:rPr>
                <w:rFonts w:ascii="Arial" w:cs="Arial" w:eastAsia="Arial" w:hAnsi="Arial"/>
                <w:sz w:val="14"/>
                <w:szCs w:val="14"/>
                <w:color w:val="auto"/>
              </w:rPr>
              <w:t>10,988</w:t>
            </w:r>
          </w:p>
        </w:tc>
        <w:tc>
          <w:tcPr>
            <w:tcW w:w="700" w:type="dxa"/>
            <w:vAlign w:val="bottom"/>
            <w:gridSpan w:val="2"/>
          </w:tcPr>
          <w:p>
            <w:pPr>
              <w:jc w:val="right"/>
              <w:ind w:right="80"/>
              <w:spacing w:after="0" w:line="143" w:lineRule="exact"/>
              <w:rPr>
                <w:sz w:val="20"/>
                <w:szCs w:val="20"/>
                <w:color w:val="auto"/>
              </w:rPr>
            </w:pPr>
            <w:r>
              <w:rPr>
                <w:rFonts w:ascii="Arial" w:cs="Arial" w:eastAsia="Arial" w:hAnsi="Arial"/>
                <w:sz w:val="14"/>
                <w:szCs w:val="14"/>
                <w:color w:val="auto"/>
              </w:rPr>
              <w:t>8,409</w:t>
            </w:r>
          </w:p>
        </w:tc>
        <w:tc>
          <w:tcPr>
            <w:tcW w:w="0" w:type="dxa"/>
            <w:vAlign w:val="bottom"/>
          </w:tcPr>
          <w:p>
            <w:pPr>
              <w:spacing w:after="0"/>
              <w:rPr>
                <w:sz w:val="1"/>
                <w:szCs w:val="1"/>
                <w:color w:val="auto"/>
              </w:rPr>
            </w:pPr>
          </w:p>
        </w:tc>
      </w:tr>
      <w:tr>
        <w:trPr>
          <w:trHeight w:val="143"/>
        </w:trPr>
        <w:tc>
          <w:tcPr>
            <w:tcW w:w="1040" w:type="dxa"/>
            <w:vAlign w:val="bottom"/>
            <w:gridSpan w:val="3"/>
            <w:shd w:val="clear" w:color="auto" w:fill="CCEEFF"/>
          </w:tcPr>
          <w:p>
            <w:pPr>
              <w:spacing w:after="0" w:line="143" w:lineRule="exact"/>
              <w:rPr>
                <w:sz w:val="20"/>
                <w:szCs w:val="20"/>
                <w:color w:val="auto"/>
              </w:rPr>
            </w:pPr>
            <w:r>
              <w:rPr>
                <w:rFonts w:ascii="Arial" w:cs="Arial" w:eastAsia="Arial" w:hAnsi="Arial"/>
                <w:sz w:val="14"/>
                <w:szCs w:val="14"/>
                <w:color w:val="auto"/>
              </w:rPr>
              <w:t>Pension funds</w:t>
            </w:r>
          </w:p>
        </w:tc>
        <w:tc>
          <w:tcPr>
            <w:tcW w:w="960" w:type="dxa"/>
            <w:vAlign w:val="bottom"/>
            <w:gridSpan w:val="2"/>
            <w:shd w:val="clear" w:color="auto" w:fill="CCEEFF"/>
          </w:tcPr>
          <w:p>
            <w:pPr>
              <w:jc w:val="right"/>
              <w:spacing w:after="0" w:line="143" w:lineRule="exact"/>
              <w:rPr>
                <w:sz w:val="20"/>
                <w:szCs w:val="20"/>
                <w:color w:val="auto"/>
              </w:rPr>
            </w:pPr>
            <w:r>
              <w:rPr>
                <w:rFonts w:ascii="Arial" w:cs="Arial" w:eastAsia="Arial" w:hAnsi="Arial"/>
                <w:sz w:val="14"/>
                <w:szCs w:val="14"/>
                <w:color w:val="auto"/>
              </w:rPr>
              <w:t>392</w:t>
            </w:r>
          </w:p>
        </w:tc>
        <w:tc>
          <w:tcPr>
            <w:tcW w:w="60" w:type="dxa"/>
            <w:vAlign w:val="bottom"/>
            <w:shd w:val="clear" w:color="auto" w:fill="CCEEFF"/>
          </w:tcPr>
          <w:p>
            <w:pPr>
              <w:spacing w:after="0"/>
              <w:rPr>
                <w:sz w:val="12"/>
                <w:szCs w:val="12"/>
                <w:color w:val="auto"/>
              </w:rPr>
            </w:pPr>
          </w:p>
        </w:tc>
        <w:tc>
          <w:tcPr>
            <w:tcW w:w="740" w:type="dxa"/>
            <w:vAlign w:val="bottom"/>
            <w:gridSpan w:val="3"/>
            <w:shd w:val="clear" w:color="auto" w:fill="CCEEFF"/>
          </w:tcPr>
          <w:p>
            <w:pPr>
              <w:jc w:val="right"/>
              <w:spacing w:after="0" w:line="143" w:lineRule="exact"/>
              <w:rPr>
                <w:sz w:val="20"/>
                <w:szCs w:val="20"/>
                <w:color w:val="auto"/>
              </w:rPr>
            </w:pPr>
            <w:r>
              <w:rPr>
                <w:rFonts w:ascii="Arial" w:cs="Arial" w:eastAsia="Arial" w:hAnsi="Arial"/>
                <w:sz w:val="14"/>
                <w:szCs w:val="14"/>
                <w:color w:val="auto"/>
              </w:rPr>
              <w:t>1</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120"/>
              <w:spacing w:after="0" w:line="143" w:lineRule="exact"/>
              <w:rPr>
                <w:sz w:val="20"/>
                <w:szCs w:val="20"/>
                <w:color w:val="auto"/>
              </w:rPr>
            </w:pPr>
            <w:r>
              <w:rPr>
                <w:rFonts w:ascii="Arial" w:cs="Arial" w:eastAsia="Arial" w:hAnsi="Arial"/>
                <w:sz w:val="14"/>
                <w:szCs w:val="14"/>
                <w:color w:val="auto"/>
              </w:rPr>
              <w:t>(23)</w:t>
            </w:r>
          </w:p>
        </w:tc>
        <w:tc>
          <w:tcPr>
            <w:tcW w:w="102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rPr>
              <w:t>206</w:t>
            </w:r>
          </w:p>
        </w:tc>
        <w:tc>
          <w:tcPr>
            <w:tcW w:w="1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00"/>
              <w:spacing w:after="0" w:line="143" w:lineRule="exact"/>
              <w:rPr>
                <w:sz w:val="20"/>
                <w:szCs w:val="20"/>
                <w:color w:val="auto"/>
              </w:rPr>
            </w:pPr>
            <w:r>
              <w:rPr>
                <w:rFonts w:ascii="Arial" w:cs="Arial" w:eastAsia="Arial" w:hAnsi="Arial"/>
                <w:sz w:val="14"/>
                <w:szCs w:val="14"/>
                <w:color w:val="auto"/>
              </w:rPr>
              <w:t>(66)</w:t>
            </w:r>
          </w:p>
        </w:tc>
        <w:tc>
          <w:tcPr>
            <w:tcW w:w="62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rPr>
              <w:t>140</w:t>
            </w:r>
          </w:p>
        </w:tc>
        <w:tc>
          <w:tcPr>
            <w:tcW w:w="1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60"/>
              <w:spacing w:after="0" w:line="143" w:lineRule="exact"/>
              <w:rPr>
                <w:sz w:val="20"/>
                <w:szCs w:val="20"/>
                <w:color w:val="auto"/>
              </w:rPr>
            </w:pPr>
            <w:r>
              <w:rPr>
                <w:rFonts w:ascii="Arial" w:cs="Arial" w:eastAsia="Arial" w:hAnsi="Arial"/>
                <w:sz w:val="14"/>
                <w:szCs w:val="14"/>
                <w:color w:val="auto"/>
              </w:rPr>
              <w:t>10</w:t>
            </w:r>
          </w:p>
        </w:tc>
        <w:tc>
          <w:tcPr>
            <w:tcW w:w="820" w:type="dxa"/>
            <w:vAlign w:val="bottom"/>
            <w:gridSpan w:val="2"/>
            <w:shd w:val="clear" w:color="auto" w:fill="CCEEFF"/>
          </w:tcPr>
          <w:p>
            <w:pPr>
              <w:jc w:val="right"/>
              <w:ind w:right="160"/>
              <w:spacing w:after="0" w:line="143" w:lineRule="exact"/>
              <w:rPr>
                <w:sz w:val="20"/>
                <w:szCs w:val="20"/>
                <w:color w:val="auto"/>
              </w:rPr>
            </w:pPr>
            <w:r>
              <w:rPr>
                <w:rFonts w:ascii="Arial" w:cs="Arial" w:eastAsia="Arial" w:hAnsi="Arial"/>
                <w:sz w:val="14"/>
                <w:szCs w:val="14"/>
                <w:color w:val="auto"/>
              </w:rPr>
              <w:t>798</w:t>
            </w:r>
          </w:p>
        </w:tc>
        <w:tc>
          <w:tcPr>
            <w:tcW w:w="700" w:type="dxa"/>
            <w:vAlign w:val="bottom"/>
            <w:gridSpan w:val="2"/>
            <w:shd w:val="clear" w:color="auto" w:fill="CCEEFF"/>
          </w:tcPr>
          <w:p>
            <w:pPr>
              <w:jc w:val="right"/>
              <w:ind w:right="80"/>
              <w:spacing w:after="0" w:line="143" w:lineRule="exact"/>
              <w:rPr>
                <w:sz w:val="20"/>
                <w:szCs w:val="20"/>
                <w:color w:val="auto"/>
              </w:rPr>
            </w:pPr>
            <w:r>
              <w:rPr>
                <w:rFonts w:ascii="Arial" w:cs="Arial" w:eastAsia="Arial" w:hAnsi="Arial"/>
                <w:sz w:val="14"/>
                <w:szCs w:val="14"/>
                <w:color w:val="auto"/>
              </w:rPr>
              <w:t>243</w:t>
            </w:r>
          </w:p>
        </w:tc>
        <w:tc>
          <w:tcPr>
            <w:tcW w:w="0" w:type="dxa"/>
            <w:vAlign w:val="bottom"/>
          </w:tcPr>
          <w:p>
            <w:pPr>
              <w:spacing w:after="0"/>
              <w:rPr>
                <w:sz w:val="1"/>
                <w:szCs w:val="1"/>
                <w:color w:val="auto"/>
              </w:rPr>
            </w:pPr>
          </w:p>
        </w:tc>
      </w:tr>
      <w:tr>
        <w:trPr>
          <w:trHeight w:val="124"/>
        </w:trPr>
        <w:tc>
          <w:tcPr>
            <w:tcW w:w="1040" w:type="dxa"/>
            <w:vAlign w:val="bottom"/>
            <w:gridSpan w:val="3"/>
          </w:tcPr>
          <w:p>
            <w:pPr>
              <w:spacing w:after="0" w:line="125" w:lineRule="exact"/>
              <w:rPr>
                <w:sz w:val="20"/>
                <w:szCs w:val="20"/>
                <w:color w:val="auto"/>
              </w:rPr>
            </w:pPr>
            <w:r>
              <w:rPr>
                <w:rFonts w:ascii="Arial" w:cs="Arial" w:eastAsia="Arial" w:hAnsi="Arial"/>
                <w:sz w:val="14"/>
                <w:szCs w:val="14"/>
                <w:color w:val="auto"/>
              </w:rPr>
              <w:t>Investment</w:t>
            </w:r>
          </w:p>
        </w:tc>
        <w:tc>
          <w:tcPr>
            <w:tcW w:w="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4"/>
        </w:trPr>
        <w:tc>
          <w:tcPr>
            <w:tcW w:w="1040" w:type="dxa"/>
            <w:vAlign w:val="bottom"/>
            <w:gridSpan w:val="3"/>
          </w:tcPr>
          <w:p>
            <w:pPr>
              <w:spacing w:after="0"/>
              <w:rPr>
                <w:sz w:val="20"/>
                <w:szCs w:val="20"/>
                <w:color w:val="auto"/>
              </w:rPr>
            </w:pPr>
            <w:r>
              <w:rPr>
                <w:rFonts w:ascii="Arial" w:cs="Arial" w:eastAsia="Arial" w:hAnsi="Arial"/>
                <w:sz w:val="14"/>
                <w:szCs w:val="14"/>
                <w:color w:val="auto"/>
              </w:rPr>
              <w:t>banking</w:t>
            </w:r>
          </w:p>
        </w:tc>
        <w:tc>
          <w:tcPr>
            <w:tcW w:w="960" w:type="dxa"/>
            <w:vAlign w:val="bottom"/>
            <w:gridSpan w:val="2"/>
          </w:tcPr>
          <w:p>
            <w:pPr>
              <w:jc w:val="right"/>
              <w:spacing w:after="0"/>
              <w:rPr>
                <w:sz w:val="20"/>
                <w:szCs w:val="20"/>
                <w:color w:val="auto"/>
              </w:rPr>
            </w:pPr>
            <w:r>
              <w:rPr>
                <w:rFonts w:ascii="Arial" w:cs="Arial" w:eastAsia="Arial" w:hAnsi="Arial"/>
                <w:sz w:val="14"/>
                <w:szCs w:val="14"/>
                <w:color w:val="auto"/>
              </w:rPr>
              <w:t>791</w:t>
            </w:r>
          </w:p>
        </w:tc>
        <w:tc>
          <w:tcPr>
            <w:tcW w:w="60" w:type="dxa"/>
            <w:vAlign w:val="bottom"/>
          </w:tcPr>
          <w:p>
            <w:pPr>
              <w:spacing w:after="0"/>
              <w:rPr>
                <w:sz w:val="15"/>
                <w:szCs w:val="15"/>
                <w:color w:val="auto"/>
              </w:rPr>
            </w:pPr>
          </w:p>
        </w:tc>
        <w:tc>
          <w:tcPr>
            <w:tcW w:w="900" w:type="dxa"/>
            <w:vAlign w:val="bottom"/>
            <w:gridSpan w:val="5"/>
          </w:tcPr>
          <w:p>
            <w:pPr>
              <w:jc w:val="right"/>
              <w:ind w:right="120"/>
              <w:spacing w:after="0"/>
              <w:rPr>
                <w:sz w:val="20"/>
                <w:szCs w:val="20"/>
                <w:color w:val="auto"/>
              </w:rPr>
            </w:pPr>
            <w:r>
              <w:rPr>
                <w:rFonts w:ascii="Arial" w:cs="Arial" w:eastAsia="Arial" w:hAnsi="Arial"/>
                <w:sz w:val="14"/>
                <w:szCs w:val="14"/>
                <w:color w:val="auto"/>
              </w:rPr>
              <w:t>(12)</w:t>
            </w: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4"/>
                <w:szCs w:val="14"/>
                <w:color w:val="auto"/>
              </w:rPr>
              <w:t>(22)</w:t>
            </w:r>
          </w:p>
        </w:tc>
        <w:tc>
          <w:tcPr>
            <w:tcW w:w="1020" w:type="dxa"/>
            <w:vAlign w:val="bottom"/>
          </w:tcPr>
          <w:p>
            <w:pPr>
              <w:jc w:val="right"/>
              <w:spacing w:after="0"/>
              <w:rPr>
                <w:sz w:val="20"/>
                <w:szCs w:val="20"/>
                <w:color w:val="auto"/>
              </w:rPr>
            </w:pPr>
            <w:r>
              <w:rPr>
                <w:rFonts w:ascii="Arial" w:cs="Arial" w:eastAsia="Arial" w:hAnsi="Arial"/>
                <w:sz w:val="14"/>
                <w:szCs w:val="14"/>
                <w:color w:val="auto"/>
              </w:rPr>
              <w:t>7</w:t>
            </w:r>
          </w:p>
        </w:tc>
        <w:tc>
          <w:tcPr>
            <w:tcW w:w="1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130</w:t>
            </w:r>
          </w:p>
        </w:tc>
        <w:tc>
          <w:tcPr>
            <w:tcW w:w="160" w:type="dxa"/>
            <w:vAlign w:val="bottom"/>
          </w:tcPr>
          <w:p>
            <w:pPr>
              <w:spacing w:after="0"/>
              <w:rPr>
                <w:sz w:val="15"/>
                <w:szCs w:val="15"/>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(33)</w:t>
            </w:r>
          </w:p>
        </w:tc>
        <w:tc>
          <w:tcPr>
            <w:tcW w:w="620" w:type="dxa"/>
            <w:vAlign w:val="bottom"/>
          </w:tcPr>
          <w:p>
            <w:pPr>
              <w:jc w:val="right"/>
              <w:spacing w:after="0"/>
              <w:rPr>
                <w:sz w:val="20"/>
                <w:szCs w:val="20"/>
                <w:color w:val="auto"/>
              </w:rPr>
            </w:pPr>
            <w:r>
              <w:rPr>
                <w:rFonts w:ascii="Arial" w:cs="Arial" w:eastAsia="Arial" w:hAnsi="Arial"/>
                <w:sz w:val="14"/>
                <w:szCs w:val="14"/>
                <w:color w:val="auto"/>
              </w:rPr>
              <w:t>97</w:t>
            </w:r>
          </w:p>
        </w:tc>
        <w:tc>
          <w:tcPr>
            <w:tcW w:w="160" w:type="dxa"/>
            <w:vAlign w:val="bottom"/>
          </w:tcPr>
          <w:p>
            <w:pPr>
              <w:spacing w:after="0"/>
              <w:rPr>
                <w:sz w:val="15"/>
                <w:szCs w:val="15"/>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8</w:t>
            </w: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12,687</w:t>
            </w:r>
          </w:p>
        </w:tc>
        <w:tc>
          <w:tcPr>
            <w:tcW w:w="700" w:type="dxa"/>
            <w:vAlign w:val="bottom"/>
            <w:gridSpan w:val="2"/>
          </w:tcPr>
          <w:p>
            <w:pPr>
              <w:jc w:val="right"/>
              <w:ind w:right="80"/>
              <w:spacing w:after="0"/>
              <w:rPr>
                <w:sz w:val="20"/>
                <w:szCs w:val="20"/>
                <w:color w:val="auto"/>
              </w:rPr>
            </w:pPr>
            <w:r>
              <w:rPr>
                <w:rFonts w:ascii="Arial" w:cs="Arial" w:eastAsia="Arial" w:hAnsi="Arial"/>
                <w:sz w:val="14"/>
                <w:szCs w:val="14"/>
                <w:color w:val="auto"/>
              </w:rPr>
              <w:t>11,243</w:t>
            </w:r>
          </w:p>
        </w:tc>
        <w:tc>
          <w:tcPr>
            <w:tcW w:w="0" w:type="dxa"/>
            <w:vAlign w:val="bottom"/>
          </w:tcPr>
          <w:p>
            <w:pPr>
              <w:spacing w:after="0"/>
              <w:rPr>
                <w:sz w:val="1"/>
                <w:szCs w:val="1"/>
                <w:color w:val="auto"/>
              </w:rPr>
            </w:pPr>
          </w:p>
        </w:tc>
      </w:tr>
      <w:tr>
        <w:trPr>
          <w:trHeight w:val="100"/>
        </w:trPr>
        <w:tc>
          <w:tcPr>
            <w:tcW w:w="1040" w:type="dxa"/>
            <w:vAlign w:val="bottom"/>
            <w:tcBorders>
              <w:top w:val="single" w:sz="8" w:color="CCEEFF"/>
            </w:tcBorders>
            <w:gridSpan w:val="3"/>
            <w:shd w:val="clear" w:color="auto" w:fill="CCEEFF"/>
          </w:tcPr>
          <w:p>
            <w:pPr>
              <w:spacing w:after="0" w:line="101" w:lineRule="exact"/>
              <w:rPr>
                <w:sz w:val="20"/>
                <w:szCs w:val="20"/>
                <w:color w:val="auto"/>
              </w:rPr>
            </w:pPr>
            <w:r>
              <w:rPr>
                <w:rFonts w:ascii="Arial" w:cs="Arial" w:eastAsia="Arial" w:hAnsi="Arial"/>
                <w:sz w:val="10"/>
                <w:szCs w:val="10"/>
                <w:b w:val="1"/>
                <w:bCs w:val="1"/>
                <w:color w:val="auto"/>
              </w:rPr>
              <w:t>Total</w:t>
            </w:r>
          </w:p>
        </w:tc>
        <w:tc>
          <w:tcPr>
            <w:tcW w:w="20" w:type="dxa"/>
            <w:vAlign w:val="bottom"/>
            <w:tcBorders>
              <w:top w:val="single" w:sz="8" w:color="auto"/>
            </w:tcBorders>
            <w:shd w:val="clear" w:color="auto" w:fill="CCEEFF"/>
          </w:tcPr>
          <w:p>
            <w:pPr>
              <w:spacing w:after="0"/>
              <w:rPr>
                <w:sz w:val="8"/>
                <w:szCs w:val="8"/>
                <w:color w:val="auto"/>
              </w:rPr>
            </w:pPr>
          </w:p>
        </w:tc>
        <w:tc>
          <w:tcPr>
            <w:tcW w:w="940" w:type="dxa"/>
            <w:vAlign w:val="bottom"/>
            <w:tcBorders>
              <w:top w:val="single" w:sz="8" w:color="auto"/>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auto"/>
            </w:tcBorders>
            <w:shd w:val="clear" w:color="auto" w:fill="CCEEFF"/>
          </w:tcPr>
          <w:p>
            <w:pPr>
              <w:spacing w:after="0"/>
              <w:rPr>
                <w:sz w:val="8"/>
                <w:szCs w:val="8"/>
                <w:color w:val="auto"/>
              </w:rPr>
            </w:pPr>
          </w:p>
        </w:tc>
        <w:tc>
          <w:tcPr>
            <w:tcW w:w="660" w:type="dxa"/>
            <w:vAlign w:val="bottom"/>
            <w:tcBorders>
              <w:top w:val="single" w:sz="8" w:color="auto"/>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140" w:type="dxa"/>
            <w:vAlign w:val="bottom"/>
            <w:tcBorders>
              <w:top w:val="single" w:sz="8" w:color="CCEEFF"/>
            </w:tcBorders>
            <w:shd w:val="clear" w:color="auto" w:fill="CCEEFF"/>
          </w:tcPr>
          <w:p>
            <w:pPr>
              <w:spacing w:after="0"/>
              <w:rPr>
                <w:sz w:val="8"/>
                <w:szCs w:val="8"/>
                <w:color w:val="auto"/>
              </w:rPr>
            </w:pPr>
          </w:p>
        </w:tc>
        <w:tc>
          <w:tcPr>
            <w:tcW w:w="860" w:type="dxa"/>
            <w:vAlign w:val="bottom"/>
            <w:tcBorders>
              <w:top w:val="single" w:sz="8" w:color="auto"/>
            </w:tcBorders>
            <w:shd w:val="clear" w:color="auto" w:fill="CCEEFF"/>
          </w:tcPr>
          <w:p>
            <w:pPr>
              <w:spacing w:after="0"/>
              <w:rPr>
                <w:sz w:val="8"/>
                <w:szCs w:val="8"/>
                <w:color w:val="auto"/>
              </w:rPr>
            </w:pPr>
          </w:p>
        </w:tc>
        <w:tc>
          <w:tcPr>
            <w:tcW w:w="140" w:type="dxa"/>
            <w:vAlign w:val="bottom"/>
            <w:tcBorders>
              <w:top w:val="single" w:sz="8" w:color="CCEEFF"/>
            </w:tcBorders>
            <w:shd w:val="clear" w:color="auto" w:fill="CCEEFF"/>
          </w:tcPr>
          <w:p>
            <w:pPr>
              <w:spacing w:after="0"/>
              <w:rPr>
                <w:sz w:val="8"/>
                <w:szCs w:val="8"/>
                <w:color w:val="auto"/>
              </w:rPr>
            </w:pPr>
          </w:p>
        </w:tc>
        <w:tc>
          <w:tcPr>
            <w:tcW w:w="1020" w:type="dxa"/>
            <w:vAlign w:val="bottom"/>
            <w:tcBorders>
              <w:top w:val="single" w:sz="8" w:color="auto"/>
            </w:tcBorders>
            <w:shd w:val="clear" w:color="auto" w:fill="CCEEFF"/>
          </w:tcPr>
          <w:p>
            <w:pPr>
              <w:spacing w:after="0"/>
              <w:rPr>
                <w:sz w:val="8"/>
                <w:szCs w:val="8"/>
                <w:color w:val="auto"/>
              </w:rPr>
            </w:pPr>
          </w:p>
        </w:tc>
        <w:tc>
          <w:tcPr>
            <w:tcW w:w="160" w:type="dxa"/>
            <w:vAlign w:val="bottom"/>
            <w:tcBorders>
              <w:top w:val="single" w:sz="8" w:color="CCEEFF"/>
            </w:tcBorders>
            <w:shd w:val="clear" w:color="auto" w:fill="CCEEFF"/>
          </w:tcPr>
          <w:p>
            <w:pPr>
              <w:spacing w:after="0"/>
              <w:rPr>
                <w:sz w:val="8"/>
                <w:szCs w:val="8"/>
                <w:color w:val="auto"/>
              </w:rPr>
            </w:pPr>
          </w:p>
        </w:tc>
        <w:tc>
          <w:tcPr>
            <w:tcW w:w="1020" w:type="dxa"/>
            <w:vAlign w:val="bottom"/>
            <w:tcBorders>
              <w:top w:val="single" w:sz="8" w:color="auto"/>
            </w:tcBorders>
            <w:shd w:val="clear" w:color="auto" w:fill="CCEEFF"/>
          </w:tcPr>
          <w:p>
            <w:pPr>
              <w:spacing w:after="0"/>
              <w:rPr>
                <w:sz w:val="8"/>
                <w:szCs w:val="8"/>
                <w:color w:val="auto"/>
              </w:rPr>
            </w:pPr>
          </w:p>
        </w:tc>
        <w:tc>
          <w:tcPr>
            <w:tcW w:w="160" w:type="dxa"/>
            <w:vAlign w:val="bottom"/>
            <w:tcBorders>
              <w:top w:val="single" w:sz="8" w:color="CCEEFF"/>
            </w:tcBorders>
            <w:shd w:val="clear" w:color="auto" w:fill="CCEEFF"/>
          </w:tcPr>
          <w:p>
            <w:pPr>
              <w:spacing w:after="0"/>
              <w:rPr>
                <w:sz w:val="8"/>
                <w:szCs w:val="8"/>
                <w:color w:val="auto"/>
              </w:rPr>
            </w:pPr>
          </w:p>
        </w:tc>
        <w:tc>
          <w:tcPr>
            <w:tcW w:w="860" w:type="dxa"/>
            <w:vAlign w:val="bottom"/>
            <w:tcBorders>
              <w:top w:val="single" w:sz="8" w:color="auto"/>
            </w:tcBorders>
            <w:shd w:val="clear" w:color="auto" w:fill="CCEEFF"/>
          </w:tcPr>
          <w:p>
            <w:pPr>
              <w:spacing w:after="0"/>
              <w:rPr>
                <w:sz w:val="8"/>
                <w:szCs w:val="8"/>
                <w:color w:val="auto"/>
              </w:rPr>
            </w:pPr>
          </w:p>
        </w:tc>
        <w:tc>
          <w:tcPr>
            <w:tcW w:w="160" w:type="dxa"/>
            <w:vAlign w:val="bottom"/>
            <w:tcBorders>
              <w:top w:val="single" w:sz="8" w:color="CCEEFF"/>
            </w:tcBorders>
            <w:shd w:val="clear" w:color="auto" w:fill="CCEEFF"/>
          </w:tcPr>
          <w:p>
            <w:pPr>
              <w:spacing w:after="0"/>
              <w:rPr>
                <w:sz w:val="8"/>
                <w:szCs w:val="8"/>
                <w:color w:val="auto"/>
              </w:rPr>
            </w:pPr>
          </w:p>
        </w:tc>
        <w:tc>
          <w:tcPr>
            <w:tcW w:w="660" w:type="dxa"/>
            <w:vAlign w:val="bottom"/>
            <w:tcBorders>
              <w:top w:val="single" w:sz="8" w:color="auto"/>
            </w:tcBorders>
            <w:shd w:val="clear" w:color="auto" w:fill="CCEEFF"/>
          </w:tcPr>
          <w:p>
            <w:pPr>
              <w:spacing w:after="0"/>
              <w:rPr>
                <w:sz w:val="8"/>
                <w:szCs w:val="8"/>
                <w:color w:val="auto"/>
              </w:rPr>
            </w:pPr>
          </w:p>
        </w:tc>
        <w:tc>
          <w:tcPr>
            <w:tcW w:w="160" w:type="dxa"/>
            <w:vAlign w:val="bottom"/>
            <w:tcBorders>
              <w:top w:val="single" w:sz="8" w:color="CCEEFF"/>
            </w:tcBorders>
            <w:shd w:val="clear" w:color="auto" w:fill="CCEEFF"/>
          </w:tcPr>
          <w:p>
            <w:pPr>
              <w:spacing w:after="0"/>
              <w:rPr>
                <w:sz w:val="8"/>
                <w:szCs w:val="8"/>
                <w:color w:val="auto"/>
              </w:rPr>
            </w:pPr>
          </w:p>
        </w:tc>
        <w:tc>
          <w:tcPr>
            <w:tcW w:w="620" w:type="dxa"/>
            <w:vAlign w:val="bottom"/>
            <w:tcBorders>
              <w:top w:val="single" w:sz="8" w:color="auto"/>
            </w:tcBorders>
            <w:shd w:val="clear" w:color="auto" w:fill="CCEEFF"/>
          </w:tcPr>
          <w:p>
            <w:pPr>
              <w:spacing w:after="0"/>
              <w:rPr>
                <w:sz w:val="8"/>
                <w:szCs w:val="8"/>
                <w:color w:val="auto"/>
              </w:rPr>
            </w:pPr>
          </w:p>
        </w:tc>
        <w:tc>
          <w:tcPr>
            <w:tcW w:w="160" w:type="dxa"/>
            <w:vAlign w:val="bottom"/>
            <w:tcBorders>
              <w:top w:val="single" w:sz="8" w:color="CCEEFF"/>
            </w:tcBorders>
            <w:shd w:val="clear" w:color="auto" w:fill="CCEEFF"/>
          </w:tcPr>
          <w:p>
            <w:pPr>
              <w:spacing w:after="0"/>
              <w:rPr>
                <w:sz w:val="8"/>
                <w:szCs w:val="8"/>
                <w:color w:val="auto"/>
              </w:rPr>
            </w:pPr>
          </w:p>
        </w:tc>
        <w:tc>
          <w:tcPr>
            <w:tcW w:w="800" w:type="dxa"/>
            <w:vAlign w:val="bottom"/>
            <w:tcBorders>
              <w:top w:val="single" w:sz="8" w:color="auto"/>
            </w:tcBorders>
            <w:shd w:val="clear" w:color="auto" w:fill="CCEEFF"/>
          </w:tcPr>
          <w:p>
            <w:pPr>
              <w:spacing w:after="0"/>
              <w:rPr>
                <w:sz w:val="8"/>
                <w:szCs w:val="8"/>
                <w:color w:val="auto"/>
              </w:rPr>
            </w:pPr>
          </w:p>
        </w:tc>
        <w:tc>
          <w:tcPr>
            <w:tcW w:w="160" w:type="dxa"/>
            <w:vAlign w:val="bottom"/>
            <w:tcBorders>
              <w:top w:val="single" w:sz="8" w:color="CCEEFF"/>
            </w:tcBorders>
            <w:shd w:val="clear" w:color="auto" w:fill="CCEEFF"/>
          </w:tcPr>
          <w:p>
            <w:pPr>
              <w:spacing w:after="0"/>
              <w:rPr>
                <w:sz w:val="8"/>
                <w:szCs w:val="8"/>
                <w:color w:val="auto"/>
              </w:rPr>
            </w:pPr>
          </w:p>
        </w:tc>
        <w:tc>
          <w:tcPr>
            <w:tcW w:w="660" w:type="dxa"/>
            <w:vAlign w:val="bottom"/>
            <w:tcBorders>
              <w:top w:val="single" w:sz="8" w:color="auto"/>
            </w:tcBorders>
            <w:shd w:val="clear" w:color="auto" w:fill="CCEEFF"/>
          </w:tcPr>
          <w:p>
            <w:pPr>
              <w:spacing w:after="0"/>
              <w:rPr>
                <w:sz w:val="8"/>
                <w:szCs w:val="8"/>
                <w:color w:val="auto"/>
              </w:rPr>
            </w:pPr>
          </w:p>
        </w:tc>
        <w:tc>
          <w:tcPr>
            <w:tcW w:w="160" w:type="dxa"/>
            <w:vAlign w:val="bottom"/>
            <w:tcBorders>
              <w:top w:val="single" w:sz="8" w:color="CCEEFF"/>
            </w:tcBorders>
            <w:shd w:val="clear" w:color="auto" w:fill="CCEEFF"/>
          </w:tcPr>
          <w:p>
            <w:pPr>
              <w:spacing w:after="0"/>
              <w:rPr>
                <w:sz w:val="8"/>
                <w:szCs w:val="8"/>
                <w:color w:val="auto"/>
              </w:rPr>
            </w:pPr>
          </w:p>
        </w:tc>
        <w:tc>
          <w:tcPr>
            <w:tcW w:w="62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91"/>
        </w:trPr>
        <w:tc>
          <w:tcPr>
            <w:tcW w:w="1040" w:type="dxa"/>
            <w:vAlign w:val="bottom"/>
            <w:gridSpan w:val="3"/>
            <w:shd w:val="clear" w:color="auto" w:fill="CCEEFF"/>
          </w:tcPr>
          <w:p>
            <w:pPr>
              <w:spacing w:after="0"/>
              <w:rPr>
                <w:sz w:val="20"/>
                <w:szCs w:val="20"/>
                <w:color w:val="auto"/>
              </w:rPr>
            </w:pPr>
            <w:r>
              <w:rPr>
                <w:rFonts w:ascii="Arial" w:cs="Arial" w:eastAsia="Arial" w:hAnsi="Arial"/>
                <w:sz w:val="14"/>
                <w:szCs w:val="14"/>
                <w:b w:val="1"/>
                <w:bCs w:val="1"/>
                <w:color w:val="auto"/>
              </w:rPr>
              <w:t>consolidated</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17,728</w:t>
            </w:r>
          </w:p>
        </w:tc>
        <w:tc>
          <w:tcPr>
            <w:tcW w:w="60" w:type="dxa"/>
            <w:vAlign w:val="bottom"/>
            <w:shd w:val="clear" w:color="auto" w:fill="CCEEFF"/>
          </w:tcPr>
          <w:p>
            <w:pPr>
              <w:spacing w:after="0"/>
              <w:rPr>
                <w:sz w:val="16"/>
                <w:szCs w:val="16"/>
                <w:color w:val="auto"/>
              </w:rPr>
            </w:pPr>
          </w:p>
        </w:tc>
        <w:tc>
          <w:tcPr>
            <w:tcW w:w="760" w:type="dxa"/>
            <w:vAlign w:val="bottom"/>
            <w:gridSpan w:val="4"/>
            <w:shd w:val="clear" w:color="auto" w:fill="CCEEFF"/>
          </w:tcPr>
          <w:p>
            <w:pPr>
              <w:jc w:val="right"/>
              <w:ind w:right="20"/>
              <w:spacing w:after="0"/>
              <w:rPr>
                <w:sz w:val="20"/>
                <w:szCs w:val="20"/>
                <w:color w:val="auto"/>
              </w:rPr>
            </w:pPr>
            <w:r>
              <w:rPr>
                <w:rFonts w:ascii="Arial" w:cs="Arial" w:eastAsia="Arial" w:hAnsi="Arial"/>
                <w:sz w:val="14"/>
                <w:szCs w:val="14"/>
                <w:color w:val="auto"/>
              </w:rPr>
              <w:t>8,762</w:t>
            </w:r>
          </w:p>
        </w:tc>
        <w:tc>
          <w:tcPr>
            <w:tcW w:w="14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00"/>
              <w:spacing w:after="0" w:line="191" w:lineRule="exact"/>
              <w:rPr>
                <w:sz w:val="20"/>
                <w:szCs w:val="20"/>
                <w:color w:val="auto"/>
              </w:rPr>
            </w:pPr>
            <w:r>
              <w:rPr>
                <w:rFonts w:ascii="Arial" w:cs="Arial" w:eastAsia="Arial" w:hAnsi="Arial"/>
                <w:sz w:val="12"/>
                <w:szCs w:val="12"/>
                <w:color w:val="auto"/>
              </w:rPr>
              <w:t>(1,789</w:t>
            </w:r>
            <w:r>
              <w:rPr>
                <w:rFonts w:ascii="Arial" w:cs="Arial" w:eastAsia="Arial" w:hAnsi="Arial"/>
                <w:sz w:val="22"/>
                <w:szCs w:val="22"/>
                <w:color w:val="auto"/>
                <w:vertAlign w:val="superscript"/>
              </w:rPr>
              <w:t>)</w:t>
            </w:r>
          </w:p>
        </w:tc>
        <w:tc>
          <w:tcPr>
            <w:tcW w:w="1180" w:type="dxa"/>
            <w:vAlign w:val="bottom"/>
            <w:gridSpan w:val="2"/>
            <w:shd w:val="clear" w:color="auto" w:fill="CCEEFF"/>
          </w:tcPr>
          <w:p>
            <w:pPr>
              <w:jc w:val="right"/>
              <w:ind w:right="120"/>
              <w:spacing w:after="0" w:line="191" w:lineRule="exact"/>
              <w:rPr>
                <w:sz w:val="20"/>
                <w:szCs w:val="20"/>
                <w:color w:val="auto"/>
              </w:rPr>
            </w:pPr>
            <w:r>
              <w:rPr>
                <w:rFonts w:ascii="Arial" w:cs="Arial" w:eastAsia="Arial" w:hAnsi="Arial"/>
                <w:sz w:val="12"/>
                <w:szCs w:val="12"/>
                <w:color w:val="auto"/>
              </w:rPr>
              <w:t>(420</w:t>
            </w:r>
            <w:r>
              <w:rPr>
                <w:rFonts w:ascii="Arial" w:cs="Arial" w:eastAsia="Arial" w:hAnsi="Arial"/>
                <w:sz w:val="22"/>
                <w:szCs w:val="22"/>
                <w:color w:val="auto"/>
                <w:vertAlign w:val="superscript"/>
              </w:rPr>
              <w:t>)</w:t>
            </w:r>
          </w:p>
        </w:tc>
        <w:tc>
          <w:tcPr>
            <w:tcW w:w="1180" w:type="dxa"/>
            <w:vAlign w:val="bottom"/>
            <w:gridSpan w:val="2"/>
            <w:shd w:val="clear" w:color="auto" w:fill="CCEEFF"/>
          </w:tcPr>
          <w:p>
            <w:pPr>
              <w:jc w:val="right"/>
              <w:ind w:right="120"/>
              <w:spacing w:after="0" w:line="191" w:lineRule="exact"/>
              <w:rPr>
                <w:sz w:val="20"/>
                <w:szCs w:val="20"/>
                <w:color w:val="auto"/>
              </w:rPr>
            </w:pPr>
            <w:r>
              <w:rPr>
                <w:rFonts w:ascii="Arial" w:cs="Arial" w:eastAsia="Arial" w:hAnsi="Arial"/>
                <w:sz w:val="12"/>
                <w:szCs w:val="12"/>
                <w:color w:val="auto"/>
              </w:rPr>
              <w:t>(1</w:t>
            </w:r>
            <w:r>
              <w:rPr>
                <w:rFonts w:ascii="Arial" w:cs="Arial" w:eastAsia="Arial" w:hAnsi="Arial"/>
                <w:sz w:val="22"/>
                <w:szCs w:val="22"/>
                <w:color w:val="auto"/>
                <w:vertAlign w:val="superscript"/>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5,575</w:t>
            </w:r>
          </w:p>
        </w:tc>
        <w:tc>
          <w:tcPr>
            <w:tcW w:w="820" w:type="dxa"/>
            <w:vAlign w:val="bottom"/>
            <w:gridSpan w:val="2"/>
            <w:shd w:val="clear" w:color="auto" w:fill="CCEEFF"/>
          </w:tcPr>
          <w:p>
            <w:pPr>
              <w:jc w:val="right"/>
              <w:ind w:right="100"/>
              <w:spacing w:after="0" w:line="191" w:lineRule="exact"/>
              <w:rPr>
                <w:sz w:val="20"/>
                <w:szCs w:val="20"/>
                <w:color w:val="auto"/>
              </w:rPr>
            </w:pPr>
            <w:r>
              <w:rPr>
                <w:rFonts w:ascii="Arial" w:cs="Arial" w:eastAsia="Arial" w:hAnsi="Arial"/>
                <w:sz w:val="12"/>
                <w:szCs w:val="12"/>
                <w:color w:val="auto"/>
              </w:rPr>
              <w:t>(1,393</w:t>
            </w:r>
            <w:r>
              <w:rPr>
                <w:rFonts w:ascii="Arial" w:cs="Arial" w:eastAsia="Arial" w:hAnsi="Arial"/>
                <w:sz w:val="22"/>
                <w:szCs w:val="22"/>
                <w:color w:val="auto"/>
                <w:vertAlign w:val="superscript"/>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4,182</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416</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170,472</w:t>
            </w: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148,219</w:t>
            </w:r>
          </w:p>
        </w:tc>
        <w:tc>
          <w:tcPr>
            <w:tcW w:w="0" w:type="dxa"/>
            <w:vAlign w:val="bottom"/>
          </w:tcPr>
          <w:p>
            <w:pPr>
              <w:spacing w:after="0"/>
              <w:rPr>
                <w:sz w:val="1"/>
                <w:szCs w:val="1"/>
                <w:color w:val="auto"/>
              </w:rPr>
            </w:pPr>
          </w:p>
        </w:tc>
      </w:tr>
      <w:tr>
        <w:trPr>
          <w:trHeight w:val="20"/>
        </w:trPr>
        <w:tc>
          <w:tcPr>
            <w:tcW w:w="9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7"/>
        </w:trPr>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1"/>
              </w:rPr>
              <w:t>Allowance for</w:t>
            </w: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2"/>
              </w:rPr>
              <w:t>Impairment of</w:t>
            </w: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4"/>
              </w:rPr>
              <w:t>Capital</w:t>
            </w: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3"/>
        </w:trPr>
        <w:tc>
          <w:tcPr>
            <w:tcW w:w="9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2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Operating</w:t>
            </w:r>
          </w:p>
        </w:tc>
        <w:tc>
          <w:tcPr>
            <w:tcW w:w="1000" w:type="dxa"/>
            <w:vAlign w:val="bottom"/>
            <w:gridSpan w:val="2"/>
          </w:tcPr>
          <w:p>
            <w:pPr>
              <w:jc w:val="center"/>
              <w:ind w:right="180"/>
              <w:spacing w:after="0" w:line="143" w:lineRule="exact"/>
              <w:rPr>
                <w:sz w:val="20"/>
                <w:szCs w:val="20"/>
                <w:color w:val="auto"/>
              </w:rPr>
            </w:pPr>
            <w:r>
              <w:rPr>
                <w:rFonts w:ascii="Arial" w:cs="Arial" w:eastAsia="Arial" w:hAnsi="Arial"/>
                <w:sz w:val="14"/>
                <w:szCs w:val="14"/>
                <w:b w:val="1"/>
                <w:bCs w:val="1"/>
                <w:color w:val="auto"/>
                <w:w w:val="82"/>
              </w:rPr>
              <w:t>loan losses,</w:t>
            </w:r>
          </w:p>
        </w:tc>
        <w:tc>
          <w:tcPr>
            <w:tcW w:w="118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rPr>
              <w:t>Depreciation</w:t>
            </w:r>
          </w:p>
        </w:tc>
        <w:tc>
          <w:tcPr>
            <w:tcW w:w="1180" w:type="dxa"/>
            <w:vAlign w:val="bottom"/>
            <w:gridSpan w:val="2"/>
            <w:vMerge w:val="continue"/>
          </w:tcPr>
          <w:p>
            <w:pPr>
              <w:spacing w:after="0"/>
              <w:rPr>
                <w:sz w:val="12"/>
                <w:szCs w:val="12"/>
                <w:color w:val="auto"/>
              </w:rPr>
            </w:pPr>
          </w:p>
        </w:tc>
        <w:tc>
          <w:tcPr>
            <w:tcW w:w="102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7"/>
              </w:rPr>
              <w:t>Income before</w:t>
            </w: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tcPr>
          <w:p>
            <w:pPr>
              <w:jc w:val="center"/>
              <w:ind w:right="160"/>
              <w:spacing w:after="0" w:line="143" w:lineRule="exact"/>
              <w:rPr>
                <w:sz w:val="20"/>
                <w:szCs w:val="20"/>
                <w:color w:val="auto"/>
              </w:rPr>
            </w:pPr>
            <w:r>
              <w:rPr>
                <w:rFonts w:ascii="Arial" w:cs="Arial" w:eastAsia="Arial" w:hAnsi="Arial"/>
                <w:sz w:val="14"/>
                <w:szCs w:val="14"/>
                <w:b w:val="1"/>
                <w:bCs w:val="1"/>
                <w:color w:val="auto"/>
                <w:w w:val="87"/>
              </w:rPr>
              <w:t>expenditures</w:t>
            </w: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3"/>
        </w:trPr>
        <w:tc>
          <w:tcPr>
            <w:tcW w:w="980" w:type="dxa"/>
            <w:vAlign w:val="bottom"/>
            <w:vMerge w:val="restart"/>
          </w:tcPr>
          <w:p>
            <w:pPr>
              <w:spacing w:after="0"/>
              <w:rPr>
                <w:sz w:val="20"/>
                <w:szCs w:val="20"/>
                <w:color w:val="auto"/>
              </w:rPr>
            </w:pPr>
            <w:r>
              <w:rPr>
                <w:rFonts w:ascii="Arial" w:cs="Arial" w:eastAsia="Arial" w:hAnsi="Arial"/>
                <w:sz w:val="14"/>
                <w:szCs w:val="14"/>
                <w:b w:val="1"/>
                <w:bCs w:val="1"/>
                <w:color w:val="auto"/>
              </w:rPr>
              <w:t>2016</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3"/>
              </w:rPr>
              <w:t>Total income (*)</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20" w:type="dxa"/>
            <w:vAlign w:val="bottom"/>
            <w:gridSpan w:val="3"/>
            <w:vMerge w:val="continue"/>
          </w:tcPr>
          <w:p>
            <w:pPr>
              <w:spacing w:after="0"/>
              <w:rPr>
                <w:sz w:val="12"/>
                <w:szCs w:val="12"/>
                <w:color w:val="auto"/>
              </w:rPr>
            </w:pPr>
          </w:p>
        </w:tc>
        <w:tc>
          <w:tcPr>
            <w:tcW w:w="1000" w:type="dxa"/>
            <w:vAlign w:val="bottom"/>
            <w:gridSpan w:val="2"/>
          </w:tcPr>
          <w:p>
            <w:pPr>
              <w:jc w:val="center"/>
              <w:ind w:right="180"/>
              <w:spacing w:after="0" w:line="143" w:lineRule="exact"/>
              <w:rPr>
                <w:sz w:val="20"/>
                <w:szCs w:val="20"/>
                <w:color w:val="auto"/>
              </w:rPr>
            </w:pPr>
            <w:r>
              <w:rPr>
                <w:rFonts w:ascii="Arial" w:cs="Arial" w:eastAsia="Arial" w:hAnsi="Arial"/>
                <w:sz w:val="14"/>
                <w:szCs w:val="14"/>
                <w:b w:val="1"/>
                <w:bCs w:val="1"/>
                <w:color w:val="auto"/>
                <w:w w:val="89"/>
              </w:rPr>
              <w:t>net of</w:t>
            </w:r>
          </w:p>
        </w:tc>
        <w:tc>
          <w:tcPr>
            <w:tcW w:w="1180" w:type="dxa"/>
            <w:vAlign w:val="bottom"/>
            <w:gridSpan w:val="2"/>
            <w:vMerge w:val="continue"/>
          </w:tcPr>
          <w:p>
            <w:pPr>
              <w:spacing w:after="0"/>
              <w:rPr>
                <w:sz w:val="12"/>
                <w:szCs w:val="12"/>
                <w:color w:val="auto"/>
              </w:rPr>
            </w:pPr>
          </w:p>
        </w:tc>
        <w:tc>
          <w:tcPr>
            <w:tcW w:w="1180" w:type="dxa"/>
            <w:vAlign w:val="bottom"/>
            <w:gridSpan w:val="2"/>
          </w:tcPr>
          <w:p>
            <w:pPr>
              <w:jc w:val="center"/>
              <w:ind w:right="180"/>
              <w:spacing w:after="0" w:line="143" w:lineRule="exact"/>
              <w:rPr>
                <w:sz w:val="20"/>
                <w:szCs w:val="20"/>
                <w:color w:val="auto"/>
              </w:rPr>
            </w:pPr>
            <w:r>
              <w:rPr>
                <w:rFonts w:ascii="Arial" w:cs="Arial" w:eastAsia="Arial" w:hAnsi="Arial"/>
                <w:sz w:val="14"/>
                <w:szCs w:val="14"/>
                <w:b w:val="1"/>
                <w:bCs w:val="1"/>
                <w:color w:val="auto"/>
                <w:w w:val="88"/>
              </w:rPr>
              <w:t>available for sale</w:t>
            </w:r>
          </w:p>
        </w:tc>
        <w:tc>
          <w:tcPr>
            <w:tcW w:w="1020" w:type="dxa"/>
            <w:vAlign w:val="bottom"/>
            <w:gridSpan w:val="2"/>
            <w:vMerge w:val="continue"/>
          </w:tcPr>
          <w:p>
            <w:pPr>
              <w:spacing w:after="0"/>
              <w:rPr>
                <w:sz w:val="12"/>
                <w:szCs w:val="12"/>
                <w:color w:val="auto"/>
              </w:rPr>
            </w:pPr>
          </w:p>
        </w:tc>
        <w:tc>
          <w:tcPr>
            <w:tcW w:w="820" w:type="dxa"/>
            <w:vAlign w:val="bottom"/>
            <w:gridSpan w:val="2"/>
            <w:vMerge w:val="restart"/>
          </w:tcPr>
          <w:p>
            <w:pPr>
              <w:jc w:val="right"/>
              <w:ind w:right="160"/>
              <w:spacing w:after="0"/>
              <w:rPr>
                <w:sz w:val="20"/>
                <w:szCs w:val="20"/>
                <w:color w:val="auto"/>
              </w:rPr>
            </w:pPr>
            <w:r>
              <w:rPr>
                <w:rFonts w:ascii="Arial" w:cs="Arial" w:eastAsia="Arial" w:hAnsi="Arial"/>
                <w:sz w:val="14"/>
                <w:szCs w:val="14"/>
                <w:b w:val="1"/>
                <w:bCs w:val="1"/>
                <w:color w:val="auto"/>
                <w:w w:val="87"/>
              </w:rPr>
              <w:t>Income tax</w:t>
            </w:r>
          </w:p>
        </w:tc>
        <w:tc>
          <w:tcPr>
            <w:tcW w:w="780" w:type="dxa"/>
            <w:vAlign w:val="bottom"/>
            <w:gridSpan w:val="2"/>
            <w:vMerge w:val="restart"/>
          </w:tcPr>
          <w:p>
            <w:pPr>
              <w:jc w:val="right"/>
              <w:ind w:right="180"/>
              <w:spacing w:after="0"/>
              <w:rPr>
                <w:sz w:val="20"/>
                <w:szCs w:val="20"/>
                <w:color w:val="auto"/>
              </w:rPr>
            </w:pPr>
            <w:r>
              <w:rPr>
                <w:rFonts w:ascii="Arial" w:cs="Arial" w:eastAsia="Arial" w:hAnsi="Arial"/>
                <w:sz w:val="14"/>
                <w:szCs w:val="14"/>
                <w:b w:val="1"/>
                <w:bCs w:val="1"/>
                <w:color w:val="auto"/>
                <w:w w:val="93"/>
              </w:rPr>
              <w:t>Net profit</w:t>
            </w:r>
          </w:p>
        </w:tc>
        <w:tc>
          <w:tcPr>
            <w:tcW w:w="960" w:type="dxa"/>
            <w:vAlign w:val="bottom"/>
            <w:gridSpan w:val="2"/>
          </w:tcPr>
          <w:p>
            <w:pPr>
              <w:jc w:val="center"/>
              <w:ind w:right="200"/>
              <w:spacing w:after="0" w:line="143" w:lineRule="exact"/>
              <w:rPr>
                <w:sz w:val="20"/>
                <w:szCs w:val="20"/>
                <w:color w:val="auto"/>
              </w:rPr>
            </w:pPr>
            <w:r>
              <w:rPr>
                <w:rFonts w:ascii="Arial" w:cs="Arial" w:eastAsia="Arial" w:hAnsi="Arial"/>
                <w:sz w:val="14"/>
                <w:szCs w:val="14"/>
                <w:b w:val="1"/>
                <w:bCs w:val="1"/>
                <w:color w:val="auto"/>
                <w:w w:val="86"/>
              </w:rPr>
              <w:t>intangibles</w:t>
            </w:r>
          </w:p>
        </w:tc>
        <w:tc>
          <w:tcPr>
            <w:tcW w:w="820" w:type="dxa"/>
            <w:vAlign w:val="bottom"/>
            <w:gridSpan w:val="2"/>
            <w:vMerge w:val="restart"/>
          </w:tcPr>
          <w:p>
            <w:pPr>
              <w:jc w:val="right"/>
              <w:ind w:right="160"/>
              <w:spacing w:after="0"/>
              <w:rPr>
                <w:sz w:val="20"/>
                <w:szCs w:val="20"/>
                <w:color w:val="auto"/>
              </w:rPr>
            </w:pPr>
            <w:r>
              <w:rPr>
                <w:rFonts w:ascii="Arial" w:cs="Arial" w:eastAsia="Arial" w:hAnsi="Arial"/>
                <w:sz w:val="14"/>
                <w:szCs w:val="14"/>
                <w:b w:val="1"/>
                <w:bCs w:val="1"/>
                <w:color w:val="auto"/>
                <w:w w:val="79"/>
              </w:rPr>
              <w:t>Total assets</w:t>
            </w:r>
          </w:p>
        </w:tc>
        <w:tc>
          <w:tcPr>
            <w:tcW w:w="7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98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gridSpan w:val="4"/>
          </w:tcPr>
          <w:p>
            <w:pPr>
              <w:ind w:left="20"/>
              <w:spacing w:after="0"/>
              <w:rPr>
                <w:sz w:val="20"/>
                <w:szCs w:val="20"/>
                <w:color w:val="auto"/>
              </w:rPr>
            </w:pPr>
            <w:r>
              <w:rPr>
                <w:rFonts w:ascii="Arial" w:cs="Arial" w:eastAsia="Arial" w:hAnsi="Arial"/>
                <w:sz w:val="14"/>
                <w:szCs w:val="14"/>
                <w:b w:val="1"/>
                <w:bCs w:val="1"/>
                <w:color w:val="auto"/>
              </w:rPr>
              <w:t>income (**)</w:t>
            </w:r>
          </w:p>
        </w:tc>
        <w:tc>
          <w:tcPr>
            <w:tcW w:w="10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5"/>
              </w:rPr>
              <w:t>recoveries</w:t>
            </w:r>
          </w:p>
        </w:tc>
        <w:tc>
          <w:tcPr>
            <w:tcW w:w="118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89"/>
              </w:rPr>
              <w:t>and amortization</w:t>
            </w:r>
          </w:p>
        </w:tc>
        <w:tc>
          <w:tcPr>
            <w:tcW w:w="11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77"/>
              </w:rPr>
              <w:t>assets</w:t>
            </w:r>
          </w:p>
        </w:tc>
        <w:tc>
          <w:tcPr>
            <w:tcW w:w="10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7"/>
              </w:rPr>
              <w:t>income tax</w:t>
            </w:r>
          </w:p>
        </w:tc>
        <w:tc>
          <w:tcPr>
            <w:tcW w:w="820" w:type="dxa"/>
            <w:vAlign w:val="bottom"/>
            <w:gridSpan w:val="2"/>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9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8"/>
              </w:rPr>
              <w:t>and goodwill</w:t>
            </w:r>
          </w:p>
        </w:tc>
        <w:tc>
          <w:tcPr>
            <w:tcW w:w="820" w:type="dxa"/>
            <w:vAlign w:val="bottom"/>
            <w:gridSpan w:val="2"/>
            <w:vMerge w:val="continue"/>
          </w:tcPr>
          <w:p>
            <w:pPr>
              <w:spacing w:after="0"/>
              <w:rPr>
                <w:sz w:val="14"/>
                <w:szCs w:val="14"/>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w w:val="93"/>
              </w:rPr>
              <w:t>liabilities</w:t>
            </w:r>
          </w:p>
        </w:tc>
        <w:tc>
          <w:tcPr>
            <w:tcW w:w="0" w:type="dxa"/>
            <w:vAlign w:val="bottom"/>
          </w:tcPr>
          <w:p>
            <w:pPr>
              <w:spacing w:after="0"/>
              <w:rPr>
                <w:sz w:val="1"/>
                <w:szCs w:val="1"/>
                <w:color w:val="auto"/>
              </w:rPr>
            </w:pPr>
          </w:p>
        </w:tc>
      </w:tr>
      <w:tr>
        <w:trPr>
          <w:trHeight w:val="136"/>
        </w:trPr>
        <w:tc>
          <w:tcPr>
            <w:tcW w:w="98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4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1040" w:type="dxa"/>
            <w:vAlign w:val="bottom"/>
            <w:gridSpan w:val="3"/>
            <w:shd w:val="clear" w:color="auto" w:fill="CCEEFF"/>
          </w:tcPr>
          <w:p>
            <w:pPr>
              <w:spacing w:after="0" w:line="143" w:lineRule="exact"/>
              <w:rPr>
                <w:sz w:val="20"/>
                <w:szCs w:val="20"/>
                <w:color w:val="auto"/>
              </w:rPr>
            </w:pPr>
            <w:r>
              <w:rPr>
                <w:rFonts w:ascii="Arial" w:cs="Arial" w:eastAsia="Arial" w:hAnsi="Arial"/>
                <w:sz w:val="14"/>
                <w:szCs w:val="14"/>
                <w:color w:val="auto"/>
              </w:rPr>
              <w:t>Banking</w:t>
            </w:r>
          </w:p>
        </w:tc>
        <w:tc>
          <w:tcPr>
            <w:tcW w:w="1020" w:type="dxa"/>
            <w:vAlign w:val="bottom"/>
            <w:gridSpan w:val="3"/>
            <w:shd w:val="clear" w:color="auto" w:fill="CCEEFF"/>
          </w:tcPr>
          <w:p>
            <w:pPr>
              <w:jc w:val="right"/>
              <w:ind w:right="60"/>
              <w:spacing w:after="0" w:line="143" w:lineRule="exact"/>
              <w:rPr>
                <w:sz w:val="20"/>
                <w:szCs w:val="20"/>
                <w:color w:val="auto"/>
              </w:rPr>
            </w:pPr>
            <w:r>
              <w:rPr>
                <w:rFonts w:ascii="Arial" w:cs="Arial" w:eastAsia="Arial" w:hAnsi="Arial"/>
                <w:sz w:val="14"/>
                <w:szCs w:val="14"/>
                <w:color w:val="auto"/>
              </w:rPr>
              <w:t>13,059</w:t>
            </w:r>
          </w:p>
        </w:tc>
        <w:tc>
          <w:tcPr>
            <w:tcW w:w="900" w:type="dxa"/>
            <w:vAlign w:val="bottom"/>
            <w:gridSpan w:val="5"/>
            <w:shd w:val="clear" w:color="auto" w:fill="CCEEFF"/>
          </w:tcPr>
          <w:p>
            <w:pPr>
              <w:jc w:val="right"/>
              <w:ind w:right="140"/>
              <w:spacing w:after="0" w:line="143" w:lineRule="exact"/>
              <w:rPr>
                <w:sz w:val="20"/>
                <w:szCs w:val="20"/>
                <w:color w:val="auto"/>
              </w:rPr>
            </w:pPr>
            <w:r>
              <w:rPr>
                <w:rFonts w:ascii="Arial" w:cs="Arial" w:eastAsia="Arial" w:hAnsi="Arial"/>
                <w:sz w:val="14"/>
                <w:szCs w:val="14"/>
                <w:color w:val="auto"/>
              </w:rPr>
              <w:t>7,890</w:t>
            </w:r>
          </w:p>
        </w:tc>
        <w:tc>
          <w:tcPr>
            <w:tcW w:w="1000" w:type="dxa"/>
            <w:vAlign w:val="bottom"/>
            <w:gridSpan w:val="2"/>
            <w:shd w:val="clear" w:color="auto" w:fill="CCEEFF"/>
          </w:tcPr>
          <w:p>
            <w:pPr>
              <w:jc w:val="right"/>
              <w:ind w:right="100"/>
              <w:spacing w:after="0" w:line="143" w:lineRule="exact"/>
              <w:rPr>
                <w:sz w:val="20"/>
                <w:szCs w:val="20"/>
                <w:color w:val="auto"/>
              </w:rPr>
            </w:pPr>
            <w:r>
              <w:rPr>
                <w:rFonts w:ascii="Arial" w:cs="Arial" w:eastAsia="Arial" w:hAnsi="Arial"/>
                <w:sz w:val="14"/>
                <w:szCs w:val="14"/>
                <w:color w:val="auto"/>
              </w:rPr>
              <w:t>(1,785)</w:t>
            </w:r>
          </w:p>
        </w:tc>
        <w:tc>
          <w:tcPr>
            <w:tcW w:w="1180" w:type="dxa"/>
            <w:vAlign w:val="bottom"/>
            <w:gridSpan w:val="2"/>
            <w:shd w:val="clear" w:color="auto" w:fill="CCEEFF"/>
          </w:tcPr>
          <w:p>
            <w:pPr>
              <w:jc w:val="right"/>
              <w:ind w:right="120"/>
              <w:spacing w:after="0" w:line="143" w:lineRule="exact"/>
              <w:rPr>
                <w:sz w:val="20"/>
                <w:szCs w:val="20"/>
                <w:color w:val="auto"/>
              </w:rPr>
            </w:pPr>
            <w:r>
              <w:rPr>
                <w:rFonts w:ascii="Arial" w:cs="Arial" w:eastAsia="Arial" w:hAnsi="Arial"/>
                <w:sz w:val="14"/>
                <w:szCs w:val="14"/>
                <w:color w:val="auto"/>
              </w:rPr>
              <w:t>(319)</w:t>
            </w:r>
          </w:p>
        </w:tc>
        <w:tc>
          <w:tcPr>
            <w:tcW w:w="1180" w:type="dxa"/>
            <w:vAlign w:val="bottom"/>
            <w:gridSpan w:val="2"/>
            <w:shd w:val="clear" w:color="auto" w:fill="CCEEFF"/>
          </w:tcPr>
          <w:p>
            <w:pPr>
              <w:jc w:val="right"/>
              <w:ind w:right="120"/>
              <w:spacing w:after="0" w:line="143" w:lineRule="exact"/>
              <w:rPr>
                <w:sz w:val="20"/>
                <w:szCs w:val="20"/>
                <w:color w:val="auto"/>
              </w:rPr>
            </w:pPr>
            <w:r>
              <w:rPr>
                <w:rFonts w:ascii="Arial" w:cs="Arial" w:eastAsia="Arial" w:hAnsi="Arial"/>
                <w:sz w:val="14"/>
                <w:szCs w:val="14"/>
                <w:color w:val="auto"/>
              </w:rPr>
              <w:t>(16)</w:t>
            </w:r>
          </w:p>
        </w:tc>
        <w:tc>
          <w:tcPr>
            <w:tcW w:w="1020" w:type="dxa"/>
            <w:vAlign w:val="bottom"/>
            <w:gridSpan w:val="2"/>
            <w:shd w:val="clear" w:color="auto" w:fill="CCEEFF"/>
          </w:tcPr>
          <w:p>
            <w:pPr>
              <w:jc w:val="right"/>
              <w:ind w:right="160"/>
              <w:spacing w:after="0" w:line="143" w:lineRule="exact"/>
              <w:rPr>
                <w:sz w:val="20"/>
                <w:szCs w:val="20"/>
                <w:color w:val="auto"/>
              </w:rPr>
            </w:pPr>
            <w:r>
              <w:rPr>
                <w:rFonts w:ascii="Arial" w:cs="Arial" w:eastAsia="Arial" w:hAnsi="Arial"/>
                <w:sz w:val="14"/>
                <w:szCs w:val="14"/>
                <w:color w:val="auto"/>
              </w:rPr>
              <w:t>4,175</w:t>
            </w:r>
          </w:p>
        </w:tc>
        <w:tc>
          <w:tcPr>
            <w:tcW w:w="820" w:type="dxa"/>
            <w:vAlign w:val="bottom"/>
            <w:gridSpan w:val="2"/>
            <w:shd w:val="clear" w:color="auto" w:fill="CCEEFF"/>
          </w:tcPr>
          <w:p>
            <w:pPr>
              <w:jc w:val="right"/>
              <w:ind w:right="100"/>
              <w:spacing w:after="0" w:line="143" w:lineRule="exact"/>
              <w:rPr>
                <w:sz w:val="20"/>
                <w:szCs w:val="20"/>
                <w:color w:val="auto"/>
              </w:rPr>
            </w:pPr>
            <w:r>
              <w:rPr>
                <w:rFonts w:ascii="Arial" w:cs="Arial" w:eastAsia="Arial" w:hAnsi="Arial"/>
                <w:sz w:val="14"/>
                <w:szCs w:val="14"/>
                <w:color w:val="auto"/>
              </w:rPr>
              <w:t>(1,127)</w:t>
            </w:r>
          </w:p>
        </w:tc>
        <w:tc>
          <w:tcPr>
            <w:tcW w:w="780" w:type="dxa"/>
            <w:vAlign w:val="bottom"/>
            <w:gridSpan w:val="2"/>
            <w:shd w:val="clear" w:color="auto" w:fill="CCEEFF"/>
          </w:tcPr>
          <w:p>
            <w:pPr>
              <w:jc w:val="right"/>
              <w:ind w:right="160"/>
              <w:spacing w:after="0" w:line="143" w:lineRule="exact"/>
              <w:rPr>
                <w:sz w:val="20"/>
                <w:szCs w:val="20"/>
                <w:color w:val="auto"/>
              </w:rPr>
            </w:pPr>
            <w:r>
              <w:rPr>
                <w:rFonts w:ascii="Arial" w:cs="Arial" w:eastAsia="Arial" w:hAnsi="Arial"/>
                <w:sz w:val="14"/>
                <w:szCs w:val="14"/>
                <w:color w:val="auto"/>
              </w:rPr>
              <w:t>3,048</w:t>
            </w:r>
          </w:p>
        </w:tc>
        <w:tc>
          <w:tcPr>
            <w:tcW w:w="960" w:type="dxa"/>
            <w:vAlign w:val="bottom"/>
            <w:gridSpan w:val="2"/>
            <w:shd w:val="clear" w:color="auto" w:fill="CCEEFF"/>
          </w:tcPr>
          <w:p>
            <w:pPr>
              <w:jc w:val="right"/>
              <w:ind w:right="160"/>
              <w:spacing w:after="0" w:line="143" w:lineRule="exact"/>
              <w:rPr>
                <w:sz w:val="20"/>
                <w:szCs w:val="20"/>
                <w:color w:val="auto"/>
              </w:rPr>
            </w:pPr>
            <w:r>
              <w:rPr>
                <w:rFonts w:ascii="Arial" w:cs="Arial" w:eastAsia="Arial" w:hAnsi="Arial"/>
                <w:sz w:val="14"/>
                <w:szCs w:val="14"/>
                <w:color w:val="auto"/>
              </w:rPr>
              <w:t>326</w:t>
            </w:r>
          </w:p>
        </w:tc>
        <w:tc>
          <w:tcPr>
            <w:tcW w:w="820" w:type="dxa"/>
            <w:vAlign w:val="bottom"/>
            <w:gridSpan w:val="2"/>
            <w:shd w:val="clear" w:color="auto" w:fill="CCEEFF"/>
          </w:tcPr>
          <w:p>
            <w:pPr>
              <w:jc w:val="right"/>
              <w:ind w:right="160"/>
              <w:spacing w:after="0" w:line="143" w:lineRule="exact"/>
              <w:rPr>
                <w:sz w:val="20"/>
                <w:szCs w:val="20"/>
                <w:color w:val="auto"/>
              </w:rPr>
            </w:pPr>
            <w:r>
              <w:rPr>
                <w:rFonts w:ascii="Arial" w:cs="Arial" w:eastAsia="Arial" w:hAnsi="Arial"/>
                <w:sz w:val="14"/>
                <w:szCs w:val="14"/>
                <w:color w:val="auto"/>
              </w:rPr>
              <w:t>142,775</w:t>
            </w:r>
          </w:p>
        </w:tc>
        <w:tc>
          <w:tcPr>
            <w:tcW w:w="700" w:type="dxa"/>
            <w:vAlign w:val="bottom"/>
            <w:gridSpan w:val="2"/>
            <w:shd w:val="clear" w:color="auto" w:fill="CCEEFF"/>
          </w:tcPr>
          <w:p>
            <w:pPr>
              <w:jc w:val="right"/>
              <w:ind w:right="80"/>
              <w:spacing w:after="0" w:line="143" w:lineRule="exact"/>
              <w:rPr>
                <w:sz w:val="20"/>
                <w:szCs w:val="20"/>
                <w:color w:val="auto"/>
              </w:rPr>
            </w:pPr>
            <w:r>
              <w:rPr>
                <w:rFonts w:ascii="Arial" w:cs="Arial" w:eastAsia="Arial" w:hAnsi="Arial"/>
                <w:sz w:val="14"/>
                <w:szCs w:val="14"/>
                <w:color w:val="auto"/>
              </w:rPr>
              <w:t>125,998</w:t>
            </w:r>
          </w:p>
        </w:tc>
        <w:tc>
          <w:tcPr>
            <w:tcW w:w="0" w:type="dxa"/>
            <w:vAlign w:val="bottom"/>
          </w:tcPr>
          <w:p>
            <w:pPr>
              <w:spacing w:after="0"/>
              <w:rPr>
                <w:sz w:val="1"/>
                <w:szCs w:val="1"/>
                <w:color w:val="auto"/>
              </w:rPr>
            </w:pPr>
          </w:p>
        </w:tc>
      </w:tr>
      <w:tr>
        <w:trPr>
          <w:trHeight w:val="143"/>
        </w:trPr>
        <w:tc>
          <w:tcPr>
            <w:tcW w:w="1040" w:type="dxa"/>
            <w:vAlign w:val="bottom"/>
            <w:gridSpan w:val="3"/>
          </w:tcPr>
          <w:p>
            <w:pPr>
              <w:spacing w:after="0" w:line="143" w:lineRule="exact"/>
              <w:rPr>
                <w:sz w:val="20"/>
                <w:szCs w:val="20"/>
                <w:color w:val="auto"/>
              </w:rPr>
            </w:pPr>
            <w:r>
              <w:rPr>
                <w:rFonts w:ascii="Arial" w:cs="Arial" w:eastAsia="Arial" w:hAnsi="Arial"/>
                <w:sz w:val="14"/>
                <w:szCs w:val="14"/>
                <w:color w:val="auto"/>
              </w:rPr>
              <w:t>Insurance</w:t>
            </w:r>
          </w:p>
        </w:tc>
        <w:tc>
          <w:tcPr>
            <w:tcW w:w="1020" w:type="dxa"/>
            <w:vAlign w:val="bottom"/>
            <w:gridSpan w:val="3"/>
          </w:tcPr>
          <w:p>
            <w:pPr>
              <w:jc w:val="right"/>
              <w:ind w:right="60"/>
              <w:spacing w:after="0" w:line="143" w:lineRule="exact"/>
              <w:rPr>
                <w:sz w:val="20"/>
                <w:szCs w:val="20"/>
                <w:color w:val="auto"/>
              </w:rPr>
            </w:pPr>
            <w:r>
              <w:rPr>
                <w:rFonts w:ascii="Arial" w:cs="Arial" w:eastAsia="Arial" w:hAnsi="Arial"/>
                <w:sz w:val="14"/>
                <w:szCs w:val="14"/>
                <w:color w:val="auto"/>
              </w:rPr>
              <w:t>2,577</w:t>
            </w:r>
          </w:p>
        </w:tc>
        <w:tc>
          <w:tcPr>
            <w:tcW w:w="760" w:type="dxa"/>
            <w:vAlign w:val="bottom"/>
            <w:gridSpan w:val="4"/>
          </w:tcPr>
          <w:p>
            <w:pPr>
              <w:jc w:val="right"/>
              <w:spacing w:after="0" w:line="143" w:lineRule="exact"/>
              <w:rPr>
                <w:sz w:val="20"/>
                <w:szCs w:val="20"/>
                <w:color w:val="auto"/>
              </w:rPr>
            </w:pPr>
            <w:r>
              <w:rPr>
                <w:rFonts w:ascii="Arial" w:cs="Arial" w:eastAsia="Arial" w:hAnsi="Arial"/>
                <w:sz w:val="14"/>
                <w:szCs w:val="14"/>
                <w:color w:val="auto"/>
              </w:rPr>
              <w:t>666</w:t>
            </w:r>
          </w:p>
        </w:tc>
        <w:tc>
          <w:tcPr>
            <w:tcW w:w="140" w:type="dxa"/>
            <w:vAlign w:val="bottom"/>
          </w:tcPr>
          <w:p>
            <w:pPr>
              <w:spacing w:after="0"/>
              <w:rPr>
                <w:sz w:val="12"/>
                <w:szCs w:val="12"/>
                <w:color w:val="auto"/>
              </w:rPr>
            </w:pPr>
          </w:p>
        </w:tc>
        <w:tc>
          <w:tcPr>
            <w:tcW w:w="860" w:type="dxa"/>
            <w:vAlign w:val="bottom"/>
          </w:tcPr>
          <w:p>
            <w:pPr>
              <w:jc w:val="right"/>
              <w:spacing w:after="0" w:line="143"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180" w:type="dxa"/>
            <w:vAlign w:val="bottom"/>
            <w:gridSpan w:val="2"/>
          </w:tcPr>
          <w:p>
            <w:pPr>
              <w:jc w:val="right"/>
              <w:ind w:right="120"/>
              <w:spacing w:after="0" w:line="143" w:lineRule="exact"/>
              <w:rPr>
                <w:sz w:val="20"/>
                <w:szCs w:val="20"/>
                <w:color w:val="auto"/>
              </w:rPr>
            </w:pPr>
            <w:r>
              <w:rPr>
                <w:rFonts w:ascii="Arial" w:cs="Arial" w:eastAsia="Arial" w:hAnsi="Arial"/>
                <w:sz w:val="14"/>
                <w:szCs w:val="14"/>
                <w:color w:val="auto"/>
              </w:rPr>
              <w:t>(45)</w:t>
            </w:r>
          </w:p>
        </w:tc>
        <w:tc>
          <w:tcPr>
            <w:tcW w:w="1020" w:type="dxa"/>
            <w:vAlign w:val="bottom"/>
          </w:tcPr>
          <w:p>
            <w:pPr>
              <w:jc w:val="right"/>
              <w:spacing w:after="0" w:line="143" w:lineRule="exact"/>
              <w:rPr>
                <w:sz w:val="20"/>
                <w:szCs w:val="20"/>
                <w:color w:val="auto"/>
              </w:rPr>
            </w:pPr>
            <w:r>
              <w:rPr>
                <w:rFonts w:ascii="Arial" w:cs="Arial" w:eastAsia="Arial" w:hAnsi="Arial"/>
                <w:sz w:val="14"/>
                <w:szCs w:val="14"/>
                <w:color w:val="auto"/>
              </w:rPr>
              <w:t>1</w:t>
            </w:r>
          </w:p>
        </w:tc>
        <w:tc>
          <w:tcPr>
            <w:tcW w:w="160" w:type="dxa"/>
            <w:vAlign w:val="bottom"/>
          </w:tcPr>
          <w:p>
            <w:pPr>
              <w:spacing w:after="0"/>
              <w:rPr>
                <w:sz w:val="12"/>
                <w:szCs w:val="12"/>
                <w:color w:val="auto"/>
              </w:rPr>
            </w:pPr>
          </w:p>
        </w:tc>
        <w:tc>
          <w:tcPr>
            <w:tcW w:w="860" w:type="dxa"/>
            <w:vAlign w:val="bottom"/>
          </w:tcPr>
          <w:p>
            <w:pPr>
              <w:jc w:val="right"/>
              <w:spacing w:after="0" w:line="143" w:lineRule="exact"/>
              <w:rPr>
                <w:sz w:val="20"/>
                <w:szCs w:val="20"/>
                <w:color w:val="auto"/>
              </w:rPr>
            </w:pPr>
            <w:r>
              <w:rPr>
                <w:rFonts w:ascii="Arial" w:cs="Arial" w:eastAsia="Arial" w:hAnsi="Arial"/>
                <w:sz w:val="14"/>
                <w:szCs w:val="14"/>
                <w:color w:val="auto"/>
              </w:rPr>
              <w:t>355</w:t>
            </w:r>
          </w:p>
        </w:tc>
        <w:tc>
          <w:tcPr>
            <w:tcW w:w="160" w:type="dxa"/>
            <w:vAlign w:val="bottom"/>
          </w:tcPr>
          <w:p>
            <w:pPr>
              <w:spacing w:after="0"/>
              <w:rPr>
                <w:sz w:val="12"/>
                <w:szCs w:val="12"/>
                <w:color w:val="auto"/>
              </w:rPr>
            </w:pPr>
          </w:p>
        </w:tc>
        <w:tc>
          <w:tcPr>
            <w:tcW w:w="820" w:type="dxa"/>
            <w:vAlign w:val="bottom"/>
            <w:gridSpan w:val="2"/>
          </w:tcPr>
          <w:p>
            <w:pPr>
              <w:jc w:val="right"/>
              <w:ind w:right="100"/>
              <w:spacing w:after="0" w:line="143" w:lineRule="exact"/>
              <w:rPr>
                <w:sz w:val="20"/>
                <w:szCs w:val="20"/>
                <w:color w:val="auto"/>
              </w:rPr>
            </w:pPr>
            <w:r>
              <w:rPr>
                <w:rFonts w:ascii="Arial" w:cs="Arial" w:eastAsia="Arial" w:hAnsi="Arial"/>
                <w:sz w:val="14"/>
                <w:szCs w:val="14"/>
                <w:color w:val="auto"/>
              </w:rPr>
              <w:t>(51)</w:t>
            </w:r>
          </w:p>
        </w:tc>
        <w:tc>
          <w:tcPr>
            <w:tcW w:w="620" w:type="dxa"/>
            <w:vAlign w:val="bottom"/>
          </w:tcPr>
          <w:p>
            <w:pPr>
              <w:jc w:val="right"/>
              <w:spacing w:after="0" w:line="143" w:lineRule="exact"/>
              <w:rPr>
                <w:sz w:val="20"/>
                <w:szCs w:val="20"/>
                <w:color w:val="auto"/>
              </w:rPr>
            </w:pPr>
            <w:r>
              <w:rPr>
                <w:rFonts w:ascii="Arial" w:cs="Arial" w:eastAsia="Arial" w:hAnsi="Arial"/>
                <w:sz w:val="14"/>
                <w:szCs w:val="14"/>
                <w:color w:val="auto"/>
              </w:rPr>
              <w:t>304</w:t>
            </w:r>
          </w:p>
        </w:tc>
        <w:tc>
          <w:tcPr>
            <w:tcW w:w="160" w:type="dxa"/>
            <w:vAlign w:val="bottom"/>
          </w:tcPr>
          <w:p>
            <w:pPr>
              <w:spacing w:after="0"/>
              <w:rPr>
                <w:sz w:val="12"/>
                <w:szCs w:val="12"/>
                <w:color w:val="auto"/>
              </w:rPr>
            </w:pPr>
          </w:p>
        </w:tc>
        <w:tc>
          <w:tcPr>
            <w:tcW w:w="960" w:type="dxa"/>
            <w:vAlign w:val="bottom"/>
            <w:gridSpan w:val="2"/>
          </w:tcPr>
          <w:p>
            <w:pPr>
              <w:jc w:val="right"/>
              <w:ind w:right="160"/>
              <w:spacing w:after="0" w:line="143" w:lineRule="exact"/>
              <w:rPr>
                <w:sz w:val="20"/>
                <w:szCs w:val="20"/>
                <w:color w:val="auto"/>
              </w:rPr>
            </w:pPr>
            <w:r>
              <w:rPr>
                <w:rFonts w:ascii="Arial" w:cs="Arial" w:eastAsia="Arial" w:hAnsi="Arial"/>
                <w:sz w:val="14"/>
                <w:szCs w:val="14"/>
                <w:color w:val="auto"/>
              </w:rPr>
              <w:t>44</w:t>
            </w:r>
          </w:p>
        </w:tc>
        <w:tc>
          <w:tcPr>
            <w:tcW w:w="820" w:type="dxa"/>
            <w:vAlign w:val="bottom"/>
            <w:gridSpan w:val="2"/>
          </w:tcPr>
          <w:p>
            <w:pPr>
              <w:jc w:val="right"/>
              <w:ind w:right="160"/>
              <w:spacing w:after="0" w:line="143" w:lineRule="exact"/>
              <w:rPr>
                <w:sz w:val="20"/>
                <w:szCs w:val="20"/>
                <w:color w:val="auto"/>
              </w:rPr>
            </w:pPr>
            <w:r>
              <w:rPr>
                <w:rFonts w:ascii="Arial" w:cs="Arial" w:eastAsia="Arial" w:hAnsi="Arial"/>
                <w:sz w:val="14"/>
                <w:szCs w:val="14"/>
                <w:color w:val="auto"/>
              </w:rPr>
              <w:t>9,789</w:t>
            </w:r>
          </w:p>
        </w:tc>
        <w:tc>
          <w:tcPr>
            <w:tcW w:w="700" w:type="dxa"/>
            <w:vAlign w:val="bottom"/>
            <w:gridSpan w:val="2"/>
          </w:tcPr>
          <w:p>
            <w:pPr>
              <w:jc w:val="right"/>
              <w:ind w:right="80"/>
              <w:spacing w:after="0" w:line="143" w:lineRule="exact"/>
              <w:rPr>
                <w:sz w:val="20"/>
                <w:szCs w:val="20"/>
                <w:color w:val="auto"/>
              </w:rPr>
            </w:pPr>
            <w:r>
              <w:rPr>
                <w:rFonts w:ascii="Arial" w:cs="Arial" w:eastAsia="Arial" w:hAnsi="Arial"/>
                <w:sz w:val="14"/>
                <w:szCs w:val="14"/>
                <w:color w:val="auto"/>
              </w:rPr>
              <w:t>7,646</w:t>
            </w:r>
          </w:p>
        </w:tc>
        <w:tc>
          <w:tcPr>
            <w:tcW w:w="0" w:type="dxa"/>
            <w:vAlign w:val="bottom"/>
          </w:tcPr>
          <w:p>
            <w:pPr>
              <w:spacing w:after="0"/>
              <w:rPr>
                <w:sz w:val="1"/>
                <w:szCs w:val="1"/>
                <w:color w:val="auto"/>
              </w:rPr>
            </w:pPr>
          </w:p>
        </w:tc>
      </w:tr>
      <w:tr>
        <w:trPr>
          <w:trHeight w:val="143"/>
        </w:trPr>
        <w:tc>
          <w:tcPr>
            <w:tcW w:w="1040" w:type="dxa"/>
            <w:vAlign w:val="bottom"/>
            <w:gridSpan w:val="3"/>
            <w:shd w:val="clear" w:color="auto" w:fill="CCEEFF"/>
          </w:tcPr>
          <w:p>
            <w:pPr>
              <w:spacing w:after="0" w:line="143" w:lineRule="exact"/>
              <w:rPr>
                <w:sz w:val="20"/>
                <w:szCs w:val="20"/>
                <w:color w:val="auto"/>
              </w:rPr>
            </w:pPr>
            <w:r>
              <w:rPr>
                <w:rFonts w:ascii="Arial" w:cs="Arial" w:eastAsia="Arial" w:hAnsi="Arial"/>
                <w:sz w:val="14"/>
                <w:szCs w:val="14"/>
                <w:color w:val="auto"/>
              </w:rPr>
              <w:t>Pension funds</w:t>
            </w:r>
          </w:p>
        </w:tc>
        <w:tc>
          <w:tcPr>
            <w:tcW w:w="1020" w:type="dxa"/>
            <w:vAlign w:val="bottom"/>
            <w:gridSpan w:val="3"/>
            <w:shd w:val="clear" w:color="auto" w:fill="CCEEFF"/>
          </w:tcPr>
          <w:p>
            <w:pPr>
              <w:jc w:val="right"/>
              <w:ind w:right="60"/>
              <w:spacing w:after="0" w:line="143" w:lineRule="exact"/>
              <w:rPr>
                <w:sz w:val="20"/>
                <w:szCs w:val="20"/>
                <w:color w:val="auto"/>
              </w:rPr>
            </w:pPr>
            <w:r>
              <w:rPr>
                <w:rFonts w:ascii="Arial" w:cs="Arial" w:eastAsia="Arial" w:hAnsi="Arial"/>
                <w:sz w:val="14"/>
                <w:szCs w:val="14"/>
                <w:color w:val="auto"/>
              </w:rPr>
              <w:t>411</w:t>
            </w:r>
          </w:p>
        </w:tc>
        <w:tc>
          <w:tcPr>
            <w:tcW w:w="760" w:type="dxa"/>
            <w:vAlign w:val="bottom"/>
            <w:gridSpan w:val="4"/>
            <w:shd w:val="clear" w:color="auto" w:fill="CCEEFF"/>
          </w:tcPr>
          <w:p>
            <w:pPr>
              <w:jc w:val="right"/>
              <w:spacing w:after="0" w:line="143" w:lineRule="exact"/>
              <w:rPr>
                <w:sz w:val="20"/>
                <w:szCs w:val="20"/>
                <w:color w:val="auto"/>
              </w:rPr>
            </w:pPr>
            <w:r>
              <w:rPr>
                <w:rFonts w:ascii="Arial" w:cs="Arial" w:eastAsia="Arial" w:hAnsi="Arial"/>
                <w:sz w:val="14"/>
                <w:szCs w:val="14"/>
                <w:color w:val="auto"/>
              </w:rPr>
              <w:t>1</w:t>
            </w: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120"/>
              <w:spacing w:after="0" w:line="143" w:lineRule="exact"/>
              <w:rPr>
                <w:sz w:val="20"/>
                <w:szCs w:val="20"/>
                <w:color w:val="auto"/>
              </w:rPr>
            </w:pPr>
            <w:r>
              <w:rPr>
                <w:rFonts w:ascii="Arial" w:cs="Arial" w:eastAsia="Arial" w:hAnsi="Arial"/>
                <w:sz w:val="14"/>
                <w:szCs w:val="14"/>
                <w:color w:val="auto"/>
              </w:rPr>
              <w:t>(21)</w:t>
            </w:r>
          </w:p>
        </w:tc>
        <w:tc>
          <w:tcPr>
            <w:tcW w:w="102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rPr>
              <w:t>225</w:t>
            </w:r>
          </w:p>
        </w:tc>
        <w:tc>
          <w:tcPr>
            <w:tcW w:w="1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00"/>
              <w:spacing w:after="0" w:line="143" w:lineRule="exact"/>
              <w:rPr>
                <w:sz w:val="20"/>
                <w:szCs w:val="20"/>
                <w:color w:val="auto"/>
              </w:rPr>
            </w:pPr>
            <w:r>
              <w:rPr>
                <w:rFonts w:ascii="Arial" w:cs="Arial" w:eastAsia="Arial" w:hAnsi="Arial"/>
                <w:sz w:val="14"/>
                <w:szCs w:val="14"/>
                <w:color w:val="auto"/>
              </w:rPr>
              <w:t>(70)</w:t>
            </w:r>
          </w:p>
        </w:tc>
        <w:tc>
          <w:tcPr>
            <w:tcW w:w="62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rPr>
              <w:t>155</w:t>
            </w:r>
          </w:p>
        </w:tc>
        <w:tc>
          <w:tcPr>
            <w:tcW w:w="1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60"/>
              <w:spacing w:after="0" w:line="143" w:lineRule="exact"/>
              <w:rPr>
                <w:sz w:val="20"/>
                <w:szCs w:val="20"/>
                <w:color w:val="auto"/>
              </w:rPr>
            </w:pPr>
            <w:r>
              <w:rPr>
                <w:rFonts w:ascii="Arial" w:cs="Arial" w:eastAsia="Arial" w:hAnsi="Arial"/>
                <w:sz w:val="14"/>
                <w:szCs w:val="14"/>
                <w:color w:val="auto"/>
              </w:rPr>
              <w:t>8</w:t>
            </w:r>
          </w:p>
        </w:tc>
        <w:tc>
          <w:tcPr>
            <w:tcW w:w="820" w:type="dxa"/>
            <w:vAlign w:val="bottom"/>
            <w:gridSpan w:val="2"/>
            <w:shd w:val="clear" w:color="auto" w:fill="CCEEFF"/>
          </w:tcPr>
          <w:p>
            <w:pPr>
              <w:jc w:val="right"/>
              <w:ind w:right="160"/>
              <w:spacing w:after="0" w:line="143" w:lineRule="exact"/>
              <w:rPr>
                <w:sz w:val="20"/>
                <w:szCs w:val="20"/>
                <w:color w:val="auto"/>
              </w:rPr>
            </w:pPr>
            <w:r>
              <w:rPr>
                <w:rFonts w:ascii="Arial" w:cs="Arial" w:eastAsia="Arial" w:hAnsi="Arial"/>
                <w:sz w:val="14"/>
                <w:szCs w:val="14"/>
                <w:color w:val="auto"/>
              </w:rPr>
              <w:t>757</w:t>
            </w:r>
          </w:p>
        </w:tc>
        <w:tc>
          <w:tcPr>
            <w:tcW w:w="700" w:type="dxa"/>
            <w:vAlign w:val="bottom"/>
            <w:gridSpan w:val="2"/>
            <w:shd w:val="clear" w:color="auto" w:fill="CCEEFF"/>
          </w:tcPr>
          <w:p>
            <w:pPr>
              <w:jc w:val="right"/>
              <w:ind w:right="80"/>
              <w:spacing w:after="0" w:line="143" w:lineRule="exact"/>
              <w:rPr>
                <w:sz w:val="20"/>
                <w:szCs w:val="20"/>
                <w:color w:val="auto"/>
              </w:rPr>
            </w:pPr>
            <w:r>
              <w:rPr>
                <w:rFonts w:ascii="Arial" w:cs="Arial" w:eastAsia="Arial" w:hAnsi="Arial"/>
                <w:sz w:val="14"/>
                <w:szCs w:val="14"/>
                <w:color w:val="auto"/>
              </w:rPr>
              <w:t>245</w:t>
            </w:r>
          </w:p>
        </w:tc>
        <w:tc>
          <w:tcPr>
            <w:tcW w:w="0" w:type="dxa"/>
            <w:vAlign w:val="bottom"/>
          </w:tcPr>
          <w:p>
            <w:pPr>
              <w:spacing w:after="0"/>
              <w:rPr>
                <w:sz w:val="1"/>
                <w:szCs w:val="1"/>
                <w:color w:val="auto"/>
              </w:rPr>
            </w:pPr>
          </w:p>
        </w:tc>
      </w:tr>
      <w:tr>
        <w:trPr>
          <w:trHeight w:val="124"/>
        </w:trPr>
        <w:tc>
          <w:tcPr>
            <w:tcW w:w="1040" w:type="dxa"/>
            <w:vAlign w:val="bottom"/>
            <w:gridSpan w:val="3"/>
          </w:tcPr>
          <w:p>
            <w:pPr>
              <w:spacing w:after="0" w:line="125" w:lineRule="exact"/>
              <w:rPr>
                <w:sz w:val="20"/>
                <w:szCs w:val="20"/>
                <w:color w:val="auto"/>
              </w:rPr>
            </w:pPr>
            <w:r>
              <w:rPr>
                <w:rFonts w:ascii="Arial" w:cs="Arial" w:eastAsia="Arial" w:hAnsi="Arial"/>
                <w:sz w:val="14"/>
                <w:szCs w:val="14"/>
                <w:color w:val="auto"/>
              </w:rPr>
              <w:t>Investment</w:t>
            </w:r>
          </w:p>
        </w:tc>
        <w:tc>
          <w:tcPr>
            <w:tcW w:w="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4"/>
        </w:trPr>
        <w:tc>
          <w:tcPr>
            <w:tcW w:w="1040" w:type="dxa"/>
            <w:vAlign w:val="bottom"/>
            <w:gridSpan w:val="3"/>
          </w:tcPr>
          <w:p>
            <w:pPr>
              <w:spacing w:after="0"/>
              <w:rPr>
                <w:sz w:val="20"/>
                <w:szCs w:val="20"/>
                <w:color w:val="auto"/>
              </w:rPr>
            </w:pPr>
            <w:r>
              <w:rPr>
                <w:rFonts w:ascii="Arial" w:cs="Arial" w:eastAsia="Arial" w:hAnsi="Arial"/>
                <w:sz w:val="14"/>
                <w:szCs w:val="14"/>
                <w:color w:val="auto"/>
              </w:rPr>
              <w:t>banking</w:t>
            </w:r>
          </w:p>
        </w:tc>
        <w:tc>
          <w:tcPr>
            <w:tcW w:w="1020" w:type="dxa"/>
            <w:vAlign w:val="bottom"/>
            <w:gridSpan w:val="3"/>
          </w:tcPr>
          <w:p>
            <w:pPr>
              <w:jc w:val="right"/>
              <w:ind w:right="60"/>
              <w:spacing w:after="0"/>
              <w:rPr>
                <w:sz w:val="20"/>
                <w:szCs w:val="20"/>
                <w:color w:val="auto"/>
              </w:rPr>
            </w:pPr>
            <w:r>
              <w:rPr>
                <w:rFonts w:ascii="Arial" w:cs="Arial" w:eastAsia="Arial" w:hAnsi="Arial"/>
                <w:sz w:val="14"/>
                <w:szCs w:val="14"/>
                <w:color w:val="auto"/>
              </w:rPr>
              <w:t>712</w:t>
            </w:r>
          </w:p>
        </w:tc>
        <w:tc>
          <w:tcPr>
            <w:tcW w:w="760" w:type="dxa"/>
            <w:vAlign w:val="bottom"/>
            <w:gridSpan w:val="4"/>
          </w:tcPr>
          <w:p>
            <w:pPr>
              <w:jc w:val="right"/>
              <w:spacing w:after="0"/>
              <w:rPr>
                <w:sz w:val="20"/>
                <w:szCs w:val="20"/>
                <w:color w:val="auto"/>
              </w:rPr>
            </w:pPr>
            <w:r>
              <w:rPr>
                <w:rFonts w:ascii="Arial" w:cs="Arial" w:eastAsia="Arial" w:hAnsi="Arial"/>
                <w:sz w:val="14"/>
                <w:szCs w:val="14"/>
                <w:color w:val="auto"/>
              </w:rPr>
              <w:t>2</w:t>
            </w:r>
          </w:p>
        </w:tc>
        <w:tc>
          <w:tcPr>
            <w:tcW w:w="1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4"/>
                <w:szCs w:val="14"/>
                <w:color w:val="auto"/>
              </w:rPr>
              <w:t>(22)</w:t>
            </w:r>
          </w:p>
        </w:tc>
        <w:tc>
          <w:tcPr>
            <w:tcW w:w="1020" w:type="dxa"/>
            <w:vAlign w:val="bottom"/>
          </w:tcPr>
          <w:p>
            <w:pPr>
              <w:jc w:val="right"/>
              <w:spacing w:after="0"/>
              <w:rPr>
                <w:sz w:val="20"/>
                <w:szCs w:val="20"/>
                <w:color w:val="auto"/>
              </w:rPr>
            </w:pPr>
            <w:r>
              <w:rPr>
                <w:rFonts w:ascii="Arial" w:cs="Arial" w:eastAsia="Arial" w:hAnsi="Arial"/>
                <w:sz w:val="14"/>
                <w:szCs w:val="14"/>
                <w:color w:val="auto"/>
              </w:rPr>
              <w:t>1</w:t>
            </w:r>
          </w:p>
        </w:tc>
        <w:tc>
          <w:tcPr>
            <w:tcW w:w="1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136</w:t>
            </w:r>
          </w:p>
        </w:tc>
        <w:tc>
          <w:tcPr>
            <w:tcW w:w="160" w:type="dxa"/>
            <w:vAlign w:val="bottom"/>
          </w:tcPr>
          <w:p>
            <w:pPr>
              <w:spacing w:after="0"/>
              <w:rPr>
                <w:sz w:val="15"/>
                <w:szCs w:val="15"/>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(33)</w:t>
            </w:r>
          </w:p>
        </w:tc>
        <w:tc>
          <w:tcPr>
            <w:tcW w:w="620" w:type="dxa"/>
            <w:vAlign w:val="bottom"/>
          </w:tcPr>
          <w:p>
            <w:pPr>
              <w:jc w:val="right"/>
              <w:spacing w:after="0"/>
              <w:rPr>
                <w:sz w:val="20"/>
                <w:szCs w:val="20"/>
                <w:color w:val="auto"/>
              </w:rPr>
            </w:pPr>
            <w:r>
              <w:rPr>
                <w:rFonts w:ascii="Arial" w:cs="Arial" w:eastAsia="Arial" w:hAnsi="Arial"/>
                <w:sz w:val="14"/>
                <w:szCs w:val="14"/>
                <w:color w:val="auto"/>
              </w:rPr>
              <w:t>103</w:t>
            </w:r>
          </w:p>
        </w:tc>
        <w:tc>
          <w:tcPr>
            <w:tcW w:w="160" w:type="dxa"/>
            <w:vAlign w:val="bottom"/>
          </w:tcPr>
          <w:p>
            <w:pPr>
              <w:spacing w:after="0"/>
              <w:rPr>
                <w:sz w:val="15"/>
                <w:szCs w:val="15"/>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9</w:t>
            </w: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3,114</w:t>
            </w:r>
          </w:p>
        </w:tc>
        <w:tc>
          <w:tcPr>
            <w:tcW w:w="700" w:type="dxa"/>
            <w:vAlign w:val="bottom"/>
            <w:gridSpan w:val="2"/>
          </w:tcPr>
          <w:p>
            <w:pPr>
              <w:jc w:val="right"/>
              <w:ind w:right="80"/>
              <w:spacing w:after="0"/>
              <w:rPr>
                <w:sz w:val="20"/>
                <w:szCs w:val="20"/>
                <w:color w:val="auto"/>
              </w:rPr>
            </w:pPr>
            <w:r>
              <w:rPr>
                <w:rFonts w:ascii="Arial" w:cs="Arial" w:eastAsia="Arial" w:hAnsi="Arial"/>
                <w:sz w:val="14"/>
                <w:szCs w:val="14"/>
                <w:color w:val="auto"/>
              </w:rPr>
              <w:t>2,430</w:t>
            </w:r>
          </w:p>
        </w:tc>
        <w:tc>
          <w:tcPr>
            <w:tcW w:w="0" w:type="dxa"/>
            <w:vAlign w:val="bottom"/>
          </w:tcPr>
          <w:p>
            <w:pPr>
              <w:spacing w:after="0"/>
              <w:rPr>
                <w:sz w:val="1"/>
                <w:szCs w:val="1"/>
                <w:color w:val="auto"/>
              </w:rPr>
            </w:pPr>
          </w:p>
        </w:tc>
      </w:tr>
      <w:tr>
        <w:trPr>
          <w:trHeight w:val="100"/>
        </w:trPr>
        <w:tc>
          <w:tcPr>
            <w:tcW w:w="1040" w:type="dxa"/>
            <w:vAlign w:val="bottom"/>
            <w:tcBorders>
              <w:top w:val="single" w:sz="8" w:color="CCEEFF"/>
            </w:tcBorders>
            <w:gridSpan w:val="3"/>
            <w:shd w:val="clear" w:color="auto" w:fill="CCEEFF"/>
          </w:tcPr>
          <w:p>
            <w:pPr>
              <w:spacing w:after="0" w:line="101" w:lineRule="exact"/>
              <w:rPr>
                <w:sz w:val="20"/>
                <w:szCs w:val="20"/>
                <w:color w:val="auto"/>
              </w:rPr>
            </w:pPr>
            <w:r>
              <w:rPr>
                <w:rFonts w:ascii="Arial" w:cs="Arial" w:eastAsia="Arial" w:hAnsi="Arial"/>
                <w:sz w:val="10"/>
                <w:szCs w:val="10"/>
                <w:b w:val="1"/>
                <w:bCs w:val="1"/>
                <w:color w:val="auto"/>
              </w:rPr>
              <w:t>Total</w:t>
            </w:r>
          </w:p>
        </w:tc>
        <w:tc>
          <w:tcPr>
            <w:tcW w:w="20" w:type="dxa"/>
            <w:vAlign w:val="bottom"/>
            <w:tcBorders>
              <w:top w:val="single" w:sz="8" w:color="CCEEFF"/>
            </w:tcBorders>
            <w:shd w:val="clear" w:color="auto" w:fill="CCEEFF"/>
          </w:tcPr>
          <w:p>
            <w:pPr>
              <w:spacing w:after="0"/>
              <w:rPr>
                <w:sz w:val="8"/>
                <w:szCs w:val="8"/>
                <w:color w:val="auto"/>
              </w:rPr>
            </w:pPr>
          </w:p>
        </w:tc>
        <w:tc>
          <w:tcPr>
            <w:tcW w:w="940" w:type="dxa"/>
            <w:vAlign w:val="bottom"/>
            <w:tcBorders>
              <w:top w:val="single" w:sz="8" w:color="auto"/>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660" w:type="dxa"/>
            <w:vAlign w:val="bottom"/>
            <w:tcBorders>
              <w:top w:val="single" w:sz="8" w:color="auto"/>
            </w:tcBorders>
            <w:shd w:val="clear" w:color="auto" w:fill="CCEEFF"/>
          </w:tcPr>
          <w:p>
            <w:pPr>
              <w:spacing w:after="0"/>
              <w:rPr>
                <w:sz w:val="8"/>
                <w:szCs w:val="8"/>
                <w:color w:val="auto"/>
              </w:rPr>
            </w:pPr>
          </w:p>
        </w:tc>
        <w:tc>
          <w:tcPr>
            <w:tcW w:w="20" w:type="dxa"/>
            <w:vAlign w:val="bottom"/>
            <w:tcBorders>
              <w:top w:val="single" w:sz="8" w:color="auto"/>
            </w:tcBorders>
            <w:shd w:val="clear" w:color="auto" w:fill="CCEEFF"/>
          </w:tcPr>
          <w:p>
            <w:pPr>
              <w:spacing w:after="0"/>
              <w:rPr>
                <w:sz w:val="8"/>
                <w:szCs w:val="8"/>
                <w:color w:val="auto"/>
              </w:rPr>
            </w:pPr>
          </w:p>
        </w:tc>
        <w:tc>
          <w:tcPr>
            <w:tcW w:w="140" w:type="dxa"/>
            <w:vAlign w:val="bottom"/>
            <w:tcBorders>
              <w:top w:val="single" w:sz="8" w:color="CCEEFF"/>
            </w:tcBorders>
            <w:shd w:val="clear" w:color="auto" w:fill="CCEEFF"/>
          </w:tcPr>
          <w:p>
            <w:pPr>
              <w:spacing w:after="0"/>
              <w:rPr>
                <w:sz w:val="8"/>
                <w:szCs w:val="8"/>
                <w:color w:val="auto"/>
              </w:rPr>
            </w:pPr>
          </w:p>
        </w:tc>
        <w:tc>
          <w:tcPr>
            <w:tcW w:w="860" w:type="dxa"/>
            <w:vAlign w:val="bottom"/>
            <w:tcBorders>
              <w:top w:val="single" w:sz="8" w:color="auto"/>
            </w:tcBorders>
            <w:shd w:val="clear" w:color="auto" w:fill="CCEEFF"/>
          </w:tcPr>
          <w:p>
            <w:pPr>
              <w:spacing w:after="0"/>
              <w:rPr>
                <w:sz w:val="8"/>
                <w:szCs w:val="8"/>
                <w:color w:val="auto"/>
              </w:rPr>
            </w:pPr>
          </w:p>
        </w:tc>
        <w:tc>
          <w:tcPr>
            <w:tcW w:w="140" w:type="dxa"/>
            <w:vAlign w:val="bottom"/>
            <w:tcBorders>
              <w:top w:val="single" w:sz="8" w:color="CCEEFF"/>
            </w:tcBorders>
            <w:shd w:val="clear" w:color="auto" w:fill="CCEEFF"/>
          </w:tcPr>
          <w:p>
            <w:pPr>
              <w:spacing w:after="0"/>
              <w:rPr>
                <w:sz w:val="8"/>
                <w:szCs w:val="8"/>
                <w:color w:val="auto"/>
              </w:rPr>
            </w:pPr>
          </w:p>
        </w:tc>
        <w:tc>
          <w:tcPr>
            <w:tcW w:w="1020" w:type="dxa"/>
            <w:vAlign w:val="bottom"/>
            <w:tcBorders>
              <w:top w:val="single" w:sz="8" w:color="auto"/>
            </w:tcBorders>
            <w:shd w:val="clear" w:color="auto" w:fill="CCEEFF"/>
          </w:tcPr>
          <w:p>
            <w:pPr>
              <w:spacing w:after="0"/>
              <w:rPr>
                <w:sz w:val="8"/>
                <w:szCs w:val="8"/>
                <w:color w:val="auto"/>
              </w:rPr>
            </w:pPr>
          </w:p>
        </w:tc>
        <w:tc>
          <w:tcPr>
            <w:tcW w:w="160" w:type="dxa"/>
            <w:vAlign w:val="bottom"/>
            <w:tcBorders>
              <w:top w:val="single" w:sz="8" w:color="CCEEFF"/>
            </w:tcBorders>
            <w:shd w:val="clear" w:color="auto" w:fill="CCEEFF"/>
          </w:tcPr>
          <w:p>
            <w:pPr>
              <w:spacing w:after="0"/>
              <w:rPr>
                <w:sz w:val="8"/>
                <w:szCs w:val="8"/>
                <w:color w:val="auto"/>
              </w:rPr>
            </w:pPr>
          </w:p>
        </w:tc>
        <w:tc>
          <w:tcPr>
            <w:tcW w:w="1020" w:type="dxa"/>
            <w:vAlign w:val="bottom"/>
            <w:tcBorders>
              <w:top w:val="single" w:sz="8" w:color="auto"/>
            </w:tcBorders>
            <w:shd w:val="clear" w:color="auto" w:fill="CCEEFF"/>
          </w:tcPr>
          <w:p>
            <w:pPr>
              <w:spacing w:after="0"/>
              <w:rPr>
                <w:sz w:val="8"/>
                <w:szCs w:val="8"/>
                <w:color w:val="auto"/>
              </w:rPr>
            </w:pPr>
          </w:p>
        </w:tc>
        <w:tc>
          <w:tcPr>
            <w:tcW w:w="160" w:type="dxa"/>
            <w:vAlign w:val="bottom"/>
            <w:tcBorders>
              <w:top w:val="single" w:sz="8" w:color="CCEEFF"/>
            </w:tcBorders>
            <w:shd w:val="clear" w:color="auto" w:fill="CCEEFF"/>
          </w:tcPr>
          <w:p>
            <w:pPr>
              <w:spacing w:after="0"/>
              <w:rPr>
                <w:sz w:val="8"/>
                <w:szCs w:val="8"/>
                <w:color w:val="auto"/>
              </w:rPr>
            </w:pPr>
          </w:p>
        </w:tc>
        <w:tc>
          <w:tcPr>
            <w:tcW w:w="860" w:type="dxa"/>
            <w:vAlign w:val="bottom"/>
            <w:tcBorders>
              <w:top w:val="single" w:sz="8" w:color="auto"/>
            </w:tcBorders>
            <w:shd w:val="clear" w:color="auto" w:fill="CCEEFF"/>
          </w:tcPr>
          <w:p>
            <w:pPr>
              <w:spacing w:after="0"/>
              <w:rPr>
                <w:sz w:val="8"/>
                <w:szCs w:val="8"/>
                <w:color w:val="auto"/>
              </w:rPr>
            </w:pPr>
          </w:p>
        </w:tc>
        <w:tc>
          <w:tcPr>
            <w:tcW w:w="160" w:type="dxa"/>
            <w:vAlign w:val="bottom"/>
            <w:tcBorders>
              <w:top w:val="single" w:sz="8" w:color="CCEEFF"/>
            </w:tcBorders>
            <w:shd w:val="clear" w:color="auto" w:fill="CCEEFF"/>
          </w:tcPr>
          <w:p>
            <w:pPr>
              <w:spacing w:after="0"/>
              <w:rPr>
                <w:sz w:val="8"/>
                <w:szCs w:val="8"/>
                <w:color w:val="auto"/>
              </w:rPr>
            </w:pPr>
          </w:p>
        </w:tc>
        <w:tc>
          <w:tcPr>
            <w:tcW w:w="660" w:type="dxa"/>
            <w:vAlign w:val="bottom"/>
            <w:tcBorders>
              <w:top w:val="single" w:sz="8" w:color="auto"/>
            </w:tcBorders>
            <w:shd w:val="clear" w:color="auto" w:fill="CCEEFF"/>
          </w:tcPr>
          <w:p>
            <w:pPr>
              <w:spacing w:after="0"/>
              <w:rPr>
                <w:sz w:val="8"/>
                <w:szCs w:val="8"/>
                <w:color w:val="auto"/>
              </w:rPr>
            </w:pPr>
          </w:p>
        </w:tc>
        <w:tc>
          <w:tcPr>
            <w:tcW w:w="160" w:type="dxa"/>
            <w:vAlign w:val="bottom"/>
            <w:tcBorders>
              <w:top w:val="single" w:sz="8" w:color="CCEEFF"/>
            </w:tcBorders>
            <w:shd w:val="clear" w:color="auto" w:fill="CCEEFF"/>
          </w:tcPr>
          <w:p>
            <w:pPr>
              <w:spacing w:after="0"/>
              <w:rPr>
                <w:sz w:val="8"/>
                <w:szCs w:val="8"/>
                <w:color w:val="auto"/>
              </w:rPr>
            </w:pPr>
          </w:p>
        </w:tc>
        <w:tc>
          <w:tcPr>
            <w:tcW w:w="620" w:type="dxa"/>
            <w:vAlign w:val="bottom"/>
            <w:tcBorders>
              <w:top w:val="single" w:sz="8" w:color="auto"/>
            </w:tcBorders>
            <w:shd w:val="clear" w:color="auto" w:fill="CCEEFF"/>
          </w:tcPr>
          <w:p>
            <w:pPr>
              <w:spacing w:after="0"/>
              <w:rPr>
                <w:sz w:val="8"/>
                <w:szCs w:val="8"/>
                <w:color w:val="auto"/>
              </w:rPr>
            </w:pPr>
          </w:p>
        </w:tc>
        <w:tc>
          <w:tcPr>
            <w:tcW w:w="160" w:type="dxa"/>
            <w:vAlign w:val="bottom"/>
            <w:tcBorders>
              <w:top w:val="single" w:sz="8" w:color="CCEEFF"/>
            </w:tcBorders>
            <w:shd w:val="clear" w:color="auto" w:fill="CCEEFF"/>
          </w:tcPr>
          <w:p>
            <w:pPr>
              <w:spacing w:after="0"/>
              <w:rPr>
                <w:sz w:val="8"/>
                <w:szCs w:val="8"/>
                <w:color w:val="auto"/>
              </w:rPr>
            </w:pPr>
          </w:p>
        </w:tc>
        <w:tc>
          <w:tcPr>
            <w:tcW w:w="800" w:type="dxa"/>
            <w:vAlign w:val="bottom"/>
            <w:tcBorders>
              <w:top w:val="single" w:sz="8" w:color="auto"/>
            </w:tcBorders>
            <w:shd w:val="clear" w:color="auto" w:fill="CCEEFF"/>
          </w:tcPr>
          <w:p>
            <w:pPr>
              <w:spacing w:after="0"/>
              <w:rPr>
                <w:sz w:val="8"/>
                <w:szCs w:val="8"/>
                <w:color w:val="auto"/>
              </w:rPr>
            </w:pPr>
          </w:p>
        </w:tc>
        <w:tc>
          <w:tcPr>
            <w:tcW w:w="160" w:type="dxa"/>
            <w:vAlign w:val="bottom"/>
            <w:tcBorders>
              <w:top w:val="single" w:sz="8" w:color="CCEEFF"/>
            </w:tcBorders>
            <w:shd w:val="clear" w:color="auto" w:fill="CCEEFF"/>
          </w:tcPr>
          <w:p>
            <w:pPr>
              <w:spacing w:after="0"/>
              <w:rPr>
                <w:sz w:val="8"/>
                <w:szCs w:val="8"/>
                <w:color w:val="auto"/>
              </w:rPr>
            </w:pPr>
          </w:p>
        </w:tc>
        <w:tc>
          <w:tcPr>
            <w:tcW w:w="660" w:type="dxa"/>
            <w:vAlign w:val="bottom"/>
            <w:tcBorders>
              <w:top w:val="single" w:sz="8" w:color="auto"/>
            </w:tcBorders>
            <w:shd w:val="clear" w:color="auto" w:fill="CCEEFF"/>
          </w:tcPr>
          <w:p>
            <w:pPr>
              <w:spacing w:after="0"/>
              <w:rPr>
                <w:sz w:val="8"/>
                <w:szCs w:val="8"/>
                <w:color w:val="auto"/>
              </w:rPr>
            </w:pPr>
          </w:p>
        </w:tc>
        <w:tc>
          <w:tcPr>
            <w:tcW w:w="160" w:type="dxa"/>
            <w:vAlign w:val="bottom"/>
            <w:tcBorders>
              <w:top w:val="single" w:sz="8" w:color="CCEEFF"/>
            </w:tcBorders>
            <w:shd w:val="clear" w:color="auto" w:fill="CCEEFF"/>
          </w:tcPr>
          <w:p>
            <w:pPr>
              <w:spacing w:after="0"/>
              <w:rPr>
                <w:sz w:val="8"/>
                <w:szCs w:val="8"/>
                <w:color w:val="auto"/>
              </w:rPr>
            </w:pPr>
          </w:p>
        </w:tc>
        <w:tc>
          <w:tcPr>
            <w:tcW w:w="62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91"/>
        </w:trPr>
        <w:tc>
          <w:tcPr>
            <w:tcW w:w="1040" w:type="dxa"/>
            <w:vAlign w:val="bottom"/>
            <w:gridSpan w:val="3"/>
            <w:shd w:val="clear" w:color="auto" w:fill="CCEEFF"/>
          </w:tcPr>
          <w:p>
            <w:pPr>
              <w:spacing w:after="0"/>
              <w:rPr>
                <w:sz w:val="20"/>
                <w:szCs w:val="20"/>
                <w:color w:val="auto"/>
              </w:rPr>
            </w:pPr>
            <w:r>
              <w:rPr>
                <w:rFonts w:ascii="Arial" w:cs="Arial" w:eastAsia="Arial" w:hAnsi="Arial"/>
                <w:sz w:val="14"/>
                <w:szCs w:val="14"/>
                <w:b w:val="1"/>
                <w:bCs w:val="1"/>
                <w:color w:val="auto"/>
              </w:rPr>
              <w:t>consolidated</w:t>
            </w:r>
          </w:p>
        </w:tc>
        <w:tc>
          <w:tcPr>
            <w:tcW w:w="2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16,759</w:t>
            </w:r>
          </w:p>
        </w:tc>
        <w:tc>
          <w:tcPr>
            <w:tcW w:w="900" w:type="dxa"/>
            <w:vAlign w:val="bottom"/>
            <w:gridSpan w:val="5"/>
            <w:shd w:val="clear" w:color="auto" w:fill="CCEEFF"/>
          </w:tcPr>
          <w:p>
            <w:pPr>
              <w:jc w:val="right"/>
              <w:ind w:right="140"/>
              <w:spacing w:after="0"/>
              <w:rPr>
                <w:sz w:val="20"/>
                <w:szCs w:val="20"/>
                <w:color w:val="auto"/>
              </w:rPr>
            </w:pPr>
            <w:r>
              <w:rPr>
                <w:rFonts w:ascii="Arial" w:cs="Arial" w:eastAsia="Arial" w:hAnsi="Arial"/>
                <w:sz w:val="14"/>
                <w:szCs w:val="14"/>
                <w:color w:val="auto"/>
              </w:rPr>
              <w:t>8,559</w:t>
            </w:r>
          </w:p>
        </w:tc>
        <w:tc>
          <w:tcPr>
            <w:tcW w:w="1000" w:type="dxa"/>
            <w:vAlign w:val="bottom"/>
            <w:gridSpan w:val="2"/>
            <w:shd w:val="clear" w:color="auto" w:fill="CCEEFF"/>
          </w:tcPr>
          <w:p>
            <w:pPr>
              <w:jc w:val="right"/>
              <w:ind w:right="100"/>
              <w:spacing w:after="0" w:line="191" w:lineRule="exact"/>
              <w:rPr>
                <w:sz w:val="20"/>
                <w:szCs w:val="20"/>
                <w:color w:val="auto"/>
              </w:rPr>
            </w:pPr>
            <w:r>
              <w:rPr>
                <w:rFonts w:ascii="Arial" w:cs="Arial" w:eastAsia="Arial" w:hAnsi="Arial"/>
                <w:sz w:val="12"/>
                <w:szCs w:val="12"/>
                <w:color w:val="auto"/>
              </w:rPr>
              <w:t>(1,785</w:t>
            </w:r>
            <w:r>
              <w:rPr>
                <w:rFonts w:ascii="Arial" w:cs="Arial" w:eastAsia="Arial" w:hAnsi="Arial"/>
                <w:sz w:val="22"/>
                <w:szCs w:val="22"/>
                <w:color w:val="auto"/>
                <w:vertAlign w:val="superscript"/>
              </w:rPr>
              <w:t>)</w:t>
            </w:r>
          </w:p>
        </w:tc>
        <w:tc>
          <w:tcPr>
            <w:tcW w:w="1180" w:type="dxa"/>
            <w:vAlign w:val="bottom"/>
            <w:gridSpan w:val="2"/>
            <w:shd w:val="clear" w:color="auto" w:fill="CCEEFF"/>
          </w:tcPr>
          <w:p>
            <w:pPr>
              <w:jc w:val="right"/>
              <w:ind w:right="120"/>
              <w:spacing w:after="0" w:line="191" w:lineRule="exact"/>
              <w:rPr>
                <w:sz w:val="20"/>
                <w:szCs w:val="20"/>
                <w:color w:val="auto"/>
              </w:rPr>
            </w:pPr>
            <w:r>
              <w:rPr>
                <w:rFonts w:ascii="Arial" w:cs="Arial" w:eastAsia="Arial" w:hAnsi="Arial"/>
                <w:sz w:val="12"/>
                <w:szCs w:val="12"/>
                <w:color w:val="auto"/>
              </w:rPr>
              <w:t>(407</w:t>
            </w:r>
            <w:r>
              <w:rPr>
                <w:rFonts w:ascii="Arial" w:cs="Arial" w:eastAsia="Arial" w:hAnsi="Arial"/>
                <w:sz w:val="22"/>
                <w:szCs w:val="22"/>
                <w:color w:val="auto"/>
                <w:vertAlign w:val="superscript"/>
              </w:rPr>
              <w:t>)</w:t>
            </w:r>
          </w:p>
        </w:tc>
        <w:tc>
          <w:tcPr>
            <w:tcW w:w="1180" w:type="dxa"/>
            <w:vAlign w:val="bottom"/>
            <w:gridSpan w:val="2"/>
            <w:shd w:val="clear" w:color="auto" w:fill="CCEEFF"/>
          </w:tcPr>
          <w:p>
            <w:pPr>
              <w:jc w:val="right"/>
              <w:ind w:right="120"/>
              <w:spacing w:after="0" w:line="191" w:lineRule="exact"/>
              <w:rPr>
                <w:sz w:val="20"/>
                <w:szCs w:val="20"/>
                <w:color w:val="auto"/>
              </w:rPr>
            </w:pPr>
            <w:r>
              <w:rPr>
                <w:rFonts w:ascii="Arial" w:cs="Arial" w:eastAsia="Arial" w:hAnsi="Arial"/>
                <w:sz w:val="12"/>
                <w:szCs w:val="12"/>
                <w:color w:val="auto"/>
              </w:rPr>
              <w:t>(14</w:t>
            </w:r>
            <w:r>
              <w:rPr>
                <w:rFonts w:ascii="Arial" w:cs="Arial" w:eastAsia="Arial" w:hAnsi="Arial"/>
                <w:sz w:val="22"/>
                <w:szCs w:val="22"/>
                <w:color w:val="auto"/>
                <w:vertAlign w:val="superscript"/>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4,891</w:t>
            </w:r>
          </w:p>
        </w:tc>
        <w:tc>
          <w:tcPr>
            <w:tcW w:w="820" w:type="dxa"/>
            <w:vAlign w:val="bottom"/>
            <w:gridSpan w:val="2"/>
            <w:shd w:val="clear" w:color="auto" w:fill="CCEEFF"/>
          </w:tcPr>
          <w:p>
            <w:pPr>
              <w:jc w:val="right"/>
              <w:ind w:right="100"/>
              <w:spacing w:after="0" w:line="191" w:lineRule="exact"/>
              <w:rPr>
                <w:sz w:val="20"/>
                <w:szCs w:val="20"/>
                <w:color w:val="auto"/>
              </w:rPr>
            </w:pPr>
            <w:r>
              <w:rPr>
                <w:rFonts w:ascii="Arial" w:cs="Arial" w:eastAsia="Arial" w:hAnsi="Arial"/>
                <w:sz w:val="12"/>
                <w:szCs w:val="12"/>
                <w:color w:val="auto"/>
              </w:rPr>
              <w:t>(1,281</w:t>
            </w:r>
            <w:r>
              <w:rPr>
                <w:rFonts w:ascii="Arial" w:cs="Arial" w:eastAsia="Arial" w:hAnsi="Arial"/>
                <w:sz w:val="22"/>
                <w:szCs w:val="22"/>
                <w:color w:val="auto"/>
                <w:vertAlign w:val="superscript"/>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3,610</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387</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156,435</w:t>
            </w: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136,319</w:t>
            </w:r>
          </w:p>
        </w:tc>
        <w:tc>
          <w:tcPr>
            <w:tcW w:w="0" w:type="dxa"/>
            <w:vAlign w:val="bottom"/>
          </w:tcPr>
          <w:p>
            <w:pPr>
              <w:spacing w:after="0"/>
              <w:rPr>
                <w:sz w:val="1"/>
                <w:szCs w:val="1"/>
                <w:color w:val="auto"/>
              </w:rPr>
            </w:pPr>
          </w:p>
        </w:tc>
      </w:tr>
      <w:tr>
        <w:trPr>
          <w:trHeight w:val="20"/>
        </w:trPr>
        <w:tc>
          <w:tcPr>
            <w:tcW w:w="9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7"/>
        </w:trPr>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1"/>
              </w:rPr>
              <w:t>Allowance for</w:t>
            </w: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2"/>
              </w:rPr>
              <w:t>Impairment of</w:t>
            </w: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4"/>
              </w:rPr>
              <w:t>Capital</w:t>
            </w: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3"/>
        </w:trPr>
        <w:tc>
          <w:tcPr>
            <w:tcW w:w="9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Operating</w:t>
            </w:r>
          </w:p>
        </w:tc>
        <w:tc>
          <w:tcPr>
            <w:tcW w:w="1000" w:type="dxa"/>
            <w:vAlign w:val="bottom"/>
            <w:gridSpan w:val="2"/>
          </w:tcPr>
          <w:p>
            <w:pPr>
              <w:jc w:val="center"/>
              <w:ind w:right="180"/>
              <w:spacing w:after="0" w:line="143" w:lineRule="exact"/>
              <w:rPr>
                <w:sz w:val="20"/>
                <w:szCs w:val="20"/>
                <w:color w:val="auto"/>
              </w:rPr>
            </w:pPr>
            <w:r>
              <w:rPr>
                <w:rFonts w:ascii="Arial" w:cs="Arial" w:eastAsia="Arial" w:hAnsi="Arial"/>
                <w:sz w:val="14"/>
                <w:szCs w:val="14"/>
                <w:b w:val="1"/>
                <w:bCs w:val="1"/>
                <w:color w:val="auto"/>
                <w:w w:val="82"/>
              </w:rPr>
              <w:t>loan losses,</w:t>
            </w:r>
          </w:p>
        </w:tc>
        <w:tc>
          <w:tcPr>
            <w:tcW w:w="118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rPr>
              <w:t>Depreciation</w:t>
            </w:r>
          </w:p>
        </w:tc>
        <w:tc>
          <w:tcPr>
            <w:tcW w:w="1180" w:type="dxa"/>
            <w:vAlign w:val="bottom"/>
            <w:gridSpan w:val="2"/>
            <w:vMerge w:val="continue"/>
          </w:tcPr>
          <w:p>
            <w:pPr>
              <w:spacing w:after="0"/>
              <w:rPr>
                <w:sz w:val="12"/>
                <w:szCs w:val="12"/>
                <w:color w:val="auto"/>
              </w:rPr>
            </w:pPr>
          </w:p>
        </w:tc>
        <w:tc>
          <w:tcPr>
            <w:tcW w:w="102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7"/>
              </w:rPr>
              <w:t>Income before</w:t>
            </w: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tcPr>
          <w:p>
            <w:pPr>
              <w:jc w:val="center"/>
              <w:ind w:right="160"/>
              <w:spacing w:after="0" w:line="143" w:lineRule="exact"/>
              <w:rPr>
                <w:sz w:val="20"/>
                <w:szCs w:val="20"/>
                <w:color w:val="auto"/>
              </w:rPr>
            </w:pPr>
            <w:r>
              <w:rPr>
                <w:rFonts w:ascii="Arial" w:cs="Arial" w:eastAsia="Arial" w:hAnsi="Arial"/>
                <w:sz w:val="14"/>
                <w:szCs w:val="14"/>
                <w:b w:val="1"/>
                <w:bCs w:val="1"/>
                <w:color w:val="auto"/>
                <w:w w:val="87"/>
              </w:rPr>
              <w:t>expenditures</w:t>
            </w: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3"/>
        </w:trPr>
        <w:tc>
          <w:tcPr>
            <w:tcW w:w="980" w:type="dxa"/>
            <w:vAlign w:val="bottom"/>
            <w:vMerge w:val="restart"/>
          </w:tcPr>
          <w:p>
            <w:pPr>
              <w:spacing w:after="0"/>
              <w:rPr>
                <w:sz w:val="20"/>
                <w:szCs w:val="20"/>
                <w:color w:val="auto"/>
              </w:rPr>
            </w:pPr>
            <w:r>
              <w:rPr>
                <w:rFonts w:ascii="Arial" w:cs="Arial" w:eastAsia="Arial" w:hAnsi="Arial"/>
                <w:sz w:val="14"/>
                <w:szCs w:val="14"/>
                <w:b w:val="1"/>
                <w:bCs w:val="1"/>
                <w:color w:val="auto"/>
              </w:rPr>
              <w:t>2015</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20" w:type="dxa"/>
            <w:vAlign w:val="bottom"/>
            <w:gridSpan w:val="3"/>
            <w:vMerge w:val="restart"/>
          </w:tcPr>
          <w:p>
            <w:pPr>
              <w:spacing w:after="0"/>
              <w:rPr>
                <w:sz w:val="20"/>
                <w:szCs w:val="20"/>
                <w:color w:val="auto"/>
              </w:rPr>
            </w:pPr>
            <w:r>
              <w:rPr>
                <w:rFonts w:ascii="Arial" w:cs="Arial" w:eastAsia="Arial" w:hAnsi="Arial"/>
                <w:sz w:val="14"/>
                <w:szCs w:val="14"/>
                <w:b w:val="1"/>
                <w:bCs w:val="1"/>
                <w:color w:val="auto"/>
                <w:w w:val="95"/>
              </w:rPr>
              <w:t>Total income (*)</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20" w:type="dxa"/>
            <w:vAlign w:val="bottom"/>
            <w:gridSpan w:val="3"/>
            <w:vMerge w:val="continue"/>
          </w:tcPr>
          <w:p>
            <w:pPr>
              <w:spacing w:after="0"/>
              <w:rPr>
                <w:sz w:val="12"/>
                <w:szCs w:val="12"/>
                <w:color w:val="auto"/>
              </w:rPr>
            </w:pPr>
          </w:p>
        </w:tc>
        <w:tc>
          <w:tcPr>
            <w:tcW w:w="1000" w:type="dxa"/>
            <w:vAlign w:val="bottom"/>
            <w:gridSpan w:val="2"/>
          </w:tcPr>
          <w:p>
            <w:pPr>
              <w:jc w:val="center"/>
              <w:ind w:right="180"/>
              <w:spacing w:after="0" w:line="143" w:lineRule="exact"/>
              <w:rPr>
                <w:sz w:val="20"/>
                <w:szCs w:val="20"/>
                <w:color w:val="auto"/>
              </w:rPr>
            </w:pPr>
            <w:r>
              <w:rPr>
                <w:rFonts w:ascii="Arial" w:cs="Arial" w:eastAsia="Arial" w:hAnsi="Arial"/>
                <w:sz w:val="14"/>
                <w:szCs w:val="14"/>
                <w:b w:val="1"/>
                <w:bCs w:val="1"/>
                <w:color w:val="auto"/>
                <w:w w:val="89"/>
              </w:rPr>
              <w:t>net of</w:t>
            </w:r>
          </w:p>
        </w:tc>
        <w:tc>
          <w:tcPr>
            <w:tcW w:w="1180" w:type="dxa"/>
            <w:vAlign w:val="bottom"/>
            <w:gridSpan w:val="2"/>
            <w:vMerge w:val="continue"/>
          </w:tcPr>
          <w:p>
            <w:pPr>
              <w:spacing w:after="0"/>
              <w:rPr>
                <w:sz w:val="12"/>
                <w:szCs w:val="12"/>
                <w:color w:val="auto"/>
              </w:rPr>
            </w:pPr>
          </w:p>
        </w:tc>
        <w:tc>
          <w:tcPr>
            <w:tcW w:w="1180" w:type="dxa"/>
            <w:vAlign w:val="bottom"/>
            <w:gridSpan w:val="2"/>
          </w:tcPr>
          <w:p>
            <w:pPr>
              <w:jc w:val="center"/>
              <w:ind w:right="180"/>
              <w:spacing w:after="0" w:line="143" w:lineRule="exact"/>
              <w:rPr>
                <w:sz w:val="20"/>
                <w:szCs w:val="20"/>
                <w:color w:val="auto"/>
              </w:rPr>
            </w:pPr>
            <w:r>
              <w:rPr>
                <w:rFonts w:ascii="Arial" w:cs="Arial" w:eastAsia="Arial" w:hAnsi="Arial"/>
                <w:sz w:val="14"/>
                <w:szCs w:val="14"/>
                <w:b w:val="1"/>
                <w:bCs w:val="1"/>
                <w:color w:val="auto"/>
                <w:w w:val="88"/>
              </w:rPr>
              <w:t>available for sale</w:t>
            </w:r>
          </w:p>
        </w:tc>
        <w:tc>
          <w:tcPr>
            <w:tcW w:w="1020" w:type="dxa"/>
            <w:vAlign w:val="bottom"/>
            <w:gridSpan w:val="2"/>
            <w:vMerge w:val="continue"/>
          </w:tcPr>
          <w:p>
            <w:pPr>
              <w:spacing w:after="0"/>
              <w:rPr>
                <w:sz w:val="12"/>
                <w:szCs w:val="12"/>
                <w:color w:val="auto"/>
              </w:rPr>
            </w:pPr>
          </w:p>
        </w:tc>
        <w:tc>
          <w:tcPr>
            <w:tcW w:w="820" w:type="dxa"/>
            <w:vAlign w:val="bottom"/>
            <w:gridSpan w:val="2"/>
            <w:vMerge w:val="restart"/>
          </w:tcPr>
          <w:p>
            <w:pPr>
              <w:jc w:val="right"/>
              <w:ind w:right="160"/>
              <w:spacing w:after="0"/>
              <w:rPr>
                <w:sz w:val="20"/>
                <w:szCs w:val="20"/>
                <w:color w:val="auto"/>
              </w:rPr>
            </w:pPr>
            <w:r>
              <w:rPr>
                <w:rFonts w:ascii="Arial" w:cs="Arial" w:eastAsia="Arial" w:hAnsi="Arial"/>
                <w:sz w:val="14"/>
                <w:szCs w:val="14"/>
                <w:b w:val="1"/>
                <w:bCs w:val="1"/>
                <w:color w:val="auto"/>
                <w:w w:val="87"/>
              </w:rPr>
              <w:t>Income tax</w:t>
            </w:r>
          </w:p>
        </w:tc>
        <w:tc>
          <w:tcPr>
            <w:tcW w:w="780" w:type="dxa"/>
            <w:vAlign w:val="bottom"/>
            <w:gridSpan w:val="2"/>
            <w:vMerge w:val="restart"/>
          </w:tcPr>
          <w:p>
            <w:pPr>
              <w:jc w:val="right"/>
              <w:ind w:right="180"/>
              <w:spacing w:after="0"/>
              <w:rPr>
                <w:sz w:val="20"/>
                <w:szCs w:val="20"/>
                <w:color w:val="auto"/>
              </w:rPr>
            </w:pPr>
            <w:r>
              <w:rPr>
                <w:rFonts w:ascii="Arial" w:cs="Arial" w:eastAsia="Arial" w:hAnsi="Arial"/>
                <w:sz w:val="14"/>
                <w:szCs w:val="14"/>
                <w:b w:val="1"/>
                <w:bCs w:val="1"/>
                <w:color w:val="auto"/>
                <w:w w:val="93"/>
              </w:rPr>
              <w:t>Net profit</w:t>
            </w:r>
          </w:p>
        </w:tc>
        <w:tc>
          <w:tcPr>
            <w:tcW w:w="960" w:type="dxa"/>
            <w:vAlign w:val="bottom"/>
            <w:gridSpan w:val="2"/>
          </w:tcPr>
          <w:p>
            <w:pPr>
              <w:jc w:val="center"/>
              <w:ind w:right="200"/>
              <w:spacing w:after="0" w:line="143" w:lineRule="exact"/>
              <w:rPr>
                <w:sz w:val="20"/>
                <w:szCs w:val="20"/>
                <w:color w:val="auto"/>
              </w:rPr>
            </w:pPr>
            <w:r>
              <w:rPr>
                <w:rFonts w:ascii="Arial" w:cs="Arial" w:eastAsia="Arial" w:hAnsi="Arial"/>
                <w:sz w:val="14"/>
                <w:szCs w:val="14"/>
                <w:b w:val="1"/>
                <w:bCs w:val="1"/>
                <w:color w:val="auto"/>
                <w:w w:val="86"/>
              </w:rPr>
              <w:t>intangibles</w:t>
            </w:r>
          </w:p>
        </w:tc>
        <w:tc>
          <w:tcPr>
            <w:tcW w:w="820" w:type="dxa"/>
            <w:vAlign w:val="bottom"/>
            <w:gridSpan w:val="2"/>
            <w:vMerge w:val="restart"/>
          </w:tcPr>
          <w:p>
            <w:pPr>
              <w:jc w:val="right"/>
              <w:ind w:right="160"/>
              <w:spacing w:after="0"/>
              <w:rPr>
                <w:sz w:val="20"/>
                <w:szCs w:val="20"/>
                <w:color w:val="auto"/>
              </w:rPr>
            </w:pPr>
            <w:r>
              <w:rPr>
                <w:rFonts w:ascii="Arial" w:cs="Arial" w:eastAsia="Arial" w:hAnsi="Arial"/>
                <w:sz w:val="14"/>
                <w:szCs w:val="14"/>
                <w:b w:val="1"/>
                <w:bCs w:val="1"/>
                <w:color w:val="auto"/>
                <w:w w:val="79"/>
              </w:rPr>
              <w:t>Total assets</w:t>
            </w:r>
          </w:p>
        </w:tc>
        <w:tc>
          <w:tcPr>
            <w:tcW w:w="7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98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20" w:type="dxa"/>
            <w:vAlign w:val="bottom"/>
            <w:gridSpan w:val="3"/>
            <w:vMerge w:val="continue"/>
          </w:tcPr>
          <w:p>
            <w:pPr>
              <w:spacing w:after="0"/>
              <w:rPr>
                <w:sz w:val="14"/>
                <w:szCs w:val="14"/>
                <w:color w:val="auto"/>
              </w:rPr>
            </w:pPr>
          </w:p>
        </w:tc>
        <w:tc>
          <w:tcPr>
            <w:tcW w:w="900" w:type="dxa"/>
            <w:vAlign w:val="bottom"/>
            <w:gridSpan w:val="5"/>
          </w:tcPr>
          <w:p>
            <w:pPr>
              <w:jc w:val="right"/>
              <w:ind w:right="160"/>
              <w:spacing w:after="0"/>
              <w:rPr>
                <w:sz w:val="20"/>
                <w:szCs w:val="20"/>
                <w:color w:val="auto"/>
              </w:rPr>
            </w:pPr>
            <w:r>
              <w:rPr>
                <w:rFonts w:ascii="Arial" w:cs="Arial" w:eastAsia="Arial" w:hAnsi="Arial"/>
                <w:sz w:val="14"/>
                <w:szCs w:val="14"/>
                <w:b w:val="1"/>
                <w:bCs w:val="1"/>
                <w:color w:val="auto"/>
                <w:w w:val="98"/>
              </w:rPr>
              <w:t>income (**)</w:t>
            </w:r>
          </w:p>
        </w:tc>
        <w:tc>
          <w:tcPr>
            <w:tcW w:w="10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5"/>
              </w:rPr>
              <w:t>recoveries</w:t>
            </w:r>
          </w:p>
        </w:tc>
        <w:tc>
          <w:tcPr>
            <w:tcW w:w="118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89"/>
              </w:rPr>
              <w:t>and amortization</w:t>
            </w:r>
          </w:p>
        </w:tc>
        <w:tc>
          <w:tcPr>
            <w:tcW w:w="11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77"/>
              </w:rPr>
              <w:t>assets</w:t>
            </w:r>
          </w:p>
        </w:tc>
        <w:tc>
          <w:tcPr>
            <w:tcW w:w="10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7"/>
              </w:rPr>
              <w:t>income tax</w:t>
            </w:r>
          </w:p>
        </w:tc>
        <w:tc>
          <w:tcPr>
            <w:tcW w:w="820" w:type="dxa"/>
            <w:vAlign w:val="bottom"/>
            <w:gridSpan w:val="2"/>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9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8"/>
              </w:rPr>
              <w:t>and goodwill</w:t>
            </w:r>
          </w:p>
        </w:tc>
        <w:tc>
          <w:tcPr>
            <w:tcW w:w="820" w:type="dxa"/>
            <w:vAlign w:val="bottom"/>
            <w:gridSpan w:val="2"/>
            <w:vMerge w:val="continue"/>
          </w:tcPr>
          <w:p>
            <w:pPr>
              <w:spacing w:after="0"/>
              <w:rPr>
                <w:sz w:val="14"/>
                <w:szCs w:val="14"/>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w w:val="93"/>
              </w:rPr>
              <w:t>liabilities</w:t>
            </w:r>
          </w:p>
        </w:tc>
        <w:tc>
          <w:tcPr>
            <w:tcW w:w="0" w:type="dxa"/>
            <w:vAlign w:val="bottom"/>
          </w:tcPr>
          <w:p>
            <w:pPr>
              <w:spacing w:after="0"/>
              <w:rPr>
                <w:sz w:val="1"/>
                <w:szCs w:val="1"/>
                <w:color w:val="auto"/>
              </w:rPr>
            </w:pPr>
          </w:p>
        </w:tc>
      </w:tr>
      <w:tr>
        <w:trPr>
          <w:trHeight w:val="136"/>
        </w:trPr>
        <w:tc>
          <w:tcPr>
            <w:tcW w:w="98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02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1040" w:type="dxa"/>
            <w:vAlign w:val="bottom"/>
            <w:gridSpan w:val="3"/>
            <w:shd w:val="clear" w:color="auto" w:fill="CCEEFF"/>
          </w:tcPr>
          <w:p>
            <w:pPr>
              <w:spacing w:after="0" w:line="143" w:lineRule="exact"/>
              <w:rPr>
                <w:sz w:val="20"/>
                <w:szCs w:val="20"/>
                <w:color w:val="auto"/>
              </w:rPr>
            </w:pPr>
            <w:r>
              <w:rPr>
                <w:rFonts w:ascii="Arial" w:cs="Arial" w:eastAsia="Arial" w:hAnsi="Arial"/>
                <w:sz w:val="14"/>
                <w:szCs w:val="14"/>
                <w:color w:val="auto"/>
              </w:rPr>
              <w:t>Banking</w:t>
            </w:r>
          </w:p>
        </w:tc>
        <w:tc>
          <w:tcPr>
            <w:tcW w:w="960" w:type="dxa"/>
            <w:vAlign w:val="bottom"/>
            <w:gridSpan w:val="2"/>
            <w:shd w:val="clear" w:color="auto" w:fill="CCEEFF"/>
          </w:tcPr>
          <w:p>
            <w:pPr>
              <w:jc w:val="right"/>
              <w:spacing w:after="0" w:line="143" w:lineRule="exact"/>
              <w:rPr>
                <w:sz w:val="20"/>
                <w:szCs w:val="20"/>
                <w:color w:val="auto"/>
              </w:rPr>
            </w:pPr>
            <w:r>
              <w:rPr>
                <w:rFonts w:ascii="Arial" w:cs="Arial" w:eastAsia="Arial" w:hAnsi="Arial"/>
                <w:sz w:val="14"/>
                <w:szCs w:val="14"/>
                <w:color w:val="auto"/>
              </w:rPr>
              <w:t>12,395</w:t>
            </w:r>
          </w:p>
        </w:tc>
        <w:tc>
          <w:tcPr>
            <w:tcW w:w="60" w:type="dxa"/>
            <w:vAlign w:val="bottom"/>
            <w:shd w:val="clear" w:color="auto" w:fill="CCEEFF"/>
          </w:tcPr>
          <w:p>
            <w:pPr>
              <w:spacing w:after="0"/>
              <w:rPr>
                <w:sz w:val="12"/>
                <w:szCs w:val="12"/>
                <w:color w:val="auto"/>
              </w:rPr>
            </w:pPr>
          </w:p>
        </w:tc>
        <w:tc>
          <w:tcPr>
            <w:tcW w:w="760" w:type="dxa"/>
            <w:vAlign w:val="bottom"/>
            <w:gridSpan w:val="4"/>
            <w:shd w:val="clear" w:color="auto" w:fill="CCEEFF"/>
          </w:tcPr>
          <w:p>
            <w:pPr>
              <w:jc w:val="right"/>
              <w:ind w:right="20"/>
              <w:spacing w:after="0" w:line="143" w:lineRule="exact"/>
              <w:rPr>
                <w:sz w:val="20"/>
                <w:szCs w:val="20"/>
                <w:color w:val="auto"/>
              </w:rPr>
            </w:pPr>
            <w:r>
              <w:rPr>
                <w:rFonts w:ascii="Arial" w:cs="Arial" w:eastAsia="Arial" w:hAnsi="Arial"/>
                <w:sz w:val="14"/>
                <w:szCs w:val="14"/>
                <w:color w:val="auto"/>
              </w:rPr>
              <w:t>7,328</w:t>
            </w:r>
          </w:p>
        </w:tc>
        <w:tc>
          <w:tcPr>
            <w:tcW w:w="1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00"/>
              <w:spacing w:after="0" w:line="143" w:lineRule="exact"/>
              <w:rPr>
                <w:sz w:val="20"/>
                <w:szCs w:val="20"/>
                <w:color w:val="auto"/>
              </w:rPr>
            </w:pPr>
            <w:r>
              <w:rPr>
                <w:rFonts w:ascii="Arial" w:cs="Arial" w:eastAsia="Arial" w:hAnsi="Arial"/>
                <w:sz w:val="14"/>
                <w:szCs w:val="14"/>
                <w:color w:val="auto"/>
              </w:rPr>
              <w:t>(1,881)</w:t>
            </w:r>
          </w:p>
        </w:tc>
        <w:tc>
          <w:tcPr>
            <w:tcW w:w="1180" w:type="dxa"/>
            <w:vAlign w:val="bottom"/>
            <w:gridSpan w:val="2"/>
            <w:shd w:val="clear" w:color="auto" w:fill="CCEEFF"/>
          </w:tcPr>
          <w:p>
            <w:pPr>
              <w:jc w:val="right"/>
              <w:ind w:right="120"/>
              <w:spacing w:after="0" w:line="143" w:lineRule="exact"/>
              <w:rPr>
                <w:sz w:val="20"/>
                <w:szCs w:val="20"/>
                <w:color w:val="auto"/>
              </w:rPr>
            </w:pPr>
            <w:r>
              <w:rPr>
                <w:rFonts w:ascii="Arial" w:cs="Arial" w:eastAsia="Arial" w:hAnsi="Arial"/>
                <w:sz w:val="14"/>
                <w:szCs w:val="14"/>
                <w:color w:val="auto"/>
              </w:rPr>
              <w:t>(232)</w:t>
            </w:r>
          </w:p>
        </w:tc>
        <w:tc>
          <w:tcPr>
            <w:tcW w:w="1180" w:type="dxa"/>
            <w:vAlign w:val="bottom"/>
            <w:gridSpan w:val="2"/>
            <w:shd w:val="clear" w:color="auto" w:fill="CCEEFF"/>
          </w:tcPr>
          <w:p>
            <w:pPr>
              <w:jc w:val="right"/>
              <w:ind w:right="120"/>
              <w:spacing w:after="0" w:line="143" w:lineRule="exact"/>
              <w:rPr>
                <w:sz w:val="20"/>
                <w:szCs w:val="20"/>
                <w:color w:val="auto"/>
              </w:rPr>
            </w:pPr>
            <w:r>
              <w:rPr>
                <w:rFonts w:ascii="Arial" w:cs="Arial" w:eastAsia="Arial" w:hAnsi="Arial"/>
                <w:sz w:val="14"/>
                <w:szCs w:val="14"/>
                <w:color w:val="auto"/>
              </w:rPr>
              <w:t>(57)</w:t>
            </w:r>
          </w:p>
        </w:tc>
        <w:tc>
          <w:tcPr>
            <w:tcW w:w="1020" w:type="dxa"/>
            <w:vAlign w:val="bottom"/>
            <w:gridSpan w:val="2"/>
            <w:shd w:val="clear" w:color="auto" w:fill="CCEEFF"/>
          </w:tcPr>
          <w:p>
            <w:pPr>
              <w:jc w:val="right"/>
              <w:ind w:right="160"/>
              <w:spacing w:after="0" w:line="143" w:lineRule="exact"/>
              <w:rPr>
                <w:sz w:val="20"/>
                <w:szCs w:val="20"/>
                <w:color w:val="auto"/>
              </w:rPr>
            </w:pPr>
            <w:r>
              <w:rPr>
                <w:rFonts w:ascii="Arial" w:cs="Arial" w:eastAsia="Arial" w:hAnsi="Arial"/>
                <w:sz w:val="14"/>
                <w:szCs w:val="14"/>
                <w:color w:val="auto"/>
              </w:rPr>
              <w:t>3,692</w:t>
            </w:r>
          </w:p>
        </w:tc>
        <w:tc>
          <w:tcPr>
            <w:tcW w:w="820" w:type="dxa"/>
            <w:vAlign w:val="bottom"/>
            <w:gridSpan w:val="2"/>
            <w:shd w:val="clear" w:color="auto" w:fill="CCEEFF"/>
          </w:tcPr>
          <w:p>
            <w:pPr>
              <w:jc w:val="right"/>
              <w:ind w:right="100"/>
              <w:spacing w:after="0" w:line="143" w:lineRule="exact"/>
              <w:rPr>
                <w:sz w:val="20"/>
                <w:szCs w:val="20"/>
                <w:color w:val="auto"/>
              </w:rPr>
            </w:pPr>
            <w:r>
              <w:rPr>
                <w:rFonts w:ascii="Arial" w:cs="Arial" w:eastAsia="Arial" w:hAnsi="Arial"/>
                <w:sz w:val="14"/>
                <w:szCs w:val="14"/>
                <w:color w:val="auto"/>
              </w:rPr>
              <w:t>(1,032)</w:t>
            </w:r>
          </w:p>
        </w:tc>
        <w:tc>
          <w:tcPr>
            <w:tcW w:w="780" w:type="dxa"/>
            <w:vAlign w:val="bottom"/>
            <w:gridSpan w:val="2"/>
            <w:shd w:val="clear" w:color="auto" w:fill="CCEEFF"/>
          </w:tcPr>
          <w:p>
            <w:pPr>
              <w:jc w:val="right"/>
              <w:ind w:right="160"/>
              <w:spacing w:after="0" w:line="143" w:lineRule="exact"/>
              <w:rPr>
                <w:sz w:val="20"/>
                <w:szCs w:val="20"/>
                <w:color w:val="auto"/>
              </w:rPr>
            </w:pPr>
            <w:r>
              <w:rPr>
                <w:rFonts w:ascii="Arial" w:cs="Arial" w:eastAsia="Arial" w:hAnsi="Arial"/>
                <w:sz w:val="14"/>
                <w:szCs w:val="14"/>
                <w:color w:val="auto"/>
              </w:rPr>
              <w:t>2,659</w:t>
            </w:r>
          </w:p>
        </w:tc>
        <w:tc>
          <w:tcPr>
            <w:tcW w:w="960" w:type="dxa"/>
            <w:vAlign w:val="bottom"/>
            <w:gridSpan w:val="2"/>
            <w:shd w:val="clear" w:color="auto" w:fill="CCEEFF"/>
          </w:tcPr>
          <w:p>
            <w:pPr>
              <w:jc w:val="right"/>
              <w:ind w:right="160"/>
              <w:spacing w:after="0" w:line="143" w:lineRule="exact"/>
              <w:rPr>
                <w:sz w:val="20"/>
                <w:szCs w:val="20"/>
                <w:color w:val="auto"/>
              </w:rPr>
            </w:pPr>
            <w:r>
              <w:rPr>
                <w:rFonts w:ascii="Arial" w:cs="Arial" w:eastAsia="Arial" w:hAnsi="Arial"/>
                <w:sz w:val="14"/>
                <w:szCs w:val="14"/>
                <w:color w:val="auto"/>
              </w:rPr>
              <w:t>272</w:t>
            </w:r>
          </w:p>
        </w:tc>
        <w:tc>
          <w:tcPr>
            <w:tcW w:w="820" w:type="dxa"/>
            <w:vAlign w:val="bottom"/>
            <w:gridSpan w:val="2"/>
            <w:shd w:val="clear" w:color="auto" w:fill="CCEEFF"/>
          </w:tcPr>
          <w:p>
            <w:pPr>
              <w:jc w:val="right"/>
              <w:ind w:right="160"/>
              <w:spacing w:after="0" w:line="143" w:lineRule="exact"/>
              <w:rPr>
                <w:sz w:val="20"/>
                <w:szCs w:val="20"/>
                <w:color w:val="auto"/>
              </w:rPr>
            </w:pPr>
            <w:r>
              <w:rPr>
                <w:rFonts w:ascii="Arial" w:cs="Arial" w:eastAsia="Arial" w:hAnsi="Arial"/>
                <w:sz w:val="14"/>
                <w:szCs w:val="14"/>
                <w:color w:val="auto"/>
              </w:rPr>
              <w:t>142,963</w:t>
            </w:r>
          </w:p>
        </w:tc>
        <w:tc>
          <w:tcPr>
            <w:tcW w:w="700" w:type="dxa"/>
            <w:vAlign w:val="bottom"/>
            <w:gridSpan w:val="2"/>
            <w:shd w:val="clear" w:color="auto" w:fill="CCEEFF"/>
          </w:tcPr>
          <w:p>
            <w:pPr>
              <w:jc w:val="right"/>
              <w:ind w:right="80"/>
              <w:spacing w:after="0" w:line="143" w:lineRule="exact"/>
              <w:rPr>
                <w:sz w:val="20"/>
                <w:szCs w:val="20"/>
                <w:color w:val="auto"/>
              </w:rPr>
            </w:pPr>
            <w:r>
              <w:rPr>
                <w:rFonts w:ascii="Arial" w:cs="Arial" w:eastAsia="Arial" w:hAnsi="Arial"/>
                <w:sz w:val="14"/>
                <w:szCs w:val="14"/>
                <w:color w:val="auto"/>
              </w:rPr>
              <w:t>129,189</w:t>
            </w:r>
          </w:p>
        </w:tc>
        <w:tc>
          <w:tcPr>
            <w:tcW w:w="0" w:type="dxa"/>
            <w:vAlign w:val="bottom"/>
          </w:tcPr>
          <w:p>
            <w:pPr>
              <w:spacing w:after="0"/>
              <w:rPr>
                <w:sz w:val="1"/>
                <w:szCs w:val="1"/>
                <w:color w:val="auto"/>
              </w:rPr>
            </w:pPr>
          </w:p>
        </w:tc>
      </w:tr>
      <w:tr>
        <w:trPr>
          <w:trHeight w:val="143"/>
        </w:trPr>
        <w:tc>
          <w:tcPr>
            <w:tcW w:w="1040" w:type="dxa"/>
            <w:vAlign w:val="bottom"/>
            <w:gridSpan w:val="3"/>
          </w:tcPr>
          <w:p>
            <w:pPr>
              <w:spacing w:after="0" w:line="143" w:lineRule="exact"/>
              <w:rPr>
                <w:sz w:val="20"/>
                <w:szCs w:val="20"/>
                <w:color w:val="auto"/>
              </w:rPr>
            </w:pPr>
            <w:r>
              <w:rPr>
                <w:rFonts w:ascii="Arial" w:cs="Arial" w:eastAsia="Arial" w:hAnsi="Arial"/>
                <w:sz w:val="14"/>
                <w:szCs w:val="14"/>
                <w:color w:val="auto"/>
              </w:rPr>
              <w:t>Insurance</w:t>
            </w:r>
          </w:p>
        </w:tc>
        <w:tc>
          <w:tcPr>
            <w:tcW w:w="960" w:type="dxa"/>
            <w:vAlign w:val="bottom"/>
            <w:gridSpan w:val="2"/>
          </w:tcPr>
          <w:p>
            <w:pPr>
              <w:jc w:val="right"/>
              <w:spacing w:after="0" w:line="143" w:lineRule="exact"/>
              <w:rPr>
                <w:sz w:val="20"/>
                <w:szCs w:val="20"/>
                <w:color w:val="auto"/>
              </w:rPr>
            </w:pPr>
            <w:r>
              <w:rPr>
                <w:rFonts w:ascii="Arial" w:cs="Arial" w:eastAsia="Arial" w:hAnsi="Arial"/>
                <w:sz w:val="14"/>
                <w:szCs w:val="14"/>
                <w:color w:val="auto"/>
              </w:rPr>
              <w:t>2,439</w:t>
            </w:r>
          </w:p>
        </w:tc>
        <w:tc>
          <w:tcPr>
            <w:tcW w:w="60" w:type="dxa"/>
            <w:vAlign w:val="bottom"/>
          </w:tcPr>
          <w:p>
            <w:pPr>
              <w:spacing w:after="0"/>
              <w:rPr>
                <w:sz w:val="12"/>
                <w:szCs w:val="12"/>
                <w:color w:val="auto"/>
              </w:rPr>
            </w:pPr>
          </w:p>
        </w:tc>
        <w:tc>
          <w:tcPr>
            <w:tcW w:w="740" w:type="dxa"/>
            <w:vAlign w:val="bottom"/>
            <w:gridSpan w:val="3"/>
          </w:tcPr>
          <w:p>
            <w:pPr>
              <w:jc w:val="right"/>
              <w:spacing w:after="0" w:line="143" w:lineRule="exact"/>
              <w:rPr>
                <w:sz w:val="20"/>
                <w:szCs w:val="20"/>
                <w:color w:val="auto"/>
              </w:rPr>
            </w:pPr>
            <w:r>
              <w:rPr>
                <w:rFonts w:ascii="Arial" w:cs="Arial" w:eastAsia="Arial" w:hAnsi="Arial"/>
                <w:sz w:val="14"/>
                <w:szCs w:val="14"/>
                <w:color w:val="auto"/>
              </w:rPr>
              <w:t>630</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jc w:val="right"/>
              <w:spacing w:after="0" w:line="143"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180" w:type="dxa"/>
            <w:vAlign w:val="bottom"/>
            <w:gridSpan w:val="2"/>
          </w:tcPr>
          <w:p>
            <w:pPr>
              <w:jc w:val="right"/>
              <w:ind w:right="120"/>
              <w:spacing w:after="0" w:line="143" w:lineRule="exact"/>
              <w:rPr>
                <w:sz w:val="20"/>
                <w:szCs w:val="20"/>
                <w:color w:val="auto"/>
              </w:rPr>
            </w:pPr>
            <w:r>
              <w:rPr>
                <w:rFonts w:ascii="Arial" w:cs="Arial" w:eastAsia="Arial" w:hAnsi="Arial"/>
                <w:sz w:val="14"/>
                <w:szCs w:val="14"/>
                <w:color w:val="auto"/>
              </w:rPr>
              <w:t>(42)</w:t>
            </w:r>
          </w:p>
        </w:tc>
        <w:tc>
          <w:tcPr>
            <w:tcW w:w="1020" w:type="dxa"/>
            <w:vAlign w:val="bottom"/>
          </w:tcPr>
          <w:p>
            <w:pPr>
              <w:jc w:val="right"/>
              <w:spacing w:after="0" w:line="143" w:lineRule="exact"/>
              <w:rPr>
                <w:sz w:val="20"/>
                <w:szCs w:val="20"/>
                <w:color w:val="auto"/>
              </w:rPr>
            </w:pPr>
            <w:r>
              <w:rPr>
                <w:rFonts w:ascii="Arial" w:cs="Arial" w:eastAsia="Arial" w:hAnsi="Arial"/>
                <w:sz w:val="14"/>
                <w:szCs w:val="14"/>
                <w:color w:val="auto"/>
              </w:rPr>
              <w:t>13</w:t>
            </w:r>
          </w:p>
        </w:tc>
        <w:tc>
          <w:tcPr>
            <w:tcW w:w="160" w:type="dxa"/>
            <w:vAlign w:val="bottom"/>
          </w:tcPr>
          <w:p>
            <w:pPr>
              <w:spacing w:after="0"/>
              <w:rPr>
                <w:sz w:val="12"/>
                <w:szCs w:val="12"/>
                <w:color w:val="auto"/>
              </w:rPr>
            </w:pPr>
          </w:p>
        </w:tc>
        <w:tc>
          <w:tcPr>
            <w:tcW w:w="860" w:type="dxa"/>
            <w:vAlign w:val="bottom"/>
          </w:tcPr>
          <w:p>
            <w:pPr>
              <w:jc w:val="right"/>
              <w:spacing w:after="0" w:line="143" w:lineRule="exact"/>
              <w:rPr>
                <w:sz w:val="20"/>
                <w:szCs w:val="20"/>
                <w:color w:val="auto"/>
              </w:rPr>
            </w:pPr>
            <w:r>
              <w:rPr>
                <w:rFonts w:ascii="Arial" w:cs="Arial" w:eastAsia="Arial" w:hAnsi="Arial"/>
                <w:sz w:val="14"/>
                <w:szCs w:val="14"/>
                <w:color w:val="auto"/>
              </w:rPr>
              <w:t>424</w:t>
            </w:r>
          </w:p>
        </w:tc>
        <w:tc>
          <w:tcPr>
            <w:tcW w:w="160" w:type="dxa"/>
            <w:vAlign w:val="bottom"/>
          </w:tcPr>
          <w:p>
            <w:pPr>
              <w:spacing w:after="0"/>
              <w:rPr>
                <w:sz w:val="12"/>
                <w:szCs w:val="12"/>
                <w:color w:val="auto"/>
              </w:rPr>
            </w:pPr>
          </w:p>
        </w:tc>
        <w:tc>
          <w:tcPr>
            <w:tcW w:w="820" w:type="dxa"/>
            <w:vAlign w:val="bottom"/>
            <w:gridSpan w:val="2"/>
          </w:tcPr>
          <w:p>
            <w:pPr>
              <w:jc w:val="right"/>
              <w:ind w:right="100"/>
              <w:spacing w:after="0" w:line="143" w:lineRule="exact"/>
              <w:rPr>
                <w:sz w:val="20"/>
                <w:szCs w:val="20"/>
                <w:color w:val="auto"/>
              </w:rPr>
            </w:pPr>
            <w:r>
              <w:rPr>
                <w:rFonts w:ascii="Arial" w:cs="Arial" w:eastAsia="Arial" w:hAnsi="Arial"/>
                <w:sz w:val="14"/>
                <w:szCs w:val="14"/>
                <w:color w:val="auto"/>
              </w:rPr>
              <w:t>(74)</w:t>
            </w:r>
          </w:p>
        </w:tc>
        <w:tc>
          <w:tcPr>
            <w:tcW w:w="620" w:type="dxa"/>
            <w:vAlign w:val="bottom"/>
          </w:tcPr>
          <w:p>
            <w:pPr>
              <w:jc w:val="right"/>
              <w:spacing w:after="0" w:line="143" w:lineRule="exact"/>
              <w:rPr>
                <w:sz w:val="20"/>
                <w:szCs w:val="20"/>
                <w:color w:val="auto"/>
              </w:rPr>
            </w:pPr>
            <w:r>
              <w:rPr>
                <w:rFonts w:ascii="Arial" w:cs="Arial" w:eastAsia="Arial" w:hAnsi="Arial"/>
                <w:sz w:val="14"/>
                <w:szCs w:val="14"/>
                <w:color w:val="auto"/>
              </w:rPr>
              <w:t>350</w:t>
            </w:r>
          </w:p>
        </w:tc>
        <w:tc>
          <w:tcPr>
            <w:tcW w:w="160" w:type="dxa"/>
            <w:vAlign w:val="bottom"/>
          </w:tcPr>
          <w:p>
            <w:pPr>
              <w:spacing w:after="0"/>
              <w:rPr>
                <w:sz w:val="12"/>
                <w:szCs w:val="12"/>
                <w:color w:val="auto"/>
              </w:rPr>
            </w:pPr>
          </w:p>
        </w:tc>
        <w:tc>
          <w:tcPr>
            <w:tcW w:w="960" w:type="dxa"/>
            <w:vAlign w:val="bottom"/>
            <w:gridSpan w:val="2"/>
          </w:tcPr>
          <w:p>
            <w:pPr>
              <w:jc w:val="right"/>
              <w:ind w:right="160"/>
              <w:spacing w:after="0" w:line="143" w:lineRule="exact"/>
              <w:rPr>
                <w:sz w:val="20"/>
                <w:szCs w:val="20"/>
                <w:color w:val="auto"/>
              </w:rPr>
            </w:pPr>
            <w:r>
              <w:rPr>
                <w:rFonts w:ascii="Arial" w:cs="Arial" w:eastAsia="Arial" w:hAnsi="Arial"/>
                <w:sz w:val="14"/>
                <w:szCs w:val="14"/>
                <w:color w:val="auto"/>
              </w:rPr>
              <w:t>144</w:t>
            </w:r>
          </w:p>
        </w:tc>
        <w:tc>
          <w:tcPr>
            <w:tcW w:w="820" w:type="dxa"/>
            <w:vAlign w:val="bottom"/>
            <w:gridSpan w:val="2"/>
          </w:tcPr>
          <w:p>
            <w:pPr>
              <w:jc w:val="right"/>
              <w:ind w:right="160"/>
              <w:spacing w:after="0" w:line="143" w:lineRule="exact"/>
              <w:rPr>
                <w:sz w:val="20"/>
                <w:szCs w:val="20"/>
                <w:color w:val="auto"/>
              </w:rPr>
            </w:pPr>
            <w:r>
              <w:rPr>
                <w:rFonts w:ascii="Arial" w:cs="Arial" w:eastAsia="Arial" w:hAnsi="Arial"/>
                <w:sz w:val="14"/>
                <w:szCs w:val="14"/>
                <w:color w:val="auto"/>
              </w:rPr>
              <w:t>9,059</w:t>
            </w:r>
          </w:p>
        </w:tc>
        <w:tc>
          <w:tcPr>
            <w:tcW w:w="700" w:type="dxa"/>
            <w:vAlign w:val="bottom"/>
            <w:gridSpan w:val="2"/>
          </w:tcPr>
          <w:p>
            <w:pPr>
              <w:jc w:val="right"/>
              <w:ind w:right="80"/>
              <w:spacing w:after="0" w:line="143" w:lineRule="exact"/>
              <w:rPr>
                <w:sz w:val="20"/>
                <w:szCs w:val="20"/>
                <w:color w:val="auto"/>
              </w:rPr>
            </w:pPr>
            <w:r>
              <w:rPr>
                <w:rFonts w:ascii="Arial" w:cs="Arial" w:eastAsia="Arial" w:hAnsi="Arial"/>
                <w:sz w:val="14"/>
                <w:szCs w:val="14"/>
                <w:color w:val="auto"/>
              </w:rPr>
              <w:t>7,270</w:t>
            </w:r>
          </w:p>
        </w:tc>
        <w:tc>
          <w:tcPr>
            <w:tcW w:w="0" w:type="dxa"/>
            <w:vAlign w:val="bottom"/>
          </w:tcPr>
          <w:p>
            <w:pPr>
              <w:spacing w:after="0"/>
              <w:rPr>
                <w:sz w:val="1"/>
                <w:szCs w:val="1"/>
                <w:color w:val="auto"/>
              </w:rPr>
            </w:pPr>
          </w:p>
        </w:tc>
      </w:tr>
      <w:tr>
        <w:trPr>
          <w:trHeight w:val="143"/>
        </w:trPr>
        <w:tc>
          <w:tcPr>
            <w:tcW w:w="1040" w:type="dxa"/>
            <w:vAlign w:val="bottom"/>
            <w:gridSpan w:val="3"/>
            <w:shd w:val="clear" w:color="auto" w:fill="CCEEFF"/>
          </w:tcPr>
          <w:p>
            <w:pPr>
              <w:spacing w:after="0" w:line="143" w:lineRule="exact"/>
              <w:rPr>
                <w:sz w:val="20"/>
                <w:szCs w:val="20"/>
                <w:color w:val="auto"/>
              </w:rPr>
            </w:pPr>
            <w:r>
              <w:rPr>
                <w:rFonts w:ascii="Arial" w:cs="Arial" w:eastAsia="Arial" w:hAnsi="Arial"/>
                <w:sz w:val="14"/>
                <w:szCs w:val="14"/>
                <w:color w:val="auto"/>
              </w:rPr>
              <w:t>Pension funds</w:t>
            </w:r>
          </w:p>
        </w:tc>
        <w:tc>
          <w:tcPr>
            <w:tcW w:w="960" w:type="dxa"/>
            <w:vAlign w:val="bottom"/>
            <w:gridSpan w:val="2"/>
            <w:shd w:val="clear" w:color="auto" w:fill="CCEEFF"/>
          </w:tcPr>
          <w:p>
            <w:pPr>
              <w:jc w:val="right"/>
              <w:spacing w:after="0" w:line="143" w:lineRule="exact"/>
              <w:rPr>
                <w:sz w:val="20"/>
                <w:szCs w:val="20"/>
                <w:color w:val="auto"/>
              </w:rPr>
            </w:pPr>
            <w:r>
              <w:rPr>
                <w:rFonts w:ascii="Arial" w:cs="Arial" w:eastAsia="Arial" w:hAnsi="Arial"/>
                <w:sz w:val="14"/>
                <w:szCs w:val="14"/>
                <w:color w:val="auto"/>
              </w:rPr>
              <w:t>403</w:t>
            </w:r>
          </w:p>
        </w:tc>
        <w:tc>
          <w:tcPr>
            <w:tcW w:w="60" w:type="dxa"/>
            <w:vAlign w:val="bottom"/>
            <w:shd w:val="clear" w:color="auto" w:fill="CCEEFF"/>
          </w:tcPr>
          <w:p>
            <w:pPr>
              <w:spacing w:after="0"/>
              <w:rPr>
                <w:sz w:val="12"/>
                <w:szCs w:val="12"/>
                <w:color w:val="auto"/>
              </w:rPr>
            </w:pPr>
          </w:p>
        </w:tc>
        <w:tc>
          <w:tcPr>
            <w:tcW w:w="900" w:type="dxa"/>
            <w:vAlign w:val="bottom"/>
            <w:gridSpan w:val="5"/>
            <w:shd w:val="clear" w:color="auto" w:fill="CCEEFF"/>
          </w:tcPr>
          <w:p>
            <w:pPr>
              <w:jc w:val="right"/>
              <w:ind w:right="120"/>
              <w:spacing w:after="0" w:line="143" w:lineRule="exact"/>
              <w:rPr>
                <w:sz w:val="20"/>
                <w:szCs w:val="20"/>
                <w:color w:val="auto"/>
              </w:rPr>
            </w:pPr>
            <w:r>
              <w:rPr>
                <w:rFonts w:ascii="Arial" w:cs="Arial" w:eastAsia="Arial" w:hAnsi="Arial"/>
                <w:sz w:val="14"/>
                <w:szCs w:val="14"/>
                <w:color w:val="auto"/>
              </w:rPr>
              <w:t>(1)</w:t>
            </w:r>
          </w:p>
        </w:tc>
        <w:tc>
          <w:tcPr>
            <w:tcW w:w="86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120"/>
              <w:spacing w:after="0" w:line="143" w:lineRule="exact"/>
              <w:rPr>
                <w:sz w:val="20"/>
                <w:szCs w:val="20"/>
                <w:color w:val="auto"/>
              </w:rPr>
            </w:pPr>
            <w:r>
              <w:rPr>
                <w:rFonts w:ascii="Arial" w:cs="Arial" w:eastAsia="Arial" w:hAnsi="Arial"/>
                <w:sz w:val="14"/>
                <w:szCs w:val="14"/>
                <w:color w:val="auto"/>
              </w:rPr>
              <w:t>(19)</w:t>
            </w:r>
          </w:p>
        </w:tc>
        <w:tc>
          <w:tcPr>
            <w:tcW w:w="102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rPr>
              <w:t>228</w:t>
            </w:r>
          </w:p>
        </w:tc>
        <w:tc>
          <w:tcPr>
            <w:tcW w:w="1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00"/>
              <w:spacing w:after="0" w:line="143" w:lineRule="exact"/>
              <w:rPr>
                <w:sz w:val="20"/>
                <w:szCs w:val="20"/>
                <w:color w:val="auto"/>
              </w:rPr>
            </w:pPr>
            <w:r>
              <w:rPr>
                <w:rFonts w:ascii="Arial" w:cs="Arial" w:eastAsia="Arial" w:hAnsi="Arial"/>
                <w:sz w:val="14"/>
                <w:szCs w:val="14"/>
                <w:color w:val="auto"/>
              </w:rPr>
              <w:t>(66)</w:t>
            </w:r>
          </w:p>
        </w:tc>
        <w:tc>
          <w:tcPr>
            <w:tcW w:w="62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rPr>
              <w:t>162</w:t>
            </w:r>
          </w:p>
        </w:tc>
        <w:tc>
          <w:tcPr>
            <w:tcW w:w="1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60"/>
              <w:spacing w:after="0" w:line="143" w:lineRule="exact"/>
              <w:rPr>
                <w:sz w:val="20"/>
                <w:szCs w:val="20"/>
                <w:color w:val="auto"/>
              </w:rPr>
            </w:pPr>
            <w:r>
              <w:rPr>
                <w:rFonts w:ascii="Arial" w:cs="Arial" w:eastAsia="Arial" w:hAnsi="Arial"/>
                <w:sz w:val="14"/>
                <w:szCs w:val="14"/>
                <w:color w:val="auto"/>
              </w:rPr>
              <w:t>2</w:t>
            </w:r>
          </w:p>
        </w:tc>
        <w:tc>
          <w:tcPr>
            <w:tcW w:w="820" w:type="dxa"/>
            <w:vAlign w:val="bottom"/>
            <w:gridSpan w:val="2"/>
            <w:shd w:val="clear" w:color="auto" w:fill="CCEEFF"/>
          </w:tcPr>
          <w:p>
            <w:pPr>
              <w:jc w:val="right"/>
              <w:ind w:right="160"/>
              <w:spacing w:after="0" w:line="143" w:lineRule="exact"/>
              <w:rPr>
                <w:sz w:val="20"/>
                <w:szCs w:val="20"/>
                <w:color w:val="auto"/>
              </w:rPr>
            </w:pPr>
            <w:r>
              <w:rPr>
                <w:rFonts w:ascii="Arial" w:cs="Arial" w:eastAsia="Arial" w:hAnsi="Arial"/>
                <w:sz w:val="14"/>
                <w:szCs w:val="14"/>
                <w:color w:val="auto"/>
              </w:rPr>
              <w:t>766</w:t>
            </w:r>
          </w:p>
        </w:tc>
        <w:tc>
          <w:tcPr>
            <w:tcW w:w="700" w:type="dxa"/>
            <w:vAlign w:val="bottom"/>
            <w:gridSpan w:val="2"/>
            <w:shd w:val="clear" w:color="auto" w:fill="CCEEFF"/>
          </w:tcPr>
          <w:p>
            <w:pPr>
              <w:jc w:val="right"/>
              <w:ind w:right="80"/>
              <w:spacing w:after="0" w:line="143" w:lineRule="exact"/>
              <w:rPr>
                <w:sz w:val="20"/>
                <w:szCs w:val="20"/>
                <w:color w:val="auto"/>
              </w:rPr>
            </w:pPr>
            <w:r>
              <w:rPr>
                <w:rFonts w:ascii="Arial" w:cs="Arial" w:eastAsia="Arial" w:hAnsi="Arial"/>
                <w:sz w:val="14"/>
                <w:szCs w:val="14"/>
                <w:color w:val="auto"/>
              </w:rPr>
              <w:t>247</w:t>
            </w:r>
          </w:p>
        </w:tc>
        <w:tc>
          <w:tcPr>
            <w:tcW w:w="0" w:type="dxa"/>
            <w:vAlign w:val="bottom"/>
          </w:tcPr>
          <w:p>
            <w:pPr>
              <w:spacing w:after="0"/>
              <w:rPr>
                <w:sz w:val="1"/>
                <w:szCs w:val="1"/>
                <w:color w:val="auto"/>
              </w:rPr>
            </w:pPr>
          </w:p>
        </w:tc>
      </w:tr>
      <w:tr>
        <w:trPr>
          <w:trHeight w:val="124"/>
        </w:trPr>
        <w:tc>
          <w:tcPr>
            <w:tcW w:w="1040" w:type="dxa"/>
            <w:vAlign w:val="bottom"/>
            <w:gridSpan w:val="3"/>
          </w:tcPr>
          <w:p>
            <w:pPr>
              <w:spacing w:after="0" w:line="125" w:lineRule="exact"/>
              <w:rPr>
                <w:sz w:val="20"/>
                <w:szCs w:val="20"/>
                <w:color w:val="auto"/>
              </w:rPr>
            </w:pPr>
            <w:r>
              <w:rPr>
                <w:rFonts w:ascii="Arial" w:cs="Arial" w:eastAsia="Arial" w:hAnsi="Arial"/>
                <w:sz w:val="14"/>
                <w:szCs w:val="14"/>
                <w:color w:val="auto"/>
              </w:rPr>
              <w:t>Investment</w:t>
            </w:r>
          </w:p>
        </w:tc>
        <w:tc>
          <w:tcPr>
            <w:tcW w:w="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4"/>
        </w:trPr>
        <w:tc>
          <w:tcPr>
            <w:tcW w:w="1040" w:type="dxa"/>
            <w:vAlign w:val="bottom"/>
            <w:gridSpan w:val="3"/>
          </w:tcPr>
          <w:p>
            <w:pPr>
              <w:spacing w:after="0"/>
              <w:rPr>
                <w:sz w:val="20"/>
                <w:szCs w:val="20"/>
                <w:color w:val="auto"/>
              </w:rPr>
            </w:pPr>
            <w:r>
              <w:rPr>
                <w:rFonts w:ascii="Arial" w:cs="Arial" w:eastAsia="Arial" w:hAnsi="Arial"/>
                <w:sz w:val="14"/>
                <w:szCs w:val="14"/>
                <w:color w:val="auto"/>
              </w:rPr>
              <w:t>banking</w:t>
            </w:r>
          </w:p>
        </w:tc>
        <w:tc>
          <w:tcPr>
            <w:tcW w:w="960" w:type="dxa"/>
            <w:vAlign w:val="bottom"/>
            <w:gridSpan w:val="2"/>
          </w:tcPr>
          <w:p>
            <w:pPr>
              <w:jc w:val="right"/>
              <w:spacing w:after="0"/>
              <w:rPr>
                <w:sz w:val="20"/>
                <w:szCs w:val="20"/>
                <w:color w:val="auto"/>
              </w:rPr>
            </w:pPr>
            <w:r>
              <w:rPr>
                <w:rFonts w:ascii="Arial" w:cs="Arial" w:eastAsia="Arial" w:hAnsi="Arial"/>
                <w:sz w:val="14"/>
                <w:szCs w:val="14"/>
                <w:color w:val="auto"/>
              </w:rPr>
              <w:t>528</w:t>
            </w:r>
          </w:p>
        </w:tc>
        <w:tc>
          <w:tcPr>
            <w:tcW w:w="60" w:type="dxa"/>
            <w:vAlign w:val="bottom"/>
          </w:tcPr>
          <w:p>
            <w:pPr>
              <w:spacing w:after="0"/>
              <w:rPr>
                <w:sz w:val="15"/>
                <w:szCs w:val="15"/>
                <w:color w:val="auto"/>
              </w:rPr>
            </w:pPr>
          </w:p>
        </w:tc>
        <w:tc>
          <w:tcPr>
            <w:tcW w:w="740" w:type="dxa"/>
            <w:vAlign w:val="bottom"/>
            <w:gridSpan w:val="3"/>
          </w:tcPr>
          <w:p>
            <w:pPr>
              <w:jc w:val="right"/>
              <w:spacing w:after="0"/>
              <w:rPr>
                <w:sz w:val="20"/>
                <w:szCs w:val="20"/>
                <w:color w:val="auto"/>
              </w:rPr>
            </w:pPr>
            <w:r>
              <w:rPr>
                <w:rFonts w:ascii="Arial" w:cs="Arial" w:eastAsia="Arial" w:hAnsi="Arial"/>
                <w:sz w:val="14"/>
                <w:szCs w:val="14"/>
                <w:color w:val="auto"/>
              </w:rPr>
              <w:t>2</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4"/>
                <w:szCs w:val="14"/>
                <w:color w:val="auto"/>
              </w:rPr>
              <w:t>(103)</w:t>
            </w: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17</w:t>
            </w:r>
          </w:p>
        </w:tc>
        <w:tc>
          <w:tcPr>
            <w:tcW w:w="160" w:type="dxa"/>
            <w:vAlign w:val="bottom"/>
          </w:tcPr>
          <w:p>
            <w:pPr>
              <w:spacing w:after="0"/>
              <w:rPr>
                <w:sz w:val="15"/>
                <w:szCs w:val="15"/>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(25)</w:t>
            </w:r>
          </w:p>
        </w:tc>
        <w:tc>
          <w:tcPr>
            <w:tcW w:w="780" w:type="dxa"/>
            <w:vAlign w:val="bottom"/>
            <w:gridSpan w:val="2"/>
          </w:tcPr>
          <w:p>
            <w:pPr>
              <w:jc w:val="right"/>
              <w:ind w:right="100"/>
              <w:spacing w:after="0"/>
              <w:rPr>
                <w:sz w:val="20"/>
                <w:szCs w:val="20"/>
                <w:color w:val="auto"/>
              </w:rPr>
            </w:pPr>
            <w:r>
              <w:rPr>
                <w:rFonts w:ascii="Arial" w:cs="Arial" w:eastAsia="Arial" w:hAnsi="Arial"/>
                <w:sz w:val="14"/>
                <w:szCs w:val="14"/>
                <w:color w:val="auto"/>
              </w:rPr>
              <w:t>(8)</w:t>
            </w: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7</w:t>
            </w: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2,692</w:t>
            </w:r>
          </w:p>
        </w:tc>
        <w:tc>
          <w:tcPr>
            <w:tcW w:w="700" w:type="dxa"/>
            <w:vAlign w:val="bottom"/>
            <w:gridSpan w:val="2"/>
          </w:tcPr>
          <w:p>
            <w:pPr>
              <w:jc w:val="right"/>
              <w:ind w:right="80"/>
              <w:spacing w:after="0"/>
              <w:rPr>
                <w:sz w:val="20"/>
                <w:szCs w:val="20"/>
                <w:color w:val="auto"/>
              </w:rPr>
            </w:pPr>
            <w:r>
              <w:rPr>
                <w:rFonts w:ascii="Arial" w:cs="Arial" w:eastAsia="Arial" w:hAnsi="Arial"/>
                <w:sz w:val="14"/>
                <w:szCs w:val="14"/>
                <w:color w:val="auto"/>
              </w:rPr>
              <w:t>2,047</w:t>
            </w:r>
          </w:p>
        </w:tc>
        <w:tc>
          <w:tcPr>
            <w:tcW w:w="0" w:type="dxa"/>
            <w:vAlign w:val="bottom"/>
          </w:tcPr>
          <w:p>
            <w:pPr>
              <w:spacing w:after="0"/>
              <w:rPr>
                <w:sz w:val="1"/>
                <w:szCs w:val="1"/>
                <w:color w:val="auto"/>
              </w:rPr>
            </w:pPr>
          </w:p>
        </w:tc>
      </w:tr>
      <w:tr>
        <w:trPr>
          <w:trHeight w:val="100"/>
        </w:trPr>
        <w:tc>
          <w:tcPr>
            <w:tcW w:w="1040" w:type="dxa"/>
            <w:vAlign w:val="bottom"/>
            <w:tcBorders>
              <w:top w:val="single" w:sz="8" w:color="CCEEFF"/>
            </w:tcBorders>
            <w:gridSpan w:val="3"/>
            <w:shd w:val="clear" w:color="auto" w:fill="CCEEFF"/>
          </w:tcPr>
          <w:p>
            <w:pPr>
              <w:spacing w:after="0" w:line="101" w:lineRule="exact"/>
              <w:rPr>
                <w:sz w:val="20"/>
                <w:szCs w:val="20"/>
                <w:color w:val="auto"/>
              </w:rPr>
            </w:pPr>
            <w:r>
              <w:rPr>
                <w:rFonts w:ascii="Arial" w:cs="Arial" w:eastAsia="Arial" w:hAnsi="Arial"/>
                <w:sz w:val="10"/>
                <w:szCs w:val="10"/>
                <w:b w:val="1"/>
                <w:bCs w:val="1"/>
                <w:color w:val="auto"/>
              </w:rPr>
              <w:t>Total</w:t>
            </w:r>
          </w:p>
        </w:tc>
        <w:tc>
          <w:tcPr>
            <w:tcW w:w="20" w:type="dxa"/>
            <w:vAlign w:val="bottom"/>
            <w:tcBorders>
              <w:top w:val="single" w:sz="8" w:color="auto"/>
            </w:tcBorders>
            <w:shd w:val="clear" w:color="auto" w:fill="CCEEFF"/>
          </w:tcPr>
          <w:p>
            <w:pPr>
              <w:spacing w:after="0"/>
              <w:rPr>
                <w:sz w:val="8"/>
                <w:szCs w:val="8"/>
                <w:color w:val="auto"/>
              </w:rPr>
            </w:pPr>
          </w:p>
        </w:tc>
        <w:tc>
          <w:tcPr>
            <w:tcW w:w="940" w:type="dxa"/>
            <w:vAlign w:val="bottom"/>
            <w:tcBorders>
              <w:top w:val="single" w:sz="8" w:color="auto"/>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auto"/>
            </w:tcBorders>
            <w:shd w:val="clear" w:color="auto" w:fill="CCEEFF"/>
          </w:tcPr>
          <w:p>
            <w:pPr>
              <w:spacing w:after="0"/>
              <w:rPr>
                <w:sz w:val="8"/>
                <w:szCs w:val="8"/>
                <w:color w:val="auto"/>
              </w:rPr>
            </w:pPr>
          </w:p>
        </w:tc>
        <w:tc>
          <w:tcPr>
            <w:tcW w:w="660" w:type="dxa"/>
            <w:vAlign w:val="bottom"/>
            <w:tcBorders>
              <w:top w:val="single" w:sz="8" w:color="auto"/>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140" w:type="dxa"/>
            <w:vAlign w:val="bottom"/>
            <w:tcBorders>
              <w:top w:val="single" w:sz="8" w:color="CCEEFF"/>
            </w:tcBorders>
            <w:shd w:val="clear" w:color="auto" w:fill="CCEEFF"/>
          </w:tcPr>
          <w:p>
            <w:pPr>
              <w:spacing w:after="0"/>
              <w:rPr>
                <w:sz w:val="8"/>
                <w:szCs w:val="8"/>
                <w:color w:val="auto"/>
              </w:rPr>
            </w:pPr>
          </w:p>
        </w:tc>
        <w:tc>
          <w:tcPr>
            <w:tcW w:w="860" w:type="dxa"/>
            <w:vAlign w:val="bottom"/>
            <w:tcBorders>
              <w:top w:val="single" w:sz="8" w:color="auto"/>
            </w:tcBorders>
            <w:shd w:val="clear" w:color="auto" w:fill="CCEEFF"/>
          </w:tcPr>
          <w:p>
            <w:pPr>
              <w:spacing w:after="0"/>
              <w:rPr>
                <w:sz w:val="8"/>
                <w:szCs w:val="8"/>
                <w:color w:val="auto"/>
              </w:rPr>
            </w:pPr>
          </w:p>
        </w:tc>
        <w:tc>
          <w:tcPr>
            <w:tcW w:w="140" w:type="dxa"/>
            <w:vAlign w:val="bottom"/>
            <w:tcBorders>
              <w:top w:val="single" w:sz="8" w:color="CCEEFF"/>
            </w:tcBorders>
            <w:shd w:val="clear" w:color="auto" w:fill="CCEEFF"/>
          </w:tcPr>
          <w:p>
            <w:pPr>
              <w:spacing w:after="0"/>
              <w:rPr>
                <w:sz w:val="8"/>
                <w:szCs w:val="8"/>
                <w:color w:val="auto"/>
              </w:rPr>
            </w:pPr>
          </w:p>
        </w:tc>
        <w:tc>
          <w:tcPr>
            <w:tcW w:w="1020" w:type="dxa"/>
            <w:vAlign w:val="bottom"/>
            <w:tcBorders>
              <w:top w:val="single" w:sz="8" w:color="auto"/>
            </w:tcBorders>
            <w:shd w:val="clear" w:color="auto" w:fill="CCEEFF"/>
          </w:tcPr>
          <w:p>
            <w:pPr>
              <w:spacing w:after="0"/>
              <w:rPr>
                <w:sz w:val="8"/>
                <w:szCs w:val="8"/>
                <w:color w:val="auto"/>
              </w:rPr>
            </w:pPr>
          </w:p>
        </w:tc>
        <w:tc>
          <w:tcPr>
            <w:tcW w:w="160" w:type="dxa"/>
            <w:vAlign w:val="bottom"/>
            <w:tcBorders>
              <w:top w:val="single" w:sz="8" w:color="CCEEFF"/>
            </w:tcBorders>
            <w:shd w:val="clear" w:color="auto" w:fill="CCEEFF"/>
          </w:tcPr>
          <w:p>
            <w:pPr>
              <w:spacing w:after="0"/>
              <w:rPr>
                <w:sz w:val="8"/>
                <w:szCs w:val="8"/>
                <w:color w:val="auto"/>
              </w:rPr>
            </w:pPr>
          </w:p>
        </w:tc>
        <w:tc>
          <w:tcPr>
            <w:tcW w:w="1020" w:type="dxa"/>
            <w:vAlign w:val="bottom"/>
            <w:tcBorders>
              <w:top w:val="single" w:sz="8" w:color="auto"/>
            </w:tcBorders>
            <w:shd w:val="clear" w:color="auto" w:fill="CCEEFF"/>
          </w:tcPr>
          <w:p>
            <w:pPr>
              <w:spacing w:after="0"/>
              <w:rPr>
                <w:sz w:val="8"/>
                <w:szCs w:val="8"/>
                <w:color w:val="auto"/>
              </w:rPr>
            </w:pPr>
          </w:p>
        </w:tc>
        <w:tc>
          <w:tcPr>
            <w:tcW w:w="160" w:type="dxa"/>
            <w:vAlign w:val="bottom"/>
            <w:tcBorders>
              <w:top w:val="single" w:sz="8" w:color="CCEEFF"/>
            </w:tcBorders>
            <w:shd w:val="clear" w:color="auto" w:fill="CCEEFF"/>
          </w:tcPr>
          <w:p>
            <w:pPr>
              <w:spacing w:after="0"/>
              <w:rPr>
                <w:sz w:val="8"/>
                <w:szCs w:val="8"/>
                <w:color w:val="auto"/>
              </w:rPr>
            </w:pPr>
          </w:p>
        </w:tc>
        <w:tc>
          <w:tcPr>
            <w:tcW w:w="860" w:type="dxa"/>
            <w:vAlign w:val="bottom"/>
            <w:tcBorders>
              <w:top w:val="single" w:sz="8" w:color="auto"/>
            </w:tcBorders>
            <w:shd w:val="clear" w:color="auto" w:fill="CCEEFF"/>
          </w:tcPr>
          <w:p>
            <w:pPr>
              <w:spacing w:after="0"/>
              <w:rPr>
                <w:sz w:val="8"/>
                <w:szCs w:val="8"/>
                <w:color w:val="auto"/>
              </w:rPr>
            </w:pPr>
          </w:p>
        </w:tc>
        <w:tc>
          <w:tcPr>
            <w:tcW w:w="160" w:type="dxa"/>
            <w:vAlign w:val="bottom"/>
            <w:tcBorders>
              <w:top w:val="single" w:sz="8" w:color="CCEEFF"/>
            </w:tcBorders>
            <w:shd w:val="clear" w:color="auto" w:fill="CCEEFF"/>
          </w:tcPr>
          <w:p>
            <w:pPr>
              <w:spacing w:after="0"/>
              <w:rPr>
                <w:sz w:val="8"/>
                <w:szCs w:val="8"/>
                <w:color w:val="auto"/>
              </w:rPr>
            </w:pPr>
          </w:p>
        </w:tc>
        <w:tc>
          <w:tcPr>
            <w:tcW w:w="660" w:type="dxa"/>
            <w:vAlign w:val="bottom"/>
            <w:tcBorders>
              <w:top w:val="single" w:sz="8" w:color="auto"/>
            </w:tcBorders>
            <w:shd w:val="clear" w:color="auto" w:fill="CCEEFF"/>
          </w:tcPr>
          <w:p>
            <w:pPr>
              <w:spacing w:after="0"/>
              <w:rPr>
                <w:sz w:val="8"/>
                <w:szCs w:val="8"/>
                <w:color w:val="auto"/>
              </w:rPr>
            </w:pPr>
          </w:p>
        </w:tc>
        <w:tc>
          <w:tcPr>
            <w:tcW w:w="160" w:type="dxa"/>
            <w:vAlign w:val="bottom"/>
            <w:tcBorders>
              <w:top w:val="single" w:sz="8" w:color="CCEEFF"/>
            </w:tcBorders>
            <w:shd w:val="clear" w:color="auto" w:fill="CCEEFF"/>
          </w:tcPr>
          <w:p>
            <w:pPr>
              <w:spacing w:after="0"/>
              <w:rPr>
                <w:sz w:val="8"/>
                <w:szCs w:val="8"/>
                <w:color w:val="auto"/>
              </w:rPr>
            </w:pPr>
          </w:p>
        </w:tc>
        <w:tc>
          <w:tcPr>
            <w:tcW w:w="620" w:type="dxa"/>
            <w:vAlign w:val="bottom"/>
            <w:tcBorders>
              <w:top w:val="single" w:sz="8" w:color="auto"/>
            </w:tcBorders>
            <w:shd w:val="clear" w:color="auto" w:fill="CCEEFF"/>
          </w:tcPr>
          <w:p>
            <w:pPr>
              <w:spacing w:after="0"/>
              <w:rPr>
                <w:sz w:val="8"/>
                <w:szCs w:val="8"/>
                <w:color w:val="auto"/>
              </w:rPr>
            </w:pPr>
          </w:p>
        </w:tc>
        <w:tc>
          <w:tcPr>
            <w:tcW w:w="160" w:type="dxa"/>
            <w:vAlign w:val="bottom"/>
            <w:tcBorders>
              <w:top w:val="single" w:sz="8" w:color="CCEEFF"/>
            </w:tcBorders>
            <w:shd w:val="clear" w:color="auto" w:fill="CCEEFF"/>
          </w:tcPr>
          <w:p>
            <w:pPr>
              <w:spacing w:after="0"/>
              <w:rPr>
                <w:sz w:val="8"/>
                <w:szCs w:val="8"/>
                <w:color w:val="auto"/>
              </w:rPr>
            </w:pPr>
          </w:p>
        </w:tc>
        <w:tc>
          <w:tcPr>
            <w:tcW w:w="800" w:type="dxa"/>
            <w:vAlign w:val="bottom"/>
            <w:tcBorders>
              <w:top w:val="single" w:sz="8" w:color="auto"/>
            </w:tcBorders>
            <w:shd w:val="clear" w:color="auto" w:fill="CCEEFF"/>
          </w:tcPr>
          <w:p>
            <w:pPr>
              <w:spacing w:after="0"/>
              <w:rPr>
                <w:sz w:val="8"/>
                <w:szCs w:val="8"/>
                <w:color w:val="auto"/>
              </w:rPr>
            </w:pPr>
          </w:p>
        </w:tc>
        <w:tc>
          <w:tcPr>
            <w:tcW w:w="160" w:type="dxa"/>
            <w:vAlign w:val="bottom"/>
            <w:tcBorders>
              <w:top w:val="single" w:sz="8" w:color="CCEEFF"/>
            </w:tcBorders>
            <w:shd w:val="clear" w:color="auto" w:fill="CCEEFF"/>
          </w:tcPr>
          <w:p>
            <w:pPr>
              <w:spacing w:after="0"/>
              <w:rPr>
                <w:sz w:val="8"/>
                <w:szCs w:val="8"/>
                <w:color w:val="auto"/>
              </w:rPr>
            </w:pPr>
          </w:p>
        </w:tc>
        <w:tc>
          <w:tcPr>
            <w:tcW w:w="660" w:type="dxa"/>
            <w:vAlign w:val="bottom"/>
            <w:tcBorders>
              <w:top w:val="single" w:sz="8" w:color="auto"/>
            </w:tcBorders>
            <w:shd w:val="clear" w:color="auto" w:fill="CCEEFF"/>
          </w:tcPr>
          <w:p>
            <w:pPr>
              <w:spacing w:after="0"/>
              <w:rPr>
                <w:sz w:val="8"/>
                <w:szCs w:val="8"/>
                <w:color w:val="auto"/>
              </w:rPr>
            </w:pPr>
          </w:p>
        </w:tc>
        <w:tc>
          <w:tcPr>
            <w:tcW w:w="160" w:type="dxa"/>
            <w:vAlign w:val="bottom"/>
            <w:tcBorders>
              <w:top w:val="single" w:sz="8" w:color="CCEEFF"/>
            </w:tcBorders>
            <w:shd w:val="clear" w:color="auto" w:fill="CCEEFF"/>
          </w:tcPr>
          <w:p>
            <w:pPr>
              <w:spacing w:after="0"/>
              <w:rPr>
                <w:sz w:val="8"/>
                <w:szCs w:val="8"/>
                <w:color w:val="auto"/>
              </w:rPr>
            </w:pPr>
          </w:p>
        </w:tc>
        <w:tc>
          <w:tcPr>
            <w:tcW w:w="62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91"/>
        </w:trPr>
        <w:tc>
          <w:tcPr>
            <w:tcW w:w="1040" w:type="dxa"/>
            <w:vAlign w:val="bottom"/>
            <w:gridSpan w:val="3"/>
            <w:shd w:val="clear" w:color="auto" w:fill="CCEEFF"/>
          </w:tcPr>
          <w:p>
            <w:pPr>
              <w:spacing w:after="0"/>
              <w:rPr>
                <w:sz w:val="20"/>
                <w:szCs w:val="20"/>
                <w:color w:val="auto"/>
              </w:rPr>
            </w:pPr>
            <w:r>
              <w:rPr>
                <w:rFonts w:ascii="Arial" w:cs="Arial" w:eastAsia="Arial" w:hAnsi="Arial"/>
                <w:sz w:val="14"/>
                <w:szCs w:val="14"/>
                <w:b w:val="1"/>
                <w:bCs w:val="1"/>
                <w:color w:val="auto"/>
              </w:rPr>
              <w:t>consolidated</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15,765</w:t>
            </w:r>
          </w:p>
        </w:tc>
        <w:tc>
          <w:tcPr>
            <w:tcW w:w="60" w:type="dxa"/>
            <w:vAlign w:val="bottom"/>
            <w:shd w:val="clear" w:color="auto" w:fill="CCEEFF"/>
          </w:tcPr>
          <w:p>
            <w:pPr>
              <w:spacing w:after="0"/>
              <w:rPr>
                <w:sz w:val="16"/>
                <w:szCs w:val="16"/>
                <w:color w:val="auto"/>
              </w:rPr>
            </w:pPr>
          </w:p>
        </w:tc>
        <w:tc>
          <w:tcPr>
            <w:tcW w:w="760" w:type="dxa"/>
            <w:vAlign w:val="bottom"/>
            <w:gridSpan w:val="4"/>
            <w:shd w:val="clear" w:color="auto" w:fill="CCEEFF"/>
          </w:tcPr>
          <w:p>
            <w:pPr>
              <w:jc w:val="right"/>
              <w:ind w:right="20"/>
              <w:spacing w:after="0"/>
              <w:rPr>
                <w:sz w:val="20"/>
                <w:szCs w:val="20"/>
                <w:color w:val="auto"/>
              </w:rPr>
            </w:pPr>
            <w:r>
              <w:rPr>
                <w:rFonts w:ascii="Arial" w:cs="Arial" w:eastAsia="Arial" w:hAnsi="Arial"/>
                <w:sz w:val="14"/>
                <w:szCs w:val="14"/>
                <w:color w:val="auto"/>
              </w:rPr>
              <w:t>7,959</w:t>
            </w:r>
          </w:p>
        </w:tc>
        <w:tc>
          <w:tcPr>
            <w:tcW w:w="14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00"/>
              <w:spacing w:after="0" w:line="191" w:lineRule="exact"/>
              <w:rPr>
                <w:sz w:val="20"/>
                <w:szCs w:val="20"/>
                <w:color w:val="auto"/>
              </w:rPr>
            </w:pPr>
            <w:r>
              <w:rPr>
                <w:rFonts w:ascii="Arial" w:cs="Arial" w:eastAsia="Arial" w:hAnsi="Arial"/>
                <w:sz w:val="12"/>
                <w:szCs w:val="12"/>
                <w:color w:val="auto"/>
              </w:rPr>
              <w:t>(1,881</w:t>
            </w:r>
            <w:r>
              <w:rPr>
                <w:rFonts w:ascii="Arial" w:cs="Arial" w:eastAsia="Arial" w:hAnsi="Arial"/>
                <w:sz w:val="22"/>
                <w:szCs w:val="22"/>
                <w:color w:val="auto"/>
                <w:vertAlign w:val="superscript"/>
              </w:rPr>
              <w:t>)</w:t>
            </w:r>
          </w:p>
        </w:tc>
        <w:tc>
          <w:tcPr>
            <w:tcW w:w="1180" w:type="dxa"/>
            <w:vAlign w:val="bottom"/>
            <w:gridSpan w:val="2"/>
            <w:shd w:val="clear" w:color="auto" w:fill="CCEEFF"/>
          </w:tcPr>
          <w:p>
            <w:pPr>
              <w:jc w:val="right"/>
              <w:ind w:right="120"/>
              <w:spacing w:after="0" w:line="191" w:lineRule="exact"/>
              <w:rPr>
                <w:sz w:val="20"/>
                <w:szCs w:val="20"/>
                <w:color w:val="auto"/>
              </w:rPr>
            </w:pPr>
            <w:r>
              <w:rPr>
                <w:rFonts w:ascii="Arial" w:cs="Arial" w:eastAsia="Arial" w:hAnsi="Arial"/>
                <w:sz w:val="12"/>
                <w:szCs w:val="12"/>
                <w:color w:val="auto"/>
              </w:rPr>
              <w:t>(396</w:t>
            </w:r>
            <w:r>
              <w:rPr>
                <w:rFonts w:ascii="Arial" w:cs="Arial" w:eastAsia="Arial" w:hAnsi="Arial"/>
                <w:sz w:val="22"/>
                <w:szCs w:val="22"/>
                <w:color w:val="auto"/>
                <w:vertAlign w:val="superscript"/>
              </w:rPr>
              <w:t>)</w:t>
            </w:r>
          </w:p>
        </w:tc>
        <w:tc>
          <w:tcPr>
            <w:tcW w:w="1180" w:type="dxa"/>
            <w:vAlign w:val="bottom"/>
            <w:gridSpan w:val="2"/>
            <w:shd w:val="clear" w:color="auto" w:fill="CCEEFF"/>
          </w:tcPr>
          <w:p>
            <w:pPr>
              <w:jc w:val="right"/>
              <w:ind w:right="120"/>
              <w:spacing w:after="0" w:line="191" w:lineRule="exact"/>
              <w:rPr>
                <w:sz w:val="20"/>
                <w:szCs w:val="20"/>
                <w:color w:val="auto"/>
              </w:rPr>
            </w:pPr>
            <w:r>
              <w:rPr>
                <w:rFonts w:ascii="Arial" w:cs="Arial" w:eastAsia="Arial" w:hAnsi="Arial"/>
                <w:sz w:val="12"/>
                <w:szCs w:val="12"/>
                <w:color w:val="auto"/>
              </w:rPr>
              <w:t>(44</w:t>
            </w:r>
            <w:r>
              <w:rPr>
                <w:rFonts w:ascii="Arial" w:cs="Arial" w:eastAsia="Arial" w:hAnsi="Arial"/>
                <w:sz w:val="22"/>
                <w:szCs w:val="22"/>
                <w:color w:val="auto"/>
                <w:vertAlign w:val="superscript"/>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4,361</w:t>
            </w:r>
          </w:p>
        </w:tc>
        <w:tc>
          <w:tcPr>
            <w:tcW w:w="820" w:type="dxa"/>
            <w:vAlign w:val="bottom"/>
            <w:gridSpan w:val="2"/>
            <w:shd w:val="clear" w:color="auto" w:fill="CCEEFF"/>
          </w:tcPr>
          <w:p>
            <w:pPr>
              <w:jc w:val="right"/>
              <w:ind w:right="100"/>
              <w:spacing w:after="0" w:line="191" w:lineRule="exact"/>
              <w:rPr>
                <w:sz w:val="20"/>
                <w:szCs w:val="20"/>
                <w:color w:val="auto"/>
              </w:rPr>
            </w:pPr>
            <w:r>
              <w:rPr>
                <w:rFonts w:ascii="Arial" w:cs="Arial" w:eastAsia="Arial" w:hAnsi="Arial"/>
                <w:sz w:val="12"/>
                <w:szCs w:val="12"/>
                <w:color w:val="auto"/>
              </w:rPr>
              <w:t>(1,197</w:t>
            </w:r>
            <w:r>
              <w:rPr>
                <w:rFonts w:ascii="Arial" w:cs="Arial" w:eastAsia="Arial" w:hAnsi="Arial"/>
                <w:sz w:val="22"/>
                <w:szCs w:val="22"/>
                <w:color w:val="auto"/>
                <w:vertAlign w:val="superscript"/>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3,163</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425</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155,480</w:t>
            </w: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138,753</w:t>
            </w:r>
          </w:p>
        </w:tc>
        <w:tc>
          <w:tcPr>
            <w:tcW w:w="0" w:type="dxa"/>
            <w:vAlign w:val="bottom"/>
          </w:tcPr>
          <w:p>
            <w:pPr>
              <w:spacing w:after="0"/>
              <w:rPr>
                <w:sz w:val="1"/>
                <w:szCs w:val="1"/>
                <w:color w:val="auto"/>
              </w:rPr>
            </w:pPr>
          </w:p>
        </w:tc>
      </w:tr>
      <w:tr>
        <w:trPr>
          <w:trHeight w:val="20"/>
        </w:trPr>
        <w:tc>
          <w:tcPr>
            <w:tcW w:w="9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- 105 -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15875</wp:posOffset>
            </wp:positionV>
            <wp:extent cx="725170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51700" cy="8255"/>
                    </a:xfrm>
                    <a:prstGeom prst="rect">
                      <a:avLst/>
                    </a:prstGeom>
                    <a:noFill/>
                  </pic:spPr>
                </pic:pic>
              </a:graphicData>
            </a:graphic>
          </wp:anchor>
        </w:drawing>
      </w:r>
    </w:p>
    <w:p>
      <w:pPr>
        <w:sectPr>
          <w:pgSz w:w="11900" w:h="16838" w:orient="portrait"/>
          <w:cols w:equalWidth="0" w:num="1">
            <w:col w:w="11420"/>
          </w:cols>
          <w:pgMar w:left="240" w:top="1089" w:right="239" w:bottom="1440" w:gutter="0" w:footer="0" w:header="0"/>
        </w:sectPr>
      </w:pPr>
    </w:p>
    <w:bookmarkStart w:id="111" w:name="page112"/>
    <w:bookmarkEnd w:id="111"/>
    <w:p>
      <w:pPr>
        <w:ind w:left="320" w:right="160" w:hanging="316"/>
        <w:spacing w:after="0" w:line="285" w:lineRule="auto"/>
        <w:tabs>
          <w:tab w:leader="none" w:pos="320" w:val="left"/>
        </w:tabs>
        <w:numPr>
          <w:ilvl w:val="0"/>
          <w:numId w:val="124"/>
        </w:numPr>
        <w:rPr>
          <w:rFonts w:ascii="Arial" w:cs="Arial" w:eastAsia="Arial" w:hAnsi="Arial"/>
          <w:sz w:val="17"/>
          <w:szCs w:val="17"/>
          <w:color w:val="auto"/>
        </w:rPr>
      </w:pPr>
      <w:r>
        <w:rPr>
          <w:rFonts w:ascii="Arial" w:cs="Arial" w:eastAsia="Arial" w:hAnsi="Arial"/>
          <w:sz w:val="17"/>
          <w:szCs w:val="17"/>
          <w:color w:val="auto"/>
        </w:rPr>
        <w:t>The following table presents (in millions of soles) the distribution of the external revenue, operating revenue and non-current assets of the Group; all assigned based on the location of the clients and assets, respectively, at December 31, 2017, 2016 and 2015:</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1960" w:type="dxa"/>
            <w:vAlign w:val="bottom"/>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700" w:type="dxa"/>
            <w:vAlign w:val="bottom"/>
            <w:tcBorders>
              <w:bottom w:val="single" w:sz="8" w:color="auto"/>
            </w:tcBorders>
            <w:gridSpan w:val="4"/>
          </w:tcPr>
          <w:p>
            <w:pPr>
              <w:ind w:left="160"/>
              <w:spacing w:after="0"/>
              <w:rPr>
                <w:sz w:val="20"/>
                <w:szCs w:val="20"/>
                <w:color w:val="auto"/>
              </w:rPr>
            </w:pPr>
            <w:r>
              <w:rPr>
                <w:rFonts w:ascii="Arial" w:cs="Arial" w:eastAsia="Arial" w:hAnsi="Arial"/>
                <w:sz w:val="12"/>
                <w:szCs w:val="12"/>
                <w:b w:val="1"/>
                <w:bCs w:val="1"/>
                <w:color w:val="auto"/>
              </w:rPr>
              <w:t>At December 31, 2017</w:t>
            </w:r>
          </w:p>
        </w:tc>
        <w:tc>
          <w:tcPr>
            <w:tcW w:w="58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600" w:type="dxa"/>
            <w:vAlign w:val="bottom"/>
            <w:tcBorders>
              <w:bottom w:val="single" w:sz="8" w:color="auto"/>
            </w:tcBorders>
            <w:gridSpan w:val="5"/>
          </w:tcPr>
          <w:p>
            <w:pPr>
              <w:jc w:val="right"/>
              <w:ind w:right="340"/>
              <w:spacing w:after="0"/>
              <w:rPr>
                <w:sz w:val="20"/>
                <w:szCs w:val="20"/>
                <w:color w:val="auto"/>
              </w:rPr>
            </w:pPr>
            <w:r>
              <w:rPr>
                <w:rFonts w:ascii="Arial" w:cs="Arial" w:eastAsia="Arial" w:hAnsi="Arial"/>
                <w:sz w:val="12"/>
                <w:szCs w:val="12"/>
                <w:b w:val="1"/>
                <w:bCs w:val="1"/>
                <w:color w:val="auto"/>
                <w:w w:val="99"/>
              </w:rPr>
              <w:t>At December 31, 2016</w:t>
            </w:r>
          </w:p>
        </w:tc>
        <w:tc>
          <w:tcPr>
            <w:tcW w:w="54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600" w:type="dxa"/>
            <w:vAlign w:val="bottom"/>
            <w:tcBorders>
              <w:bottom w:val="single" w:sz="8" w:color="auto"/>
            </w:tcBorders>
            <w:gridSpan w:val="4"/>
          </w:tcPr>
          <w:p>
            <w:pPr>
              <w:ind w:left="120"/>
              <w:spacing w:after="0"/>
              <w:rPr>
                <w:sz w:val="20"/>
                <w:szCs w:val="20"/>
                <w:color w:val="auto"/>
              </w:rPr>
            </w:pPr>
            <w:r>
              <w:rPr>
                <w:rFonts w:ascii="Arial" w:cs="Arial" w:eastAsia="Arial" w:hAnsi="Arial"/>
                <w:sz w:val="12"/>
                <w:szCs w:val="12"/>
                <w:b w:val="1"/>
                <w:bCs w:val="1"/>
                <w:color w:val="auto"/>
              </w:rPr>
              <w:t>At December 31, 2015</w:t>
            </w:r>
          </w:p>
        </w:tc>
        <w:tc>
          <w:tcPr>
            <w:tcW w:w="56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05"/>
        </w:trPr>
        <w:tc>
          <w:tcPr>
            <w:tcW w:w="1960" w:type="dxa"/>
            <w:vAlign w:val="bottom"/>
          </w:tcPr>
          <w:p>
            <w:pPr>
              <w:spacing w:after="0"/>
              <w:rPr>
                <w:sz w:val="9"/>
                <w:szCs w:val="9"/>
                <w:color w:val="auto"/>
              </w:rPr>
            </w:pPr>
          </w:p>
        </w:tc>
        <w:tc>
          <w:tcPr>
            <w:tcW w:w="580" w:type="dxa"/>
            <w:vAlign w:val="bottom"/>
          </w:tcPr>
          <w:p>
            <w:pPr>
              <w:spacing w:after="0"/>
              <w:rPr>
                <w:sz w:val="9"/>
                <w:szCs w:val="9"/>
                <w:color w:val="auto"/>
              </w:rPr>
            </w:pPr>
          </w:p>
        </w:tc>
        <w:tc>
          <w:tcPr>
            <w:tcW w:w="2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60" w:type="dxa"/>
            <w:vAlign w:val="bottom"/>
            <w:gridSpan w:val="2"/>
          </w:tcPr>
          <w:p>
            <w:pPr>
              <w:jc w:val="center"/>
              <w:ind w:right="260"/>
              <w:spacing w:after="0" w:line="105" w:lineRule="exact"/>
              <w:rPr>
                <w:sz w:val="20"/>
                <w:szCs w:val="20"/>
                <w:color w:val="auto"/>
              </w:rPr>
            </w:pPr>
            <w:r>
              <w:rPr>
                <w:rFonts w:ascii="Arial" w:cs="Arial" w:eastAsia="Arial" w:hAnsi="Arial"/>
                <w:sz w:val="12"/>
                <w:szCs w:val="12"/>
                <w:b w:val="1"/>
                <w:bCs w:val="1"/>
                <w:color w:val="auto"/>
                <w:w w:val="88"/>
              </w:rPr>
              <w:t>Total non</w:t>
            </w: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gridSpan w:val="2"/>
          </w:tcPr>
          <w:p>
            <w:pPr>
              <w:jc w:val="right"/>
              <w:ind w:right="280"/>
              <w:spacing w:after="0" w:line="105" w:lineRule="exact"/>
              <w:rPr>
                <w:sz w:val="20"/>
                <w:szCs w:val="20"/>
                <w:color w:val="auto"/>
              </w:rPr>
            </w:pPr>
            <w:r>
              <w:rPr>
                <w:rFonts w:ascii="Arial" w:cs="Arial" w:eastAsia="Arial" w:hAnsi="Arial"/>
                <w:sz w:val="12"/>
                <w:szCs w:val="12"/>
                <w:b w:val="1"/>
                <w:bCs w:val="1"/>
                <w:color w:val="auto"/>
                <w:w w:val="92"/>
              </w:rPr>
              <w:t>Total non</w:t>
            </w:r>
          </w:p>
        </w:tc>
        <w:tc>
          <w:tcPr>
            <w:tcW w:w="540" w:type="dxa"/>
            <w:vAlign w:val="bottom"/>
          </w:tcPr>
          <w:p>
            <w:pPr>
              <w:spacing w:after="0"/>
              <w:rPr>
                <w:sz w:val="9"/>
                <w:szCs w:val="9"/>
                <w:color w:val="auto"/>
              </w:rPr>
            </w:pPr>
          </w:p>
        </w:tc>
        <w:tc>
          <w:tcPr>
            <w:tcW w:w="2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0" w:type="dxa"/>
            <w:vAlign w:val="bottom"/>
            <w:gridSpan w:val="2"/>
          </w:tcPr>
          <w:p>
            <w:pPr>
              <w:jc w:val="center"/>
              <w:ind w:right="220"/>
              <w:spacing w:after="0" w:line="105" w:lineRule="exact"/>
              <w:rPr>
                <w:sz w:val="20"/>
                <w:szCs w:val="20"/>
                <w:color w:val="auto"/>
              </w:rPr>
            </w:pPr>
            <w:r>
              <w:rPr>
                <w:rFonts w:ascii="Arial" w:cs="Arial" w:eastAsia="Arial" w:hAnsi="Arial"/>
                <w:sz w:val="12"/>
                <w:szCs w:val="12"/>
                <w:b w:val="1"/>
                <w:bCs w:val="1"/>
                <w:color w:val="auto"/>
                <w:w w:val="92"/>
              </w:rPr>
              <w:t>Total non</w:t>
            </w:r>
          </w:p>
        </w:tc>
        <w:tc>
          <w:tcPr>
            <w:tcW w:w="5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r>
      <w:tr>
        <w:trPr>
          <w:trHeight w:val="130"/>
        </w:trPr>
        <w:tc>
          <w:tcPr>
            <w:tcW w:w="1960" w:type="dxa"/>
            <w:vAlign w:val="bottom"/>
          </w:tcPr>
          <w:p>
            <w:pPr>
              <w:spacing w:after="0"/>
              <w:rPr>
                <w:sz w:val="11"/>
                <w:szCs w:val="11"/>
                <w:color w:val="auto"/>
              </w:rPr>
            </w:pPr>
          </w:p>
        </w:tc>
        <w:tc>
          <w:tcPr>
            <w:tcW w:w="820" w:type="dxa"/>
            <w:vAlign w:val="bottom"/>
            <w:gridSpan w:val="2"/>
          </w:tcPr>
          <w:p>
            <w:pPr>
              <w:jc w:val="center"/>
              <w:ind w:right="280"/>
              <w:spacing w:after="0" w:line="130" w:lineRule="exact"/>
              <w:rPr>
                <w:sz w:val="20"/>
                <w:szCs w:val="20"/>
                <w:color w:val="auto"/>
              </w:rPr>
            </w:pPr>
            <w:r>
              <w:rPr>
                <w:rFonts w:ascii="Arial" w:cs="Arial" w:eastAsia="Arial" w:hAnsi="Arial"/>
                <w:sz w:val="12"/>
                <w:szCs w:val="12"/>
                <w:b w:val="1"/>
                <w:bCs w:val="1"/>
                <w:color w:val="auto"/>
                <w:w w:val="90"/>
              </w:rPr>
              <w:t>Total</w:t>
            </w:r>
          </w:p>
        </w:tc>
        <w:tc>
          <w:tcPr>
            <w:tcW w:w="840" w:type="dxa"/>
            <w:vAlign w:val="bottom"/>
            <w:gridSpan w:val="2"/>
          </w:tcPr>
          <w:p>
            <w:pPr>
              <w:jc w:val="right"/>
              <w:ind w:right="280"/>
              <w:spacing w:after="0" w:line="130" w:lineRule="exact"/>
              <w:rPr>
                <w:sz w:val="20"/>
                <w:szCs w:val="20"/>
                <w:color w:val="auto"/>
              </w:rPr>
            </w:pPr>
            <w:r>
              <w:rPr>
                <w:rFonts w:ascii="Arial" w:cs="Arial" w:eastAsia="Arial" w:hAnsi="Arial"/>
                <w:sz w:val="12"/>
                <w:szCs w:val="12"/>
                <w:b w:val="1"/>
                <w:bCs w:val="1"/>
                <w:color w:val="auto"/>
                <w:w w:val="95"/>
              </w:rPr>
              <w:t>Operating</w:t>
            </w:r>
          </w:p>
        </w:tc>
        <w:tc>
          <w:tcPr>
            <w:tcW w:w="860" w:type="dxa"/>
            <w:vAlign w:val="bottom"/>
            <w:gridSpan w:val="2"/>
          </w:tcPr>
          <w:p>
            <w:pPr>
              <w:jc w:val="center"/>
              <w:ind w:right="260"/>
              <w:spacing w:after="0" w:line="130" w:lineRule="exact"/>
              <w:rPr>
                <w:sz w:val="20"/>
                <w:szCs w:val="20"/>
                <w:color w:val="auto"/>
              </w:rPr>
            </w:pPr>
            <w:r>
              <w:rPr>
                <w:rFonts w:ascii="Arial" w:cs="Arial" w:eastAsia="Arial" w:hAnsi="Arial"/>
                <w:sz w:val="12"/>
                <w:szCs w:val="12"/>
                <w:b w:val="1"/>
                <w:bCs w:val="1"/>
                <w:color w:val="auto"/>
                <w:w w:val="96"/>
              </w:rPr>
              <w:t>current</w:t>
            </w:r>
          </w:p>
        </w:tc>
        <w:tc>
          <w:tcPr>
            <w:tcW w:w="780" w:type="dxa"/>
            <w:vAlign w:val="bottom"/>
            <w:gridSpan w:val="2"/>
          </w:tcPr>
          <w:p>
            <w:pPr>
              <w:jc w:val="center"/>
              <w:ind w:right="200"/>
              <w:spacing w:after="0" w:line="130" w:lineRule="exact"/>
              <w:rPr>
                <w:sz w:val="20"/>
                <w:szCs w:val="20"/>
                <w:color w:val="auto"/>
              </w:rPr>
            </w:pPr>
            <w:r>
              <w:rPr>
                <w:rFonts w:ascii="Arial" w:cs="Arial" w:eastAsia="Arial" w:hAnsi="Arial"/>
                <w:sz w:val="12"/>
                <w:szCs w:val="12"/>
                <w:b w:val="1"/>
                <w:bCs w:val="1"/>
                <w:color w:val="auto"/>
                <w:w w:val="90"/>
              </w:rPr>
              <w:t>Total</w:t>
            </w:r>
          </w:p>
        </w:tc>
        <w:tc>
          <w:tcPr>
            <w:tcW w:w="780" w:type="dxa"/>
            <w:vAlign w:val="bottom"/>
            <w:gridSpan w:val="2"/>
          </w:tcPr>
          <w:p>
            <w:pPr>
              <w:jc w:val="right"/>
              <w:ind w:right="380"/>
              <w:spacing w:after="0" w:line="130" w:lineRule="exact"/>
              <w:rPr>
                <w:sz w:val="20"/>
                <w:szCs w:val="20"/>
                <w:color w:val="auto"/>
              </w:rPr>
            </w:pPr>
            <w:r>
              <w:rPr>
                <w:rFonts w:ascii="Arial" w:cs="Arial" w:eastAsia="Arial" w:hAnsi="Arial"/>
                <w:sz w:val="12"/>
                <w:szCs w:val="12"/>
                <w:b w:val="1"/>
                <w:bCs w:val="1"/>
                <w:color w:val="auto"/>
              </w:rPr>
              <w:t>Total</w:t>
            </w:r>
          </w:p>
        </w:tc>
        <w:tc>
          <w:tcPr>
            <w:tcW w:w="720" w:type="dxa"/>
            <w:vAlign w:val="bottom"/>
            <w:gridSpan w:val="2"/>
          </w:tcPr>
          <w:p>
            <w:pPr>
              <w:jc w:val="right"/>
              <w:ind w:right="180"/>
              <w:spacing w:after="0" w:line="130" w:lineRule="exact"/>
              <w:rPr>
                <w:sz w:val="20"/>
                <w:szCs w:val="20"/>
                <w:color w:val="auto"/>
              </w:rPr>
            </w:pPr>
            <w:r>
              <w:rPr>
                <w:rFonts w:ascii="Arial" w:cs="Arial" w:eastAsia="Arial" w:hAnsi="Arial"/>
                <w:sz w:val="12"/>
                <w:szCs w:val="12"/>
                <w:b w:val="1"/>
                <w:bCs w:val="1"/>
                <w:color w:val="auto"/>
                <w:w w:val="91"/>
              </w:rPr>
              <w:t>Operating</w:t>
            </w:r>
          </w:p>
        </w:tc>
        <w:tc>
          <w:tcPr>
            <w:tcW w:w="80" w:type="dxa"/>
            <w:vAlign w:val="bottom"/>
          </w:tcPr>
          <w:p>
            <w:pPr>
              <w:spacing w:after="0"/>
              <w:rPr>
                <w:sz w:val="11"/>
                <w:szCs w:val="11"/>
                <w:color w:val="auto"/>
              </w:rPr>
            </w:pPr>
          </w:p>
        </w:tc>
        <w:tc>
          <w:tcPr>
            <w:tcW w:w="800" w:type="dxa"/>
            <w:vAlign w:val="bottom"/>
            <w:gridSpan w:val="2"/>
          </w:tcPr>
          <w:p>
            <w:pPr>
              <w:jc w:val="right"/>
              <w:ind w:right="340"/>
              <w:spacing w:after="0" w:line="130" w:lineRule="exact"/>
              <w:rPr>
                <w:sz w:val="20"/>
                <w:szCs w:val="20"/>
                <w:color w:val="auto"/>
              </w:rPr>
            </w:pPr>
            <w:r>
              <w:rPr>
                <w:rFonts w:ascii="Arial" w:cs="Arial" w:eastAsia="Arial" w:hAnsi="Arial"/>
                <w:sz w:val="12"/>
                <w:szCs w:val="12"/>
                <w:b w:val="1"/>
                <w:bCs w:val="1"/>
                <w:color w:val="auto"/>
              </w:rPr>
              <w:t>current</w:t>
            </w:r>
          </w:p>
        </w:tc>
        <w:tc>
          <w:tcPr>
            <w:tcW w:w="760" w:type="dxa"/>
            <w:vAlign w:val="bottom"/>
            <w:gridSpan w:val="2"/>
          </w:tcPr>
          <w:p>
            <w:pPr>
              <w:jc w:val="right"/>
              <w:ind w:right="360"/>
              <w:spacing w:after="0" w:line="130" w:lineRule="exact"/>
              <w:rPr>
                <w:sz w:val="20"/>
                <w:szCs w:val="20"/>
                <w:color w:val="auto"/>
              </w:rPr>
            </w:pPr>
            <w:r>
              <w:rPr>
                <w:rFonts w:ascii="Arial" w:cs="Arial" w:eastAsia="Arial" w:hAnsi="Arial"/>
                <w:sz w:val="12"/>
                <w:szCs w:val="12"/>
                <w:b w:val="1"/>
                <w:bCs w:val="1"/>
                <w:color w:val="auto"/>
              </w:rPr>
              <w:t>Total</w:t>
            </w:r>
          </w:p>
        </w:tc>
        <w:tc>
          <w:tcPr>
            <w:tcW w:w="660" w:type="dxa"/>
            <w:vAlign w:val="bottom"/>
            <w:gridSpan w:val="2"/>
          </w:tcPr>
          <w:p>
            <w:pPr>
              <w:jc w:val="center"/>
              <w:ind w:right="140"/>
              <w:spacing w:after="0" w:line="130" w:lineRule="exact"/>
              <w:rPr>
                <w:sz w:val="20"/>
                <w:szCs w:val="20"/>
                <w:color w:val="auto"/>
              </w:rPr>
            </w:pPr>
            <w:r>
              <w:rPr>
                <w:rFonts w:ascii="Arial" w:cs="Arial" w:eastAsia="Arial" w:hAnsi="Arial"/>
                <w:sz w:val="12"/>
                <w:szCs w:val="12"/>
                <w:b w:val="1"/>
                <w:bCs w:val="1"/>
                <w:color w:val="auto"/>
                <w:w w:val="97"/>
              </w:rPr>
              <w:t>Total</w:t>
            </w:r>
          </w:p>
        </w:tc>
        <w:tc>
          <w:tcPr>
            <w:tcW w:w="100" w:type="dxa"/>
            <w:vAlign w:val="bottom"/>
          </w:tcPr>
          <w:p>
            <w:pPr>
              <w:spacing w:after="0"/>
              <w:rPr>
                <w:sz w:val="11"/>
                <w:szCs w:val="11"/>
                <w:color w:val="auto"/>
              </w:rPr>
            </w:pPr>
          </w:p>
        </w:tc>
        <w:tc>
          <w:tcPr>
            <w:tcW w:w="800" w:type="dxa"/>
            <w:vAlign w:val="bottom"/>
            <w:gridSpan w:val="2"/>
          </w:tcPr>
          <w:p>
            <w:pPr>
              <w:jc w:val="right"/>
              <w:ind w:right="240"/>
              <w:spacing w:after="0" w:line="130" w:lineRule="exact"/>
              <w:rPr>
                <w:sz w:val="20"/>
                <w:szCs w:val="20"/>
                <w:color w:val="auto"/>
              </w:rPr>
            </w:pPr>
            <w:r>
              <w:rPr>
                <w:rFonts w:ascii="Arial" w:cs="Arial" w:eastAsia="Arial" w:hAnsi="Arial"/>
                <w:sz w:val="12"/>
                <w:szCs w:val="12"/>
                <w:b w:val="1"/>
                <w:bCs w:val="1"/>
                <w:color w:val="auto"/>
                <w:w w:val="95"/>
              </w:rPr>
              <w:t>Operating</w:t>
            </w:r>
          </w:p>
        </w:tc>
        <w:tc>
          <w:tcPr>
            <w:tcW w:w="800" w:type="dxa"/>
            <w:vAlign w:val="bottom"/>
            <w:gridSpan w:val="2"/>
          </w:tcPr>
          <w:p>
            <w:pPr>
              <w:jc w:val="center"/>
              <w:ind w:right="220"/>
              <w:spacing w:after="0" w:line="130" w:lineRule="exact"/>
              <w:rPr>
                <w:sz w:val="20"/>
                <w:szCs w:val="20"/>
                <w:color w:val="auto"/>
              </w:rPr>
            </w:pPr>
            <w:r>
              <w:rPr>
                <w:rFonts w:ascii="Arial" w:cs="Arial" w:eastAsia="Arial" w:hAnsi="Arial"/>
                <w:sz w:val="12"/>
                <w:szCs w:val="12"/>
                <w:b w:val="1"/>
                <w:bCs w:val="1"/>
                <w:color w:val="auto"/>
                <w:w w:val="91"/>
              </w:rPr>
              <w:t>current</w:t>
            </w:r>
          </w:p>
        </w:tc>
        <w:tc>
          <w:tcPr>
            <w:tcW w:w="660" w:type="dxa"/>
            <w:vAlign w:val="bottom"/>
            <w:gridSpan w:val="3"/>
          </w:tcPr>
          <w:p>
            <w:pPr>
              <w:jc w:val="center"/>
              <w:ind w:right="100"/>
              <w:spacing w:after="0" w:line="130" w:lineRule="exact"/>
              <w:rPr>
                <w:sz w:val="20"/>
                <w:szCs w:val="20"/>
                <w:color w:val="auto"/>
              </w:rPr>
            </w:pPr>
            <w:r>
              <w:rPr>
                <w:rFonts w:ascii="Arial" w:cs="Arial" w:eastAsia="Arial" w:hAnsi="Arial"/>
                <w:sz w:val="12"/>
                <w:szCs w:val="12"/>
                <w:b w:val="1"/>
                <w:bCs w:val="1"/>
                <w:color w:val="auto"/>
                <w:w w:val="97"/>
              </w:rPr>
              <w:t>Total</w:t>
            </w:r>
          </w:p>
        </w:tc>
      </w:tr>
      <w:tr>
        <w:trPr>
          <w:trHeight w:val="148"/>
        </w:trPr>
        <w:tc>
          <w:tcPr>
            <w:tcW w:w="1960" w:type="dxa"/>
            <w:vAlign w:val="bottom"/>
          </w:tcPr>
          <w:p>
            <w:pPr>
              <w:spacing w:after="0"/>
              <w:rPr>
                <w:sz w:val="12"/>
                <w:szCs w:val="12"/>
                <w:color w:val="auto"/>
              </w:rPr>
            </w:pPr>
          </w:p>
        </w:tc>
        <w:tc>
          <w:tcPr>
            <w:tcW w:w="82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93"/>
              </w:rPr>
              <w:t>income (*)</w:t>
            </w:r>
          </w:p>
        </w:tc>
        <w:tc>
          <w:tcPr>
            <w:tcW w:w="840" w:type="dxa"/>
            <w:vAlign w:val="bottom"/>
            <w:gridSpan w:val="2"/>
          </w:tcPr>
          <w:p>
            <w:pPr>
              <w:jc w:val="right"/>
              <w:ind w:right="240"/>
              <w:spacing w:after="0"/>
              <w:rPr>
                <w:sz w:val="20"/>
                <w:szCs w:val="20"/>
                <w:color w:val="auto"/>
              </w:rPr>
            </w:pPr>
            <w:r>
              <w:rPr>
                <w:rFonts w:ascii="Arial" w:cs="Arial" w:eastAsia="Arial" w:hAnsi="Arial"/>
                <w:sz w:val="12"/>
                <w:szCs w:val="12"/>
                <w:b w:val="1"/>
                <w:bCs w:val="1"/>
                <w:color w:val="auto"/>
                <w:w w:val="92"/>
              </w:rPr>
              <w:t>income (**)</w:t>
            </w:r>
          </w:p>
        </w:tc>
        <w:tc>
          <w:tcPr>
            <w:tcW w:w="86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92"/>
              </w:rPr>
              <w:t>assets (***)</w:t>
            </w:r>
          </w:p>
        </w:tc>
        <w:tc>
          <w:tcPr>
            <w:tcW w:w="78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93"/>
              </w:rPr>
              <w:t>liabilities</w:t>
            </w:r>
          </w:p>
        </w:tc>
        <w:tc>
          <w:tcPr>
            <w:tcW w:w="780" w:type="dxa"/>
            <w:vAlign w:val="bottom"/>
            <w:gridSpan w:val="2"/>
          </w:tcPr>
          <w:p>
            <w:pPr>
              <w:jc w:val="right"/>
              <w:ind w:right="220"/>
              <w:spacing w:after="0"/>
              <w:rPr>
                <w:sz w:val="20"/>
                <w:szCs w:val="20"/>
                <w:color w:val="auto"/>
              </w:rPr>
            </w:pPr>
            <w:r>
              <w:rPr>
                <w:rFonts w:ascii="Arial" w:cs="Arial" w:eastAsia="Arial" w:hAnsi="Arial"/>
                <w:sz w:val="12"/>
                <w:szCs w:val="12"/>
                <w:b w:val="1"/>
                <w:bCs w:val="1"/>
                <w:color w:val="auto"/>
                <w:w w:val="93"/>
              </w:rPr>
              <w:t>income (*)</w:t>
            </w:r>
          </w:p>
        </w:tc>
        <w:tc>
          <w:tcPr>
            <w:tcW w:w="720" w:type="dxa"/>
            <w:vAlign w:val="bottom"/>
            <w:gridSpan w:val="2"/>
          </w:tcPr>
          <w:p>
            <w:pPr>
              <w:jc w:val="right"/>
              <w:ind w:right="120"/>
              <w:spacing w:after="0"/>
              <w:rPr>
                <w:sz w:val="20"/>
                <w:szCs w:val="20"/>
                <w:color w:val="auto"/>
              </w:rPr>
            </w:pPr>
            <w:r>
              <w:rPr>
                <w:rFonts w:ascii="Arial" w:cs="Arial" w:eastAsia="Arial" w:hAnsi="Arial"/>
                <w:sz w:val="12"/>
                <w:szCs w:val="12"/>
                <w:b w:val="1"/>
                <w:bCs w:val="1"/>
                <w:color w:val="auto"/>
                <w:w w:val="92"/>
              </w:rPr>
              <w:t>income (**)</w:t>
            </w:r>
          </w:p>
        </w:tc>
        <w:tc>
          <w:tcPr>
            <w:tcW w:w="880" w:type="dxa"/>
            <w:vAlign w:val="bottom"/>
            <w:gridSpan w:val="3"/>
          </w:tcPr>
          <w:p>
            <w:pPr>
              <w:jc w:val="right"/>
              <w:ind w:right="220"/>
              <w:spacing w:after="0"/>
              <w:rPr>
                <w:sz w:val="20"/>
                <w:szCs w:val="20"/>
                <w:color w:val="auto"/>
              </w:rPr>
            </w:pPr>
            <w:r>
              <w:rPr>
                <w:rFonts w:ascii="Arial" w:cs="Arial" w:eastAsia="Arial" w:hAnsi="Arial"/>
                <w:sz w:val="12"/>
                <w:szCs w:val="12"/>
                <w:b w:val="1"/>
                <w:bCs w:val="1"/>
                <w:color w:val="auto"/>
              </w:rPr>
              <w:t>assets (***)</w:t>
            </w:r>
          </w:p>
        </w:tc>
        <w:tc>
          <w:tcPr>
            <w:tcW w:w="760" w:type="dxa"/>
            <w:vAlign w:val="bottom"/>
            <w:gridSpan w:val="2"/>
          </w:tcPr>
          <w:p>
            <w:pPr>
              <w:jc w:val="right"/>
              <w:ind w:right="260"/>
              <w:spacing w:after="0"/>
              <w:rPr>
                <w:sz w:val="20"/>
                <w:szCs w:val="20"/>
                <w:color w:val="auto"/>
              </w:rPr>
            </w:pPr>
            <w:r>
              <w:rPr>
                <w:rFonts w:ascii="Arial" w:cs="Arial" w:eastAsia="Arial" w:hAnsi="Arial"/>
                <w:sz w:val="12"/>
                <w:szCs w:val="12"/>
                <w:b w:val="1"/>
                <w:bCs w:val="1"/>
                <w:color w:val="auto"/>
                <w:w w:val="93"/>
              </w:rPr>
              <w:t>liabilities</w:t>
            </w:r>
          </w:p>
        </w:tc>
        <w:tc>
          <w:tcPr>
            <w:tcW w:w="660" w:type="dxa"/>
            <w:vAlign w:val="bottom"/>
            <w:gridSpan w:val="2"/>
          </w:tcPr>
          <w:p>
            <w:pPr>
              <w:jc w:val="center"/>
              <w:ind w:right="120"/>
              <w:spacing w:after="0"/>
              <w:rPr>
                <w:sz w:val="20"/>
                <w:szCs w:val="20"/>
                <w:color w:val="auto"/>
              </w:rPr>
            </w:pPr>
            <w:r>
              <w:rPr>
                <w:rFonts w:ascii="Arial" w:cs="Arial" w:eastAsia="Arial" w:hAnsi="Arial"/>
                <w:sz w:val="12"/>
                <w:szCs w:val="12"/>
                <w:b w:val="1"/>
                <w:bCs w:val="1"/>
                <w:color w:val="auto"/>
                <w:w w:val="93"/>
              </w:rPr>
              <w:t>income (*)</w:t>
            </w:r>
          </w:p>
        </w:tc>
        <w:tc>
          <w:tcPr>
            <w:tcW w:w="900" w:type="dxa"/>
            <w:vAlign w:val="bottom"/>
            <w:gridSpan w:val="3"/>
          </w:tcPr>
          <w:p>
            <w:pPr>
              <w:jc w:val="right"/>
              <w:ind w:right="200"/>
              <w:spacing w:after="0"/>
              <w:rPr>
                <w:sz w:val="20"/>
                <w:szCs w:val="20"/>
                <w:color w:val="auto"/>
              </w:rPr>
            </w:pPr>
            <w:r>
              <w:rPr>
                <w:rFonts w:ascii="Arial" w:cs="Arial" w:eastAsia="Arial" w:hAnsi="Arial"/>
                <w:sz w:val="12"/>
                <w:szCs w:val="12"/>
                <w:b w:val="1"/>
                <w:bCs w:val="1"/>
                <w:color w:val="auto"/>
              </w:rPr>
              <w:t>income (**)</w:t>
            </w:r>
          </w:p>
        </w:tc>
        <w:tc>
          <w:tcPr>
            <w:tcW w:w="800" w:type="dxa"/>
            <w:vAlign w:val="bottom"/>
            <w:gridSpan w:val="2"/>
          </w:tcPr>
          <w:p>
            <w:pPr>
              <w:spacing w:after="0"/>
              <w:rPr>
                <w:sz w:val="20"/>
                <w:szCs w:val="20"/>
                <w:color w:val="auto"/>
              </w:rPr>
            </w:pPr>
            <w:r>
              <w:rPr>
                <w:rFonts w:ascii="Arial" w:cs="Arial" w:eastAsia="Arial" w:hAnsi="Arial"/>
                <w:sz w:val="12"/>
                <w:szCs w:val="12"/>
                <w:b w:val="1"/>
                <w:bCs w:val="1"/>
                <w:color w:val="auto"/>
              </w:rPr>
              <w:t>assets (***)</w:t>
            </w:r>
          </w:p>
        </w:tc>
        <w:tc>
          <w:tcPr>
            <w:tcW w:w="660" w:type="dxa"/>
            <w:vAlign w:val="bottom"/>
            <w:gridSpan w:val="3"/>
          </w:tcPr>
          <w:p>
            <w:pPr>
              <w:jc w:val="center"/>
              <w:ind w:right="100"/>
              <w:spacing w:after="0"/>
              <w:rPr>
                <w:sz w:val="20"/>
                <w:szCs w:val="20"/>
                <w:color w:val="auto"/>
              </w:rPr>
            </w:pPr>
            <w:r>
              <w:rPr>
                <w:rFonts w:ascii="Arial" w:cs="Arial" w:eastAsia="Arial" w:hAnsi="Arial"/>
                <w:sz w:val="12"/>
                <w:szCs w:val="12"/>
                <w:b w:val="1"/>
                <w:bCs w:val="1"/>
                <w:color w:val="auto"/>
                <w:w w:val="93"/>
              </w:rPr>
              <w:t>liabilities</w:t>
            </w:r>
          </w:p>
        </w:tc>
      </w:tr>
      <w:tr>
        <w:trPr>
          <w:trHeight w:val="123"/>
        </w:trPr>
        <w:tc>
          <w:tcPr>
            <w:tcW w:w="1960" w:type="dxa"/>
            <w:vAlign w:val="bottom"/>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r>
      <w:tr>
        <w:trPr>
          <w:trHeight w:val="130"/>
        </w:trPr>
        <w:tc>
          <w:tcPr>
            <w:tcW w:w="1960" w:type="dxa"/>
            <w:vAlign w:val="bottom"/>
            <w:shd w:val="clear" w:color="auto" w:fill="CCEEFF"/>
          </w:tcPr>
          <w:p>
            <w:pPr>
              <w:spacing w:after="0" w:line="130" w:lineRule="exact"/>
              <w:rPr>
                <w:sz w:val="20"/>
                <w:szCs w:val="20"/>
                <w:color w:val="auto"/>
              </w:rPr>
            </w:pPr>
            <w:r>
              <w:rPr>
                <w:rFonts w:ascii="Arial" w:cs="Arial" w:eastAsia="Arial" w:hAnsi="Arial"/>
                <w:sz w:val="12"/>
                <w:szCs w:val="12"/>
                <w:color w:val="auto"/>
              </w:rPr>
              <w:t>Perú</w:t>
            </w:r>
          </w:p>
        </w:tc>
        <w:tc>
          <w:tcPr>
            <w:tcW w:w="820" w:type="dxa"/>
            <w:vAlign w:val="bottom"/>
            <w:gridSpan w:val="2"/>
            <w:shd w:val="clear" w:color="auto" w:fill="CCEEFF"/>
          </w:tcPr>
          <w:p>
            <w:pPr>
              <w:jc w:val="right"/>
              <w:ind w:right="240"/>
              <w:spacing w:after="0" w:line="130" w:lineRule="exact"/>
              <w:rPr>
                <w:sz w:val="20"/>
                <w:szCs w:val="20"/>
                <w:color w:val="auto"/>
              </w:rPr>
            </w:pPr>
            <w:r>
              <w:rPr>
                <w:rFonts w:ascii="Arial" w:cs="Arial" w:eastAsia="Arial" w:hAnsi="Arial"/>
                <w:sz w:val="12"/>
                <w:szCs w:val="12"/>
                <w:color w:val="auto"/>
              </w:rPr>
              <w:t>11,668</w:t>
            </w:r>
          </w:p>
        </w:tc>
        <w:tc>
          <w:tcPr>
            <w:tcW w:w="840" w:type="dxa"/>
            <w:vAlign w:val="bottom"/>
            <w:gridSpan w:val="2"/>
            <w:shd w:val="clear" w:color="auto" w:fill="CCEEFF"/>
          </w:tcPr>
          <w:p>
            <w:pPr>
              <w:jc w:val="right"/>
              <w:ind w:right="220"/>
              <w:spacing w:after="0" w:line="130" w:lineRule="exact"/>
              <w:rPr>
                <w:sz w:val="20"/>
                <w:szCs w:val="20"/>
                <w:color w:val="auto"/>
              </w:rPr>
            </w:pPr>
            <w:r>
              <w:rPr>
                <w:rFonts w:ascii="Arial" w:cs="Arial" w:eastAsia="Arial" w:hAnsi="Arial"/>
                <w:sz w:val="12"/>
                <w:szCs w:val="12"/>
                <w:color w:val="auto"/>
              </w:rPr>
              <w:t>8,199</w:t>
            </w:r>
          </w:p>
        </w:tc>
        <w:tc>
          <w:tcPr>
            <w:tcW w:w="860" w:type="dxa"/>
            <w:vAlign w:val="bottom"/>
            <w:gridSpan w:val="2"/>
            <w:shd w:val="clear" w:color="auto" w:fill="CCEEFF"/>
          </w:tcPr>
          <w:p>
            <w:pPr>
              <w:jc w:val="right"/>
              <w:ind w:right="240"/>
              <w:spacing w:after="0" w:line="130" w:lineRule="exact"/>
              <w:rPr>
                <w:sz w:val="20"/>
                <w:szCs w:val="20"/>
                <w:color w:val="auto"/>
              </w:rPr>
            </w:pPr>
            <w:r>
              <w:rPr>
                <w:rFonts w:ascii="Arial" w:cs="Arial" w:eastAsia="Arial" w:hAnsi="Arial"/>
                <w:sz w:val="12"/>
                <w:szCs w:val="12"/>
                <w:color w:val="auto"/>
              </w:rPr>
              <w:t>2,976</w:t>
            </w:r>
          </w:p>
        </w:tc>
        <w:tc>
          <w:tcPr>
            <w:tcW w:w="780" w:type="dxa"/>
            <w:vAlign w:val="bottom"/>
            <w:gridSpan w:val="2"/>
            <w:shd w:val="clear" w:color="auto" w:fill="CCEEFF"/>
          </w:tcPr>
          <w:p>
            <w:pPr>
              <w:jc w:val="right"/>
              <w:ind w:right="200"/>
              <w:spacing w:after="0" w:line="130" w:lineRule="exact"/>
              <w:rPr>
                <w:sz w:val="20"/>
                <w:szCs w:val="20"/>
                <w:color w:val="auto"/>
              </w:rPr>
            </w:pPr>
            <w:r>
              <w:rPr>
                <w:rFonts w:ascii="Arial" w:cs="Arial" w:eastAsia="Arial" w:hAnsi="Arial"/>
                <w:sz w:val="12"/>
                <w:szCs w:val="12"/>
                <w:color w:val="auto"/>
              </w:rPr>
              <w:t>130,953</w:t>
            </w:r>
          </w:p>
        </w:tc>
        <w:tc>
          <w:tcPr>
            <w:tcW w:w="780" w:type="dxa"/>
            <w:vAlign w:val="bottom"/>
            <w:gridSpan w:val="2"/>
            <w:shd w:val="clear" w:color="auto" w:fill="CCEEFF"/>
          </w:tcPr>
          <w:p>
            <w:pPr>
              <w:jc w:val="right"/>
              <w:ind w:right="220"/>
              <w:spacing w:after="0" w:line="130" w:lineRule="exact"/>
              <w:rPr>
                <w:sz w:val="20"/>
                <w:szCs w:val="20"/>
                <w:color w:val="auto"/>
              </w:rPr>
            </w:pPr>
            <w:r>
              <w:rPr>
                <w:rFonts w:ascii="Arial" w:cs="Arial" w:eastAsia="Arial" w:hAnsi="Arial"/>
                <w:sz w:val="12"/>
                <w:szCs w:val="12"/>
                <w:color w:val="auto"/>
              </w:rPr>
              <w:t>11,388</w:t>
            </w:r>
          </w:p>
        </w:tc>
        <w:tc>
          <w:tcPr>
            <w:tcW w:w="720" w:type="dxa"/>
            <w:vAlign w:val="bottom"/>
            <w:gridSpan w:val="2"/>
            <w:shd w:val="clear" w:color="auto" w:fill="CCEEFF"/>
          </w:tcPr>
          <w:p>
            <w:pPr>
              <w:jc w:val="right"/>
              <w:ind w:right="120"/>
              <w:spacing w:after="0" w:line="130" w:lineRule="exact"/>
              <w:rPr>
                <w:sz w:val="20"/>
                <w:szCs w:val="20"/>
                <w:color w:val="auto"/>
              </w:rPr>
            </w:pPr>
            <w:r>
              <w:rPr>
                <w:rFonts w:ascii="Arial" w:cs="Arial" w:eastAsia="Arial" w:hAnsi="Arial"/>
                <w:sz w:val="12"/>
                <w:szCs w:val="12"/>
                <w:color w:val="auto"/>
              </w:rPr>
              <w:t>8,051</w:t>
            </w:r>
          </w:p>
        </w:tc>
        <w:tc>
          <w:tcPr>
            <w:tcW w:w="880" w:type="dxa"/>
            <w:vAlign w:val="bottom"/>
            <w:gridSpan w:val="3"/>
            <w:shd w:val="clear" w:color="auto" w:fill="CCEEFF"/>
          </w:tcPr>
          <w:p>
            <w:pPr>
              <w:jc w:val="right"/>
              <w:ind w:right="220"/>
              <w:spacing w:after="0" w:line="130" w:lineRule="exact"/>
              <w:rPr>
                <w:sz w:val="20"/>
                <w:szCs w:val="20"/>
                <w:color w:val="auto"/>
              </w:rPr>
            </w:pPr>
            <w:r>
              <w:rPr>
                <w:rFonts w:ascii="Arial" w:cs="Arial" w:eastAsia="Arial" w:hAnsi="Arial"/>
                <w:sz w:val="12"/>
                <w:szCs w:val="12"/>
                <w:color w:val="auto"/>
              </w:rPr>
              <w:t>2,994</w:t>
            </w:r>
          </w:p>
        </w:tc>
        <w:tc>
          <w:tcPr>
            <w:tcW w:w="540" w:type="dxa"/>
            <w:vAlign w:val="bottom"/>
            <w:shd w:val="clear" w:color="auto" w:fill="CCEEFF"/>
          </w:tcPr>
          <w:p>
            <w:pPr>
              <w:jc w:val="right"/>
              <w:spacing w:after="0" w:line="130" w:lineRule="exact"/>
              <w:rPr>
                <w:sz w:val="20"/>
                <w:szCs w:val="20"/>
                <w:color w:val="auto"/>
              </w:rPr>
            </w:pPr>
            <w:r>
              <w:rPr>
                <w:rFonts w:ascii="Arial" w:cs="Arial" w:eastAsia="Arial" w:hAnsi="Arial"/>
                <w:sz w:val="12"/>
                <w:szCs w:val="12"/>
                <w:color w:val="auto"/>
              </w:rPr>
              <w:t>119,813</w:t>
            </w:r>
          </w:p>
        </w:tc>
        <w:tc>
          <w:tcPr>
            <w:tcW w:w="22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100"/>
              <w:spacing w:after="0" w:line="130" w:lineRule="exact"/>
              <w:rPr>
                <w:sz w:val="20"/>
                <w:szCs w:val="20"/>
                <w:color w:val="auto"/>
              </w:rPr>
            </w:pPr>
            <w:r>
              <w:rPr>
                <w:rFonts w:ascii="Arial" w:cs="Arial" w:eastAsia="Arial" w:hAnsi="Arial"/>
                <w:sz w:val="12"/>
                <w:szCs w:val="12"/>
                <w:color w:val="auto"/>
              </w:rPr>
              <w:t>10,907</w:t>
            </w:r>
          </w:p>
        </w:tc>
        <w:tc>
          <w:tcPr>
            <w:tcW w:w="900" w:type="dxa"/>
            <w:vAlign w:val="bottom"/>
            <w:gridSpan w:val="3"/>
            <w:shd w:val="clear" w:color="auto" w:fill="CCEEFF"/>
          </w:tcPr>
          <w:p>
            <w:pPr>
              <w:jc w:val="right"/>
              <w:ind w:right="200"/>
              <w:spacing w:after="0" w:line="130" w:lineRule="exact"/>
              <w:rPr>
                <w:sz w:val="20"/>
                <w:szCs w:val="20"/>
                <w:color w:val="auto"/>
              </w:rPr>
            </w:pPr>
            <w:r>
              <w:rPr>
                <w:rFonts w:ascii="Arial" w:cs="Arial" w:eastAsia="Arial" w:hAnsi="Arial"/>
                <w:sz w:val="12"/>
                <w:szCs w:val="12"/>
                <w:color w:val="auto"/>
              </w:rPr>
              <w:t>7,533</w:t>
            </w:r>
          </w:p>
        </w:tc>
        <w:tc>
          <w:tcPr>
            <w:tcW w:w="800" w:type="dxa"/>
            <w:vAlign w:val="bottom"/>
            <w:gridSpan w:val="2"/>
            <w:shd w:val="clear" w:color="auto" w:fill="CCEEFF"/>
          </w:tcPr>
          <w:p>
            <w:pPr>
              <w:jc w:val="right"/>
              <w:ind w:right="200"/>
              <w:spacing w:after="0" w:line="130" w:lineRule="exact"/>
              <w:rPr>
                <w:sz w:val="20"/>
                <w:szCs w:val="20"/>
                <w:color w:val="auto"/>
              </w:rPr>
            </w:pPr>
            <w:r>
              <w:rPr>
                <w:rFonts w:ascii="Arial" w:cs="Arial" w:eastAsia="Arial" w:hAnsi="Arial"/>
                <w:sz w:val="12"/>
                <w:szCs w:val="12"/>
                <w:color w:val="auto"/>
              </w:rPr>
              <w:t>3,070</w:t>
            </w:r>
          </w:p>
        </w:tc>
        <w:tc>
          <w:tcPr>
            <w:tcW w:w="580" w:type="dxa"/>
            <w:vAlign w:val="bottom"/>
            <w:gridSpan w:val="2"/>
            <w:shd w:val="clear" w:color="auto" w:fill="CCEEFF"/>
          </w:tcPr>
          <w:p>
            <w:pPr>
              <w:jc w:val="right"/>
              <w:ind w:right="20"/>
              <w:spacing w:after="0" w:line="130" w:lineRule="exact"/>
              <w:rPr>
                <w:sz w:val="20"/>
                <w:szCs w:val="20"/>
                <w:color w:val="auto"/>
              </w:rPr>
            </w:pPr>
            <w:r>
              <w:rPr>
                <w:rFonts w:ascii="Arial" w:cs="Arial" w:eastAsia="Arial" w:hAnsi="Arial"/>
                <w:sz w:val="12"/>
                <w:szCs w:val="12"/>
                <w:color w:val="auto"/>
              </w:rPr>
              <w:t>121,870</w:t>
            </w:r>
          </w:p>
        </w:tc>
        <w:tc>
          <w:tcPr>
            <w:tcW w:w="80" w:type="dxa"/>
            <w:vAlign w:val="bottom"/>
            <w:shd w:val="clear" w:color="auto" w:fill="CCEEFF"/>
          </w:tcPr>
          <w:p>
            <w:pPr>
              <w:spacing w:after="0"/>
              <w:rPr>
                <w:sz w:val="11"/>
                <w:szCs w:val="11"/>
                <w:color w:val="auto"/>
              </w:rPr>
            </w:pPr>
          </w:p>
        </w:tc>
      </w:tr>
      <w:tr>
        <w:trPr>
          <w:trHeight w:val="130"/>
        </w:trPr>
        <w:tc>
          <w:tcPr>
            <w:tcW w:w="1960" w:type="dxa"/>
            <w:vAlign w:val="bottom"/>
          </w:tcPr>
          <w:p>
            <w:pPr>
              <w:spacing w:after="0" w:line="130" w:lineRule="exact"/>
              <w:rPr>
                <w:sz w:val="20"/>
                <w:szCs w:val="20"/>
                <w:color w:val="auto"/>
              </w:rPr>
            </w:pPr>
            <w:r>
              <w:rPr>
                <w:rFonts w:ascii="Arial" w:cs="Arial" w:eastAsia="Arial" w:hAnsi="Arial"/>
                <w:sz w:val="12"/>
                <w:szCs w:val="12"/>
                <w:color w:val="auto"/>
              </w:rPr>
              <w:t>Panama</w:t>
            </w:r>
          </w:p>
        </w:tc>
        <w:tc>
          <w:tcPr>
            <w:tcW w:w="580" w:type="dxa"/>
            <w:vAlign w:val="bottom"/>
          </w:tcPr>
          <w:p>
            <w:pPr>
              <w:jc w:val="right"/>
              <w:spacing w:after="0" w:line="130" w:lineRule="exact"/>
              <w:rPr>
                <w:sz w:val="20"/>
                <w:szCs w:val="20"/>
                <w:color w:val="auto"/>
              </w:rPr>
            </w:pPr>
            <w:r>
              <w:rPr>
                <w:rFonts w:ascii="Arial" w:cs="Arial" w:eastAsia="Arial" w:hAnsi="Arial"/>
                <w:sz w:val="12"/>
                <w:szCs w:val="12"/>
                <w:color w:val="auto"/>
              </w:rPr>
              <w:t>4,274</w:t>
            </w:r>
          </w:p>
        </w:tc>
        <w:tc>
          <w:tcPr>
            <w:tcW w:w="240" w:type="dxa"/>
            <w:vAlign w:val="bottom"/>
          </w:tcPr>
          <w:p>
            <w:pPr>
              <w:spacing w:after="0"/>
              <w:rPr>
                <w:sz w:val="11"/>
                <w:szCs w:val="11"/>
                <w:color w:val="auto"/>
              </w:rPr>
            </w:pPr>
          </w:p>
        </w:tc>
        <w:tc>
          <w:tcPr>
            <w:tcW w:w="840" w:type="dxa"/>
            <w:vAlign w:val="bottom"/>
            <w:gridSpan w:val="2"/>
          </w:tcPr>
          <w:p>
            <w:pPr>
              <w:jc w:val="right"/>
              <w:ind w:right="220"/>
              <w:spacing w:after="0" w:line="130" w:lineRule="exact"/>
              <w:rPr>
                <w:sz w:val="20"/>
                <w:szCs w:val="20"/>
                <w:color w:val="auto"/>
              </w:rPr>
            </w:pPr>
            <w:r>
              <w:rPr>
                <w:rFonts w:ascii="Arial" w:cs="Arial" w:eastAsia="Arial" w:hAnsi="Arial"/>
                <w:sz w:val="12"/>
                <w:szCs w:val="12"/>
                <w:color w:val="auto"/>
              </w:rPr>
              <w:t>37</w:t>
            </w:r>
          </w:p>
        </w:tc>
        <w:tc>
          <w:tcPr>
            <w:tcW w:w="860" w:type="dxa"/>
            <w:vAlign w:val="bottom"/>
            <w:gridSpan w:val="2"/>
          </w:tcPr>
          <w:p>
            <w:pPr>
              <w:jc w:val="right"/>
              <w:ind w:right="240"/>
              <w:spacing w:after="0" w:line="130" w:lineRule="exact"/>
              <w:rPr>
                <w:sz w:val="20"/>
                <w:szCs w:val="20"/>
                <w:color w:val="auto"/>
              </w:rPr>
            </w:pPr>
            <w:r>
              <w:rPr>
                <w:rFonts w:ascii="Arial" w:cs="Arial" w:eastAsia="Arial" w:hAnsi="Arial"/>
                <w:sz w:val="12"/>
                <w:szCs w:val="12"/>
                <w:color w:val="auto"/>
              </w:rPr>
              <w:t>121</w:t>
            </w:r>
          </w:p>
        </w:tc>
        <w:tc>
          <w:tcPr>
            <w:tcW w:w="780" w:type="dxa"/>
            <w:vAlign w:val="bottom"/>
            <w:gridSpan w:val="2"/>
          </w:tcPr>
          <w:p>
            <w:pPr>
              <w:jc w:val="right"/>
              <w:ind w:right="200"/>
              <w:spacing w:after="0" w:line="130" w:lineRule="exact"/>
              <w:rPr>
                <w:sz w:val="20"/>
                <w:szCs w:val="20"/>
                <w:color w:val="auto"/>
              </w:rPr>
            </w:pPr>
            <w:r>
              <w:rPr>
                <w:rFonts w:ascii="Arial" w:cs="Arial" w:eastAsia="Arial" w:hAnsi="Arial"/>
                <w:sz w:val="12"/>
                <w:szCs w:val="12"/>
                <w:color w:val="auto"/>
              </w:rPr>
              <w:t>933</w:t>
            </w:r>
          </w:p>
        </w:tc>
        <w:tc>
          <w:tcPr>
            <w:tcW w:w="560" w:type="dxa"/>
            <w:vAlign w:val="bottom"/>
          </w:tcPr>
          <w:p>
            <w:pPr>
              <w:jc w:val="right"/>
              <w:spacing w:after="0" w:line="130" w:lineRule="exact"/>
              <w:rPr>
                <w:sz w:val="20"/>
                <w:szCs w:val="20"/>
                <w:color w:val="auto"/>
              </w:rPr>
            </w:pPr>
            <w:r>
              <w:rPr>
                <w:rFonts w:ascii="Arial" w:cs="Arial" w:eastAsia="Arial" w:hAnsi="Arial"/>
                <w:sz w:val="12"/>
                <w:szCs w:val="12"/>
                <w:color w:val="auto"/>
              </w:rPr>
              <w:t>3,791</w:t>
            </w:r>
          </w:p>
        </w:tc>
        <w:tc>
          <w:tcPr>
            <w:tcW w:w="220" w:type="dxa"/>
            <w:vAlign w:val="bottom"/>
          </w:tcPr>
          <w:p>
            <w:pPr>
              <w:spacing w:after="0"/>
              <w:rPr>
                <w:sz w:val="11"/>
                <w:szCs w:val="11"/>
                <w:color w:val="auto"/>
              </w:rPr>
            </w:pPr>
          </w:p>
        </w:tc>
        <w:tc>
          <w:tcPr>
            <w:tcW w:w="720" w:type="dxa"/>
            <w:vAlign w:val="bottom"/>
            <w:gridSpan w:val="2"/>
          </w:tcPr>
          <w:p>
            <w:pPr>
              <w:jc w:val="right"/>
              <w:ind w:right="120"/>
              <w:spacing w:after="0" w:line="130" w:lineRule="exact"/>
              <w:rPr>
                <w:sz w:val="20"/>
                <w:szCs w:val="20"/>
                <w:color w:val="auto"/>
              </w:rPr>
            </w:pPr>
            <w:r>
              <w:rPr>
                <w:rFonts w:ascii="Arial" w:cs="Arial" w:eastAsia="Arial" w:hAnsi="Arial"/>
                <w:sz w:val="12"/>
                <w:szCs w:val="12"/>
                <w:color w:val="auto"/>
              </w:rPr>
              <w:t>27</w:t>
            </w:r>
          </w:p>
        </w:tc>
        <w:tc>
          <w:tcPr>
            <w:tcW w:w="880" w:type="dxa"/>
            <w:vAlign w:val="bottom"/>
            <w:gridSpan w:val="3"/>
          </w:tcPr>
          <w:p>
            <w:pPr>
              <w:jc w:val="right"/>
              <w:ind w:right="220"/>
              <w:spacing w:after="0" w:line="130" w:lineRule="exact"/>
              <w:rPr>
                <w:sz w:val="20"/>
                <w:szCs w:val="20"/>
                <w:color w:val="auto"/>
              </w:rPr>
            </w:pPr>
            <w:r>
              <w:rPr>
                <w:rFonts w:ascii="Arial" w:cs="Arial" w:eastAsia="Arial" w:hAnsi="Arial"/>
                <w:sz w:val="12"/>
                <w:szCs w:val="12"/>
                <w:color w:val="auto"/>
              </w:rPr>
              <w:t>124</w:t>
            </w:r>
          </w:p>
        </w:tc>
        <w:tc>
          <w:tcPr>
            <w:tcW w:w="540" w:type="dxa"/>
            <w:vAlign w:val="bottom"/>
          </w:tcPr>
          <w:p>
            <w:pPr>
              <w:jc w:val="right"/>
              <w:spacing w:after="0" w:line="130" w:lineRule="exact"/>
              <w:rPr>
                <w:sz w:val="20"/>
                <w:szCs w:val="20"/>
                <w:color w:val="auto"/>
              </w:rPr>
            </w:pPr>
            <w:r>
              <w:rPr>
                <w:rFonts w:ascii="Arial" w:cs="Arial" w:eastAsia="Arial" w:hAnsi="Arial"/>
                <w:sz w:val="12"/>
                <w:szCs w:val="12"/>
                <w:color w:val="auto"/>
              </w:rPr>
              <w:t>1,254</w:t>
            </w:r>
          </w:p>
        </w:tc>
        <w:tc>
          <w:tcPr>
            <w:tcW w:w="220" w:type="dxa"/>
            <w:vAlign w:val="bottom"/>
          </w:tcPr>
          <w:p>
            <w:pPr>
              <w:spacing w:after="0"/>
              <w:rPr>
                <w:sz w:val="11"/>
                <w:szCs w:val="11"/>
                <w:color w:val="auto"/>
              </w:rPr>
            </w:pPr>
          </w:p>
        </w:tc>
        <w:tc>
          <w:tcPr>
            <w:tcW w:w="660" w:type="dxa"/>
            <w:vAlign w:val="bottom"/>
            <w:gridSpan w:val="2"/>
          </w:tcPr>
          <w:p>
            <w:pPr>
              <w:jc w:val="right"/>
              <w:ind w:right="100"/>
              <w:spacing w:after="0" w:line="130" w:lineRule="exact"/>
              <w:rPr>
                <w:sz w:val="20"/>
                <w:szCs w:val="20"/>
                <w:color w:val="auto"/>
              </w:rPr>
            </w:pPr>
            <w:r>
              <w:rPr>
                <w:rFonts w:ascii="Arial" w:cs="Arial" w:eastAsia="Arial" w:hAnsi="Arial"/>
                <w:sz w:val="12"/>
                <w:szCs w:val="12"/>
                <w:color w:val="auto"/>
              </w:rPr>
              <w:t>3,491</w:t>
            </w:r>
          </w:p>
        </w:tc>
        <w:tc>
          <w:tcPr>
            <w:tcW w:w="700" w:type="dxa"/>
            <w:vAlign w:val="bottom"/>
            <w:gridSpan w:val="2"/>
          </w:tcPr>
          <w:p>
            <w:pPr>
              <w:jc w:val="right"/>
              <w:spacing w:after="0" w:line="130" w:lineRule="exact"/>
              <w:rPr>
                <w:sz w:val="20"/>
                <w:szCs w:val="20"/>
                <w:color w:val="auto"/>
              </w:rPr>
            </w:pPr>
            <w:r>
              <w:rPr>
                <w:rFonts w:ascii="Arial" w:cs="Arial" w:eastAsia="Arial" w:hAnsi="Arial"/>
                <w:sz w:val="12"/>
                <w:szCs w:val="12"/>
                <w:color w:val="auto"/>
              </w:rPr>
              <w:t>23</w:t>
            </w:r>
          </w:p>
        </w:tc>
        <w:tc>
          <w:tcPr>
            <w:tcW w:w="200" w:type="dxa"/>
            <w:vAlign w:val="bottom"/>
          </w:tcPr>
          <w:p>
            <w:pPr>
              <w:spacing w:after="0"/>
              <w:rPr>
                <w:sz w:val="11"/>
                <w:szCs w:val="11"/>
                <w:color w:val="auto"/>
              </w:rPr>
            </w:pPr>
          </w:p>
        </w:tc>
        <w:tc>
          <w:tcPr>
            <w:tcW w:w="800" w:type="dxa"/>
            <w:vAlign w:val="bottom"/>
            <w:gridSpan w:val="2"/>
          </w:tcPr>
          <w:p>
            <w:pPr>
              <w:jc w:val="right"/>
              <w:ind w:right="200"/>
              <w:spacing w:after="0" w:line="130" w:lineRule="exact"/>
              <w:rPr>
                <w:sz w:val="20"/>
                <w:szCs w:val="20"/>
                <w:color w:val="auto"/>
              </w:rPr>
            </w:pPr>
            <w:r>
              <w:rPr>
                <w:rFonts w:ascii="Arial" w:cs="Arial" w:eastAsia="Arial" w:hAnsi="Arial"/>
                <w:sz w:val="12"/>
                <w:szCs w:val="12"/>
                <w:color w:val="auto"/>
              </w:rPr>
              <w:t>104</w:t>
            </w:r>
          </w:p>
        </w:tc>
        <w:tc>
          <w:tcPr>
            <w:tcW w:w="580" w:type="dxa"/>
            <w:vAlign w:val="bottom"/>
            <w:gridSpan w:val="2"/>
          </w:tcPr>
          <w:p>
            <w:pPr>
              <w:jc w:val="right"/>
              <w:ind w:right="20"/>
              <w:spacing w:after="0" w:line="130" w:lineRule="exact"/>
              <w:rPr>
                <w:sz w:val="20"/>
                <w:szCs w:val="20"/>
                <w:color w:val="auto"/>
              </w:rPr>
            </w:pPr>
            <w:r>
              <w:rPr>
                <w:rFonts w:ascii="Arial" w:cs="Arial" w:eastAsia="Arial" w:hAnsi="Arial"/>
                <w:sz w:val="12"/>
                <w:szCs w:val="12"/>
                <w:color w:val="auto"/>
              </w:rPr>
              <w:t>2,233</w:t>
            </w:r>
          </w:p>
        </w:tc>
        <w:tc>
          <w:tcPr>
            <w:tcW w:w="80" w:type="dxa"/>
            <w:vAlign w:val="bottom"/>
          </w:tcPr>
          <w:p>
            <w:pPr>
              <w:spacing w:after="0"/>
              <w:rPr>
                <w:sz w:val="11"/>
                <w:szCs w:val="11"/>
                <w:color w:val="auto"/>
              </w:rPr>
            </w:pPr>
          </w:p>
        </w:tc>
      </w:tr>
      <w:tr>
        <w:trPr>
          <w:trHeight w:val="130"/>
        </w:trPr>
        <w:tc>
          <w:tcPr>
            <w:tcW w:w="1960" w:type="dxa"/>
            <w:vAlign w:val="bottom"/>
            <w:shd w:val="clear" w:color="auto" w:fill="CCEEFF"/>
          </w:tcPr>
          <w:p>
            <w:pPr>
              <w:spacing w:after="0" w:line="130" w:lineRule="exact"/>
              <w:rPr>
                <w:sz w:val="20"/>
                <w:szCs w:val="20"/>
                <w:color w:val="auto"/>
              </w:rPr>
            </w:pPr>
            <w:r>
              <w:rPr>
                <w:rFonts w:ascii="Arial" w:cs="Arial" w:eastAsia="Arial" w:hAnsi="Arial"/>
                <w:sz w:val="12"/>
                <w:szCs w:val="12"/>
                <w:color w:val="auto"/>
              </w:rPr>
              <w:t>Cayman Islands</w:t>
            </w:r>
          </w:p>
        </w:tc>
        <w:tc>
          <w:tcPr>
            <w:tcW w:w="820" w:type="dxa"/>
            <w:vAlign w:val="bottom"/>
            <w:gridSpan w:val="2"/>
            <w:shd w:val="clear" w:color="auto" w:fill="CCEEFF"/>
          </w:tcPr>
          <w:p>
            <w:pPr>
              <w:jc w:val="right"/>
              <w:ind w:right="240"/>
              <w:spacing w:after="0" w:line="130" w:lineRule="exact"/>
              <w:rPr>
                <w:sz w:val="20"/>
                <w:szCs w:val="20"/>
                <w:color w:val="auto"/>
              </w:rPr>
            </w:pPr>
            <w:r>
              <w:rPr>
                <w:rFonts w:ascii="Arial" w:cs="Arial" w:eastAsia="Arial" w:hAnsi="Arial"/>
                <w:sz w:val="12"/>
                <w:szCs w:val="12"/>
                <w:color w:val="auto"/>
              </w:rPr>
              <w:t>512</w:t>
            </w:r>
          </w:p>
        </w:tc>
        <w:tc>
          <w:tcPr>
            <w:tcW w:w="840" w:type="dxa"/>
            <w:vAlign w:val="bottom"/>
            <w:gridSpan w:val="2"/>
            <w:shd w:val="clear" w:color="auto" w:fill="CCEEFF"/>
          </w:tcPr>
          <w:p>
            <w:pPr>
              <w:jc w:val="right"/>
              <w:ind w:right="220"/>
              <w:spacing w:after="0" w:line="130" w:lineRule="exact"/>
              <w:rPr>
                <w:sz w:val="20"/>
                <w:szCs w:val="20"/>
                <w:color w:val="auto"/>
              </w:rPr>
            </w:pPr>
            <w:r>
              <w:rPr>
                <w:rFonts w:ascii="Arial" w:cs="Arial" w:eastAsia="Arial" w:hAnsi="Arial"/>
                <w:sz w:val="12"/>
                <w:szCs w:val="12"/>
                <w:color w:val="auto"/>
              </w:rPr>
              <w:t>183</w:t>
            </w:r>
          </w:p>
        </w:tc>
        <w:tc>
          <w:tcPr>
            <w:tcW w:w="860" w:type="dxa"/>
            <w:vAlign w:val="bottom"/>
            <w:gridSpan w:val="2"/>
            <w:shd w:val="clear" w:color="auto" w:fill="CCEEFF"/>
          </w:tcPr>
          <w:p>
            <w:pPr>
              <w:jc w:val="right"/>
              <w:ind w:right="240"/>
              <w:spacing w:after="0" w:line="130" w:lineRule="exact"/>
              <w:rPr>
                <w:sz w:val="20"/>
                <w:szCs w:val="20"/>
                <w:color w:val="auto"/>
              </w:rPr>
            </w:pPr>
            <w:r>
              <w:rPr>
                <w:rFonts w:ascii="Arial" w:cs="Arial" w:eastAsia="Arial" w:hAnsi="Arial"/>
                <w:sz w:val="12"/>
                <w:szCs w:val="12"/>
                <w:color w:val="auto"/>
              </w:rPr>
              <w:t>5</w:t>
            </w:r>
          </w:p>
        </w:tc>
        <w:tc>
          <w:tcPr>
            <w:tcW w:w="780" w:type="dxa"/>
            <w:vAlign w:val="bottom"/>
            <w:gridSpan w:val="2"/>
            <w:shd w:val="clear" w:color="auto" w:fill="CCEEFF"/>
          </w:tcPr>
          <w:p>
            <w:pPr>
              <w:jc w:val="right"/>
              <w:ind w:right="200"/>
              <w:spacing w:after="0" w:line="130" w:lineRule="exact"/>
              <w:rPr>
                <w:sz w:val="20"/>
                <w:szCs w:val="20"/>
                <w:color w:val="auto"/>
              </w:rPr>
            </w:pPr>
            <w:r>
              <w:rPr>
                <w:rFonts w:ascii="Arial" w:cs="Arial" w:eastAsia="Arial" w:hAnsi="Arial"/>
                <w:sz w:val="12"/>
                <w:szCs w:val="12"/>
                <w:color w:val="auto"/>
              </w:rPr>
              <w:t>5,250</w:t>
            </w:r>
          </w:p>
        </w:tc>
        <w:tc>
          <w:tcPr>
            <w:tcW w:w="780" w:type="dxa"/>
            <w:vAlign w:val="bottom"/>
            <w:gridSpan w:val="2"/>
            <w:shd w:val="clear" w:color="auto" w:fill="CCEEFF"/>
          </w:tcPr>
          <w:p>
            <w:pPr>
              <w:jc w:val="right"/>
              <w:ind w:right="220"/>
              <w:spacing w:after="0" w:line="130" w:lineRule="exact"/>
              <w:rPr>
                <w:sz w:val="20"/>
                <w:szCs w:val="20"/>
                <w:color w:val="auto"/>
              </w:rPr>
            </w:pPr>
            <w:r>
              <w:rPr>
                <w:rFonts w:ascii="Arial" w:cs="Arial" w:eastAsia="Arial" w:hAnsi="Arial"/>
                <w:sz w:val="12"/>
                <w:szCs w:val="12"/>
                <w:color w:val="auto"/>
              </w:rPr>
              <w:t>466</w:t>
            </w:r>
          </w:p>
        </w:tc>
        <w:tc>
          <w:tcPr>
            <w:tcW w:w="720" w:type="dxa"/>
            <w:vAlign w:val="bottom"/>
            <w:gridSpan w:val="2"/>
            <w:shd w:val="clear" w:color="auto" w:fill="CCEEFF"/>
          </w:tcPr>
          <w:p>
            <w:pPr>
              <w:jc w:val="right"/>
              <w:ind w:right="120"/>
              <w:spacing w:after="0" w:line="130" w:lineRule="exact"/>
              <w:rPr>
                <w:sz w:val="20"/>
                <w:szCs w:val="20"/>
                <w:color w:val="auto"/>
              </w:rPr>
            </w:pPr>
            <w:r>
              <w:rPr>
                <w:rFonts w:ascii="Arial" w:cs="Arial" w:eastAsia="Arial" w:hAnsi="Arial"/>
                <w:sz w:val="12"/>
                <w:szCs w:val="12"/>
                <w:color w:val="auto"/>
              </w:rPr>
              <w:t>147</w:t>
            </w:r>
          </w:p>
        </w:tc>
        <w:tc>
          <w:tcPr>
            <w:tcW w:w="880" w:type="dxa"/>
            <w:vAlign w:val="bottom"/>
            <w:gridSpan w:val="3"/>
            <w:shd w:val="clear" w:color="auto" w:fill="CCEEFF"/>
          </w:tcPr>
          <w:p>
            <w:pPr>
              <w:jc w:val="right"/>
              <w:ind w:right="220"/>
              <w:spacing w:after="0" w:line="130" w:lineRule="exact"/>
              <w:rPr>
                <w:sz w:val="20"/>
                <w:szCs w:val="20"/>
                <w:color w:val="auto"/>
              </w:rPr>
            </w:pPr>
            <w:r>
              <w:rPr>
                <w:rFonts w:ascii="Arial" w:cs="Arial" w:eastAsia="Arial" w:hAnsi="Arial"/>
                <w:sz w:val="12"/>
                <w:szCs w:val="12"/>
                <w:color w:val="auto"/>
              </w:rPr>
              <w:t>5</w:t>
            </w:r>
          </w:p>
        </w:tc>
        <w:tc>
          <w:tcPr>
            <w:tcW w:w="540" w:type="dxa"/>
            <w:vAlign w:val="bottom"/>
            <w:shd w:val="clear" w:color="auto" w:fill="CCEEFF"/>
          </w:tcPr>
          <w:p>
            <w:pPr>
              <w:jc w:val="right"/>
              <w:spacing w:after="0" w:line="130" w:lineRule="exact"/>
              <w:rPr>
                <w:sz w:val="20"/>
                <w:szCs w:val="20"/>
                <w:color w:val="auto"/>
              </w:rPr>
            </w:pPr>
            <w:r>
              <w:rPr>
                <w:rFonts w:ascii="Arial" w:cs="Arial" w:eastAsia="Arial" w:hAnsi="Arial"/>
                <w:sz w:val="12"/>
                <w:szCs w:val="12"/>
                <w:color w:val="auto"/>
              </w:rPr>
              <w:t>5,695</w:t>
            </w:r>
          </w:p>
        </w:tc>
        <w:tc>
          <w:tcPr>
            <w:tcW w:w="22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100"/>
              <w:spacing w:after="0" w:line="130" w:lineRule="exact"/>
              <w:rPr>
                <w:sz w:val="20"/>
                <w:szCs w:val="20"/>
                <w:color w:val="auto"/>
              </w:rPr>
            </w:pPr>
            <w:r>
              <w:rPr>
                <w:rFonts w:ascii="Arial" w:cs="Arial" w:eastAsia="Arial" w:hAnsi="Arial"/>
                <w:sz w:val="12"/>
                <w:szCs w:val="12"/>
                <w:color w:val="auto"/>
              </w:rPr>
              <w:t>490</w:t>
            </w:r>
          </w:p>
        </w:tc>
        <w:tc>
          <w:tcPr>
            <w:tcW w:w="900" w:type="dxa"/>
            <w:vAlign w:val="bottom"/>
            <w:gridSpan w:val="3"/>
            <w:shd w:val="clear" w:color="auto" w:fill="CCEEFF"/>
          </w:tcPr>
          <w:p>
            <w:pPr>
              <w:jc w:val="right"/>
              <w:ind w:right="200"/>
              <w:spacing w:after="0" w:line="130" w:lineRule="exact"/>
              <w:rPr>
                <w:sz w:val="20"/>
                <w:szCs w:val="20"/>
                <w:color w:val="auto"/>
              </w:rPr>
            </w:pPr>
            <w:r>
              <w:rPr>
                <w:rFonts w:ascii="Arial" w:cs="Arial" w:eastAsia="Arial" w:hAnsi="Arial"/>
                <w:sz w:val="12"/>
                <w:szCs w:val="12"/>
                <w:color w:val="auto"/>
              </w:rPr>
              <w:t>129</w:t>
            </w:r>
          </w:p>
        </w:tc>
        <w:tc>
          <w:tcPr>
            <w:tcW w:w="800" w:type="dxa"/>
            <w:vAlign w:val="bottom"/>
            <w:gridSpan w:val="2"/>
            <w:shd w:val="clear" w:color="auto" w:fill="CCEEFF"/>
          </w:tcPr>
          <w:p>
            <w:pPr>
              <w:jc w:val="right"/>
              <w:ind w:right="200"/>
              <w:spacing w:after="0" w:line="130" w:lineRule="exact"/>
              <w:rPr>
                <w:sz w:val="20"/>
                <w:szCs w:val="20"/>
                <w:color w:val="auto"/>
              </w:rPr>
            </w:pPr>
            <w:r>
              <w:rPr>
                <w:rFonts w:ascii="Arial" w:cs="Arial" w:eastAsia="Arial" w:hAnsi="Arial"/>
                <w:sz w:val="12"/>
                <w:szCs w:val="12"/>
                <w:color w:val="auto"/>
              </w:rPr>
              <w:t>5</w:t>
            </w:r>
          </w:p>
        </w:tc>
        <w:tc>
          <w:tcPr>
            <w:tcW w:w="580" w:type="dxa"/>
            <w:vAlign w:val="bottom"/>
            <w:gridSpan w:val="2"/>
            <w:shd w:val="clear" w:color="auto" w:fill="CCEEFF"/>
          </w:tcPr>
          <w:p>
            <w:pPr>
              <w:jc w:val="right"/>
              <w:ind w:right="20"/>
              <w:spacing w:after="0" w:line="130" w:lineRule="exact"/>
              <w:rPr>
                <w:sz w:val="20"/>
                <w:szCs w:val="20"/>
                <w:color w:val="auto"/>
              </w:rPr>
            </w:pPr>
            <w:r>
              <w:rPr>
                <w:rFonts w:ascii="Arial" w:cs="Arial" w:eastAsia="Arial" w:hAnsi="Arial"/>
                <w:sz w:val="12"/>
                <w:szCs w:val="12"/>
                <w:color w:val="auto"/>
              </w:rPr>
              <w:t>5,940</w:t>
            </w:r>
          </w:p>
        </w:tc>
        <w:tc>
          <w:tcPr>
            <w:tcW w:w="80" w:type="dxa"/>
            <w:vAlign w:val="bottom"/>
            <w:shd w:val="clear" w:color="auto" w:fill="CCEEFF"/>
          </w:tcPr>
          <w:p>
            <w:pPr>
              <w:spacing w:after="0"/>
              <w:rPr>
                <w:sz w:val="11"/>
                <w:szCs w:val="11"/>
                <w:color w:val="auto"/>
              </w:rPr>
            </w:pPr>
          </w:p>
        </w:tc>
      </w:tr>
      <w:tr>
        <w:trPr>
          <w:trHeight w:val="130"/>
        </w:trPr>
        <w:tc>
          <w:tcPr>
            <w:tcW w:w="1960" w:type="dxa"/>
            <w:vAlign w:val="bottom"/>
          </w:tcPr>
          <w:p>
            <w:pPr>
              <w:spacing w:after="0" w:line="130" w:lineRule="exact"/>
              <w:rPr>
                <w:sz w:val="20"/>
                <w:szCs w:val="20"/>
                <w:color w:val="auto"/>
              </w:rPr>
            </w:pPr>
            <w:r>
              <w:rPr>
                <w:rFonts w:ascii="Arial" w:cs="Arial" w:eastAsia="Arial" w:hAnsi="Arial"/>
                <w:sz w:val="12"/>
                <w:szCs w:val="12"/>
                <w:color w:val="auto"/>
              </w:rPr>
              <w:t>Bolivia</w:t>
            </w:r>
          </w:p>
        </w:tc>
        <w:tc>
          <w:tcPr>
            <w:tcW w:w="820" w:type="dxa"/>
            <w:vAlign w:val="bottom"/>
            <w:gridSpan w:val="2"/>
          </w:tcPr>
          <w:p>
            <w:pPr>
              <w:jc w:val="right"/>
              <w:ind w:right="240"/>
              <w:spacing w:after="0" w:line="130" w:lineRule="exact"/>
              <w:rPr>
                <w:sz w:val="20"/>
                <w:szCs w:val="20"/>
                <w:color w:val="auto"/>
              </w:rPr>
            </w:pPr>
            <w:r>
              <w:rPr>
                <w:rFonts w:ascii="Arial" w:cs="Arial" w:eastAsia="Arial" w:hAnsi="Arial"/>
                <w:sz w:val="12"/>
                <w:szCs w:val="12"/>
                <w:color w:val="auto"/>
              </w:rPr>
              <w:t>813</w:t>
            </w:r>
          </w:p>
        </w:tc>
        <w:tc>
          <w:tcPr>
            <w:tcW w:w="840" w:type="dxa"/>
            <w:vAlign w:val="bottom"/>
            <w:gridSpan w:val="2"/>
          </w:tcPr>
          <w:p>
            <w:pPr>
              <w:jc w:val="right"/>
              <w:ind w:right="220"/>
              <w:spacing w:after="0" w:line="130" w:lineRule="exact"/>
              <w:rPr>
                <w:sz w:val="20"/>
                <w:szCs w:val="20"/>
                <w:color w:val="auto"/>
              </w:rPr>
            </w:pPr>
            <w:r>
              <w:rPr>
                <w:rFonts w:ascii="Arial" w:cs="Arial" w:eastAsia="Arial" w:hAnsi="Arial"/>
                <w:sz w:val="12"/>
                <w:szCs w:val="12"/>
                <w:color w:val="auto"/>
              </w:rPr>
              <w:t>338</w:t>
            </w:r>
          </w:p>
        </w:tc>
        <w:tc>
          <w:tcPr>
            <w:tcW w:w="860" w:type="dxa"/>
            <w:vAlign w:val="bottom"/>
            <w:gridSpan w:val="2"/>
          </w:tcPr>
          <w:p>
            <w:pPr>
              <w:jc w:val="right"/>
              <w:ind w:right="240"/>
              <w:spacing w:after="0" w:line="130" w:lineRule="exact"/>
              <w:rPr>
                <w:sz w:val="20"/>
                <w:szCs w:val="20"/>
                <w:color w:val="auto"/>
              </w:rPr>
            </w:pPr>
            <w:r>
              <w:rPr>
                <w:rFonts w:ascii="Arial" w:cs="Arial" w:eastAsia="Arial" w:hAnsi="Arial"/>
                <w:sz w:val="12"/>
                <w:szCs w:val="12"/>
                <w:color w:val="auto"/>
              </w:rPr>
              <w:t>102</w:t>
            </w:r>
          </w:p>
        </w:tc>
        <w:tc>
          <w:tcPr>
            <w:tcW w:w="780" w:type="dxa"/>
            <w:vAlign w:val="bottom"/>
            <w:gridSpan w:val="2"/>
          </w:tcPr>
          <w:p>
            <w:pPr>
              <w:jc w:val="right"/>
              <w:ind w:right="200"/>
              <w:spacing w:after="0" w:line="130" w:lineRule="exact"/>
              <w:rPr>
                <w:sz w:val="20"/>
                <w:szCs w:val="20"/>
                <w:color w:val="auto"/>
              </w:rPr>
            </w:pPr>
            <w:r>
              <w:rPr>
                <w:rFonts w:ascii="Arial" w:cs="Arial" w:eastAsia="Arial" w:hAnsi="Arial"/>
                <w:sz w:val="12"/>
                <w:szCs w:val="12"/>
                <w:color w:val="auto"/>
              </w:rPr>
              <w:t>8,490</w:t>
            </w:r>
          </w:p>
        </w:tc>
        <w:tc>
          <w:tcPr>
            <w:tcW w:w="780" w:type="dxa"/>
            <w:vAlign w:val="bottom"/>
            <w:gridSpan w:val="2"/>
          </w:tcPr>
          <w:p>
            <w:pPr>
              <w:jc w:val="right"/>
              <w:ind w:right="220"/>
              <w:spacing w:after="0" w:line="130" w:lineRule="exact"/>
              <w:rPr>
                <w:sz w:val="20"/>
                <w:szCs w:val="20"/>
                <w:color w:val="auto"/>
              </w:rPr>
            </w:pPr>
            <w:r>
              <w:rPr>
                <w:rFonts w:ascii="Arial" w:cs="Arial" w:eastAsia="Arial" w:hAnsi="Arial"/>
                <w:sz w:val="12"/>
                <w:szCs w:val="12"/>
                <w:color w:val="auto"/>
              </w:rPr>
              <w:t>682</w:t>
            </w:r>
          </w:p>
        </w:tc>
        <w:tc>
          <w:tcPr>
            <w:tcW w:w="720" w:type="dxa"/>
            <w:vAlign w:val="bottom"/>
            <w:gridSpan w:val="2"/>
          </w:tcPr>
          <w:p>
            <w:pPr>
              <w:jc w:val="right"/>
              <w:ind w:right="120"/>
              <w:spacing w:after="0" w:line="130" w:lineRule="exact"/>
              <w:rPr>
                <w:sz w:val="20"/>
                <w:szCs w:val="20"/>
                <w:color w:val="auto"/>
              </w:rPr>
            </w:pPr>
            <w:r>
              <w:rPr>
                <w:rFonts w:ascii="Arial" w:cs="Arial" w:eastAsia="Arial" w:hAnsi="Arial"/>
                <w:sz w:val="12"/>
                <w:szCs w:val="12"/>
                <w:color w:val="auto"/>
              </w:rPr>
              <w:t>321</w:t>
            </w:r>
          </w:p>
        </w:tc>
        <w:tc>
          <w:tcPr>
            <w:tcW w:w="660" w:type="dxa"/>
            <w:vAlign w:val="bottom"/>
            <w:gridSpan w:val="2"/>
          </w:tcPr>
          <w:p>
            <w:pPr>
              <w:jc w:val="right"/>
              <w:spacing w:after="0" w:line="130" w:lineRule="exact"/>
              <w:rPr>
                <w:sz w:val="20"/>
                <w:szCs w:val="20"/>
                <w:color w:val="auto"/>
              </w:rPr>
            </w:pPr>
            <w:r>
              <w:rPr>
                <w:rFonts w:ascii="Arial" w:cs="Arial" w:eastAsia="Arial" w:hAnsi="Arial"/>
                <w:sz w:val="12"/>
                <w:szCs w:val="12"/>
                <w:color w:val="auto"/>
              </w:rPr>
              <w:t>79</w:t>
            </w:r>
          </w:p>
        </w:tc>
        <w:tc>
          <w:tcPr>
            <w:tcW w:w="220" w:type="dxa"/>
            <w:vAlign w:val="bottom"/>
          </w:tcPr>
          <w:p>
            <w:pPr>
              <w:spacing w:after="0"/>
              <w:rPr>
                <w:sz w:val="11"/>
                <w:szCs w:val="11"/>
                <w:color w:val="auto"/>
              </w:rPr>
            </w:pPr>
          </w:p>
        </w:tc>
        <w:tc>
          <w:tcPr>
            <w:tcW w:w="540" w:type="dxa"/>
            <w:vAlign w:val="bottom"/>
          </w:tcPr>
          <w:p>
            <w:pPr>
              <w:jc w:val="right"/>
              <w:spacing w:after="0" w:line="130" w:lineRule="exact"/>
              <w:rPr>
                <w:sz w:val="20"/>
                <w:szCs w:val="20"/>
                <w:color w:val="auto"/>
              </w:rPr>
            </w:pPr>
            <w:r>
              <w:rPr>
                <w:rFonts w:ascii="Arial" w:cs="Arial" w:eastAsia="Arial" w:hAnsi="Arial"/>
                <w:sz w:val="12"/>
                <w:szCs w:val="12"/>
                <w:color w:val="auto"/>
              </w:rPr>
              <w:t>7,246</w:t>
            </w:r>
          </w:p>
        </w:tc>
        <w:tc>
          <w:tcPr>
            <w:tcW w:w="220" w:type="dxa"/>
            <w:vAlign w:val="bottom"/>
          </w:tcPr>
          <w:p>
            <w:pPr>
              <w:spacing w:after="0"/>
              <w:rPr>
                <w:sz w:val="11"/>
                <w:szCs w:val="11"/>
                <w:color w:val="auto"/>
              </w:rPr>
            </w:pPr>
          </w:p>
        </w:tc>
        <w:tc>
          <w:tcPr>
            <w:tcW w:w="660" w:type="dxa"/>
            <w:vAlign w:val="bottom"/>
            <w:gridSpan w:val="2"/>
          </w:tcPr>
          <w:p>
            <w:pPr>
              <w:jc w:val="right"/>
              <w:ind w:right="100"/>
              <w:spacing w:after="0" w:line="130" w:lineRule="exact"/>
              <w:rPr>
                <w:sz w:val="20"/>
                <w:szCs w:val="20"/>
                <w:color w:val="auto"/>
              </w:rPr>
            </w:pPr>
            <w:r>
              <w:rPr>
                <w:rFonts w:ascii="Arial" w:cs="Arial" w:eastAsia="Arial" w:hAnsi="Arial"/>
                <w:sz w:val="12"/>
                <w:szCs w:val="12"/>
                <w:color w:val="auto"/>
              </w:rPr>
              <w:t>507</w:t>
            </w:r>
          </w:p>
        </w:tc>
        <w:tc>
          <w:tcPr>
            <w:tcW w:w="900" w:type="dxa"/>
            <w:vAlign w:val="bottom"/>
            <w:gridSpan w:val="3"/>
          </w:tcPr>
          <w:p>
            <w:pPr>
              <w:jc w:val="right"/>
              <w:ind w:right="200"/>
              <w:spacing w:after="0" w:line="130" w:lineRule="exact"/>
              <w:rPr>
                <w:sz w:val="20"/>
                <w:szCs w:val="20"/>
                <w:color w:val="auto"/>
              </w:rPr>
            </w:pPr>
            <w:r>
              <w:rPr>
                <w:rFonts w:ascii="Arial" w:cs="Arial" w:eastAsia="Arial" w:hAnsi="Arial"/>
                <w:sz w:val="12"/>
                <w:szCs w:val="12"/>
                <w:color w:val="auto"/>
              </w:rPr>
              <w:t>267</w:t>
            </w:r>
          </w:p>
        </w:tc>
        <w:tc>
          <w:tcPr>
            <w:tcW w:w="800" w:type="dxa"/>
            <w:vAlign w:val="bottom"/>
            <w:gridSpan w:val="2"/>
          </w:tcPr>
          <w:p>
            <w:pPr>
              <w:jc w:val="right"/>
              <w:ind w:right="200"/>
              <w:spacing w:after="0" w:line="130" w:lineRule="exact"/>
              <w:rPr>
                <w:sz w:val="20"/>
                <w:szCs w:val="20"/>
                <w:color w:val="auto"/>
              </w:rPr>
            </w:pPr>
            <w:r>
              <w:rPr>
                <w:rFonts w:ascii="Arial" w:cs="Arial" w:eastAsia="Arial" w:hAnsi="Arial"/>
                <w:sz w:val="12"/>
                <w:szCs w:val="12"/>
                <w:color w:val="auto"/>
              </w:rPr>
              <w:t>79</w:t>
            </w:r>
          </w:p>
        </w:tc>
        <w:tc>
          <w:tcPr>
            <w:tcW w:w="580" w:type="dxa"/>
            <w:vAlign w:val="bottom"/>
            <w:gridSpan w:val="2"/>
          </w:tcPr>
          <w:p>
            <w:pPr>
              <w:jc w:val="right"/>
              <w:ind w:right="20"/>
              <w:spacing w:after="0" w:line="130" w:lineRule="exact"/>
              <w:rPr>
                <w:sz w:val="20"/>
                <w:szCs w:val="20"/>
                <w:color w:val="auto"/>
              </w:rPr>
            </w:pPr>
            <w:r>
              <w:rPr>
                <w:rFonts w:ascii="Arial" w:cs="Arial" w:eastAsia="Arial" w:hAnsi="Arial"/>
                <w:sz w:val="12"/>
                <w:szCs w:val="12"/>
                <w:color w:val="auto"/>
              </w:rPr>
              <w:t>6,672</w:t>
            </w:r>
          </w:p>
        </w:tc>
        <w:tc>
          <w:tcPr>
            <w:tcW w:w="80" w:type="dxa"/>
            <w:vAlign w:val="bottom"/>
          </w:tcPr>
          <w:p>
            <w:pPr>
              <w:spacing w:after="0"/>
              <w:rPr>
                <w:sz w:val="11"/>
                <w:szCs w:val="11"/>
                <w:color w:val="auto"/>
              </w:rPr>
            </w:pPr>
          </w:p>
        </w:tc>
      </w:tr>
      <w:tr>
        <w:trPr>
          <w:trHeight w:val="130"/>
        </w:trPr>
        <w:tc>
          <w:tcPr>
            <w:tcW w:w="1960" w:type="dxa"/>
            <w:vAlign w:val="bottom"/>
            <w:shd w:val="clear" w:color="auto" w:fill="CCEEFF"/>
          </w:tcPr>
          <w:p>
            <w:pPr>
              <w:spacing w:after="0" w:line="130" w:lineRule="exact"/>
              <w:rPr>
                <w:sz w:val="20"/>
                <w:szCs w:val="20"/>
                <w:color w:val="auto"/>
              </w:rPr>
            </w:pPr>
            <w:r>
              <w:rPr>
                <w:rFonts w:ascii="Arial" w:cs="Arial" w:eastAsia="Arial" w:hAnsi="Arial"/>
                <w:sz w:val="12"/>
                <w:szCs w:val="12"/>
                <w:color w:val="auto"/>
              </w:rPr>
              <w:t>Colombia</w:t>
            </w:r>
          </w:p>
        </w:tc>
        <w:tc>
          <w:tcPr>
            <w:tcW w:w="820" w:type="dxa"/>
            <w:vAlign w:val="bottom"/>
            <w:gridSpan w:val="2"/>
            <w:shd w:val="clear" w:color="auto" w:fill="CCEEFF"/>
          </w:tcPr>
          <w:p>
            <w:pPr>
              <w:jc w:val="right"/>
              <w:ind w:right="240"/>
              <w:spacing w:after="0" w:line="130" w:lineRule="exact"/>
              <w:rPr>
                <w:sz w:val="20"/>
                <w:szCs w:val="20"/>
                <w:color w:val="auto"/>
              </w:rPr>
            </w:pPr>
            <w:r>
              <w:rPr>
                <w:rFonts w:ascii="Arial" w:cs="Arial" w:eastAsia="Arial" w:hAnsi="Arial"/>
                <w:sz w:val="12"/>
                <w:szCs w:val="12"/>
                <w:color w:val="auto"/>
              </w:rPr>
              <w:t>286</w:t>
            </w:r>
          </w:p>
        </w:tc>
        <w:tc>
          <w:tcPr>
            <w:tcW w:w="840" w:type="dxa"/>
            <w:vAlign w:val="bottom"/>
            <w:gridSpan w:val="2"/>
            <w:shd w:val="clear" w:color="auto" w:fill="CCEEFF"/>
          </w:tcPr>
          <w:p>
            <w:pPr>
              <w:jc w:val="right"/>
              <w:ind w:right="220"/>
              <w:spacing w:after="0" w:line="130" w:lineRule="exact"/>
              <w:rPr>
                <w:sz w:val="20"/>
                <w:szCs w:val="20"/>
                <w:color w:val="auto"/>
              </w:rPr>
            </w:pPr>
            <w:r>
              <w:rPr>
                <w:rFonts w:ascii="Arial" w:cs="Arial" w:eastAsia="Arial" w:hAnsi="Arial"/>
                <w:sz w:val="12"/>
                <w:szCs w:val="12"/>
                <w:color w:val="auto"/>
              </w:rPr>
              <w:t>10</w:t>
            </w:r>
          </w:p>
        </w:tc>
        <w:tc>
          <w:tcPr>
            <w:tcW w:w="860" w:type="dxa"/>
            <w:vAlign w:val="bottom"/>
            <w:gridSpan w:val="2"/>
            <w:shd w:val="clear" w:color="auto" w:fill="CCEEFF"/>
          </w:tcPr>
          <w:p>
            <w:pPr>
              <w:jc w:val="right"/>
              <w:ind w:right="240"/>
              <w:spacing w:after="0" w:line="130" w:lineRule="exact"/>
              <w:rPr>
                <w:sz w:val="20"/>
                <w:szCs w:val="20"/>
                <w:color w:val="auto"/>
              </w:rPr>
            </w:pPr>
            <w:r>
              <w:rPr>
                <w:rFonts w:ascii="Arial" w:cs="Arial" w:eastAsia="Arial" w:hAnsi="Arial"/>
                <w:sz w:val="12"/>
                <w:szCs w:val="12"/>
                <w:color w:val="auto"/>
              </w:rPr>
              <w:t>145</w:t>
            </w:r>
          </w:p>
        </w:tc>
        <w:tc>
          <w:tcPr>
            <w:tcW w:w="780" w:type="dxa"/>
            <w:vAlign w:val="bottom"/>
            <w:gridSpan w:val="2"/>
            <w:shd w:val="clear" w:color="auto" w:fill="CCEEFF"/>
          </w:tcPr>
          <w:p>
            <w:pPr>
              <w:jc w:val="right"/>
              <w:ind w:right="200"/>
              <w:spacing w:after="0" w:line="130" w:lineRule="exact"/>
              <w:rPr>
                <w:sz w:val="20"/>
                <w:szCs w:val="20"/>
                <w:color w:val="auto"/>
              </w:rPr>
            </w:pPr>
            <w:r>
              <w:rPr>
                <w:rFonts w:ascii="Arial" w:cs="Arial" w:eastAsia="Arial" w:hAnsi="Arial"/>
                <w:sz w:val="12"/>
                <w:szCs w:val="12"/>
                <w:color w:val="auto"/>
              </w:rPr>
              <w:t>1,573</w:t>
            </w:r>
          </w:p>
        </w:tc>
        <w:tc>
          <w:tcPr>
            <w:tcW w:w="780" w:type="dxa"/>
            <w:vAlign w:val="bottom"/>
            <w:gridSpan w:val="2"/>
            <w:shd w:val="clear" w:color="auto" w:fill="CCEEFF"/>
          </w:tcPr>
          <w:p>
            <w:pPr>
              <w:jc w:val="right"/>
              <w:ind w:right="220"/>
              <w:spacing w:after="0" w:line="130" w:lineRule="exact"/>
              <w:rPr>
                <w:sz w:val="20"/>
                <w:szCs w:val="20"/>
                <w:color w:val="auto"/>
              </w:rPr>
            </w:pPr>
            <w:r>
              <w:rPr>
                <w:rFonts w:ascii="Arial" w:cs="Arial" w:eastAsia="Arial" w:hAnsi="Arial"/>
                <w:sz w:val="12"/>
                <w:szCs w:val="12"/>
                <w:color w:val="auto"/>
              </w:rPr>
              <w:t>264</w:t>
            </w:r>
          </w:p>
        </w:tc>
        <w:tc>
          <w:tcPr>
            <w:tcW w:w="720" w:type="dxa"/>
            <w:vAlign w:val="bottom"/>
            <w:gridSpan w:val="2"/>
            <w:shd w:val="clear" w:color="auto" w:fill="CCEEFF"/>
          </w:tcPr>
          <w:p>
            <w:pPr>
              <w:jc w:val="right"/>
              <w:ind w:right="120"/>
              <w:spacing w:after="0" w:line="130" w:lineRule="exact"/>
              <w:rPr>
                <w:sz w:val="20"/>
                <w:szCs w:val="20"/>
                <w:color w:val="auto"/>
              </w:rPr>
            </w:pPr>
            <w:r>
              <w:rPr>
                <w:rFonts w:ascii="Arial" w:cs="Arial" w:eastAsia="Arial" w:hAnsi="Arial"/>
                <w:sz w:val="12"/>
                <w:szCs w:val="12"/>
                <w:color w:val="auto"/>
              </w:rPr>
              <w:t>17</w:t>
            </w:r>
          </w:p>
        </w:tc>
        <w:tc>
          <w:tcPr>
            <w:tcW w:w="880" w:type="dxa"/>
            <w:vAlign w:val="bottom"/>
            <w:gridSpan w:val="3"/>
            <w:shd w:val="clear" w:color="auto" w:fill="CCEEFF"/>
          </w:tcPr>
          <w:p>
            <w:pPr>
              <w:jc w:val="right"/>
              <w:ind w:right="220"/>
              <w:spacing w:after="0" w:line="130" w:lineRule="exact"/>
              <w:rPr>
                <w:sz w:val="20"/>
                <w:szCs w:val="20"/>
                <w:color w:val="auto"/>
              </w:rPr>
            </w:pPr>
            <w:r>
              <w:rPr>
                <w:rFonts w:ascii="Arial" w:cs="Arial" w:eastAsia="Arial" w:hAnsi="Arial"/>
                <w:sz w:val="12"/>
                <w:szCs w:val="12"/>
                <w:color w:val="auto"/>
              </w:rPr>
              <w:t>172</w:t>
            </w:r>
          </w:p>
        </w:tc>
        <w:tc>
          <w:tcPr>
            <w:tcW w:w="540" w:type="dxa"/>
            <w:vAlign w:val="bottom"/>
            <w:shd w:val="clear" w:color="auto" w:fill="CCEEFF"/>
          </w:tcPr>
          <w:p>
            <w:pPr>
              <w:jc w:val="right"/>
              <w:spacing w:after="0" w:line="130" w:lineRule="exact"/>
              <w:rPr>
                <w:sz w:val="20"/>
                <w:szCs w:val="20"/>
                <w:color w:val="auto"/>
              </w:rPr>
            </w:pPr>
            <w:r>
              <w:rPr>
                <w:rFonts w:ascii="Arial" w:cs="Arial" w:eastAsia="Arial" w:hAnsi="Arial"/>
                <w:sz w:val="12"/>
                <w:szCs w:val="12"/>
                <w:color w:val="auto"/>
              </w:rPr>
              <w:t>1,396</w:t>
            </w:r>
          </w:p>
        </w:tc>
        <w:tc>
          <w:tcPr>
            <w:tcW w:w="22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100"/>
              <w:spacing w:after="0" w:line="130" w:lineRule="exact"/>
              <w:rPr>
                <w:sz w:val="20"/>
                <w:szCs w:val="20"/>
                <w:color w:val="auto"/>
              </w:rPr>
            </w:pPr>
            <w:r>
              <w:rPr>
                <w:rFonts w:ascii="Arial" w:cs="Arial" w:eastAsia="Arial" w:hAnsi="Arial"/>
                <w:sz w:val="12"/>
                <w:szCs w:val="12"/>
                <w:color w:val="auto"/>
              </w:rPr>
              <w:t>233</w:t>
            </w:r>
          </w:p>
        </w:tc>
        <w:tc>
          <w:tcPr>
            <w:tcW w:w="700" w:type="dxa"/>
            <w:vAlign w:val="bottom"/>
            <w:gridSpan w:val="2"/>
            <w:shd w:val="clear" w:color="auto" w:fill="CCEEFF"/>
          </w:tcPr>
          <w:p>
            <w:pPr>
              <w:jc w:val="right"/>
              <w:spacing w:after="0" w:line="130" w:lineRule="exact"/>
              <w:rPr>
                <w:sz w:val="20"/>
                <w:szCs w:val="20"/>
                <w:color w:val="auto"/>
              </w:rPr>
            </w:pPr>
            <w:r>
              <w:rPr>
                <w:rFonts w:ascii="Arial" w:cs="Arial" w:eastAsia="Arial" w:hAnsi="Arial"/>
                <w:sz w:val="12"/>
                <w:szCs w:val="12"/>
                <w:color w:val="auto"/>
              </w:rPr>
              <w:t>12</w:t>
            </w:r>
          </w:p>
        </w:tc>
        <w:tc>
          <w:tcPr>
            <w:tcW w:w="20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200"/>
              <w:spacing w:after="0" w:line="130" w:lineRule="exact"/>
              <w:rPr>
                <w:sz w:val="20"/>
                <w:szCs w:val="20"/>
                <w:color w:val="auto"/>
              </w:rPr>
            </w:pPr>
            <w:r>
              <w:rPr>
                <w:rFonts w:ascii="Arial" w:cs="Arial" w:eastAsia="Arial" w:hAnsi="Arial"/>
                <w:sz w:val="12"/>
                <w:szCs w:val="12"/>
                <w:color w:val="auto"/>
              </w:rPr>
              <w:t>172</w:t>
            </w:r>
          </w:p>
        </w:tc>
        <w:tc>
          <w:tcPr>
            <w:tcW w:w="580" w:type="dxa"/>
            <w:vAlign w:val="bottom"/>
            <w:gridSpan w:val="2"/>
            <w:shd w:val="clear" w:color="auto" w:fill="CCEEFF"/>
          </w:tcPr>
          <w:p>
            <w:pPr>
              <w:jc w:val="right"/>
              <w:ind w:right="20"/>
              <w:spacing w:after="0" w:line="130" w:lineRule="exact"/>
              <w:rPr>
                <w:sz w:val="20"/>
                <w:szCs w:val="20"/>
                <w:color w:val="auto"/>
              </w:rPr>
            </w:pPr>
            <w:r>
              <w:rPr>
                <w:rFonts w:ascii="Arial" w:cs="Arial" w:eastAsia="Arial" w:hAnsi="Arial"/>
                <w:sz w:val="12"/>
                <w:szCs w:val="12"/>
                <w:color w:val="auto"/>
              </w:rPr>
              <w:t>1,500</w:t>
            </w:r>
          </w:p>
        </w:tc>
        <w:tc>
          <w:tcPr>
            <w:tcW w:w="80" w:type="dxa"/>
            <w:vAlign w:val="bottom"/>
            <w:shd w:val="clear" w:color="auto" w:fill="CCEEFF"/>
          </w:tcPr>
          <w:p>
            <w:pPr>
              <w:spacing w:after="0"/>
              <w:rPr>
                <w:sz w:val="11"/>
                <w:szCs w:val="11"/>
                <w:color w:val="auto"/>
              </w:rPr>
            </w:pPr>
          </w:p>
        </w:tc>
      </w:tr>
      <w:tr>
        <w:trPr>
          <w:trHeight w:val="130"/>
        </w:trPr>
        <w:tc>
          <w:tcPr>
            <w:tcW w:w="1960" w:type="dxa"/>
            <w:vAlign w:val="bottom"/>
          </w:tcPr>
          <w:p>
            <w:pPr>
              <w:spacing w:after="0" w:line="130" w:lineRule="exact"/>
              <w:rPr>
                <w:sz w:val="20"/>
                <w:szCs w:val="20"/>
                <w:color w:val="auto"/>
              </w:rPr>
            </w:pPr>
            <w:r>
              <w:rPr>
                <w:rFonts w:ascii="Arial" w:cs="Arial" w:eastAsia="Arial" w:hAnsi="Arial"/>
                <w:sz w:val="12"/>
                <w:szCs w:val="12"/>
                <w:color w:val="auto"/>
              </w:rPr>
              <w:t>United States of America</w:t>
            </w:r>
          </w:p>
        </w:tc>
        <w:tc>
          <w:tcPr>
            <w:tcW w:w="820" w:type="dxa"/>
            <w:vAlign w:val="bottom"/>
            <w:gridSpan w:val="2"/>
          </w:tcPr>
          <w:p>
            <w:pPr>
              <w:jc w:val="right"/>
              <w:ind w:right="240"/>
              <w:spacing w:after="0" w:line="130" w:lineRule="exact"/>
              <w:rPr>
                <w:sz w:val="20"/>
                <w:szCs w:val="20"/>
                <w:color w:val="auto"/>
              </w:rPr>
            </w:pPr>
            <w:r>
              <w:rPr>
                <w:rFonts w:ascii="Arial" w:cs="Arial" w:eastAsia="Arial" w:hAnsi="Arial"/>
                <w:sz w:val="12"/>
                <w:szCs w:val="12"/>
                <w:color w:val="auto"/>
              </w:rPr>
              <w:t>8</w:t>
            </w:r>
          </w:p>
        </w:tc>
        <w:tc>
          <w:tcPr>
            <w:tcW w:w="840" w:type="dxa"/>
            <w:vAlign w:val="bottom"/>
            <w:gridSpan w:val="2"/>
          </w:tcPr>
          <w:p>
            <w:pPr>
              <w:jc w:val="right"/>
              <w:ind w:right="220"/>
              <w:spacing w:after="0" w:line="130" w:lineRule="exact"/>
              <w:rPr>
                <w:sz w:val="20"/>
                <w:szCs w:val="20"/>
                <w:color w:val="auto"/>
              </w:rPr>
            </w:pPr>
            <w:r>
              <w:rPr>
                <w:rFonts w:ascii="Arial" w:cs="Arial" w:eastAsia="Arial" w:hAnsi="Arial"/>
                <w:sz w:val="12"/>
                <w:szCs w:val="12"/>
                <w:color w:val="auto"/>
              </w:rPr>
              <w:t>-</w:t>
            </w:r>
          </w:p>
        </w:tc>
        <w:tc>
          <w:tcPr>
            <w:tcW w:w="860" w:type="dxa"/>
            <w:vAlign w:val="bottom"/>
            <w:gridSpan w:val="2"/>
          </w:tcPr>
          <w:p>
            <w:pPr>
              <w:jc w:val="right"/>
              <w:ind w:right="240"/>
              <w:spacing w:after="0" w:line="130" w:lineRule="exact"/>
              <w:rPr>
                <w:sz w:val="20"/>
                <w:szCs w:val="20"/>
                <w:color w:val="auto"/>
              </w:rPr>
            </w:pPr>
            <w:r>
              <w:rPr>
                <w:rFonts w:ascii="Arial" w:cs="Arial" w:eastAsia="Arial" w:hAnsi="Arial"/>
                <w:sz w:val="12"/>
                <w:szCs w:val="12"/>
                <w:color w:val="auto"/>
              </w:rPr>
              <w:t>-</w:t>
            </w:r>
          </w:p>
        </w:tc>
        <w:tc>
          <w:tcPr>
            <w:tcW w:w="780" w:type="dxa"/>
            <w:vAlign w:val="bottom"/>
            <w:gridSpan w:val="2"/>
          </w:tcPr>
          <w:p>
            <w:pPr>
              <w:jc w:val="right"/>
              <w:ind w:right="200"/>
              <w:spacing w:after="0" w:line="130" w:lineRule="exact"/>
              <w:rPr>
                <w:sz w:val="20"/>
                <w:szCs w:val="20"/>
                <w:color w:val="auto"/>
              </w:rPr>
            </w:pPr>
            <w:r>
              <w:rPr>
                <w:rFonts w:ascii="Arial" w:cs="Arial" w:eastAsia="Arial" w:hAnsi="Arial"/>
                <w:sz w:val="12"/>
                <w:szCs w:val="12"/>
                <w:color w:val="auto"/>
              </w:rPr>
              <w:t>2</w:t>
            </w:r>
          </w:p>
        </w:tc>
        <w:tc>
          <w:tcPr>
            <w:tcW w:w="780" w:type="dxa"/>
            <w:vAlign w:val="bottom"/>
            <w:gridSpan w:val="2"/>
          </w:tcPr>
          <w:p>
            <w:pPr>
              <w:jc w:val="right"/>
              <w:ind w:right="220"/>
              <w:spacing w:after="0" w:line="130" w:lineRule="exact"/>
              <w:rPr>
                <w:sz w:val="20"/>
                <w:szCs w:val="20"/>
                <w:color w:val="auto"/>
              </w:rPr>
            </w:pPr>
            <w:r>
              <w:rPr>
                <w:rFonts w:ascii="Arial" w:cs="Arial" w:eastAsia="Arial" w:hAnsi="Arial"/>
                <w:sz w:val="12"/>
                <w:szCs w:val="12"/>
                <w:color w:val="auto"/>
              </w:rPr>
              <w:t>8</w:t>
            </w:r>
          </w:p>
        </w:tc>
        <w:tc>
          <w:tcPr>
            <w:tcW w:w="720" w:type="dxa"/>
            <w:vAlign w:val="bottom"/>
            <w:gridSpan w:val="2"/>
          </w:tcPr>
          <w:p>
            <w:pPr>
              <w:jc w:val="right"/>
              <w:ind w:right="120"/>
              <w:spacing w:after="0" w:line="130" w:lineRule="exact"/>
              <w:rPr>
                <w:sz w:val="20"/>
                <w:szCs w:val="20"/>
                <w:color w:val="auto"/>
              </w:rPr>
            </w:pPr>
            <w:r>
              <w:rPr>
                <w:rFonts w:ascii="Arial" w:cs="Arial" w:eastAsia="Arial" w:hAnsi="Arial"/>
                <w:sz w:val="12"/>
                <w:szCs w:val="12"/>
                <w:color w:val="auto"/>
              </w:rPr>
              <w:t>-</w:t>
            </w:r>
          </w:p>
        </w:tc>
        <w:tc>
          <w:tcPr>
            <w:tcW w:w="880" w:type="dxa"/>
            <w:vAlign w:val="bottom"/>
            <w:gridSpan w:val="3"/>
          </w:tcPr>
          <w:p>
            <w:pPr>
              <w:jc w:val="right"/>
              <w:ind w:right="220"/>
              <w:spacing w:after="0" w:line="130" w:lineRule="exact"/>
              <w:rPr>
                <w:sz w:val="20"/>
                <w:szCs w:val="20"/>
                <w:color w:val="auto"/>
              </w:rPr>
            </w:pPr>
            <w:r>
              <w:rPr>
                <w:rFonts w:ascii="Arial" w:cs="Arial" w:eastAsia="Arial" w:hAnsi="Arial"/>
                <w:sz w:val="12"/>
                <w:szCs w:val="12"/>
                <w:color w:val="auto"/>
              </w:rPr>
              <w:t>-</w:t>
            </w:r>
          </w:p>
        </w:tc>
        <w:tc>
          <w:tcPr>
            <w:tcW w:w="760" w:type="dxa"/>
            <w:vAlign w:val="bottom"/>
            <w:gridSpan w:val="2"/>
          </w:tcPr>
          <w:p>
            <w:pPr>
              <w:jc w:val="right"/>
              <w:ind w:right="220"/>
              <w:spacing w:after="0" w:line="130" w:lineRule="exact"/>
              <w:rPr>
                <w:sz w:val="20"/>
                <w:szCs w:val="20"/>
                <w:color w:val="auto"/>
              </w:rPr>
            </w:pPr>
            <w:r>
              <w:rPr>
                <w:rFonts w:ascii="Arial" w:cs="Arial" w:eastAsia="Arial" w:hAnsi="Arial"/>
                <w:sz w:val="12"/>
                <w:szCs w:val="12"/>
                <w:color w:val="auto"/>
              </w:rPr>
              <w:t>2</w:t>
            </w:r>
          </w:p>
        </w:tc>
        <w:tc>
          <w:tcPr>
            <w:tcW w:w="660" w:type="dxa"/>
            <w:vAlign w:val="bottom"/>
            <w:gridSpan w:val="2"/>
          </w:tcPr>
          <w:p>
            <w:pPr>
              <w:jc w:val="right"/>
              <w:ind w:right="100"/>
              <w:spacing w:after="0" w:line="130" w:lineRule="exact"/>
              <w:rPr>
                <w:sz w:val="20"/>
                <w:szCs w:val="20"/>
                <w:color w:val="auto"/>
              </w:rPr>
            </w:pPr>
            <w:r>
              <w:rPr>
                <w:rFonts w:ascii="Arial" w:cs="Arial" w:eastAsia="Arial" w:hAnsi="Arial"/>
                <w:sz w:val="12"/>
                <w:szCs w:val="12"/>
                <w:color w:val="auto"/>
              </w:rPr>
              <w:t>5</w:t>
            </w:r>
          </w:p>
        </w:tc>
        <w:tc>
          <w:tcPr>
            <w:tcW w:w="900" w:type="dxa"/>
            <w:vAlign w:val="bottom"/>
            <w:gridSpan w:val="3"/>
          </w:tcPr>
          <w:p>
            <w:pPr>
              <w:jc w:val="right"/>
              <w:ind w:right="200"/>
              <w:spacing w:after="0" w:line="130" w:lineRule="exact"/>
              <w:rPr>
                <w:sz w:val="20"/>
                <w:szCs w:val="20"/>
                <w:color w:val="auto"/>
              </w:rPr>
            </w:pPr>
            <w:r>
              <w:rPr>
                <w:rFonts w:ascii="Arial" w:cs="Arial" w:eastAsia="Arial" w:hAnsi="Arial"/>
                <w:sz w:val="12"/>
                <w:szCs w:val="12"/>
                <w:color w:val="auto"/>
              </w:rPr>
              <w:t>-</w:t>
            </w:r>
          </w:p>
        </w:tc>
        <w:tc>
          <w:tcPr>
            <w:tcW w:w="800" w:type="dxa"/>
            <w:vAlign w:val="bottom"/>
            <w:gridSpan w:val="2"/>
          </w:tcPr>
          <w:p>
            <w:pPr>
              <w:jc w:val="right"/>
              <w:ind w:right="200"/>
              <w:spacing w:after="0" w:line="130" w:lineRule="exact"/>
              <w:rPr>
                <w:sz w:val="20"/>
                <w:szCs w:val="20"/>
                <w:color w:val="auto"/>
              </w:rPr>
            </w:pPr>
            <w:r>
              <w:rPr>
                <w:rFonts w:ascii="Arial" w:cs="Arial" w:eastAsia="Arial" w:hAnsi="Arial"/>
                <w:sz w:val="12"/>
                <w:szCs w:val="12"/>
                <w:color w:val="auto"/>
              </w:rPr>
              <w:t>-</w:t>
            </w:r>
          </w:p>
        </w:tc>
        <w:tc>
          <w:tcPr>
            <w:tcW w:w="580" w:type="dxa"/>
            <w:vAlign w:val="bottom"/>
            <w:gridSpan w:val="2"/>
          </w:tcPr>
          <w:p>
            <w:pPr>
              <w:jc w:val="right"/>
              <w:ind w:right="20"/>
              <w:spacing w:after="0" w:line="130" w:lineRule="exact"/>
              <w:rPr>
                <w:sz w:val="20"/>
                <w:szCs w:val="20"/>
                <w:color w:val="auto"/>
              </w:rPr>
            </w:pPr>
            <w:r>
              <w:rPr>
                <w:rFonts w:ascii="Arial" w:cs="Arial" w:eastAsia="Arial" w:hAnsi="Arial"/>
                <w:sz w:val="12"/>
                <w:szCs w:val="12"/>
                <w:color w:val="auto"/>
              </w:rPr>
              <w:t>3</w:t>
            </w:r>
          </w:p>
        </w:tc>
        <w:tc>
          <w:tcPr>
            <w:tcW w:w="80" w:type="dxa"/>
            <w:vAlign w:val="bottom"/>
          </w:tcPr>
          <w:p>
            <w:pPr>
              <w:spacing w:after="0"/>
              <w:rPr>
                <w:sz w:val="11"/>
                <w:szCs w:val="11"/>
                <w:color w:val="auto"/>
              </w:rPr>
            </w:pPr>
          </w:p>
        </w:tc>
      </w:tr>
      <w:tr>
        <w:trPr>
          <w:trHeight w:val="143"/>
        </w:trPr>
        <w:tc>
          <w:tcPr>
            <w:tcW w:w="1960" w:type="dxa"/>
            <w:vAlign w:val="bottom"/>
            <w:shd w:val="clear" w:color="auto" w:fill="CCEEFF"/>
          </w:tcPr>
          <w:p>
            <w:pPr>
              <w:spacing w:after="0"/>
              <w:rPr>
                <w:sz w:val="20"/>
                <w:szCs w:val="20"/>
                <w:color w:val="auto"/>
              </w:rPr>
            </w:pPr>
            <w:r>
              <w:rPr>
                <w:rFonts w:ascii="Arial" w:cs="Arial" w:eastAsia="Arial" w:hAnsi="Arial"/>
                <w:sz w:val="12"/>
                <w:szCs w:val="12"/>
                <w:color w:val="auto"/>
              </w:rPr>
              <w:t>Chile</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167</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(5)</w:t>
            </w: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139</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1,018</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160</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(4)</w:t>
            </w:r>
          </w:p>
        </w:tc>
        <w:tc>
          <w:tcPr>
            <w:tcW w:w="880" w:type="dxa"/>
            <w:vAlign w:val="bottom"/>
            <w:gridSpan w:val="3"/>
            <w:shd w:val="clear" w:color="auto" w:fill="CCEEFF"/>
          </w:tcPr>
          <w:p>
            <w:pPr>
              <w:jc w:val="right"/>
              <w:ind w:right="220"/>
              <w:spacing w:after="0"/>
              <w:rPr>
                <w:sz w:val="20"/>
                <w:szCs w:val="20"/>
                <w:color w:val="auto"/>
              </w:rPr>
            </w:pPr>
            <w:r>
              <w:rPr>
                <w:rFonts w:ascii="Arial" w:cs="Arial" w:eastAsia="Arial" w:hAnsi="Arial"/>
                <w:sz w:val="12"/>
                <w:szCs w:val="12"/>
                <w:color w:val="auto"/>
              </w:rPr>
              <w:t>138</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913</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132</w:t>
            </w:r>
          </w:p>
        </w:tc>
        <w:tc>
          <w:tcPr>
            <w:tcW w:w="900" w:type="dxa"/>
            <w:vAlign w:val="bottom"/>
            <w:gridSpan w:val="3"/>
            <w:shd w:val="clear" w:color="auto" w:fill="CCEEFF"/>
          </w:tcPr>
          <w:p>
            <w:pPr>
              <w:jc w:val="right"/>
              <w:ind w:right="160"/>
              <w:spacing w:after="0"/>
              <w:rPr>
                <w:sz w:val="20"/>
                <w:szCs w:val="20"/>
                <w:color w:val="auto"/>
              </w:rPr>
            </w:pPr>
            <w:r>
              <w:rPr>
                <w:rFonts w:ascii="Arial" w:cs="Arial" w:eastAsia="Arial" w:hAnsi="Arial"/>
                <w:sz w:val="12"/>
                <w:szCs w:val="12"/>
                <w:color w:val="auto"/>
              </w:rPr>
              <w:t>(5)</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142</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535</w:t>
            </w:r>
          </w:p>
        </w:tc>
        <w:tc>
          <w:tcPr>
            <w:tcW w:w="80" w:type="dxa"/>
            <w:vAlign w:val="bottom"/>
            <w:shd w:val="clear" w:color="auto" w:fill="CCEEFF"/>
          </w:tcPr>
          <w:p>
            <w:pPr>
              <w:spacing w:after="0"/>
              <w:rPr>
                <w:sz w:val="12"/>
                <w:szCs w:val="12"/>
                <w:color w:val="auto"/>
              </w:rPr>
            </w:pPr>
          </w:p>
        </w:tc>
      </w:tr>
      <w:tr>
        <w:trPr>
          <w:trHeight w:val="136"/>
        </w:trPr>
        <w:tc>
          <w:tcPr>
            <w:tcW w:w="1960" w:type="dxa"/>
            <w:vAlign w:val="bottom"/>
          </w:tcPr>
          <w:p>
            <w:pPr>
              <w:spacing w:after="0" w:line="136" w:lineRule="exact"/>
              <w:rPr>
                <w:sz w:val="20"/>
                <w:szCs w:val="20"/>
                <w:color w:val="auto"/>
              </w:rPr>
            </w:pPr>
            <w:r>
              <w:rPr>
                <w:rFonts w:ascii="Arial" w:cs="Arial" w:eastAsia="Arial" w:hAnsi="Arial"/>
                <w:sz w:val="12"/>
                <w:szCs w:val="12"/>
                <w:b w:val="1"/>
                <w:bCs w:val="1"/>
                <w:color w:val="auto"/>
              </w:rPr>
              <w:t>Total Consolidated total</w:t>
            </w:r>
          </w:p>
        </w:tc>
        <w:tc>
          <w:tcPr>
            <w:tcW w:w="580" w:type="dxa"/>
            <w:vAlign w:val="bottom"/>
            <w:tcBorders>
              <w:top w:val="single" w:sz="8" w:color="auto"/>
              <w:bottom w:val="single" w:sz="8" w:color="auto"/>
            </w:tcBorders>
          </w:tcPr>
          <w:p>
            <w:pPr>
              <w:jc w:val="right"/>
              <w:spacing w:after="0" w:line="136" w:lineRule="exact"/>
              <w:rPr>
                <w:sz w:val="20"/>
                <w:szCs w:val="20"/>
                <w:color w:val="auto"/>
              </w:rPr>
            </w:pPr>
            <w:r>
              <w:rPr>
                <w:rFonts w:ascii="Arial" w:cs="Arial" w:eastAsia="Arial" w:hAnsi="Arial"/>
                <w:sz w:val="12"/>
                <w:szCs w:val="12"/>
                <w:color w:val="auto"/>
              </w:rPr>
              <w:t>17,728</w:t>
            </w:r>
          </w:p>
        </w:tc>
        <w:tc>
          <w:tcPr>
            <w:tcW w:w="240" w:type="dxa"/>
            <w:vAlign w:val="bottom"/>
          </w:tcPr>
          <w:p>
            <w:pPr>
              <w:spacing w:after="0"/>
              <w:rPr>
                <w:sz w:val="11"/>
                <w:szCs w:val="11"/>
                <w:color w:val="auto"/>
              </w:rPr>
            </w:pPr>
          </w:p>
        </w:tc>
        <w:tc>
          <w:tcPr>
            <w:tcW w:w="620" w:type="dxa"/>
            <w:vAlign w:val="bottom"/>
            <w:tcBorders>
              <w:top w:val="single" w:sz="8" w:color="auto"/>
              <w:bottom w:val="single" w:sz="8" w:color="auto"/>
            </w:tcBorders>
          </w:tcPr>
          <w:p>
            <w:pPr>
              <w:jc w:val="right"/>
              <w:spacing w:after="0" w:line="136" w:lineRule="exact"/>
              <w:rPr>
                <w:sz w:val="20"/>
                <w:szCs w:val="20"/>
                <w:color w:val="auto"/>
              </w:rPr>
            </w:pPr>
            <w:r>
              <w:rPr>
                <w:rFonts w:ascii="Arial" w:cs="Arial" w:eastAsia="Arial" w:hAnsi="Arial"/>
                <w:sz w:val="12"/>
                <w:szCs w:val="12"/>
                <w:color w:val="auto"/>
              </w:rPr>
              <w:t>8,762</w:t>
            </w:r>
          </w:p>
        </w:tc>
        <w:tc>
          <w:tcPr>
            <w:tcW w:w="220" w:type="dxa"/>
            <w:vAlign w:val="bottom"/>
          </w:tcPr>
          <w:p>
            <w:pPr>
              <w:spacing w:after="0"/>
              <w:rPr>
                <w:sz w:val="11"/>
                <w:szCs w:val="11"/>
                <w:color w:val="auto"/>
              </w:rPr>
            </w:pPr>
          </w:p>
        </w:tc>
        <w:tc>
          <w:tcPr>
            <w:tcW w:w="620" w:type="dxa"/>
            <w:vAlign w:val="bottom"/>
            <w:tcBorders>
              <w:top w:val="single" w:sz="8" w:color="auto"/>
              <w:bottom w:val="single" w:sz="8" w:color="auto"/>
            </w:tcBorders>
          </w:tcPr>
          <w:p>
            <w:pPr>
              <w:jc w:val="right"/>
              <w:spacing w:after="0" w:line="136" w:lineRule="exact"/>
              <w:rPr>
                <w:sz w:val="20"/>
                <w:szCs w:val="20"/>
                <w:color w:val="auto"/>
              </w:rPr>
            </w:pPr>
            <w:r>
              <w:rPr>
                <w:rFonts w:ascii="Arial" w:cs="Arial" w:eastAsia="Arial" w:hAnsi="Arial"/>
                <w:sz w:val="12"/>
                <w:szCs w:val="12"/>
                <w:color w:val="auto"/>
              </w:rPr>
              <w:t>3,488</w:t>
            </w:r>
          </w:p>
        </w:tc>
        <w:tc>
          <w:tcPr>
            <w:tcW w:w="240" w:type="dxa"/>
            <w:vAlign w:val="bottom"/>
          </w:tcPr>
          <w:p>
            <w:pPr>
              <w:spacing w:after="0"/>
              <w:rPr>
                <w:sz w:val="11"/>
                <w:szCs w:val="11"/>
                <w:color w:val="auto"/>
              </w:rPr>
            </w:pPr>
          </w:p>
        </w:tc>
        <w:tc>
          <w:tcPr>
            <w:tcW w:w="580" w:type="dxa"/>
            <w:vAlign w:val="bottom"/>
            <w:tcBorders>
              <w:top w:val="single" w:sz="8" w:color="auto"/>
              <w:bottom w:val="single" w:sz="8" w:color="auto"/>
            </w:tcBorders>
          </w:tcPr>
          <w:p>
            <w:pPr>
              <w:jc w:val="right"/>
              <w:spacing w:after="0" w:line="136" w:lineRule="exact"/>
              <w:rPr>
                <w:sz w:val="20"/>
                <w:szCs w:val="20"/>
                <w:color w:val="auto"/>
              </w:rPr>
            </w:pPr>
            <w:r>
              <w:rPr>
                <w:rFonts w:ascii="Arial" w:cs="Arial" w:eastAsia="Arial" w:hAnsi="Arial"/>
                <w:sz w:val="12"/>
                <w:szCs w:val="12"/>
                <w:color w:val="auto"/>
              </w:rPr>
              <w:t>148,219</w:t>
            </w:r>
          </w:p>
        </w:tc>
        <w:tc>
          <w:tcPr>
            <w:tcW w:w="200" w:type="dxa"/>
            <w:vAlign w:val="bottom"/>
          </w:tcPr>
          <w:p>
            <w:pPr>
              <w:spacing w:after="0"/>
              <w:rPr>
                <w:sz w:val="11"/>
                <w:szCs w:val="11"/>
                <w:color w:val="auto"/>
              </w:rPr>
            </w:pPr>
          </w:p>
        </w:tc>
        <w:tc>
          <w:tcPr>
            <w:tcW w:w="560" w:type="dxa"/>
            <w:vAlign w:val="bottom"/>
            <w:tcBorders>
              <w:top w:val="single" w:sz="8" w:color="auto"/>
              <w:bottom w:val="single" w:sz="8" w:color="auto"/>
            </w:tcBorders>
          </w:tcPr>
          <w:p>
            <w:pPr>
              <w:jc w:val="right"/>
              <w:spacing w:after="0" w:line="136" w:lineRule="exact"/>
              <w:rPr>
                <w:sz w:val="20"/>
                <w:szCs w:val="20"/>
                <w:color w:val="auto"/>
              </w:rPr>
            </w:pPr>
            <w:r>
              <w:rPr>
                <w:rFonts w:ascii="Arial" w:cs="Arial" w:eastAsia="Arial" w:hAnsi="Arial"/>
                <w:sz w:val="12"/>
                <w:szCs w:val="12"/>
                <w:color w:val="auto"/>
              </w:rPr>
              <w:t>16,759</w:t>
            </w:r>
          </w:p>
        </w:tc>
        <w:tc>
          <w:tcPr>
            <w:tcW w:w="220" w:type="dxa"/>
            <w:vAlign w:val="bottom"/>
          </w:tcPr>
          <w:p>
            <w:pPr>
              <w:spacing w:after="0"/>
              <w:rPr>
                <w:sz w:val="11"/>
                <w:szCs w:val="11"/>
                <w:color w:val="auto"/>
              </w:rPr>
            </w:pPr>
          </w:p>
        </w:tc>
        <w:tc>
          <w:tcPr>
            <w:tcW w:w="580" w:type="dxa"/>
            <w:vAlign w:val="bottom"/>
            <w:tcBorders>
              <w:top w:val="single" w:sz="8" w:color="auto"/>
              <w:bottom w:val="single" w:sz="8" w:color="auto"/>
            </w:tcBorders>
          </w:tcPr>
          <w:p>
            <w:pPr>
              <w:jc w:val="right"/>
              <w:spacing w:after="0" w:line="136" w:lineRule="exact"/>
              <w:rPr>
                <w:sz w:val="20"/>
                <w:szCs w:val="20"/>
                <w:color w:val="auto"/>
              </w:rPr>
            </w:pPr>
            <w:r>
              <w:rPr>
                <w:rFonts w:ascii="Arial" w:cs="Arial" w:eastAsia="Arial" w:hAnsi="Arial"/>
                <w:sz w:val="12"/>
                <w:szCs w:val="12"/>
                <w:color w:val="auto"/>
              </w:rPr>
              <w:t>8,559</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Borders>
              <w:top w:val="single" w:sz="8" w:color="auto"/>
              <w:bottom w:val="single" w:sz="8" w:color="auto"/>
            </w:tcBorders>
          </w:tcPr>
          <w:p>
            <w:pPr>
              <w:jc w:val="right"/>
              <w:spacing w:after="0" w:line="136" w:lineRule="exact"/>
              <w:rPr>
                <w:sz w:val="20"/>
                <w:szCs w:val="20"/>
                <w:color w:val="auto"/>
              </w:rPr>
            </w:pPr>
            <w:r>
              <w:rPr>
                <w:rFonts w:ascii="Arial" w:cs="Arial" w:eastAsia="Arial" w:hAnsi="Arial"/>
                <w:sz w:val="12"/>
                <w:szCs w:val="12"/>
                <w:color w:val="auto"/>
              </w:rPr>
              <w:t>3,512</w:t>
            </w:r>
          </w:p>
        </w:tc>
        <w:tc>
          <w:tcPr>
            <w:tcW w:w="220" w:type="dxa"/>
            <w:vAlign w:val="bottom"/>
          </w:tcPr>
          <w:p>
            <w:pPr>
              <w:spacing w:after="0"/>
              <w:rPr>
                <w:sz w:val="11"/>
                <w:szCs w:val="11"/>
                <w:color w:val="auto"/>
              </w:rPr>
            </w:pPr>
          </w:p>
        </w:tc>
        <w:tc>
          <w:tcPr>
            <w:tcW w:w="540" w:type="dxa"/>
            <w:vAlign w:val="bottom"/>
            <w:tcBorders>
              <w:top w:val="single" w:sz="8" w:color="auto"/>
              <w:bottom w:val="single" w:sz="8" w:color="auto"/>
            </w:tcBorders>
          </w:tcPr>
          <w:p>
            <w:pPr>
              <w:jc w:val="right"/>
              <w:spacing w:after="0" w:line="136" w:lineRule="exact"/>
              <w:rPr>
                <w:sz w:val="20"/>
                <w:szCs w:val="20"/>
                <w:color w:val="auto"/>
              </w:rPr>
            </w:pPr>
            <w:r>
              <w:rPr>
                <w:rFonts w:ascii="Arial" w:cs="Arial" w:eastAsia="Arial" w:hAnsi="Arial"/>
                <w:sz w:val="12"/>
                <w:szCs w:val="12"/>
                <w:color w:val="auto"/>
              </w:rPr>
              <w:t>136,319</w:t>
            </w:r>
          </w:p>
        </w:tc>
        <w:tc>
          <w:tcPr>
            <w:tcW w:w="220" w:type="dxa"/>
            <w:vAlign w:val="bottom"/>
          </w:tcPr>
          <w:p>
            <w:pPr>
              <w:spacing w:after="0"/>
              <w:rPr>
                <w:sz w:val="11"/>
                <w:szCs w:val="11"/>
                <w:color w:val="auto"/>
              </w:rPr>
            </w:pPr>
          </w:p>
        </w:tc>
        <w:tc>
          <w:tcPr>
            <w:tcW w:w="560" w:type="dxa"/>
            <w:vAlign w:val="bottom"/>
            <w:tcBorders>
              <w:top w:val="single" w:sz="8" w:color="auto"/>
              <w:bottom w:val="single" w:sz="8" w:color="auto"/>
            </w:tcBorders>
          </w:tcPr>
          <w:p>
            <w:pPr>
              <w:jc w:val="right"/>
              <w:spacing w:after="0" w:line="136" w:lineRule="exact"/>
              <w:rPr>
                <w:sz w:val="20"/>
                <w:szCs w:val="20"/>
                <w:color w:val="auto"/>
              </w:rPr>
            </w:pPr>
            <w:r>
              <w:rPr>
                <w:rFonts w:ascii="Arial" w:cs="Arial" w:eastAsia="Arial" w:hAnsi="Arial"/>
                <w:sz w:val="12"/>
                <w:szCs w:val="12"/>
                <w:color w:val="auto"/>
              </w:rPr>
              <w:t>15,765</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Borders>
              <w:top w:val="single" w:sz="8" w:color="auto"/>
              <w:bottom w:val="single" w:sz="8" w:color="auto"/>
            </w:tcBorders>
          </w:tcPr>
          <w:p>
            <w:pPr>
              <w:jc w:val="right"/>
              <w:spacing w:after="0" w:line="136" w:lineRule="exact"/>
              <w:rPr>
                <w:sz w:val="20"/>
                <w:szCs w:val="20"/>
                <w:color w:val="auto"/>
              </w:rPr>
            </w:pPr>
            <w:r>
              <w:rPr>
                <w:rFonts w:ascii="Arial" w:cs="Arial" w:eastAsia="Arial" w:hAnsi="Arial"/>
                <w:sz w:val="12"/>
                <w:szCs w:val="12"/>
                <w:color w:val="auto"/>
              </w:rPr>
              <w:t>7,959</w:t>
            </w:r>
          </w:p>
        </w:tc>
        <w:tc>
          <w:tcPr>
            <w:tcW w:w="200" w:type="dxa"/>
            <w:vAlign w:val="bottom"/>
          </w:tcPr>
          <w:p>
            <w:pPr>
              <w:spacing w:after="0"/>
              <w:rPr>
                <w:sz w:val="11"/>
                <w:szCs w:val="11"/>
                <w:color w:val="auto"/>
              </w:rPr>
            </w:pPr>
          </w:p>
        </w:tc>
        <w:tc>
          <w:tcPr>
            <w:tcW w:w="600" w:type="dxa"/>
            <w:vAlign w:val="bottom"/>
            <w:tcBorders>
              <w:top w:val="single" w:sz="8" w:color="auto"/>
              <w:bottom w:val="single" w:sz="8" w:color="auto"/>
            </w:tcBorders>
          </w:tcPr>
          <w:p>
            <w:pPr>
              <w:jc w:val="right"/>
              <w:spacing w:after="0" w:line="136" w:lineRule="exact"/>
              <w:rPr>
                <w:sz w:val="20"/>
                <w:szCs w:val="20"/>
                <w:color w:val="auto"/>
              </w:rPr>
            </w:pPr>
            <w:r>
              <w:rPr>
                <w:rFonts w:ascii="Arial" w:cs="Arial" w:eastAsia="Arial" w:hAnsi="Arial"/>
                <w:sz w:val="12"/>
                <w:szCs w:val="12"/>
                <w:color w:val="auto"/>
              </w:rPr>
              <w:t>3,572</w:t>
            </w:r>
          </w:p>
        </w:tc>
        <w:tc>
          <w:tcPr>
            <w:tcW w:w="200" w:type="dxa"/>
            <w:vAlign w:val="bottom"/>
          </w:tcPr>
          <w:p>
            <w:pPr>
              <w:spacing w:after="0"/>
              <w:rPr>
                <w:sz w:val="11"/>
                <w:szCs w:val="11"/>
                <w:color w:val="auto"/>
              </w:rPr>
            </w:pPr>
          </w:p>
        </w:tc>
        <w:tc>
          <w:tcPr>
            <w:tcW w:w="560" w:type="dxa"/>
            <w:vAlign w:val="bottom"/>
            <w:tcBorders>
              <w:top w:val="single" w:sz="8" w:color="auto"/>
              <w:bottom w:val="single" w:sz="8" w:color="auto"/>
            </w:tcBorders>
          </w:tcPr>
          <w:p>
            <w:pPr>
              <w:jc w:val="right"/>
              <w:spacing w:after="0" w:line="136" w:lineRule="exact"/>
              <w:rPr>
                <w:sz w:val="20"/>
                <w:szCs w:val="20"/>
                <w:color w:val="auto"/>
              </w:rPr>
            </w:pPr>
            <w:r>
              <w:rPr>
                <w:rFonts w:ascii="Arial" w:cs="Arial" w:eastAsia="Arial" w:hAnsi="Arial"/>
                <w:sz w:val="12"/>
                <w:szCs w:val="12"/>
                <w:color w:val="auto"/>
              </w:rPr>
              <w:t>138,753</w:t>
            </w:r>
          </w:p>
        </w:tc>
        <w:tc>
          <w:tcPr>
            <w:tcW w:w="2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r>
      <w:tr>
        <w:trPr>
          <w:trHeight w:val="20"/>
        </w:trPr>
        <w:tc>
          <w:tcPr>
            <w:tcW w:w="19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5" w:lineRule="exact"/>
        <w:rPr>
          <w:sz w:val="20"/>
          <w:szCs w:val="20"/>
          <w:color w:val="auto"/>
        </w:rPr>
      </w:pPr>
    </w:p>
    <w:p>
      <w:pPr>
        <w:ind w:left="520" w:hanging="516"/>
        <w:spacing w:after="0"/>
        <w:tabs>
          <w:tab w:leader="none" w:pos="520" w:val="left"/>
        </w:tabs>
        <w:numPr>
          <w:ilvl w:val="0"/>
          <w:numId w:val="125"/>
        </w:numPr>
        <w:rPr>
          <w:rFonts w:ascii="Arial" w:cs="Arial" w:eastAsia="Arial" w:hAnsi="Arial"/>
          <w:sz w:val="17"/>
          <w:szCs w:val="17"/>
          <w:color w:val="auto"/>
        </w:rPr>
      </w:pPr>
      <w:r>
        <w:rPr>
          <w:rFonts w:ascii="Arial" w:cs="Arial" w:eastAsia="Arial" w:hAnsi="Arial"/>
          <w:sz w:val="17"/>
          <w:szCs w:val="17"/>
          <w:color w:val="auto"/>
        </w:rPr>
        <w:t>Including total interest and similar income, other income and net premiums earned from insurance activities.</w:t>
      </w:r>
    </w:p>
    <w:p>
      <w:pPr>
        <w:spacing w:after="0" w:line="25" w:lineRule="exact"/>
        <w:rPr>
          <w:sz w:val="20"/>
          <w:szCs w:val="20"/>
          <w:color w:val="auto"/>
        </w:rPr>
      </w:pPr>
    </w:p>
    <w:p>
      <w:pPr>
        <w:ind w:left="520" w:hanging="516"/>
        <w:spacing w:after="0"/>
        <w:tabs>
          <w:tab w:leader="none" w:pos="520" w:val="left"/>
        </w:tabs>
        <w:numPr>
          <w:ilvl w:val="0"/>
          <w:numId w:val="126"/>
        </w:numPr>
        <w:rPr>
          <w:rFonts w:ascii="Arial" w:cs="Arial" w:eastAsia="Arial" w:hAnsi="Arial"/>
          <w:sz w:val="17"/>
          <w:szCs w:val="17"/>
          <w:color w:val="auto"/>
        </w:rPr>
      </w:pPr>
      <w:r>
        <w:rPr>
          <w:rFonts w:ascii="Arial" w:cs="Arial" w:eastAsia="Arial" w:hAnsi="Arial"/>
          <w:sz w:val="17"/>
          <w:szCs w:val="17"/>
          <w:color w:val="auto"/>
        </w:rPr>
        <w:t>Operating income includes the net interest income from banking activities and the amount of the net premiums earned, less insurance claims.</w:t>
      </w:r>
    </w:p>
    <w:p>
      <w:pPr>
        <w:spacing w:after="0" w:line="12" w:lineRule="exact"/>
        <w:rPr>
          <w:sz w:val="20"/>
          <w:szCs w:val="20"/>
          <w:color w:val="auto"/>
        </w:rPr>
      </w:pPr>
    </w:p>
    <w:p>
      <w:pPr>
        <w:ind w:left="520" w:hanging="516"/>
        <w:spacing w:after="0"/>
        <w:tabs>
          <w:tab w:leader="none" w:pos="520" w:val="left"/>
        </w:tabs>
        <w:numPr>
          <w:ilvl w:val="0"/>
          <w:numId w:val="127"/>
        </w:numPr>
        <w:rPr>
          <w:rFonts w:ascii="Arial" w:cs="Arial" w:eastAsia="Arial" w:hAnsi="Arial"/>
          <w:sz w:val="17"/>
          <w:szCs w:val="17"/>
          <w:color w:val="auto"/>
        </w:rPr>
      </w:pPr>
      <w:r>
        <w:rPr>
          <w:rFonts w:ascii="Arial" w:cs="Arial" w:eastAsia="Arial" w:hAnsi="Arial"/>
          <w:sz w:val="17"/>
          <w:szCs w:val="17"/>
          <w:color w:val="auto"/>
        </w:rPr>
        <w:t>Non-current assets consist of property, furniture and equipment, intangible assets, and goodwill, net.</w:t>
      </w:r>
    </w:p>
    <w:p>
      <w:pPr>
        <w:spacing w:after="0" w:line="200" w:lineRule="exact"/>
        <w:rPr>
          <w:rFonts w:ascii="Arial" w:cs="Arial" w:eastAsia="Arial" w:hAnsi="Arial"/>
          <w:sz w:val="17"/>
          <w:szCs w:val="17"/>
          <w:color w:val="auto"/>
        </w:rPr>
      </w:pPr>
    </w:p>
    <w:p>
      <w:pPr>
        <w:spacing w:after="0" w:line="215" w:lineRule="exact"/>
        <w:rPr>
          <w:rFonts w:ascii="Arial" w:cs="Arial" w:eastAsia="Arial" w:hAnsi="Arial"/>
          <w:sz w:val="17"/>
          <w:szCs w:val="17"/>
          <w:color w:val="auto"/>
        </w:rPr>
      </w:pPr>
    </w:p>
    <w:p>
      <w:pPr>
        <w:ind w:left="5600" w:hanging="110"/>
        <w:spacing w:after="0"/>
        <w:tabs>
          <w:tab w:leader="none" w:pos="5600" w:val="left"/>
        </w:tabs>
        <w:numPr>
          <w:ilvl w:val="1"/>
          <w:numId w:val="127"/>
        </w:numPr>
        <w:rPr>
          <w:rFonts w:ascii="Arial" w:cs="Arial" w:eastAsia="Arial" w:hAnsi="Arial"/>
          <w:sz w:val="17"/>
          <w:szCs w:val="17"/>
          <w:color w:val="auto"/>
        </w:rPr>
      </w:pPr>
      <w:r>
        <w:rPr>
          <w:rFonts w:ascii="Arial" w:cs="Arial" w:eastAsia="Arial" w:hAnsi="Arial"/>
          <w:sz w:val="17"/>
          <w:szCs w:val="17"/>
          <w:color w:val="auto"/>
        </w:rPr>
        <w:t>106 -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15875</wp:posOffset>
            </wp:positionV>
            <wp:extent cx="725170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51700" cy="8255"/>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112" w:name="page113"/>
    <w:bookmarkEnd w:id="112"/>
    <w:p>
      <w:pPr>
        <w:spacing w:after="0"/>
        <w:tabs>
          <w:tab w:leader="none" w:pos="300" w:val="left"/>
        </w:tabs>
        <w:rPr>
          <w:sz w:val="20"/>
          <w:szCs w:val="20"/>
          <w:color w:val="auto"/>
        </w:rPr>
      </w:pPr>
      <w:r>
        <w:rPr>
          <w:rFonts w:ascii="Arial" w:cs="Arial" w:eastAsia="Arial" w:hAnsi="Arial"/>
          <w:sz w:val="17"/>
          <w:szCs w:val="17"/>
          <w:b w:val="1"/>
          <w:bCs w:val="1"/>
          <w:color w:val="auto"/>
        </w:rPr>
        <w:t>30</w:t>
        <w:tab/>
        <w:t>TRANSACTIONS WITH RELATED PARTIES</w:t>
      </w:r>
    </w:p>
    <w:p>
      <w:pPr>
        <w:spacing w:after="0" w:line="226" w:lineRule="exact"/>
        <w:rPr>
          <w:sz w:val="20"/>
          <w:szCs w:val="20"/>
          <w:color w:val="auto"/>
        </w:rPr>
      </w:pPr>
    </w:p>
    <w:p>
      <w:pPr>
        <w:ind w:left="320" w:right="20" w:hanging="316"/>
        <w:spacing w:after="0" w:line="270" w:lineRule="auto"/>
        <w:tabs>
          <w:tab w:leader="none" w:pos="320" w:val="left"/>
        </w:tabs>
        <w:numPr>
          <w:ilvl w:val="0"/>
          <w:numId w:val="128"/>
        </w:numPr>
        <w:rPr>
          <w:rFonts w:ascii="Arial" w:cs="Arial" w:eastAsia="Arial" w:hAnsi="Arial"/>
          <w:sz w:val="17"/>
          <w:szCs w:val="17"/>
          <w:color w:val="auto"/>
        </w:rPr>
      </w:pPr>
      <w:r>
        <w:rPr>
          <w:rFonts w:ascii="Arial" w:cs="Arial" w:eastAsia="Arial" w:hAnsi="Arial"/>
          <w:sz w:val="17"/>
          <w:szCs w:val="17"/>
          <w:color w:val="auto"/>
        </w:rPr>
        <w:t>The Group’s consolidated financial statements at December 31, 2017 and 2016 include transactions with related companies, the Board of Directors, the Group’s key executives (defined as the Management of Credicorp) and the companies which are controlled by these individuals through their majority shareholding or their role as Chairman or CEO.</w:t>
      </w:r>
    </w:p>
    <w:p>
      <w:pPr>
        <w:spacing w:after="0" w:line="171" w:lineRule="exact"/>
        <w:rPr>
          <w:rFonts w:ascii="Arial" w:cs="Arial" w:eastAsia="Arial" w:hAnsi="Arial"/>
          <w:sz w:val="17"/>
          <w:szCs w:val="17"/>
          <w:color w:val="auto"/>
        </w:rPr>
      </w:pPr>
    </w:p>
    <w:p>
      <w:pPr>
        <w:ind w:left="320" w:hanging="316"/>
        <w:spacing w:after="0"/>
        <w:tabs>
          <w:tab w:leader="none" w:pos="320" w:val="left"/>
        </w:tabs>
        <w:numPr>
          <w:ilvl w:val="0"/>
          <w:numId w:val="128"/>
        </w:numPr>
        <w:rPr>
          <w:rFonts w:ascii="Arial" w:cs="Arial" w:eastAsia="Arial" w:hAnsi="Arial"/>
          <w:sz w:val="17"/>
          <w:szCs w:val="17"/>
          <w:color w:val="auto"/>
        </w:rPr>
      </w:pPr>
      <w:r>
        <w:rPr>
          <w:rFonts w:ascii="Arial" w:cs="Arial" w:eastAsia="Arial" w:hAnsi="Arial"/>
          <w:sz w:val="17"/>
          <w:szCs w:val="17"/>
          <w:color w:val="auto"/>
        </w:rPr>
        <w:t>The table below shows the main transactions with related parties as of December 31, 2017 and 2016:</w:t>
      </w:r>
    </w:p>
    <w:p>
      <w:pPr>
        <w:spacing w:after="0" w:line="227" w:lineRule="exact"/>
        <w:rPr>
          <w:sz w:val="20"/>
          <w:szCs w:val="20"/>
          <w:color w:val="auto"/>
        </w:rPr>
      </w:pPr>
    </w:p>
    <w:tbl>
      <w:tblPr>
        <w:tblLayout w:type="fixed"/>
        <w:tblInd w:w="320" w:type="dxa"/>
        <w:tblCellMar>
          <w:top w:w="0" w:type="dxa"/>
          <w:left w:w="0" w:type="dxa"/>
          <w:bottom w:w="0" w:type="dxa"/>
          <w:right w:w="0" w:type="dxa"/>
        </w:tblCellMar>
      </w:tblPr>
      <w:tr>
        <w:trPr>
          <w:trHeight w:val="226"/>
        </w:trPr>
        <w:tc>
          <w:tcPr>
            <w:tcW w:w="7720" w:type="dxa"/>
            <w:vAlign w:val="bottom"/>
          </w:tcPr>
          <w:p>
            <w:pPr>
              <w:spacing w:after="0"/>
              <w:rPr>
                <w:sz w:val="19"/>
                <w:szCs w:val="19"/>
                <w:color w:val="auto"/>
              </w:rPr>
            </w:pPr>
          </w:p>
        </w:tc>
        <w:tc>
          <w:tcPr>
            <w:tcW w:w="1140" w:type="dxa"/>
            <w:vAlign w:val="bottom"/>
            <w:tcBorders>
              <w:bottom w:val="single" w:sz="8" w:color="auto"/>
            </w:tcBorders>
          </w:tcPr>
          <w:p>
            <w:pPr>
              <w:jc w:val="right"/>
              <w:ind w:right="313"/>
              <w:spacing w:after="0"/>
              <w:rPr>
                <w:sz w:val="20"/>
                <w:szCs w:val="20"/>
                <w:color w:val="auto"/>
              </w:rPr>
            </w:pPr>
            <w:r>
              <w:rPr>
                <w:rFonts w:ascii="Arial" w:cs="Arial" w:eastAsia="Arial" w:hAnsi="Arial"/>
                <w:sz w:val="17"/>
                <w:szCs w:val="17"/>
                <w:b w:val="1"/>
                <w:bCs w:val="1"/>
                <w:color w:val="auto"/>
              </w:rPr>
              <w:t>2017</w:t>
            </w:r>
          </w:p>
        </w:tc>
        <w:tc>
          <w:tcPr>
            <w:tcW w:w="200" w:type="dxa"/>
            <w:vAlign w:val="bottom"/>
          </w:tcPr>
          <w:p>
            <w:pPr>
              <w:spacing w:after="0"/>
              <w:rPr>
                <w:sz w:val="19"/>
                <w:szCs w:val="19"/>
                <w:color w:val="auto"/>
              </w:rPr>
            </w:pPr>
          </w:p>
        </w:tc>
        <w:tc>
          <w:tcPr>
            <w:tcW w:w="1120" w:type="dxa"/>
            <w:vAlign w:val="bottom"/>
            <w:tcBorders>
              <w:bottom w:val="single" w:sz="8" w:color="auto"/>
            </w:tcBorders>
          </w:tcPr>
          <w:p>
            <w:pPr>
              <w:jc w:val="right"/>
              <w:ind w:right="293"/>
              <w:spacing w:after="0"/>
              <w:rPr>
                <w:sz w:val="20"/>
                <w:szCs w:val="20"/>
                <w:color w:val="auto"/>
              </w:rPr>
            </w:pPr>
            <w:r>
              <w:rPr>
                <w:rFonts w:ascii="Arial" w:cs="Arial" w:eastAsia="Arial" w:hAnsi="Arial"/>
                <w:sz w:val="17"/>
                <w:szCs w:val="17"/>
                <w:b w:val="1"/>
                <w:bCs w:val="1"/>
                <w:color w:val="auto"/>
              </w:rPr>
              <w:t>2016</w:t>
            </w:r>
          </w:p>
        </w:tc>
        <w:tc>
          <w:tcPr>
            <w:tcW w:w="100" w:type="dxa"/>
            <w:vAlign w:val="bottom"/>
          </w:tcPr>
          <w:p>
            <w:pPr>
              <w:spacing w:after="0"/>
              <w:rPr>
                <w:sz w:val="19"/>
                <w:szCs w:val="19"/>
                <w:color w:val="auto"/>
              </w:rPr>
            </w:pPr>
          </w:p>
        </w:tc>
      </w:tr>
      <w:tr>
        <w:trPr>
          <w:trHeight w:val="219"/>
        </w:trPr>
        <w:tc>
          <w:tcPr>
            <w:tcW w:w="7720" w:type="dxa"/>
            <w:vAlign w:val="bottom"/>
          </w:tcPr>
          <w:p>
            <w:pPr>
              <w:spacing w:after="0"/>
              <w:rPr>
                <w:sz w:val="19"/>
                <w:szCs w:val="19"/>
                <w:color w:val="auto"/>
              </w:rPr>
            </w:pPr>
          </w:p>
        </w:tc>
        <w:tc>
          <w:tcPr>
            <w:tcW w:w="1140" w:type="dxa"/>
            <w:vAlign w:val="bottom"/>
          </w:tcPr>
          <w:p>
            <w:pPr>
              <w:jc w:val="center"/>
              <w:spacing w:after="0"/>
              <w:rPr>
                <w:sz w:val="20"/>
                <w:szCs w:val="20"/>
                <w:color w:val="auto"/>
              </w:rPr>
            </w:pPr>
            <w:r>
              <w:rPr>
                <w:rFonts w:ascii="Arial" w:cs="Arial" w:eastAsia="Arial" w:hAnsi="Arial"/>
                <w:sz w:val="17"/>
                <w:szCs w:val="17"/>
                <w:b w:val="1"/>
                <w:bCs w:val="1"/>
                <w:color w:val="auto"/>
                <w:w w:val="89"/>
              </w:rPr>
              <w:t>S/000</w:t>
            </w:r>
          </w:p>
        </w:tc>
        <w:tc>
          <w:tcPr>
            <w:tcW w:w="200" w:type="dxa"/>
            <w:vAlign w:val="bottom"/>
          </w:tcPr>
          <w:p>
            <w:pPr>
              <w:spacing w:after="0"/>
              <w:rPr>
                <w:sz w:val="19"/>
                <w:szCs w:val="19"/>
                <w:color w:val="auto"/>
              </w:rPr>
            </w:pPr>
          </w:p>
        </w:tc>
        <w:tc>
          <w:tcPr>
            <w:tcW w:w="1120" w:type="dxa"/>
            <w:vAlign w:val="bottom"/>
          </w:tcPr>
          <w:p>
            <w:pPr>
              <w:jc w:val="center"/>
              <w:spacing w:after="0"/>
              <w:rPr>
                <w:sz w:val="20"/>
                <w:szCs w:val="20"/>
                <w:color w:val="auto"/>
              </w:rPr>
            </w:pPr>
            <w:r>
              <w:rPr>
                <w:rFonts w:ascii="Arial" w:cs="Arial" w:eastAsia="Arial" w:hAnsi="Arial"/>
                <w:sz w:val="17"/>
                <w:szCs w:val="17"/>
                <w:b w:val="1"/>
                <w:bCs w:val="1"/>
                <w:color w:val="auto"/>
                <w:w w:val="89"/>
              </w:rPr>
              <w:t>S/000</w:t>
            </w:r>
          </w:p>
        </w:tc>
        <w:tc>
          <w:tcPr>
            <w:tcW w:w="100" w:type="dxa"/>
            <w:vAlign w:val="bottom"/>
          </w:tcPr>
          <w:p>
            <w:pPr>
              <w:spacing w:after="0"/>
              <w:rPr>
                <w:sz w:val="19"/>
                <w:szCs w:val="19"/>
                <w:color w:val="auto"/>
              </w:rPr>
            </w:pPr>
          </w:p>
        </w:tc>
      </w:tr>
      <w:tr>
        <w:trPr>
          <w:trHeight w:val="189"/>
        </w:trPr>
        <w:tc>
          <w:tcPr>
            <w:tcW w:w="77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08"/>
        </w:trPr>
        <w:tc>
          <w:tcPr>
            <w:tcW w:w="772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Statement of financial situation -</w:t>
            </w: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8"/>
        </w:trPr>
        <w:tc>
          <w:tcPr>
            <w:tcW w:w="7720" w:type="dxa"/>
            <w:vAlign w:val="bottom"/>
          </w:tcPr>
          <w:p>
            <w:pPr>
              <w:spacing w:after="0"/>
              <w:rPr>
                <w:sz w:val="20"/>
                <w:szCs w:val="20"/>
                <w:color w:val="auto"/>
              </w:rPr>
            </w:pPr>
            <w:r>
              <w:rPr>
                <w:rFonts w:ascii="Arial" w:cs="Arial" w:eastAsia="Arial" w:hAnsi="Arial"/>
                <w:sz w:val="17"/>
                <w:szCs w:val="17"/>
                <w:color w:val="auto"/>
              </w:rPr>
              <w:t>Direct loans</w:t>
            </w:r>
          </w:p>
        </w:tc>
        <w:tc>
          <w:tcPr>
            <w:tcW w:w="1140" w:type="dxa"/>
            <w:vAlign w:val="bottom"/>
          </w:tcPr>
          <w:p>
            <w:pPr>
              <w:jc w:val="right"/>
              <w:spacing w:after="0"/>
              <w:rPr>
                <w:sz w:val="20"/>
                <w:szCs w:val="20"/>
                <w:color w:val="auto"/>
              </w:rPr>
            </w:pPr>
            <w:r>
              <w:rPr>
                <w:rFonts w:ascii="Arial" w:cs="Arial" w:eastAsia="Arial" w:hAnsi="Arial"/>
                <w:sz w:val="17"/>
                <w:szCs w:val="17"/>
                <w:color w:val="auto"/>
              </w:rPr>
              <w:t>1,468,211</w:t>
            </w: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1,181,648</w:t>
            </w:r>
          </w:p>
        </w:tc>
        <w:tc>
          <w:tcPr>
            <w:tcW w:w="100" w:type="dxa"/>
            <w:vAlign w:val="bottom"/>
          </w:tcPr>
          <w:p>
            <w:pPr>
              <w:spacing w:after="0"/>
              <w:rPr>
                <w:sz w:val="18"/>
                <w:szCs w:val="18"/>
                <w:color w:val="auto"/>
              </w:rPr>
            </w:pPr>
          </w:p>
        </w:tc>
      </w:tr>
      <w:tr>
        <w:trPr>
          <w:trHeight w:val="208"/>
        </w:trPr>
        <w:tc>
          <w:tcPr>
            <w:tcW w:w="7720" w:type="dxa"/>
            <w:vAlign w:val="bottom"/>
            <w:shd w:val="clear" w:color="auto" w:fill="CCEEFF"/>
          </w:tcPr>
          <w:p>
            <w:pPr>
              <w:spacing w:after="0"/>
              <w:rPr>
                <w:sz w:val="20"/>
                <w:szCs w:val="20"/>
                <w:color w:val="auto"/>
              </w:rPr>
            </w:pPr>
            <w:r>
              <w:rPr>
                <w:rFonts w:ascii="Arial" w:cs="Arial" w:eastAsia="Arial" w:hAnsi="Arial"/>
                <w:sz w:val="17"/>
                <w:szCs w:val="17"/>
                <w:color w:val="auto"/>
              </w:rPr>
              <w:t>Available-for-sale investments and trading securities</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715,490</w:t>
            </w: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433,517</w:t>
            </w:r>
          </w:p>
        </w:tc>
        <w:tc>
          <w:tcPr>
            <w:tcW w:w="100" w:type="dxa"/>
            <w:vAlign w:val="bottom"/>
            <w:shd w:val="clear" w:color="auto" w:fill="CCEEFF"/>
          </w:tcPr>
          <w:p>
            <w:pPr>
              <w:spacing w:after="0"/>
              <w:rPr>
                <w:sz w:val="18"/>
                <w:szCs w:val="18"/>
                <w:color w:val="auto"/>
              </w:rPr>
            </w:pPr>
          </w:p>
        </w:tc>
      </w:tr>
      <w:tr>
        <w:trPr>
          <w:trHeight w:val="208"/>
        </w:trPr>
        <w:tc>
          <w:tcPr>
            <w:tcW w:w="7720" w:type="dxa"/>
            <w:vAlign w:val="bottom"/>
          </w:tcPr>
          <w:p>
            <w:pPr>
              <w:spacing w:after="0"/>
              <w:rPr>
                <w:sz w:val="20"/>
                <w:szCs w:val="20"/>
                <w:color w:val="auto"/>
              </w:rPr>
            </w:pPr>
            <w:r>
              <w:rPr>
                <w:rFonts w:ascii="Arial" w:cs="Arial" w:eastAsia="Arial" w:hAnsi="Arial"/>
                <w:sz w:val="17"/>
                <w:szCs w:val="17"/>
                <w:color w:val="auto"/>
              </w:rPr>
              <w:t>Deposits</w:t>
            </w:r>
          </w:p>
        </w:tc>
        <w:tc>
          <w:tcPr>
            <w:tcW w:w="1340" w:type="dxa"/>
            <w:vAlign w:val="bottom"/>
            <w:gridSpan w:val="2"/>
          </w:tcPr>
          <w:p>
            <w:pPr>
              <w:jc w:val="right"/>
              <w:ind w:right="140"/>
              <w:spacing w:after="0"/>
              <w:rPr>
                <w:sz w:val="20"/>
                <w:szCs w:val="20"/>
                <w:color w:val="auto"/>
              </w:rPr>
            </w:pPr>
            <w:r>
              <w:rPr>
                <w:rFonts w:ascii="Arial" w:cs="Arial" w:eastAsia="Arial" w:hAnsi="Arial"/>
                <w:sz w:val="17"/>
                <w:szCs w:val="17"/>
                <w:color w:val="auto"/>
              </w:rPr>
              <w:t>(1,022,462)</w:t>
            </w:r>
          </w:p>
        </w:tc>
        <w:tc>
          <w:tcPr>
            <w:tcW w:w="1220" w:type="dxa"/>
            <w:vAlign w:val="bottom"/>
            <w:gridSpan w:val="2"/>
          </w:tcPr>
          <w:p>
            <w:pPr>
              <w:jc w:val="right"/>
              <w:ind w:right="40"/>
              <w:spacing w:after="0"/>
              <w:rPr>
                <w:sz w:val="20"/>
                <w:szCs w:val="20"/>
                <w:color w:val="auto"/>
              </w:rPr>
            </w:pPr>
            <w:r>
              <w:rPr>
                <w:rFonts w:ascii="Arial" w:cs="Arial" w:eastAsia="Arial" w:hAnsi="Arial"/>
                <w:sz w:val="17"/>
                <w:szCs w:val="17"/>
                <w:color w:val="auto"/>
              </w:rPr>
              <w:t>(264,564)</w:t>
            </w:r>
          </w:p>
        </w:tc>
      </w:tr>
      <w:tr>
        <w:trPr>
          <w:trHeight w:val="208"/>
        </w:trPr>
        <w:tc>
          <w:tcPr>
            <w:tcW w:w="7720" w:type="dxa"/>
            <w:vAlign w:val="bottom"/>
            <w:shd w:val="clear" w:color="auto" w:fill="CCEEFF"/>
          </w:tcPr>
          <w:p>
            <w:pPr>
              <w:spacing w:after="0"/>
              <w:rPr>
                <w:sz w:val="20"/>
                <w:szCs w:val="20"/>
                <w:color w:val="auto"/>
              </w:rPr>
            </w:pPr>
            <w:r>
              <w:rPr>
                <w:rFonts w:ascii="Arial" w:cs="Arial" w:eastAsia="Arial" w:hAnsi="Arial"/>
                <w:sz w:val="17"/>
                <w:szCs w:val="17"/>
                <w:color w:val="auto"/>
              </w:rPr>
              <w:t>Trading derivatives</w:t>
            </w: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(2,674)</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1,074</w:t>
            </w:r>
          </w:p>
        </w:tc>
        <w:tc>
          <w:tcPr>
            <w:tcW w:w="100" w:type="dxa"/>
            <w:vAlign w:val="bottom"/>
            <w:shd w:val="clear" w:color="auto" w:fill="CCEEFF"/>
          </w:tcPr>
          <w:p>
            <w:pPr>
              <w:spacing w:after="0"/>
              <w:rPr>
                <w:sz w:val="18"/>
                <w:szCs w:val="18"/>
                <w:color w:val="auto"/>
              </w:rPr>
            </w:pPr>
          </w:p>
        </w:tc>
      </w:tr>
      <w:tr>
        <w:trPr>
          <w:trHeight w:val="208"/>
        </w:trPr>
        <w:tc>
          <w:tcPr>
            <w:tcW w:w="77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8"/>
        </w:trPr>
        <w:tc>
          <w:tcPr>
            <w:tcW w:w="772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Statement of income</w:t>
            </w: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8"/>
        </w:trPr>
        <w:tc>
          <w:tcPr>
            <w:tcW w:w="7720" w:type="dxa"/>
            <w:vAlign w:val="bottom"/>
          </w:tcPr>
          <w:p>
            <w:pPr>
              <w:spacing w:after="0"/>
              <w:rPr>
                <w:sz w:val="20"/>
                <w:szCs w:val="20"/>
                <w:color w:val="auto"/>
              </w:rPr>
            </w:pPr>
            <w:r>
              <w:rPr>
                <w:rFonts w:ascii="Arial" w:cs="Arial" w:eastAsia="Arial" w:hAnsi="Arial"/>
                <w:sz w:val="17"/>
                <w:szCs w:val="17"/>
                <w:color w:val="auto"/>
              </w:rPr>
              <w:t>Interest income related to loans – income</w:t>
            </w:r>
          </w:p>
        </w:tc>
        <w:tc>
          <w:tcPr>
            <w:tcW w:w="1340" w:type="dxa"/>
            <w:vAlign w:val="bottom"/>
            <w:gridSpan w:val="2"/>
          </w:tcPr>
          <w:p>
            <w:pPr>
              <w:jc w:val="right"/>
              <w:ind w:right="200"/>
              <w:spacing w:after="0"/>
              <w:rPr>
                <w:sz w:val="20"/>
                <w:szCs w:val="20"/>
                <w:color w:val="auto"/>
              </w:rPr>
            </w:pPr>
            <w:r>
              <w:rPr>
                <w:rFonts w:ascii="Arial" w:cs="Arial" w:eastAsia="Arial" w:hAnsi="Arial"/>
                <w:sz w:val="17"/>
                <w:szCs w:val="17"/>
                <w:color w:val="auto"/>
              </w:rPr>
              <w:t>23,992</w:t>
            </w:r>
          </w:p>
        </w:tc>
        <w:tc>
          <w:tcPr>
            <w:tcW w:w="1220" w:type="dxa"/>
            <w:vAlign w:val="bottom"/>
            <w:gridSpan w:val="2"/>
          </w:tcPr>
          <w:p>
            <w:pPr>
              <w:jc w:val="right"/>
              <w:ind w:right="100"/>
              <w:spacing w:after="0"/>
              <w:rPr>
                <w:sz w:val="20"/>
                <w:szCs w:val="20"/>
                <w:color w:val="auto"/>
              </w:rPr>
            </w:pPr>
            <w:r>
              <w:rPr>
                <w:rFonts w:ascii="Arial" w:cs="Arial" w:eastAsia="Arial" w:hAnsi="Arial"/>
                <w:sz w:val="17"/>
                <w:szCs w:val="17"/>
                <w:color w:val="auto"/>
              </w:rPr>
              <w:t>28,872</w:t>
            </w:r>
          </w:p>
        </w:tc>
      </w:tr>
      <w:tr>
        <w:trPr>
          <w:trHeight w:val="208"/>
        </w:trPr>
        <w:tc>
          <w:tcPr>
            <w:tcW w:w="7720" w:type="dxa"/>
            <w:vAlign w:val="bottom"/>
            <w:shd w:val="clear" w:color="auto" w:fill="CCEEFF"/>
          </w:tcPr>
          <w:p>
            <w:pPr>
              <w:spacing w:after="0"/>
              <w:rPr>
                <w:sz w:val="20"/>
                <w:szCs w:val="20"/>
                <w:color w:val="auto"/>
              </w:rPr>
            </w:pPr>
            <w:r>
              <w:rPr>
                <w:rFonts w:ascii="Arial" w:cs="Arial" w:eastAsia="Arial" w:hAnsi="Arial"/>
                <w:sz w:val="17"/>
                <w:szCs w:val="17"/>
                <w:color w:val="auto"/>
              </w:rPr>
              <w:t>Interest expenses related to deposits – expense</w:t>
            </w: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(8,342)</w:t>
            </w: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(8,001)</w:t>
            </w:r>
          </w:p>
        </w:tc>
      </w:tr>
      <w:tr>
        <w:trPr>
          <w:trHeight w:val="208"/>
        </w:trPr>
        <w:tc>
          <w:tcPr>
            <w:tcW w:w="7720" w:type="dxa"/>
            <w:vAlign w:val="bottom"/>
          </w:tcPr>
          <w:p>
            <w:pPr>
              <w:spacing w:after="0"/>
              <w:rPr>
                <w:sz w:val="20"/>
                <w:szCs w:val="20"/>
                <w:color w:val="auto"/>
              </w:rPr>
            </w:pPr>
            <w:r>
              <w:rPr>
                <w:rFonts w:ascii="Arial" w:cs="Arial" w:eastAsia="Arial" w:hAnsi="Arial"/>
                <w:sz w:val="17"/>
                <w:szCs w:val="17"/>
                <w:color w:val="auto"/>
              </w:rPr>
              <w:t>Other income</w:t>
            </w:r>
          </w:p>
        </w:tc>
        <w:tc>
          <w:tcPr>
            <w:tcW w:w="1140" w:type="dxa"/>
            <w:vAlign w:val="bottom"/>
          </w:tcPr>
          <w:p>
            <w:pPr>
              <w:jc w:val="right"/>
              <w:spacing w:after="0"/>
              <w:rPr>
                <w:sz w:val="20"/>
                <w:szCs w:val="20"/>
                <w:color w:val="auto"/>
              </w:rPr>
            </w:pPr>
            <w:r>
              <w:rPr>
                <w:rFonts w:ascii="Arial" w:cs="Arial" w:eastAsia="Arial" w:hAnsi="Arial"/>
                <w:sz w:val="17"/>
                <w:szCs w:val="17"/>
                <w:color w:val="auto"/>
              </w:rPr>
              <w:t>7,247</w:t>
            </w: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9,098</w:t>
            </w:r>
          </w:p>
        </w:tc>
        <w:tc>
          <w:tcPr>
            <w:tcW w:w="100" w:type="dxa"/>
            <w:vAlign w:val="bottom"/>
          </w:tcPr>
          <w:p>
            <w:pPr>
              <w:spacing w:after="0"/>
              <w:rPr>
                <w:sz w:val="18"/>
                <w:szCs w:val="18"/>
                <w:color w:val="auto"/>
              </w:rPr>
            </w:pPr>
          </w:p>
        </w:tc>
      </w:tr>
      <w:tr>
        <w:trPr>
          <w:trHeight w:val="208"/>
        </w:trPr>
        <w:tc>
          <w:tcPr>
            <w:tcW w:w="77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8"/>
        </w:trPr>
        <w:tc>
          <w:tcPr>
            <w:tcW w:w="7720" w:type="dxa"/>
            <w:vAlign w:val="bottom"/>
          </w:tcPr>
          <w:p>
            <w:pPr>
              <w:spacing w:after="0"/>
              <w:rPr>
                <w:sz w:val="20"/>
                <w:szCs w:val="20"/>
                <w:color w:val="auto"/>
              </w:rPr>
            </w:pPr>
            <w:r>
              <w:rPr>
                <w:rFonts w:ascii="Arial" w:cs="Arial" w:eastAsia="Arial" w:hAnsi="Arial"/>
                <w:sz w:val="17"/>
                <w:szCs w:val="17"/>
                <w:b w:val="1"/>
                <w:bCs w:val="1"/>
                <w:color w:val="auto"/>
              </w:rPr>
              <w:t>Off balance sheet</w:t>
            </w: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8"/>
        </w:trPr>
        <w:tc>
          <w:tcPr>
            <w:tcW w:w="7720" w:type="dxa"/>
            <w:vAlign w:val="bottom"/>
            <w:shd w:val="clear" w:color="auto" w:fill="CCEEFF"/>
          </w:tcPr>
          <w:p>
            <w:pPr>
              <w:spacing w:after="0"/>
              <w:rPr>
                <w:sz w:val="20"/>
                <w:szCs w:val="20"/>
                <w:color w:val="auto"/>
              </w:rPr>
            </w:pPr>
            <w:r>
              <w:rPr>
                <w:rFonts w:ascii="Arial" w:cs="Arial" w:eastAsia="Arial" w:hAnsi="Arial"/>
                <w:sz w:val="17"/>
                <w:szCs w:val="17"/>
                <w:color w:val="auto"/>
              </w:rPr>
              <w:t>Contingent credits</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385,360</w:t>
            </w: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236,106</w:t>
            </w:r>
          </w:p>
        </w:tc>
        <w:tc>
          <w:tcPr>
            <w:tcW w:w="100" w:type="dxa"/>
            <w:vAlign w:val="bottom"/>
            <w:shd w:val="clear" w:color="auto" w:fill="CCEEFF"/>
          </w:tcPr>
          <w:p>
            <w:pPr>
              <w:spacing w:after="0"/>
              <w:rPr>
                <w:sz w:val="18"/>
                <w:szCs w:val="18"/>
                <w:color w:val="auto"/>
              </w:rPr>
            </w:pPr>
          </w:p>
        </w:tc>
      </w:tr>
    </w:tbl>
    <w:p>
      <w:pPr>
        <w:spacing w:after="0" w:line="195" w:lineRule="exact"/>
        <w:rPr>
          <w:sz w:val="20"/>
          <w:szCs w:val="20"/>
          <w:color w:val="auto"/>
        </w:rPr>
      </w:pPr>
    </w:p>
    <w:p>
      <w:pPr>
        <w:ind w:left="320" w:hanging="316"/>
        <w:spacing w:after="0" w:line="286" w:lineRule="auto"/>
        <w:tabs>
          <w:tab w:leader="none" w:pos="320" w:val="left"/>
        </w:tabs>
        <w:numPr>
          <w:ilvl w:val="0"/>
          <w:numId w:val="129"/>
        </w:numPr>
        <w:rPr>
          <w:rFonts w:ascii="Arial" w:cs="Arial" w:eastAsia="Arial" w:hAnsi="Arial"/>
          <w:sz w:val="16"/>
          <w:szCs w:val="16"/>
          <w:color w:val="auto"/>
        </w:rPr>
      </w:pPr>
      <w:r>
        <w:rPr>
          <w:rFonts w:ascii="Arial" w:cs="Arial" w:eastAsia="Arial" w:hAnsi="Arial"/>
          <w:sz w:val="16"/>
          <w:szCs w:val="16"/>
          <w:color w:val="auto"/>
        </w:rPr>
        <w:t>All transactions with related parties are made in accordance with normal market conditions available to other customers. At December 31, 2017, direct loans to related companies are secured by collaterals, had maturities between January 2018 and July 2028 at an annual average interest rate of 6.01 percent (at December 31, 2016 they had maturities between January 2017 and September 2026 and bore an annual average interest rate of 7.15 percent). Also, at December 31, 2017 and 2016, the Group maintains an allowance for loan losses to related parties amounting to S/7.2 million and S/6.4 million, respectively.</w:t>
      </w:r>
    </w:p>
    <w:p>
      <w:pPr>
        <w:spacing w:after="0" w:line="162" w:lineRule="exact"/>
        <w:rPr>
          <w:rFonts w:ascii="Arial" w:cs="Arial" w:eastAsia="Arial" w:hAnsi="Arial"/>
          <w:sz w:val="16"/>
          <w:szCs w:val="16"/>
          <w:color w:val="auto"/>
        </w:rPr>
      </w:pPr>
    </w:p>
    <w:p>
      <w:pPr>
        <w:ind w:left="320" w:right="140" w:hanging="316"/>
        <w:spacing w:after="0" w:line="311" w:lineRule="auto"/>
        <w:tabs>
          <w:tab w:leader="none" w:pos="320" w:val="left"/>
        </w:tabs>
        <w:numPr>
          <w:ilvl w:val="0"/>
          <w:numId w:val="129"/>
        </w:numPr>
        <w:rPr>
          <w:rFonts w:ascii="Arial" w:cs="Arial" w:eastAsia="Arial" w:hAnsi="Arial"/>
          <w:sz w:val="15"/>
          <w:szCs w:val="15"/>
          <w:color w:val="auto"/>
        </w:rPr>
      </w:pPr>
      <w:r>
        <w:rPr>
          <w:rFonts w:ascii="Arial" w:cs="Arial" w:eastAsia="Arial" w:hAnsi="Arial"/>
          <w:sz w:val="15"/>
          <w:szCs w:val="15"/>
          <w:color w:val="auto"/>
        </w:rPr>
        <w:t>At December 31, 2017 and 2016, directors, officers and employees of the Group have been involved, directly and indirectly, in credit transactions with certain subsidiaries of the Group, as permitted by Peruvian Banking and Insurance Law Nº26702, which regulates and limits certain transactions with employees, directors and officers of a bank or an insurance company. At December 31, 2017 and 2016, direct loans to employees, directors, key management and family members amounted to S/957.2 million and S/1,015.9 million, respectively; they are repaid monthly and earn interest at market rates.</w:t>
      </w:r>
    </w:p>
    <w:p>
      <w:pPr>
        <w:spacing w:after="0" w:line="145" w:lineRule="exact"/>
        <w:rPr>
          <w:rFonts w:ascii="Arial" w:cs="Arial" w:eastAsia="Arial" w:hAnsi="Arial"/>
          <w:sz w:val="15"/>
          <w:szCs w:val="15"/>
          <w:color w:val="auto"/>
        </w:rPr>
      </w:pPr>
    </w:p>
    <w:p>
      <w:pPr>
        <w:ind w:left="320" w:right="580" w:hanging="316"/>
        <w:spacing w:after="0" w:line="285" w:lineRule="auto"/>
        <w:tabs>
          <w:tab w:leader="none" w:pos="320" w:val="left"/>
        </w:tabs>
        <w:numPr>
          <w:ilvl w:val="0"/>
          <w:numId w:val="129"/>
        </w:numPr>
        <w:rPr>
          <w:rFonts w:ascii="Arial" w:cs="Arial" w:eastAsia="Arial" w:hAnsi="Arial"/>
          <w:sz w:val="17"/>
          <w:szCs w:val="17"/>
          <w:color w:val="auto"/>
        </w:rPr>
      </w:pPr>
      <w:r>
        <w:rPr>
          <w:rFonts w:ascii="Arial" w:cs="Arial" w:eastAsia="Arial" w:hAnsi="Arial"/>
          <w:sz w:val="17"/>
          <w:szCs w:val="17"/>
          <w:color w:val="auto"/>
        </w:rPr>
        <w:t>The Group’s key executives’ compensation (including the related income taxes assumed by the Group) as of December 31, 2017, 2016 and 2015 was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320" w:type="dxa"/>
            <w:vAlign w:val="bottom"/>
          </w:tcPr>
          <w:p>
            <w:pPr>
              <w:spacing w:after="0"/>
              <w:rPr>
                <w:sz w:val="19"/>
                <w:szCs w:val="19"/>
                <w:color w:val="auto"/>
              </w:rPr>
            </w:pPr>
          </w:p>
        </w:tc>
        <w:tc>
          <w:tcPr>
            <w:tcW w:w="3100" w:type="dxa"/>
            <w:vAlign w:val="bottom"/>
          </w:tcPr>
          <w:p>
            <w:pPr>
              <w:spacing w:after="0"/>
              <w:rPr>
                <w:sz w:val="19"/>
                <w:szCs w:val="19"/>
                <w:color w:val="auto"/>
              </w:rPr>
            </w:pPr>
          </w:p>
        </w:tc>
        <w:tc>
          <w:tcPr>
            <w:tcW w:w="4420" w:type="dxa"/>
            <w:vAlign w:val="bottom"/>
            <w:gridSpan w:val="2"/>
          </w:tcPr>
          <w:p>
            <w:pPr>
              <w:jc w:val="right"/>
              <w:ind w:right="313"/>
              <w:spacing w:after="0"/>
              <w:rPr>
                <w:sz w:val="20"/>
                <w:szCs w:val="20"/>
                <w:color w:val="auto"/>
              </w:rPr>
            </w:pPr>
            <w:r>
              <w:rPr>
                <w:rFonts w:ascii="Arial" w:cs="Arial" w:eastAsia="Arial" w:hAnsi="Arial"/>
                <w:sz w:val="17"/>
                <w:szCs w:val="17"/>
                <w:b w:val="1"/>
                <w:bCs w:val="1"/>
                <w:color w:val="auto"/>
              </w:rPr>
              <w:t>2017</w:t>
            </w:r>
          </w:p>
        </w:tc>
        <w:tc>
          <w:tcPr>
            <w:tcW w:w="200" w:type="dxa"/>
            <w:vAlign w:val="bottom"/>
          </w:tcPr>
          <w:p>
            <w:pPr>
              <w:spacing w:after="0"/>
              <w:rPr>
                <w:sz w:val="19"/>
                <w:szCs w:val="19"/>
                <w:color w:val="auto"/>
              </w:rPr>
            </w:pPr>
          </w:p>
        </w:tc>
        <w:tc>
          <w:tcPr>
            <w:tcW w:w="1140" w:type="dxa"/>
            <w:vAlign w:val="bottom"/>
          </w:tcPr>
          <w:p>
            <w:pPr>
              <w:jc w:val="right"/>
              <w:ind w:right="293"/>
              <w:spacing w:after="0"/>
              <w:rPr>
                <w:sz w:val="20"/>
                <w:szCs w:val="20"/>
                <w:color w:val="auto"/>
              </w:rPr>
            </w:pPr>
            <w:r>
              <w:rPr>
                <w:rFonts w:ascii="Arial" w:cs="Arial" w:eastAsia="Arial" w:hAnsi="Arial"/>
                <w:sz w:val="17"/>
                <w:szCs w:val="17"/>
                <w:b w:val="1"/>
                <w:bCs w:val="1"/>
                <w:color w:val="auto"/>
              </w:rPr>
              <w:t>2016</w:t>
            </w:r>
          </w:p>
        </w:tc>
        <w:tc>
          <w:tcPr>
            <w:tcW w:w="200" w:type="dxa"/>
            <w:vAlign w:val="bottom"/>
          </w:tcPr>
          <w:p>
            <w:pPr>
              <w:spacing w:after="0"/>
              <w:rPr>
                <w:sz w:val="19"/>
                <w:szCs w:val="19"/>
                <w:color w:val="auto"/>
              </w:rPr>
            </w:pPr>
          </w:p>
        </w:tc>
        <w:tc>
          <w:tcPr>
            <w:tcW w:w="1120" w:type="dxa"/>
            <w:vAlign w:val="bottom"/>
          </w:tcPr>
          <w:p>
            <w:pPr>
              <w:jc w:val="right"/>
              <w:ind w:right="293"/>
              <w:spacing w:after="0"/>
              <w:rPr>
                <w:sz w:val="20"/>
                <w:szCs w:val="20"/>
                <w:color w:val="auto"/>
              </w:rPr>
            </w:pPr>
            <w:r>
              <w:rPr>
                <w:rFonts w:ascii="Arial" w:cs="Arial" w:eastAsia="Arial" w:hAnsi="Arial"/>
                <w:sz w:val="17"/>
                <w:szCs w:val="17"/>
                <w:b w:val="1"/>
                <w:bCs w:val="1"/>
                <w:color w:val="auto"/>
              </w:rPr>
              <w:t>2015</w:t>
            </w: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20" w:type="dxa"/>
            <w:vAlign w:val="bottom"/>
          </w:tcPr>
          <w:p>
            <w:pPr>
              <w:spacing w:after="0"/>
              <w:rPr>
                <w:sz w:val="19"/>
                <w:szCs w:val="19"/>
                <w:color w:val="auto"/>
              </w:rPr>
            </w:pPr>
          </w:p>
        </w:tc>
        <w:tc>
          <w:tcPr>
            <w:tcW w:w="3100" w:type="dxa"/>
            <w:vAlign w:val="bottom"/>
          </w:tcPr>
          <w:p>
            <w:pPr>
              <w:spacing w:after="0"/>
              <w:rPr>
                <w:sz w:val="19"/>
                <w:szCs w:val="19"/>
                <w:color w:val="auto"/>
              </w:rPr>
            </w:pPr>
          </w:p>
        </w:tc>
        <w:tc>
          <w:tcPr>
            <w:tcW w:w="3280" w:type="dxa"/>
            <w:vAlign w:val="bottom"/>
          </w:tcPr>
          <w:p>
            <w:pPr>
              <w:spacing w:after="0"/>
              <w:rPr>
                <w:sz w:val="19"/>
                <w:szCs w:val="19"/>
                <w:color w:val="auto"/>
              </w:rPr>
            </w:pPr>
          </w:p>
        </w:tc>
        <w:tc>
          <w:tcPr>
            <w:tcW w:w="1140" w:type="dxa"/>
            <w:vAlign w:val="bottom"/>
            <w:tcBorders>
              <w:top w:val="single" w:sz="8" w:color="auto"/>
            </w:tcBorders>
          </w:tcPr>
          <w:p>
            <w:pPr>
              <w:jc w:val="center"/>
              <w:spacing w:after="0"/>
              <w:rPr>
                <w:sz w:val="20"/>
                <w:szCs w:val="20"/>
                <w:color w:val="auto"/>
              </w:rPr>
            </w:pPr>
            <w:r>
              <w:rPr>
                <w:rFonts w:ascii="Arial" w:cs="Arial" w:eastAsia="Arial" w:hAnsi="Arial"/>
                <w:sz w:val="17"/>
                <w:szCs w:val="17"/>
                <w:b w:val="1"/>
                <w:bCs w:val="1"/>
                <w:color w:val="auto"/>
                <w:w w:val="89"/>
              </w:rPr>
              <w:t>S/000</w:t>
            </w:r>
          </w:p>
        </w:tc>
        <w:tc>
          <w:tcPr>
            <w:tcW w:w="200" w:type="dxa"/>
            <w:vAlign w:val="bottom"/>
          </w:tcPr>
          <w:p>
            <w:pPr>
              <w:spacing w:after="0"/>
              <w:rPr>
                <w:sz w:val="19"/>
                <w:szCs w:val="19"/>
                <w:color w:val="auto"/>
              </w:rPr>
            </w:pPr>
          </w:p>
        </w:tc>
        <w:tc>
          <w:tcPr>
            <w:tcW w:w="1140" w:type="dxa"/>
            <w:vAlign w:val="bottom"/>
            <w:tcBorders>
              <w:top w:val="single" w:sz="8" w:color="auto"/>
            </w:tcBorders>
          </w:tcPr>
          <w:p>
            <w:pPr>
              <w:jc w:val="center"/>
              <w:spacing w:after="0"/>
              <w:rPr>
                <w:sz w:val="20"/>
                <w:szCs w:val="20"/>
                <w:color w:val="auto"/>
              </w:rPr>
            </w:pPr>
            <w:r>
              <w:rPr>
                <w:rFonts w:ascii="Arial" w:cs="Arial" w:eastAsia="Arial" w:hAnsi="Arial"/>
                <w:sz w:val="17"/>
                <w:szCs w:val="17"/>
                <w:b w:val="1"/>
                <w:bCs w:val="1"/>
                <w:color w:val="auto"/>
                <w:w w:val="89"/>
              </w:rPr>
              <w:t>S/000</w:t>
            </w:r>
          </w:p>
        </w:tc>
        <w:tc>
          <w:tcPr>
            <w:tcW w:w="200" w:type="dxa"/>
            <w:vAlign w:val="bottom"/>
          </w:tcPr>
          <w:p>
            <w:pPr>
              <w:spacing w:after="0"/>
              <w:rPr>
                <w:sz w:val="19"/>
                <w:szCs w:val="19"/>
                <w:color w:val="auto"/>
              </w:rPr>
            </w:pPr>
          </w:p>
        </w:tc>
        <w:tc>
          <w:tcPr>
            <w:tcW w:w="1120" w:type="dxa"/>
            <w:vAlign w:val="bottom"/>
            <w:tcBorders>
              <w:top w:val="single" w:sz="8" w:color="auto"/>
            </w:tcBorders>
          </w:tcPr>
          <w:p>
            <w:pPr>
              <w:jc w:val="center"/>
              <w:spacing w:after="0"/>
              <w:rPr>
                <w:sz w:val="20"/>
                <w:szCs w:val="20"/>
                <w:color w:val="auto"/>
              </w:rPr>
            </w:pPr>
            <w:r>
              <w:rPr>
                <w:rFonts w:ascii="Arial" w:cs="Arial" w:eastAsia="Arial" w:hAnsi="Arial"/>
                <w:sz w:val="17"/>
                <w:szCs w:val="17"/>
                <w:b w:val="1"/>
                <w:bCs w:val="1"/>
                <w:color w:val="auto"/>
                <w:w w:val="89"/>
              </w:rPr>
              <w:t>S/000</w:t>
            </w: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320" w:type="dxa"/>
            <w:vAlign w:val="bottom"/>
          </w:tcPr>
          <w:p>
            <w:pPr>
              <w:spacing w:after="0"/>
              <w:rPr>
                <w:sz w:val="16"/>
                <w:szCs w:val="16"/>
                <w:color w:val="auto"/>
              </w:rPr>
            </w:pPr>
          </w:p>
        </w:tc>
        <w:tc>
          <w:tcPr>
            <w:tcW w:w="3100" w:type="dxa"/>
            <w:vAlign w:val="bottom"/>
          </w:tcPr>
          <w:p>
            <w:pPr>
              <w:spacing w:after="0"/>
              <w:rPr>
                <w:sz w:val="16"/>
                <w:szCs w:val="16"/>
                <w:color w:val="auto"/>
              </w:rPr>
            </w:pPr>
          </w:p>
        </w:tc>
        <w:tc>
          <w:tcPr>
            <w:tcW w:w="32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320" w:type="dxa"/>
            <w:vAlign w:val="bottom"/>
          </w:tcPr>
          <w:p>
            <w:pPr>
              <w:spacing w:after="0"/>
              <w:rPr>
                <w:sz w:val="18"/>
                <w:szCs w:val="18"/>
                <w:color w:val="auto"/>
              </w:rPr>
            </w:pPr>
          </w:p>
        </w:tc>
        <w:tc>
          <w:tcPr>
            <w:tcW w:w="3100" w:type="dxa"/>
            <w:vAlign w:val="bottom"/>
            <w:shd w:val="clear" w:color="auto" w:fill="CCEEFF"/>
          </w:tcPr>
          <w:p>
            <w:pPr>
              <w:spacing w:after="0"/>
              <w:rPr>
                <w:sz w:val="20"/>
                <w:szCs w:val="20"/>
                <w:color w:val="auto"/>
              </w:rPr>
            </w:pPr>
            <w:r>
              <w:rPr>
                <w:rFonts w:ascii="Arial" w:cs="Arial" w:eastAsia="Arial" w:hAnsi="Arial"/>
                <w:sz w:val="17"/>
                <w:szCs w:val="17"/>
                <w:color w:val="auto"/>
              </w:rPr>
              <w:t>Salaries</w:t>
            </w:r>
          </w:p>
        </w:tc>
        <w:tc>
          <w:tcPr>
            <w:tcW w:w="44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41,211</w:t>
            </w:r>
          </w:p>
        </w:tc>
        <w:tc>
          <w:tcPr>
            <w:tcW w:w="2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43,177</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37,255</w:t>
            </w: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320" w:type="dxa"/>
            <w:vAlign w:val="bottom"/>
          </w:tcPr>
          <w:p>
            <w:pPr>
              <w:spacing w:after="0"/>
              <w:rPr>
                <w:sz w:val="19"/>
                <w:szCs w:val="19"/>
                <w:color w:val="auto"/>
              </w:rPr>
            </w:pPr>
          </w:p>
        </w:tc>
        <w:tc>
          <w:tcPr>
            <w:tcW w:w="3100" w:type="dxa"/>
            <w:vAlign w:val="bottom"/>
          </w:tcPr>
          <w:p>
            <w:pPr>
              <w:spacing w:after="0"/>
              <w:rPr>
                <w:sz w:val="20"/>
                <w:szCs w:val="20"/>
                <w:color w:val="auto"/>
              </w:rPr>
            </w:pPr>
            <w:r>
              <w:rPr>
                <w:rFonts w:ascii="Arial" w:cs="Arial" w:eastAsia="Arial" w:hAnsi="Arial"/>
                <w:sz w:val="17"/>
                <w:szCs w:val="17"/>
                <w:color w:val="auto"/>
              </w:rPr>
              <w:t>Directors’ fees</w:t>
            </w:r>
          </w:p>
        </w:tc>
        <w:tc>
          <w:tcPr>
            <w:tcW w:w="4420" w:type="dxa"/>
            <w:vAlign w:val="bottom"/>
            <w:gridSpan w:val="2"/>
          </w:tcPr>
          <w:p>
            <w:pPr>
              <w:jc w:val="right"/>
              <w:spacing w:after="0"/>
              <w:rPr>
                <w:sz w:val="20"/>
                <w:szCs w:val="20"/>
                <w:color w:val="auto"/>
              </w:rPr>
            </w:pPr>
            <w:r>
              <w:rPr>
                <w:rFonts w:ascii="Arial" w:cs="Arial" w:eastAsia="Arial" w:hAnsi="Arial"/>
                <w:sz w:val="17"/>
                <w:szCs w:val="17"/>
                <w:color w:val="auto"/>
              </w:rPr>
              <w:t>7,105</w:t>
            </w: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7,351</w:t>
            </w: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6,692</w:t>
            </w: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1"/>
        </w:trPr>
        <w:tc>
          <w:tcPr>
            <w:tcW w:w="320" w:type="dxa"/>
            <w:vAlign w:val="bottom"/>
          </w:tcPr>
          <w:p>
            <w:pPr>
              <w:spacing w:after="0"/>
              <w:rPr>
                <w:sz w:val="17"/>
                <w:szCs w:val="17"/>
                <w:color w:val="auto"/>
              </w:rPr>
            </w:pPr>
          </w:p>
        </w:tc>
        <w:tc>
          <w:tcPr>
            <w:tcW w:w="31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Total</w:t>
            </w:r>
          </w:p>
        </w:tc>
        <w:tc>
          <w:tcPr>
            <w:tcW w:w="3280" w:type="dxa"/>
            <w:vAlign w:val="bottom"/>
            <w:tcBorders>
              <w:top w:val="single" w:sz="8" w:color="CCEEFF"/>
              <w:bottom w:val="single" w:sz="8" w:color="CCEEFF"/>
            </w:tcBorders>
            <w:shd w:val="clear" w:color="auto" w:fill="CCEEFF"/>
          </w:tcPr>
          <w:p>
            <w:pPr>
              <w:spacing w:after="0"/>
              <w:rPr>
                <w:sz w:val="17"/>
                <w:szCs w:val="17"/>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48,316</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50,528</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43,947</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3280" w:type="dxa"/>
            <w:vAlign w:val="bottom"/>
            <w:vMerge w:val="restart"/>
          </w:tcPr>
          <w:p>
            <w:pPr>
              <w:jc w:val="right"/>
              <w:ind w:right="653"/>
              <w:spacing w:after="0"/>
              <w:rPr>
                <w:sz w:val="20"/>
                <w:szCs w:val="20"/>
                <w:color w:val="auto"/>
              </w:rPr>
            </w:pPr>
            <w:r>
              <w:rPr>
                <w:rFonts w:ascii="Arial" w:cs="Arial" w:eastAsia="Arial" w:hAnsi="Arial"/>
                <w:sz w:val="17"/>
                <w:szCs w:val="17"/>
                <w:color w:val="auto"/>
              </w:rPr>
              <w:t>- 107 -</w:t>
            </w: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3"/>
        </w:trPr>
        <w:tc>
          <w:tcPr>
            <w:tcW w:w="320" w:type="dxa"/>
            <w:vAlign w:val="bottom"/>
            <w:tcBorders>
              <w:bottom w:val="single" w:sz="8" w:color="auto"/>
            </w:tcBorders>
          </w:tcPr>
          <w:p>
            <w:pPr>
              <w:spacing w:after="0"/>
              <w:rPr>
                <w:sz w:val="24"/>
                <w:szCs w:val="24"/>
                <w:color w:val="auto"/>
              </w:rPr>
            </w:pPr>
          </w:p>
        </w:tc>
        <w:tc>
          <w:tcPr>
            <w:tcW w:w="3100" w:type="dxa"/>
            <w:vAlign w:val="bottom"/>
            <w:tcBorders>
              <w:bottom w:val="single" w:sz="8" w:color="auto"/>
            </w:tcBorders>
          </w:tcPr>
          <w:p>
            <w:pPr>
              <w:spacing w:after="0"/>
              <w:rPr>
                <w:sz w:val="24"/>
                <w:szCs w:val="24"/>
                <w:color w:val="auto"/>
              </w:rPr>
            </w:pPr>
          </w:p>
        </w:tc>
        <w:tc>
          <w:tcPr>
            <w:tcW w:w="3280" w:type="dxa"/>
            <w:vAlign w:val="bottom"/>
            <w:tcBorders>
              <w:bottom w:val="single" w:sz="8" w:color="auto"/>
            </w:tcBorders>
            <w:vMerge w:val="continue"/>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75" w:right="239" w:bottom="1440" w:gutter="0" w:footer="0" w:header="0"/>
        </w:sectPr>
      </w:pPr>
    </w:p>
    <w:bookmarkStart w:id="113" w:name="page114"/>
    <w:bookmarkEnd w:id="113"/>
    <w:p>
      <w:pPr>
        <w:ind w:left="320" w:right="220"/>
        <w:spacing w:after="0" w:line="285" w:lineRule="auto"/>
        <w:rPr>
          <w:sz w:val="20"/>
          <w:szCs w:val="20"/>
          <w:color w:val="auto"/>
        </w:rPr>
      </w:pPr>
      <w:r>
        <w:rPr>
          <w:rFonts w:ascii="Arial" w:cs="Arial" w:eastAsia="Arial" w:hAnsi="Arial"/>
          <w:sz w:val="17"/>
          <w:szCs w:val="17"/>
          <w:color w:val="auto"/>
        </w:rPr>
        <w:t>Additionally, approximately S/32.1 million of stock awards vested at December 31, 2017 (S/30.1 million and S/22.3 million at December 31, 2016 and 2015, respectively). The related income tax is assumed by the Group.</w:t>
      </w:r>
    </w:p>
    <w:p>
      <w:pPr>
        <w:spacing w:after="0" w:line="159" w:lineRule="exact"/>
        <w:rPr>
          <w:sz w:val="20"/>
          <w:szCs w:val="20"/>
          <w:color w:val="auto"/>
        </w:rPr>
      </w:pPr>
    </w:p>
    <w:p>
      <w:pPr>
        <w:ind w:left="320" w:right="420" w:hanging="316"/>
        <w:spacing w:after="0" w:line="285" w:lineRule="auto"/>
        <w:tabs>
          <w:tab w:leader="none" w:pos="320" w:val="left"/>
        </w:tabs>
        <w:numPr>
          <w:ilvl w:val="0"/>
          <w:numId w:val="130"/>
        </w:numPr>
        <w:rPr>
          <w:rFonts w:ascii="Arial" w:cs="Arial" w:eastAsia="Arial" w:hAnsi="Arial"/>
          <w:sz w:val="17"/>
          <w:szCs w:val="17"/>
          <w:color w:val="auto"/>
        </w:rPr>
      </w:pPr>
      <w:r>
        <w:rPr>
          <w:rFonts w:ascii="Arial" w:cs="Arial" w:eastAsia="Arial" w:hAnsi="Arial"/>
          <w:sz w:val="17"/>
          <w:szCs w:val="17"/>
          <w:color w:val="auto"/>
        </w:rPr>
        <w:t>At December 31, 2017 and 2016 the Group holds interests in various mutual funds and hedge funds managed by certain of the Group’s Subsidiaries; those interests are classified as trading securities or available-for-sale investments.</w:t>
      </w:r>
    </w:p>
    <w:p>
      <w:pPr>
        <w:spacing w:after="0" w:line="159" w:lineRule="exact"/>
        <w:rPr>
          <w:rFonts w:ascii="Arial" w:cs="Arial" w:eastAsia="Arial" w:hAnsi="Arial"/>
          <w:sz w:val="17"/>
          <w:szCs w:val="17"/>
          <w:color w:val="auto"/>
        </w:rPr>
      </w:pPr>
    </w:p>
    <w:p>
      <w:pPr>
        <w:ind w:left="320"/>
        <w:spacing w:after="0"/>
        <w:rPr>
          <w:rFonts w:ascii="Arial" w:cs="Arial" w:eastAsia="Arial" w:hAnsi="Arial"/>
          <w:sz w:val="17"/>
          <w:szCs w:val="17"/>
          <w:color w:val="auto"/>
        </w:rPr>
      </w:pPr>
      <w:r>
        <w:rPr>
          <w:rFonts w:ascii="Arial" w:cs="Arial" w:eastAsia="Arial" w:hAnsi="Arial"/>
          <w:sz w:val="17"/>
          <w:szCs w:val="17"/>
          <w:color w:val="auto"/>
        </w:rPr>
        <w:t>The details of the mutual funds classified as available-for-sale are presented below:</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320" w:type="dxa"/>
            <w:vAlign w:val="bottom"/>
          </w:tcPr>
          <w:p>
            <w:pPr>
              <w:spacing w:after="0"/>
              <w:rPr>
                <w:sz w:val="19"/>
                <w:szCs w:val="19"/>
                <w:color w:val="auto"/>
              </w:rPr>
            </w:pPr>
          </w:p>
        </w:tc>
        <w:tc>
          <w:tcPr>
            <w:tcW w:w="4360" w:type="dxa"/>
            <w:vAlign w:val="bottom"/>
          </w:tcPr>
          <w:p>
            <w:pPr>
              <w:spacing w:after="0"/>
              <w:rPr>
                <w:sz w:val="19"/>
                <w:szCs w:val="19"/>
                <w:color w:val="auto"/>
              </w:rPr>
            </w:pPr>
          </w:p>
        </w:tc>
        <w:tc>
          <w:tcPr>
            <w:tcW w:w="5080" w:type="dxa"/>
            <w:vAlign w:val="bottom"/>
            <w:gridSpan w:val="2"/>
          </w:tcPr>
          <w:p>
            <w:pPr>
              <w:jc w:val="right"/>
              <w:ind w:right="353"/>
              <w:spacing w:after="0"/>
              <w:rPr>
                <w:sz w:val="20"/>
                <w:szCs w:val="20"/>
                <w:color w:val="auto"/>
              </w:rPr>
            </w:pPr>
            <w:r>
              <w:rPr>
                <w:rFonts w:ascii="Arial" w:cs="Arial" w:eastAsia="Arial" w:hAnsi="Arial"/>
                <w:sz w:val="17"/>
                <w:szCs w:val="17"/>
                <w:b w:val="1"/>
                <w:bCs w:val="1"/>
                <w:color w:val="auto"/>
              </w:rPr>
              <w:t>2017</w:t>
            </w:r>
          </w:p>
        </w:tc>
        <w:tc>
          <w:tcPr>
            <w:tcW w:w="200" w:type="dxa"/>
            <w:vAlign w:val="bottom"/>
          </w:tcPr>
          <w:p>
            <w:pPr>
              <w:spacing w:after="0"/>
              <w:rPr>
                <w:sz w:val="19"/>
                <w:szCs w:val="19"/>
                <w:color w:val="auto"/>
              </w:rPr>
            </w:pPr>
          </w:p>
        </w:tc>
        <w:tc>
          <w:tcPr>
            <w:tcW w:w="1200" w:type="dxa"/>
            <w:vAlign w:val="bottom"/>
          </w:tcPr>
          <w:p>
            <w:pPr>
              <w:jc w:val="right"/>
              <w:ind w:right="333"/>
              <w:spacing w:after="0"/>
              <w:rPr>
                <w:sz w:val="20"/>
                <w:szCs w:val="20"/>
                <w:color w:val="auto"/>
              </w:rPr>
            </w:pPr>
            <w:r>
              <w:rPr>
                <w:rFonts w:ascii="Arial" w:cs="Arial" w:eastAsia="Arial" w:hAnsi="Arial"/>
                <w:sz w:val="17"/>
                <w:szCs w:val="17"/>
                <w:b w:val="1"/>
                <w:bCs w:val="1"/>
                <w:color w:val="auto"/>
              </w:rPr>
              <w:t>2016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20" w:type="dxa"/>
            <w:vAlign w:val="bottom"/>
          </w:tcPr>
          <w:p>
            <w:pPr>
              <w:spacing w:after="0"/>
              <w:rPr>
                <w:sz w:val="19"/>
                <w:szCs w:val="19"/>
                <w:color w:val="auto"/>
              </w:rPr>
            </w:pPr>
          </w:p>
        </w:tc>
        <w:tc>
          <w:tcPr>
            <w:tcW w:w="4360" w:type="dxa"/>
            <w:vAlign w:val="bottom"/>
          </w:tcPr>
          <w:p>
            <w:pPr>
              <w:spacing w:after="0"/>
              <w:rPr>
                <w:sz w:val="19"/>
                <w:szCs w:val="19"/>
                <w:color w:val="auto"/>
              </w:rPr>
            </w:pPr>
          </w:p>
        </w:tc>
        <w:tc>
          <w:tcPr>
            <w:tcW w:w="3860" w:type="dxa"/>
            <w:vAlign w:val="bottom"/>
          </w:tcPr>
          <w:p>
            <w:pPr>
              <w:spacing w:after="0"/>
              <w:rPr>
                <w:sz w:val="19"/>
                <w:szCs w:val="19"/>
                <w:color w:val="auto"/>
              </w:rPr>
            </w:pPr>
          </w:p>
        </w:tc>
        <w:tc>
          <w:tcPr>
            <w:tcW w:w="1220" w:type="dxa"/>
            <w:vAlign w:val="bottom"/>
            <w:tcBorders>
              <w:top w:val="single" w:sz="8" w:color="auto"/>
            </w:tcBorders>
          </w:tcPr>
          <w:p>
            <w:pPr>
              <w:jc w:val="center"/>
              <w:spacing w:after="0"/>
              <w:rPr>
                <w:sz w:val="20"/>
                <w:szCs w:val="20"/>
                <w:color w:val="auto"/>
              </w:rPr>
            </w:pPr>
            <w:r>
              <w:rPr>
                <w:rFonts w:ascii="Arial" w:cs="Arial" w:eastAsia="Arial" w:hAnsi="Arial"/>
                <w:sz w:val="17"/>
                <w:szCs w:val="17"/>
                <w:b w:val="1"/>
                <w:bCs w:val="1"/>
                <w:color w:val="auto"/>
                <w:w w:val="94"/>
              </w:rPr>
              <w:t>S/000</w:t>
            </w:r>
          </w:p>
        </w:tc>
        <w:tc>
          <w:tcPr>
            <w:tcW w:w="200" w:type="dxa"/>
            <w:vAlign w:val="bottom"/>
          </w:tcPr>
          <w:p>
            <w:pPr>
              <w:spacing w:after="0"/>
              <w:rPr>
                <w:sz w:val="19"/>
                <w:szCs w:val="19"/>
                <w:color w:val="auto"/>
              </w:rPr>
            </w:pPr>
          </w:p>
        </w:tc>
        <w:tc>
          <w:tcPr>
            <w:tcW w:w="1200" w:type="dxa"/>
            <w:vAlign w:val="bottom"/>
            <w:tcBorders>
              <w:top w:val="single" w:sz="8" w:color="auto"/>
            </w:tcBorders>
          </w:tcPr>
          <w:p>
            <w:pPr>
              <w:jc w:val="center"/>
              <w:spacing w:after="0"/>
              <w:rPr>
                <w:sz w:val="20"/>
                <w:szCs w:val="20"/>
                <w:color w:val="auto"/>
              </w:rPr>
            </w:pPr>
            <w:r>
              <w:rPr>
                <w:rFonts w:ascii="Arial" w:cs="Arial" w:eastAsia="Arial" w:hAnsi="Arial"/>
                <w:sz w:val="17"/>
                <w:szCs w:val="17"/>
                <w:b w:val="1"/>
                <w:bCs w:val="1"/>
                <w:color w:val="auto"/>
                <w:w w:val="89"/>
              </w:rPr>
              <w:t>S/000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320" w:type="dxa"/>
            <w:vAlign w:val="bottom"/>
          </w:tcPr>
          <w:p>
            <w:pPr>
              <w:spacing w:after="0"/>
              <w:rPr>
                <w:sz w:val="16"/>
                <w:szCs w:val="16"/>
                <w:color w:val="auto"/>
              </w:rPr>
            </w:pPr>
          </w:p>
        </w:tc>
        <w:tc>
          <w:tcPr>
            <w:tcW w:w="4360" w:type="dxa"/>
            <w:vAlign w:val="bottom"/>
          </w:tcPr>
          <w:p>
            <w:pPr>
              <w:spacing w:after="0"/>
              <w:rPr>
                <w:sz w:val="16"/>
                <w:szCs w:val="16"/>
                <w:color w:val="auto"/>
              </w:rPr>
            </w:pPr>
          </w:p>
        </w:tc>
        <w:tc>
          <w:tcPr>
            <w:tcW w:w="38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32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7"/>
                <w:szCs w:val="17"/>
                <w:color w:val="auto"/>
              </w:rPr>
              <w:t>Held-for-trading and available-for-sale investments</w:t>
            </w:r>
          </w:p>
        </w:tc>
        <w:tc>
          <w:tcPr>
            <w:tcW w:w="38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2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Arial" w:cs="Arial" w:eastAsia="Arial" w:hAnsi="Arial"/>
                <w:sz w:val="17"/>
                <w:szCs w:val="17"/>
                <w:color w:val="auto"/>
              </w:rPr>
              <w:t>Mutual funds – Soles</w:t>
            </w:r>
          </w:p>
        </w:tc>
        <w:tc>
          <w:tcPr>
            <w:tcW w:w="5280" w:type="dxa"/>
            <w:vAlign w:val="bottom"/>
            <w:gridSpan w:val="3"/>
          </w:tcPr>
          <w:p>
            <w:pPr>
              <w:jc w:val="right"/>
              <w:ind w:right="200"/>
              <w:spacing w:after="0"/>
              <w:rPr>
                <w:sz w:val="20"/>
                <w:szCs w:val="20"/>
                <w:color w:val="auto"/>
              </w:rPr>
            </w:pPr>
            <w:r>
              <w:rPr>
                <w:rFonts w:ascii="Arial" w:cs="Arial" w:eastAsia="Arial" w:hAnsi="Arial"/>
                <w:sz w:val="17"/>
                <w:szCs w:val="17"/>
                <w:color w:val="auto"/>
              </w:rPr>
              <w:t>125,056</w:t>
            </w:r>
          </w:p>
        </w:tc>
        <w:tc>
          <w:tcPr>
            <w:tcW w:w="1200" w:type="dxa"/>
            <w:vAlign w:val="bottom"/>
          </w:tcPr>
          <w:p>
            <w:pPr>
              <w:jc w:val="right"/>
              <w:spacing w:after="0"/>
              <w:rPr>
                <w:sz w:val="20"/>
                <w:szCs w:val="20"/>
                <w:color w:val="auto"/>
              </w:rPr>
            </w:pPr>
            <w:r>
              <w:rPr>
                <w:rFonts w:ascii="Arial" w:cs="Arial" w:eastAsia="Arial" w:hAnsi="Arial"/>
                <w:sz w:val="17"/>
                <w:szCs w:val="17"/>
                <w:color w:val="auto"/>
              </w:rPr>
              <w:t>2,741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2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7"/>
                <w:szCs w:val="17"/>
                <w:color w:val="auto"/>
              </w:rPr>
              <w:t>Mutual funds – Bolivianos</w:t>
            </w:r>
          </w:p>
        </w:tc>
        <w:tc>
          <w:tcPr>
            <w:tcW w:w="5280" w:type="dxa"/>
            <w:vAlign w:val="bottom"/>
            <w:gridSpan w:val="3"/>
            <w:shd w:val="clear" w:color="auto" w:fill="CCEEFF"/>
          </w:tcPr>
          <w:p>
            <w:pPr>
              <w:jc w:val="right"/>
              <w:ind w:right="200"/>
              <w:spacing w:after="0"/>
              <w:rPr>
                <w:sz w:val="20"/>
                <w:szCs w:val="20"/>
                <w:color w:val="auto"/>
              </w:rPr>
            </w:pPr>
            <w:r>
              <w:rPr>
                <w:rFonts w:ascii="Arial" w:cs="Arial" w:eastAsia="Arial" w:hAnsi="Arial"/>
                <w:sz w:val="17"/>
                <w:szCs w:val="17"/>
                <w:color w:val="auto"/>
              </w:rPr>
              <w:t>77,804</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88,838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2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Arial" w:cs="Arial" w:eastAsia="Arial" w:hAnsi="Arial"/>
                <w:sz w:val="17"/>
                <w:szCs w:val="17"/>
                <w:color w:val="auto"/>
              </w:rPr>
              <w:t>Mutual funds – U.S. Dollars</w:t>
            </w:r>
          </w:p>
        </w:tc>
        <w:tc>
          <w:tcPr>
            <w:tcW w:w="5280" w:type="dxa"/>
            <w:vAlign w:val="bottom"/>
            <w:gridSpan w:val="3"/>
          </w:tcPr>
          <w:p>
            <w:pPr>
              <w:jc w:val="right"/>
              <w:ind w:right="200"/>
              <w:spacing w:after="0"/>
              <w:rPr>
                <w:sz w:val="20"/>
                <w:szCs w:val="20"/>
                <w:color w:val="auto"/>
              </w:rPr>
            </w:pPr>
            <w:r>
              <w:rPr>
                <w:rFonts w:ascii="Arial" w:cs="Arial" w:eastAsia="Arial" w:hAnsi="Arial"/>
                <w:sz w:val="17"/>
                <w:szCs w:val="17"/>
                <w:color w:val="auto"/>
              </w:rPr>
              <w:t>40,588</w:t>
            </w:r>
          </w:p>
        </w:tc>
        <w:tc>
          <w:tcPr>
            <w:tcW w:w="1300" w:type="dxa"/>
            <w:vAlign w:val="bottom"/>
            <w:gridSpan w:val="2"/>
          </w:tcPr>
          <w:p>
            <w:pPr>
              <w:jc w:val="right"/>
              <w:ind w:right="100"/>
              <w:spacing w:after="0"/>
              <w:rPr>
                <w:sz w:val="20"/>
                <w:szCs w:val="20"/>
                <w:color w:val="auto"/>
              </w:rPr>
            </w:pPr>
            <w:r>
              <w:rPr>
                <w:rFonts w:ascii="Arial" w:cs="Arial" w:eastAsia="Arial" w:hAnsi="Arial"/>
                <w:sz w:val="17"/>
                <w:szCs w:val="17"/>
                <w:color w:val="auto"/>
              </w:rPr>
              <w:t>38,436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2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7"/>
                <w:szCs w:val="17"/>
                <w:color w:val="auto"/>
              </w:rPr>
              <w:t>Mutual funds – Colombian pesos</w:t>
            </w:r>
          </w:p>
        </w:tc>
        <w:tc>
          <w:tcPr>
            <w:tcW w:w="5280" w:type="dxa"/>
            <w:vAlign w:val="bottom"/>
            <w:gridSpan w:val="3"/>
            <w:shd w:val="clear" w:color="auto" w:fill="CCEEFF"/>
          </w:tcPr>
          <w:p>
            <w:pPr>
              <w:jc w:val="right"/>
              <w:ind w:right="200"/>
              <w:spacing w:after="0"/>
              <w:rPr>
                <w:sz w:val="20"/>
                <w:szCs w:val="20"/>
                <w:color w:val="auto"/>
              </w:rPr>
            </w:pPr>
            <w:r>
              <w:rPr>
                <w:rFonts w:ascii="Arial" w:cs="Arial" w:eastAsia="Arial" w:hAnsi="Arial"/>
                <w:sz w:val="17"/>
                <w:szCs w:val="17"/>
                <w:color w:val="auto"/>
              </w:rPr>
              <w:t>21,525</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1,747</w:t>
            </w:r>
          </w:p>
        </w:tc>
        <w:tc>
          <w:tcPr>
            <w:tcW w:w="100" w:type="dxa"/>
            <w:vAlign w:val="bottom"/>
            <w:shd w:val="clear" w:color="auto" w:fill="CCEEFF"/>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320" w:type="dxa"/>
            <w:vAlign w:val="bottom"/>
          </w:tcPr>
          <w:p>
            <w:pPr>
              <w:spacing w:after="0"/>
              <w:rPr>
                <w:sz w:val="19"/>
                <w:szCs w:val="19"/>
                <w:color w:val="auto"/>
              </w:rPr>
            </w:pPr>
          </w:p>
        </w:tc>
        <w:tc>
          <w:tcPr>
            <w:tcW w:w="4360" w:type="dxa"/>
            <w:vAlign w:val="bottom"/>
          </w:tcPr>
          <w:p>
            <w:pPr>
              <w:spacing w:after="0"/>
              <w:rPr>
                <w:sz w:val="20"/>
                <w:szCs w:val="20"/>
                <w:color w:val="auto"/>
              </w:rPr>
            </w:pPr>
            <w:r>
              <w:rPr>
                <w:rFonts w:ascii="Arial" w:cs="Arial" w:eastAsia="Arial" w:hAnsi="Arial"/>
                <w:sz w:val="17"/>
                <w:szCs w:val="17"/>
                <w:color w:val="auto"/>
              </w:rPr>
              <w:t>Mutual funds – Chilean pesos</w:t>
            </w:r>
          </w:p>
        </w:tc>
        <w:tc>
          <w:tcPr>
            <w:tcW w:w="3860" w:type="dxa"/>
            <w:vAlign w:val="bottom"/>
          </w:tcPr>
          <w:p>
            <w:pPr>
              <w:spacing w:after="0"/>
              <w:rPr>
                <w:sz w:val="19"/>
                <w:szCs w:val="19"/>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7"/>
                <w:szCs w:val="17"/>
                <w:color w:val="auto"/>
              </w:rPr>
              <w:t>14,267</w:t>
            </w:r>
          </w:p>
        </w:tc>
        <w:tc>
          <w:tcPr>
            <w:tcW w:w="1300" w:type="dxa"/>
            <w:vAlign w:val="bottom"/>
            <w:gridSpan w:val="2"/>
          </w:tcPr>
          <w:p>
            <w:pPr>
              <w:jc w:val="right"/>
              <w:ind w:right="100"/>
              <w:spacing w:after="0"/>
              <w:rPr>
                <w:sz w:val="20"/>
                <w:szCs w:val="20"/>
                <w:color w:val="auto"/>
              </w:rPr>
            </w:pPr>
            <w:r>
              <w:rPr>
                <w:rFonts w:ascii="Arial" w:cs="Arial" w:eastAsia="Arial" w:hAnsi="Arial"/>
                <w:sz w:val="17"/>
                <w:szCs w:val="17"/>
                <w:color w:val="auto"/>
              </w:rPr>
              <w:t>13,501</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4360" w:type="dxa"/>
            <w:vAlign w:val="bottom"/>
            <w:vMerge w:val="restart"/>
            <w:shd w:val="clear" w:color="auto" w:fill="CCEEFF"/>
          </w:tcPr>
          <w:p>
            <w:pPr>
              <w:spacing w:after="0"/>
              <w:rPr>
                <w:sz w:val="20"/>
                <w:szCs w:val="20"/>
                <w:color w:val="auto"/>
              </w:rPr>
            </w:pPr>
            <w:r>
              <w:rPr>
                <w:rFonts w:ascii="Arial" w:cs="Arial" w:eastAsia="Arial" w:hAnsi="Arial"/>
                <w:sz w:val="17"/>
                <w:szCs w:val="17"/>
                <w:b w:val="1"/>
                <w:bCs w:val="1"/>
                <w:color w:val="auto"/>
              </w:rPr>
              <w:t>Total</w:t>
            </w:r>
          </w:p>
        </w:tc>
        <w:tc>
          <w:tcPr>
            <w:tcW w:w="3860" w:type="dxa"/>
            <w:vAlign w:val="bottom"/>
            <w:shd w:val="clear" w:color="auto" w:fill="CCEEFF"/>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320" w:type="dxa"/>
            <w:vAlign w:val="bottom"/>
          </w:tcPr>
          <w:p>
            <w:pPr>
              <w:spacing w:after="0"/>
              <w:rPr>
                <w:sz w:val="18"/>
                <w:szCs w:val="18"/>
                <w:color w:val="auto"/>
              </w:rPr>
            </w:pPr>
          </w:p>
        </w:tc>
        <w:tc>
          <w:tcPr>
            <w:tcW w:w="4360" w:type="dxa"/>
            <w:vAlign w:val="bottom"/>
            <w:vMerge w:val="continue"/>
            <w:shd w:val="clear" w:color="auto" w:fill="CCEEFF"/>
          </w:tcPr>
          <w:p>
            <w:pPr>
              <w:spacing w:after="0"/>
              <w:rPr>
                <w:sz w:val="18"/>
                <w:szCs w:val="18"/>
                <w:color w:val="auto"/>
              </w:rPr>
            </w:pPr>
          </w:p>
        </w:tc>
        <w:tc>
          <w:tcPr>
            <w:tcW w:w="38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279,240</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145,263</w:t>
            </w:r>
          </w:p>
        </w:tc>
        <w:tc>
          <w:tcPr>
            <w:tcW w:w="100" w:type="dxa"/>
            <w:vAlign w:val="bottom"/>
            <w:shd w:val="clear" w:color="auto" w:fill="CCEEFF"/>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4360" w:type="dxa"/>
            <w:vAlign w:val="bottom"/>
            <w:tcBorders>
              <w:top w:val="single" w:sz="8" w:color="CCEEFF"/>
            </w:tcBorders>
          </w:tcPr>
          <w:p>
            <w:pPr>
              <w:spacing w:after="0" w:line="20" w:lineRule="exact"/>
              <w:rPr>
                <w:sz w:val="1"/>
                <w:szCs w:val="1"/>
                <w:color w:val="auto"/>
              </w:rPr>
            </w:pPr>
          </w:p>
        </w:tc>
        <w:tc>
          <w:tcPr>
            <w:tcW w:w="386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320" w:type="dxa"/>
            <w:vAlign w:val="bottom"/>
          </w:tcPr>
          <w:p>
            <w:pPr>
              <w:spacing w:after="0"/>
              <w:rPr>
                <w:sz w:val="16"/>
                <w:szCs w:val="16"/>
                <w:color w:val="auto"/>
              </w:rPr>
            </w:pPr>
          </w:p>
        </w:tc>
        <w:tc>
          <w:tcPr>
            <w:tcW w:w="4360" w:type="dxa"/>
            <w:vAlign w:val="bottom"/>
          </w:tcPr>
          <w:p>
            <w:pPr>
              <w:spacing w:after="0"/>
              <w:rPr>
                <w:sz w:val="16"/>
                <w:szCs w:val="16"/>
                <w:color w:val="auto"/>
              </w:rPr>
            </w:pPr>
          </w:p>
        </w:tc>
        <w:tc>
          <w:tcPr>
            <w:tcW w:w="38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320" w:type="dxa"/>
            <w:vAlign w:val="bottom"/>
          </w:tcPr>
          <w:p>
            <w:pPr>
              <w:spacing w:after="0"/>
              <w:rPr>
                <w:sz w:val="19"/>
                <w:szCs w:val="19"/>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7"/>
                <w:szCs w:val="17"/>
                <w:color w:val="auto"/>
              </w:rPr>
              <w:t>Restricted Mutual Funds</w:t>
            </w:r>
          </w:p>
        </w:tc>
        <w:tc>
          <w:tcPr>
            <w:tcW w:w="5280" w:type="dxa"/>
            <w:vAlign w:val="bottom"/>
            <w:gridSpan w:val="3"/>
            <w:shd w:val="clear" w:color="auto" w:fill="CCEEFF"/>
          </w:tcPr>
          <w:p>
            <w:pPr>
              <w:jc w:val="right"/>
              <w:ind w:right="200"/>
              <w:spacing w:after="0"/>
              <w:rPr>
                <w:sz w:val="20"/>
                <w:szCs w:val="20"/>
                <w:color w:val="auto"/>
              </w:rPr>
            </w:pPr>
            <w:r>
              <w:rPr>
                <w:rFonts w:ascii="Arial" w:cs="Arial" w:eastAsia="Arial" w:hAnsi="Arial"/>
                <w:sz w:val="17"/>
                <w:szCs w:val="17"/>
                <w:color w:val="auto"/>
              </w:rPr>
              <w:t>416,696</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368,418</w:t>
            </w:r>
          </w:p>
        </w:tc>
        <w:tc>
          <w:tcPr>
            <w:tcW w:w="100" w:type="dxa"/>
            <w:vAlign w:val="bottom"/>
            <w:shd w:val="clear" w:color="auto" w:fill="CCEEFF"/>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17"/>
        </w:trPr>
        <w:tc>
          <w:tcPr>
            <w:tcW w:w="320" w:type="dxa"/>
            <w:vAlign w:val="bottom"/>
            <w:tcBorders>
              <w:bottom w:val="single" w:sz="8" w:color="auto"/>
            </w:tcBorders>
          </w:tcPr>
          <w:p>
            <w:pPr>
              <w:spacing w:after="0"/>
              <w:rPr>
                <w:sz w:val="24"/>
                <w:szCs w:val="24"/>
                <w:color w:val="auto"/>
              </w:rPr>
            </w:pPr>
          </w:p>
        </w:tc>
        <w:tc>
          <w:tcPr>
            <w:tcW w:w="4360" w:type="dxa"/>
            <w:vAlign w:val="bottom"/>
            <w:tcBorders>
              <w:bottom w:val="single" w:sz="8" w:color="auto"/>
            </w:tcBorders>
          </w:tcPr>
          <w:p>
            <w:pPr>
              <w:spacing w:after="0"/>
              <w:rPr>
                <w:sz w:val="24"/>
                <w:szCs w:val="24"/>
                <w:color w:val="auto"/>
              </w:rPr>
            </w:pPr>
          </w:p>
        </w:tc>
        <w:tc>
          <w:tcPr>
            <w:tcW w:w="3860" w:type="dxa"/>
            <w:vAlign w:val="bottom"/>
            <w:tcBorders>
              <w:bottom w:val="single" w:sz="8" w:color="auto"/>
            </w:tcBorders>
          </w:tcPr>
          <w:p>
            <w:pPr>
              <w:jc w:val="right"/>
              <w:ind w:right="2493"/>
              <w:spacing w:after="0"/>
              <w:rPr>
                <w:sz w:val="20"/>
                <w:szCs w:val="20"/>
                <w:color w:val="auto"/>
              </w:rPr>
            </w:pPr>
            <w:r>
              <w:rPr>
                <w:rFonts w:ascii="Arial" w:cs="Arial" w:eastAsia="Arial" w:hAnsi="Arial"/>
                <w:sz w:val="17"/>
                <w:szCs w:val="17"/>
                <w:color w:val="auto"/>
              </w:rPr>
              <w:t>- 108 -</w:t>
            </w:r>
          </w:p>
        </w:tc>
        <w:tc>
          <w:tcPr>
            <w:tcW w:w="1220" w:type="dxa"/>
            <w:vAlign w:val="bottom"/>
            <w:tcBorders>
              <w:top w:val="single" w:sz="8" w:color="auto"/>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81" w:right="239" w:bottom="1440" w:gutter="0" w:footer="0" w:header="0"/>
        </w:sectPr>
      </w:pPr>
    </w:p>
    <w:bookmarkStart w:id="114" w:name="page115"/>
    <w:bookmarkEnd w:id="114"/>
    <w:p>
      <w:pPr>
        <w:spacing w:after="0"/>
        <w:tabs>
          <w:tab w:leader="none" w:pos="300" w:val="left"/>
        </w:tabs>
        <w:rPr>
          <w:sz w:val="20"/>
          <w:szCs w:val="20"/>
          <w:color w:val="auto"/>
        </w:rPr>
      </w:pPr>
      <w:r>
        <w:rPr>
          <w:rFonts w:ascii="Arial" w:cs="Arial" w:eastAsia="Arial" w:hAnsi="Arial"/>
          <w:sz w:val="17"/>
          <w:szCs w:val="17"/>
          <w:b w:val="1"/>
          <w:bCs w:val="1"/>
          <w:color w:val="auto"/>
        </w:rPr>
        <w:t>31</w:t>
        <w:tab/>
        <w:t>FINANCIAL INSTRUMENTS CLASSIFICATION</w:t>
      </w:r>
    </w:p>
    <w:p>
      <w:pPr>
        <w:spacing w:after="0" w:line="226" w:lineRule="exact"/>
        <w:rPr>
          <w:sz w:val="20"/>
          <w:szCs w:val="20"/>
          <w:color w:val="auto"/>
        </w:rPr>
      </w:pPr>
    </w:p>
    <w:p>
      <w:pPr>
        <w:ind w:right="600"/>
        <w:spacing w:after="0" w:line="285" w:lineRule="auto"/>
        <w:rPr>
          <w:sz w:val="20"/>
          <w:szCs w:val="20"/>
          <w:color w:val="auto"/>
        </w:rPr>
      </w:pPr>
      <w:r>
        <w:rPr>
          <w:rFonts w:ascii="Arial" w:cs="Arial" w:eastAsia="Arial" w:hAnsi="Arial"/>
          <w:sz w:val="17"/>
          <w:szCs w:val="17"/>
          <w:color w:val="auto"/>
        </w:rPr>
        <w:t>The table below shows the carrying amounts of the financial assets and liabilities captions in the consolidated statement of financial position, by categories as defined under IAS 39:</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780" w:type="dxa"/>
            <w:vAlign w:val="bottom"/>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240" w:type="dxa"/>
            <w:vAlign w:val="bottom"/>
            <w:tcBorders>
              <w:bottom w:val="single" w:sz="8" w:color="auto"/>
            </w:tcBorders>
            <w:gridSpan w:val="6"/>
          </w:tcPr>
          <w:p>
            <w:pPr>
              <w:jc w:val="center"/>
              <w:ind w:right="80"/>
              <w:spacing w:after="0"/>
              <w:rPr>
                <w:sz w:val="20"/>
                <w:szCs w:val="20"/>
                <w:color w:val="auto"/>
              </w:rPr>
            </w:pPr>
            <w:r>
              <w:rPr>
                <w:rFonts w:ascii="Arial" w:cs="Arial" w:eastAsia="Arial" w:hAnsi="Arial"/>
                <w:sz w:val="12"/>
                <w:szCs w:val="12"/>
                <w:b w:val="1"/>
                <w:bCs w:val="1"/>
                <w:color w:val="auto"/>
                <w:w w:val="90"/>
              </w:rPr>
              <w:t>At December 31, 2017</w:t>
            </w:r>
          </w:p>
        </w:tc>
        <w:tc>
          <w:tcPr>
            <w:tcW w:w="7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240" w:type="dxa"/>
            <w:vAlign w:val="bottom"/>
            <w:tcBorders>
              <w:bottom w:val="single" w:sz="8" w:color="auto"/>
            </w:tcBorders>
            <w:gridSpan w:val="6"/>
          </w:tcPr>
          <w:p>
            <w:pPr>
              <w:jc w:val="center"/>
              <w:ind w:right="60"/>
              <w:spacing w:after="0"/>
              <w:rPr>
                <w:sz w:val="20"/>
                <w:szCs w:val="20"/>
                <w:color w:val="auto"/>
              </w:rPr>
            </w:pPr>
            <w:r>
              <w:rPr>
                <w:rFonts w:ascii="Arial" w:cs="Arial" w:eastAsia="Arial" w:hAnsi="Arial"/>
                <w:sz w:val="12"/>
                <w:szCs w:val="12"/>
                <w:b w:val="1"/>
                <w:bCs w:val="1"/>
                <w:color w:val="auto"/>
                <w:w w:val="91"/>
              </w:rPr>
              <w:t>At December 31, 2016</w:t>
            </w:r>
          </w:p>
        </w:tc>
        <w:tc>
          <w:tcPr>
            <w:tcW w:w="7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780" w:type="dxa"/>
            <w:vAlign w:val="bottom"/>
          </w:tcPr>
          <w:p>
            <w:pPr>
              <w:spacing w:after="0"/>
              <w:rPr>
                <w:sz w:val="9"/>
                <w:szCs w:val="9"/>
                <w:color w:val="auto"/>
              </w:rPr>
            </w:pPr>
          </w:p>
        </w:tc>
        <w:tc>
          <w:tcPr>
            <w:tcW w:w="1580" w:type="dxa"/>
            <w:vAlign w:val="bottom"/>
            <w:gridSpan w:val="4"/>
          </w:tcPr>
          <w:p>
            <w:pPr>
              <w:jc w:val="center"/>
              <w:ind w:right="100"/>
              <w:spacing w:after="0" w:line="105" w:lineRule="exact"/>
              <w:rPr>
                <w:sz w:val="20"/>
                <w:szCs w:val="20"/>
                <w:color w:val="auto"/>
              </w:rPr>
            </w:pPr>
            <w:r>
              <w:rPr>
                <w:rFonts w:ascii="Arial" w:cs="Arial" w:eastAsia="Arial" w:hAnsi="Arial"/>
                <w:sz w:val="12"/>
                <w:szCs w:val="12"/>
                <w:b w:val="1"/>
                <w:bCs w:val="1"/>
                <w:color w:val="auto"/>
                <w:w w:val="88"/>
              </w:rPr>
              <w:t>Financial assets and</w:t>
            </w: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1560" w:type="dxa"/>
            <w:vAlign w:val="bottom"/>
            <w:gridSpan w:val="5"/>
          </w:tcPr>
          <w:p>
            <w:pPr>
              <w:jc w:val="right"/>
              <w:ind w:right="320"/>
              <w:spacing w:after="0" w:line="105" w:lineRule="exact"/>
              <w:rPr>
                <w:sz w:val="20"/>
                <w:szCs w:val="20"/>
                <w:color w:val="auto"/>
              </w:rPr>
            </w:pPr>
            <w:r>
              <w:rPr>
                <w:rFonts w:ascii="Arial" w:cs="Arial" w:eastAsia="Arial" w:hAnsi="Arial"/>
                <w:sz w:val="12"/>
                <w:szCs w:val="12"/>
                <w:b w:val="1"/>
                <w:bCs w:val="1"/>
                <w:color w:val="auto"/>
              </w:rPr>
              <w:t>Financial assets and</w:t>
            </w: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780" w:type="dxa"/>
            <w:vAlign w:val="bottom"/>
          </w:tcPr>
          <w:p>
            <w:pPr>
              <w:spacing w:after="0"/>
              <w:rPr>
                <w:sz w:val="11"/>
                <w:szCs w:val="11"/>
                <w:color w:val="auto"/>
              </w:rPr>
            </w:pPr>
          </w:p>
        </w:tc>
        <w:tc>
          <w:tcPr>
            <w:tcW w:w="1580" w:type="dxa"/>
            <w:vAlign w:val="bottom"/>
            <w:gridSpan w:val="4"/>
          </w:tcPr>
          <w:p>
            <w:pPr>
              <w:jc w:val="center"/>
              <w:ind w:right="100"/>
              <w:spacing w:after="0" w:line="130" w:lineRule="exact"/>
              <w:rPr>
                <w:sz w:val="20"/>
                <w:szCs w:val="20"/>
                <w:color w:val="auto"/>
              </w:rPr>
            </w:pPr>
            <w:r>
              <w:rPr>
                <w:rFonts w:ascii="Arial" w:cs="Arial" w:eastAsia="Arial" w:hAnsi="Arial"/>
                <w:sz w:val="12"/>
                <w:szCs w:val="12"/>
                <w:b w:val="1"/>
                <w:bCs w:val="1"/>
                <w:color w:val="auto"/>
                <w:w w:val="92"/>
              </w:rPr>
              <w:t>liabilities measured at fair</w:t>
            </w: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560" w:type="dxa"/>
            <w:vAlign w:val="bottom"/>
            <w:gridSpan w:val="5"/>
          </w:tcPr>
          <w:p>
            <w:pPr>
              <w:jc w:val="right"/>
              <w:ind w:right="160"/>
              <w:spacing w:after="0" w:line="130" w:lineRule="exact"/>
              <w:rPr>
                <w:sz w:val="20"/>
                <w:szCs w:val="20"/>
                <w:color w:val="auto"/>
              </w:rPr>
            </w:pPr>
            <w:r>
              <w:rPr>
                <w:rFonts w:ascii="Arial" w:cs="Arial" w:eastAsia="Arial" w:hAnsi="Arial"/>
                <w:sz w:val="12"/>
                <w:szCs w:val="12"/>
                <w:b w:val="1"/>
                <w:bCs w:val="1"/>
                <w:color w:val="auto"/>
                <w:w w:val="93"/>
              </w:rPr>
              <w:t>liabilities measured at fair</w:t>
            </w: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780" w:type="dxa"/>
            <w:vAlign w:val="bottom"/>
          </w:tcPr>
          <w:p>
            <w:pPr>
              <w:spacing w:after="0"/>
              <w:rPr>
                <w:sz w:val="12"/>
                <w:szCs w:val="12"/>
                <w:color w:val="auto"/>
              </w:rPr>
            </w:pPr>
          </w:p>
        </w:tc>
        <w:tc>
          <w:tcPr>
            <w:tcW w:w="9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2"/>
                <w:szCs w:val="12"/>
                <w:b w:val="1"/>
                <w:bCs w:val="1"/>
                <w:color w:val="auto"/>
              </w:rPr>
              <w:t>value</w:t>
            </w:r>
          </w:p>
        </w:tc>
        <w:tc>
          <w:tcPr>
            <w:tcW w:w="60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vMerge w:val="restart"/>
          </w:tcPr>
          <w:p>
            <w:pPr>
              <w:jc w:val="right"/>
              <w:ind w:right="120"/>
              <w:spacing w:after="0"/>
              <w:rPr>
                <w:sz w:val="20"/>
                <w:szCs w:val="20"/>
                <w:color w:val="auto"/>
              </w:rPr>
            </w:pPr>
            <w:r>
              <w:rPr>
                <w:rFonts w:ascii="Arial" w:cs="Arial" w:eastAsia="Arial" w:hAnsi="Arial"/>
                <w:sz w:val="12"/>
                <w:szCs w:val="12"/>
                <w:b w:val="1"/>
                <w:bCs w:val="1"/>
                <w:color w:val="auto"/>
                <w:w w:val="91"/>
              </w:rPr>
              <w:t>Investments</w:t>
            </w:r>
          </w:p>
        </w:tc>
        <w:tc>
          <w:tcPr>
            <w:tcW w:w="740" w:type="dxa"/>
            <w:vAlign w:val="bottom"/>
            <w:gridSpan w:val="2"/>
            <w:vMerge w:val="restart"/>
          </w:tcPr>
          <w:p>
            <w:pPr>
              <w:jc w:val="center"/>
              <w:ind w:right="80"/>
              <w:spacing w:after="0"/>
              <w:rPr>
                <w:sz w:val="20"/>
                <w:szCs w:val="20"/>
                <w:color w:val="auto"/>
              </w:rPr>
            </w:pPr>
            <w:r>
              <w:rPr>
                <w:rFonts w:ascii="Arial" w:cs="Arial" w:eastAsia="Arial" w:hAnsi="Arial"/>
                <w:sz w:val="12"/>
                <w:szCs w:val="12"/>
                <w:b w:val="1"/>
                <w:bCs w:val="1"/>
                <w:color w:val="auto"/>
                <w:w w:val="88"/>
              </w:rPr>
              <w:t>Investments</w:t>
            </w:r>
          </w:p>
        </w:tc>
        <w:tc>
          <w:tcPr>
            <w:tcW w:w="840" w:type="dxa"/>
            <w:vAlign w:val="bottom"/>
            <w:gridSpan w:val="2"/>
            <w:vMerge w:val="restart"/>
          </w:tcPr>
          <w:p>
            <w:pPr>
              <w:jc w:val="right"/>
              <w:ind w:right="160"/>
              <w:spacing w:after="0"/>
              <w:rPr>
                <w:sz w:val="20"/>
                <w:szCs w:val="20"/>
                <w:color w:val="auto"/>
              </w:rPr>
            </w:pPr>
            <w:r>
              <w:rPr>
                <w:rFonts w:ascii="Arial" w:cs="Arial" w:eastAsia="Arial" w:hAnsi="Arial"/>
                <w:sz w:val="12"/>
                <w:szCs w:val="12"/>
                <w:b w:val="1"/>
                <w:bCs w:val="1"/>
                <w:color w:val="auto"/>
                <w:w w:val="95"/>
              </w:rPr>
              <w:t>Liabilities at</w:t>
            </w: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Borders>
              <w:bottom w:val="single" w:sz="8" w:color="auto"/>
            </w:tcBorders>
            <w:gridSpan w:val="2"/>
          </w:tcPr>
          <w:p>
            <w:pPr>
              <w:ind w:left="600"/>
              <w:spacing w:after="0"/>
              <w:rPr>
                <w:sz w:val="20"/>
                <w:szCs w:val="20"/>
                <w:color w:val="auto"/>
              </w:rPr>
            </w:pPr>
            <w:r>
              <w:rPr>
                <w:rFonts w:ascii="Arial" w:cs="Arial" w:eastAsia="Arial" w:hAnsi="Arial"/>
                <w:sz w:val="12"/>
                <w:szCs w:val="12"/>
                <w:b w:val="1"/>
                <w:bCs w:val="1"/>
                <w:color w:val="auto"/>
                <w:w w:val="84"/>
              </w:rPr>
              <w:t>value</w:t>
            </w:r>
          </w:p>
        </w:tc>
        <w:tc>
          <w:tcPr>
            <w:tcW w:w="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vMerge w:val="restart"/>
          </w:tcPr>
          <w:p>
            <w:pPr>
              <w:jc w:val="center"/>
              <w:ind w:right="120"/>
              <w:spacing w:after="0"/>
              <w:rPr>
                <w:sz w:val="20"/>
                <w:szCs w:val="20"/>
                <w:color w:val="auto"/>
              </w:rPr>
            </w:pPr>
            <w:r>
              <w:rPr>
                <w:rFonts w:ascii="Arial" w:cs="Arial" w:eastAsia="Arial" w:hAnsi="Arial"/>
                <w:sz w:val="12"/>
                <w:szCs w:val="12"/>
                <w:b w:val="1"/>
                <w:bCs w:val="1"/>
                <w:color w:val="auto"/>
                <w:w w:val="88"/>
              </w:rPr>
              <w:t>Investments</w:t>
            </w:r>
          </w:p>
        </w:tc>
        <w:tc>
          <w:tcPr>
            <w:tcW w:w="720" w:type="dxa"/>
            <w:vAlign w:val="bottom"/>
            <w:gridSpan w:val="2"/>
            <w:vMerge w:val="restart"/>
          </w:tcPr>
          <w:p>
            <w:pPr>
              <w:jc w:val="center"/>
              <w:ind w:right="80"/>
              <w:spacing w:after="0"/>
              <w:rPr>
                <w:sz w:val="20"/>
                <w:szCs w:val="20"/>
                <w:color w:val="auto"/>
              </w:rPr>
            </w:pPr>
            <w:r>
              <w:rPr>
                <w:rFonts w:ascii="Arial" w:cs="Arial" w:eastAsia="Arial" w:hAnsi="Arial"/>
                <w:sz w:val="12"/>
                <w:szCs w:val="12"/>
                <w:b w:val="1"/>
                <w:bCs w:val="1"/>
                <w:color w:val="auto"/>
                <w:w w:val="91"/>
              </w:rPr>
              <w:t>Investments</w:t>
            </w:r>
          </w:p>
        </w:tc>
        <w:tc>
          <w:tcPr>
            <w:tcW w:w="860" w:type="dxa"/>
            <w:vAlign w:val="bottom"/>
            <w:gridSpan w:val="2"/>
            <w:vMerge w:val="restart"/>
          </w:tcPr>
          <w:p>
            <w:pPr>
              <w:jc w:val="right"/>
              <w:ind w:right="160"/>
              <w:spacing w:after="0"/>
              <w:rPr>
                <w:sz w:val="20"/>
                <w:szCs w:val="20"/>
                <w:color w:val="auto"/>
              </w:rPr>
            </w:pPr>
            <w:r>
              <w:rPr>
                <w:rFonts w:ascii="Arial" w:cs="Arial" w:eastAsia="Arial" w:hAnsi="Arial"/>
                <w:sz w:val="12"/>
                <w:szCs w:val="12"/>
                <w:b w:val="1"/>
                <w:bCs w:val="1"/>
                <w:color w:val="auto"/>
                <w:w w:val="97"/>
              </w:rPr>
              <w:t>Liabilities at</w:t>
            </w: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780" w:type="dxa"/>
            <w:vAlign w:val="bottom"/>
          </w:tcPr>
          <w:p>
            <w:pPr>
              <w:spacing w:after="0"/>
              <w:rPr>
                <w:sz w:val="9"/>
                <w:szCs w:val="9"/>
                <w:color w:val="auto"/>
              </w:rPr>
            </w:pPr>
          </w:p>
        </w:tc>
        <w:tc>
          <w:tcPr>
            <w:tcW w:w="900" w:type="dxa"/>
            <w:vAlign w:val="bottom"/>
            <w:gridSpan w:val="2"/>
          </w:tcPr>
          <w:p>
            <w:pPr>
              <w:jc w:val="right"/>
              <w:ind w:right="380"/>
              <w:spacing w:after="0" w:line="105" w:lineRule="exact"/>
              <w:rPr>
                <w:sz w:val="20"/>
                <w:szCs w:val="20"/>
                <w:color w:val="auto"/>
              </w:rPr>
            </w:pPr>
            <w:r>
              <w:rPr>
                <w:rFonts w:ascii="Arial" w:cs="Arial" w:eastAsia="Arial" w:hAnsi="Arial"/>
                <w:sz w:val="12"/>
                <w:szCs w:val="12"/>
                <w:b w:val="1"/>
                <w:bCs w:val="1"/>
                <w:color w:val="auto"/>
              </w:rPr>
              <w:t>Held for</w:t>
            </w: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gridSpan w:val="2"/>
            <w:vMerge w:val="continue"/>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840" w:type="dxa"/>
            <w:vAlign w:val="bottom"/>
            <w:gridSpan w:val="2"/>
            <w:vMerge w:val="continue"/>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880" w:type="dxa"/>
            <w:vAlign w:val="bottom"/>
            <w:gridSpan w:val="2"/>
          </w:tcPr>
          <w:p>
            <w:pPr>
              <w:jc w:val="right"/>
              <w:ind w:right="360"/>
              <w:spacing w:after="0" w:line="105" w:lineRule="exact"/>
              <w:rPr>
                <w:sz w:val="20"/>
                <w:szCs w:val="20"/>
                <w:color w:val="auto"/>
              </w:rPr>
            </w:pPr>
            <w:r>
              <w:rPr>
                <w:rFonts w:ascii="Arial" w:cs="Arial" w:eastAsia="Arial" w:hAnsi="Arial"/>
                <w:sz w:val="12"/>
                <w:szCs w:val="12"/>
                <w:b w:val="1"/>
                <w:bCs w:val="1"/>
                <w:color w:val="auto"/>
              </w:rPr>
              <w:t>Held for</w:t>
            </w:r>
          </w:p>
        </w:tc>
        <w:tc>
          <w:tcPr>
            <w:tcW w:w="2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gridSpan w:val="2"/>
            <w:vMerge w:val="continue"/>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860" w:type="dxa"/>
            <w:vAlign w:val="bottom"/>
            <w:gridSpan w:val="2"/>
            <w:vMerge w:val="continue"/>
          </w:tcPr>
          <w:p>
            <w:pPr>
              <w:spacing w:after="0"/>
              <w:rPr>
                <w:sz w:val="9"/>
                <w:szCs w:val="9"/>
                <w:color w:val="auto"/>
              </w:rPr>
            </w:pPr>
          </w:p>
        </w:tc>
        <w:tc>
          <w:tcPr>
            <w:tcW w:w="64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780" w:type="dxa"/>
            <w:vAlign w:val="bottom"/>
          </w:tcPr>
          <w:p>
            <w:pPr>
              <w:spacing w:after="0"/>
              <w:rPr>
                <w:sz w:val="11"/>
                <w:szCs w:val="11"/>
                <w:color w:val="auto"/>
              </w:rPr>
            </w:pPr>
          </w:p>
        </w:tc>
        <w:tc>
          <w:tcPr>
            <w:tcW w:w="900" w:type="dxa"/>
            <w:vAlign w:val="bottom"/>
            <w:gridSpan w:val="2"/>
          </w:tcPr>
          <w:p>
            <w:pPr>
              <w:jc w:val="right"/>
              <w:ind w:right="320"/>
              <w:spacing w:after="0" w:line="130" w:lineRule="exact"/>
              <w:rPr>
                <w:sz w:val="20"/>
                <w:szCs w:val="20"/>
                <w:color w:val="auto"/>
              </w:rPr>
            </w:pPr>
            <w:r>
              <w:rPr>
                <w:rFonts w:ascii="Arial" w:cs="Arial" w:eastAsia="Arial" w:hAnsi="Arial"/>
                <w:sz w:val="12"/>
                <w:szCs w:val="12"/>
                <w:b w:val="1"/>
                <w:bCs w:val="1"/>
                <w:color w:val="auto"/>
                <w:w w:val="99"/>
              </w:rPr>
              <w:t>trading or</w:t>
            </w:r>
          </w:p>
        </w:tc>
        <w:tc>
          <w:tcPr>
            <w:tcW w:w="680" w:type="dxa"/>
            <w:vAlign w:val="bottom"/>
            <w:gridSpan w:val="2"/>
          </w:tcPr>
          <w:p>
            <w:pPr>
              <w:jc w:val="center"/>
              <w:ind w:right="80"/>
              <w:spacing w:after="0" w:line="130" w:lineRule="exact"/>
              <w:rPr>
                <w:sz w:val="20"/>
                <w:szCs w:val="20"/>
                <w:color w:val="auto"/>
              </w:rPr>
            </w:pPr>
            <w:r>
              <w:rPr>
                <w:rFonts w:ascii="Arial" w:cs="Arial" w:eastAsia="Arial" w:hAnsi="Arial"/>
                <w:sz w:val="12"/>
                <w:szCs w:val="12"/>
                <w:b w:val="1"/>
                <w:bCs w:val="1"/>
                <w:color w:val="auto"/>
                <w:w w:val="86"/>
              </w:rPr>
              <w:t>Designated</w:t>
            </w: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Loans and</w:t>
            </w:r>
          </w:p>
        </w:tc>
        <w:tc>
          <w:tcPr>
            <w:tcW w:w="780" w:type="dxa"/>
            <w:vAlign w:val="bottom"/>
            <w:gridSpan w:val="2"/>
          </w:tcPr>
          <w:p>
            <w:pPr>
              <w:jc w:val="right"/>
              <w:ind w:right="200"/>
              <w:spacing w:after="0" w:line="130" w:lineRule="exact"/>
              <w:rPr>
                <w:sz w:val="20"/>
                <w:szCs w:val="20"/>
                <w:color w:val="auto"/>
              </w:rPr>
            </w:pPr>
            <w:r>
              <w:rPr>
                <w:rFonts w:ascii="Arial" w:cs="Arial" w:eastAsia="Arial" w:hAnsi="Arial"/>
                <w:sz w:val="12"/>
                <w:szCs w:val="12"/>
                <w:b w:val="1"/>
                <w:bCs w:val="1"/>
                <w:color w:val="auto"/>
              </w:rPr>
              <w:t>available</w:t>
            </w:r>
          </w:p>
        </w:tc>
        <w:tc>
          <w:tcPr>
            <w:tcW w:w="740" w:type="dxa"/>
            <w:vAlign w:val="bottom"/>
            <w:gridSpan w:val="2"/>
          </w:tcPr>
          <w:p>
            <w:pPr>
              <w:jc w:val="center"/>
              <w:ind w:right="100"/>
              <w:spacing w:after="0" w:line="130" w:lineRule="exact"/>
              <w:rPr>
                <w:sz w:val="20"/>
                <w:szCs w:val="20"/>
                <w:color w:val="auto"/>
              </w:rPr>
            </w:pPr>
            <w:r>
              <w:rPr>
                <w:rFonts w:ascii="Arial" w:cs="Arial" w:eastAsia="Arial" w:hAnsi="Arial"/>
                <w:sz w:val="12"/>
                <w:szCs w:val="12"/>
                <w:b w:val="1"/>
                <w:bCs w:val="1"/>
                <w:color w:val="auto"/>
                <w:w w:val="90"/>
              </w:rPr>
              <w:t>held-to-</w:t>
            </w:r>
          </w:p>
        </w:tc>
        <w:tc>
          <w:tcPr>
            <w:tcW w:w="840" w:type="dxa"/>
            <w:vAlign w:val="bottom"/>
            <w:gridSpan w:val="2"/>
          </w:tcPr>
          <w:p>
            <w:pPr>
              <w:jc w:val="right"/>
              <w:ind w:right="220"/>
              <w:spacing w:after="0" w:line="130" w:lineRule="exact"/>
              <w:rPr>
                <w:sz w:val="20"/>
                <w:szCs w:val="20"/>
                <w:color w:val="auto"/>
              </w:rPr>
            </w:pPr>
            <w:r>
              <w:rPr>
                <w:rFonts w:ascii="Arial" w:cs="Arial" w:eastAsia="Arial" w:hAnsi="Arial"/>
                <w:sz w:val="12"/>
                <w:szCs w:val="12"/>
                <w:b w:val="1"/>
                <w:bCs w:val="1"/>
                <w:color w:val="auto"/>
              </w:rPr>
              <w:t>amortized</w:t>
            </w: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trading or</w:t>
            </w:r>
          </w:p>
        </w:tc>
        <w:tc>
          <w:tcPr>
            <w:tcW w:w="20" w:type="dxa"/>
            <w:vAlign w:val="bottom"/>
          </w:tcPr>
          <w:p>
            <w:pPr>
              <w:spacing w:after="0"/>
              <w:rPr>
                <w:sz w:val="11"/>
                <w:szCs w:val="11"/>
                <w:color w:val="auto"/>
              </w:rPr>
            </w:pPr>
          </w:p>
        </w:tc>
        <w:tc>
          <w:tcPr>
            <w:tcW w:w="660" w:type="dxa"/>
            <w:vAlign w:val="bottom"/>
            <w:gridSpan w:val="2"/>
          </w:tcPr>
          <w:p>
            <w:pPr>
              <w:jc w:val="center"/>
              <w:ind w:right="80"/>
              <w:spacing w:after="0" w:line="130" w:lineRule="exact"/>
              <w:rPr>
                <w:sz w:val="20"/>
                <w:szCs w:val="20"/>
                <w:color w:val="auto"/>
              </w:rPr>
            </w:pPr>
            <w:r>
              <w:rPr>
                <w:rFonts w:ascii="Arial" w:cs="Arial" w:eastAsia="Arial" w:hAnsi="Arial"/>
                <w:sz w:val="12"/>
                <w:szCs w:val="12"/>
                <w:b w:val="1"/>
                <w:bCs w:val="1"/>
                <w:color w:val="auto"/>
                <w:w w:val="89"/>
              </w:rPr>
              <w:t>Designated</w:t>
            </w:r>
          </w:p>
        </w:tc>
        <w:tc>
          <w:tcPr>
            <w:tcW w:w="7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Loans and</w:t>
            </w:r>
          </w:p>
        </w:tc>
        <w:tc>
          <w:tcPr>
            <w:tcW w:w="780" w:type="dxa"/>
            <w:vAlign w:val="bottom"/>
            <w:gridSpan w:val="2"/>
          </w:tcPr>
          <w:p>
            <w:pPr>
              <w:jc w:val="center"/>
              <w:ind w:right="120"/>
              <w:spacing w:after="0" w:line="130" w:lineRule="exact"/>
              <w:rPr>
                <w:sz w:val="20"/>
                <w:szCs w:val="20"/>
                <w:color w:val="auto"/>
              </w:rPr>
            </w:pPr>
            <w:r>
              <w:rPr>
                <w:rFonts w:ascii="Arial" w:cs="Arial" w:eastAsia="Arial" w:hAnsi="Arial"/>
                <w:sz w:val="12"/>
                <w:szCs w:val="12"/>
                <w:b w:val="1"/>
                <w:bCs w:val="1"/>
                <w:color w:val="auto"/>
                <w:w w:val="90"/>
              </w:rPr>
              <w:t>available</w:t>
            </w:r>
          </w:p>
        </w:tc>
        <w:tc>
          <w:tcPr>
            <w:tcW w:w="720" w:type="dxa"/>
            <w:vAlign w:val="bottom"/>
            <w:gridSpan w:val="2"/>
          </w:tcPr>
          <w:p>
            <w:pPr>
              <w:jc w:val="center"/>
              <w:ind w:right="80"/>
              <w:spacing w:after="0" w:line="130" w:lineRule="exact"/>
              <w:rPr>
                <w:sz w:val="20"/>
                <w:szCs w:val="20"/>
                <w:color w:val="auto"/>
              </w:rPr>
            </w:pPr>
            <w:r>
              <w:rPr>
                <w:rFonts w:ascii="Arial" w:cs="Arial" w:eastAsia="Arial" w:hAnsi="Arial"/>
                <w:sz w:val="12"/>
                <w:szCs w:val="12"/>
                <w:b w:val="1"/>
                <w:bCs w:val="1"/>
                <w:color w:val="auto"/>
                <w:w w:val="90"/>
              </w:rPr>
              <w:t>held-to-</w:t>
            </w:r>
          </w:p>
        </w:tc>
        <w:tc>
          <w:tcPr>
            <w:tcW w:w="860" w:type="dxa"/>
            <w:vAlign w:val="bottom"/>
            <w:gridSpan w:val="2"/>
          </w:tcPr>
          <w:p>
            <w:pPr>
              <w:jc w:val="right"/>
              <w:ind w:right="220"/>
              <w:spacing w:after="0" w:line="130" w:lineRule="exact"/>
              <w:rPr>
                <w:sz w:val="20"/>
                <w:szCs w:val="20"/>
                <w:color w:val="auto"/>
              </w:rPr>
            </w:pPr>
            <w:r>
              <w:rPr>
                <w:rFonts w:ascii="Arial" w:cs="Arial" w:eastAsia="Arial" w:hAnsi="Arial"/>
                <w:sz w:val="12"/>
                <w:szCs w:val="12"/>
                <w:b w:val="1"/>
                <w:bCs w:val="1"/>
                <w:color w:val="auto"/>
              </w:rPr>
              <w:t>amortized</w:t>
            </w: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780" w:type="dxa"/>
            <w:vAlign w:val="bottom"/>
          </w:tcPr>
          <w:p>
            <w:pPr>
              <w:spacing w:after="0"/>
              <w:rPr>
                <w:sz w:val="12"/>
                <w:szCs w:val="12"/>
                <w:color w:val="auto"/>
              </w:rPr>
            </w:pPr>
          </w:p>
        </w:tc>
        <w:tc>
          <w:tcPr>
            <w:tcW w:w="900" w:type="dxa"/>
            <w:vAlign w:val="bottom"/>
            <w:gridSpan w:val="2"/>
          </w:tcPr>
          <w:p>
            <w:pPr>
              <w:jc w:val="right"/>
              <w:ind w:right="380"/>
              <w:spacing w:after="0"/>
              <w:rPr>
                <w:sz w:val="20"/>
                <w:szCs w:val="20"/>
                <w:color w:val="auto"/>
              </w:rPr>
            </w:pPr>
            <w:r>
              <w:rPr>
                <w:rFonts w:ascii="Arial" w:cs="Arial" w:eastAsia="Arial" w:hAnsi="Arial"/>
                <w:sz w:val="12"/>
                <w:szCs w:val="12"/>
                <w:b w:val="1"/>
                <w:bCs w:val="1"/>
                <w:color w:val="auto"/>
              </w:rPr>
              <w:t>hedging</w:t>
            </w:r>
          </w:p>
        </w:tc>
        <w:tc>
          <w:tcPr>
            <w:tcW w:w="680" w:type="dxa"/>
            <w:vAlign w:val="bottom"/>
            <w:gridSpan w:val="2"/>
          </w:tcPr>
          <w:p>
            <w:pPr>
              <w:jc w:val="center"/>
              <w:ind w:right="80"/>
              <w:spacing w:after="0"/>
              <w:rPr>
                <w:sz w:val="20"/>
                <w:szCs w:val="20"/>
                <w:color w:val="auto"/>
              </w:rPr>
            </w:pPr>
            <w:r>
              <w:rPr>
                <w:rFonts w:ascii="Arial" w:cs="Arial" w:eastAsia="Arial" w:hAnsi="Arial"/>
                <w:sz w:val="12"/>
                <w:szCs w:val="12"/>
                <w:b w:val="1"/>
                <w:bCs w:val="1"/>
                <w:color w:val="auto"/>
                <w:w w:val="89"/>
              </w:rPr>
              <w:t>at inception</w:t>
            </w: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receivables</w:t>
            </w:r>
          </w:p>
        </w:tc>
        <w:tc>
          <w:tcPr>
            <w:tcW w:w="780" w:type="dxa"/>
            <w:vAlign w:val="bottom"/>
            <w:gridSpan w:val="2"/>
          </w:tcPr>
          <w:p>
            <w:pPr>
              <w:jc w:val="center"/>
              <w:ind w:right="80"/>
              <w:spacing w:after="0"/>
              <w:rPr>
                <w:sz w:val="20"/>
                <w:szCs w:val="20"/>
                <w:color w:val="auto"/>
              </w:rPr>
            </w:pPr>
            <w:r>
              <w:rPr>
                <w:rFonts w:ascii="Arial" w:cs="Arial" w:eastAsia="Arial" w:hAnsi="Arial"/>
                <w:sz w:val="12"/>
                <w:szCs w:val="12"/>
                <w:b w:val="1"/>
                <w:bCs w:val="1"/>
                <w:color w:val="auto"/>
                <w:w w:val="87"/>
              </w:rPr>
              <w:t>for-sale</w:t>
            </w:r>
          </w:p>
        </w:tc>
        <w:tc>
          <w:tcPr>
            <w:tcW w:w="740" w:type="dxa"/>
            <w:vAlign w:val="bottom"/>
            <w:gridSpan w:val="2"/>
          </w:tcPr>
          <w:p>
            <w:pPr>
              <w:jc w:val="center"/>
              <w:ind w:right="80"/>
              <w:spacing w:after="0"/>
              <w:rPr>
                <w:sz w:val="20"/>
                <w:szCs w:val="20"/>
                <w:color w:val="auto"/>
              </w:rPr>
            </w:pPr>
            <w:r>
              <w:rPr>
                <w:rFonts w:ascii="Arial" w:cs="Arial" w:eastAsia="Arial" w:hAnsi="Arial"/>
                <w:sz w:val="12"/>
                <w:szCs w:val="12"/>
                <w:b w:val="1"/>
                <w:bCs w:val="1"/>
                <w:color w:val="auto"/>
                <w:w w:val="97"/>
              </w:rPr>
              <w:t>maturity</w:t>
            </w:r>
          </w:p>
        </w:tc>
        <w:tc>
          <w:tcPr>
            <w:tcW w:w="840" w:type="dxa"/>
            <w:vAlign w:val="bottom"/>
            <w:gridSpan w:val="2"/>
          </w:tcPr>
          <w:p>
            <w:pPr>
              <w:jc w:val="right"/>
              <w:ind w:right="360"/>
              <w:spacing w:after="0"/>
              <w:rPr>
                <w:sz w:val="20"/>
                <w:szCs w:val="20"/>
                <w:color w:val="auto"/>
              </w:rPr>
            </w:pPr>
            <w:r>
              <w:rPr>
                <w:rFonts w:ascii="Arial" w:cs="Arial" w:eastAsia="Arial" w:hAnsi="Arial"/>
                <w:sz w:val="12"/>
                <w:szCs w:val="12"/>
                <w:b w:val="1"/>
                <w:bCs w:val="1"/>
                <w:color w:val="auto"/>
              </w:rPr>
              <w:t>cost</w:t>
            </w:r>
          </w:p>
        </w:tc>
        <w:tc>
          <w:tcPr>
            <w:tcW w:w="740" w:type="dxa"/>
            <w:vAlign w:val="bottom"/>
            <w:gridSpan w:val="2"/>
          </w:tcPr>
          <w:p>
            <w:pPr>
              <w:ind w:left="200"/>
              <w:spacing w:after="0"/>
              <w:rPr>
                <w:sz w:val="20"/>
                <w:szCs w:val="20"/>
                <w:color w:val="auto"/>
              </w:rPr>
            </w:pPr>
            <w:r>
              <w:rPr>
                <w:rFonts w:ascii="Arial" w:cs="Arial" w:eastAsia="Arial" w:hAnsi="Arial"/>
                <w:sz w:val="12"/>
                <w:szCs w:val="12"/>
                <w:b w:val="1"/>
                <w:bCs w:val="1"/>
                <w:color w:val="auto"/>
              </w:rPr>
              <w:t>Total</w:t>
            </w:r>
          </w:p>
        </w:tc>
        <w:tc>
          <w:tcPr>
            <w:tcW w:w="880" w:type="dxa"/>
            <w:vAlign w:val="bottom"/>
            <w:gridSpan w:val="2"/>
          </w:tcPr>
          <w:p>
            <w:pPr>
              <w:jc w:val="right"/>
              <w:ind w:right="360"/>
              <w:spacing w:after="0"/>
              <w:rPr>
                <w:sz w:val="20"/>
                <w:szCs w:val="20"/>
                <w:color w:val="auto"/>
              </w:rPr>
            </w:pPr>
            <w:r>
              <w:rPr>
                <w:rFonts w:ascii="Arial" w:cs="Arial" w:eastAsia="Arial" w:hAnsi="Arial"/>
                <w:sz w:val="12"/>
                <w:szCs w:val="12"/>
                <w:b w:val="1"/>
                <w:bCs w:val="1"/>
                <w:color w:val="auto"/>
              </w:rPr>
              <w:t>hedging</w:t>
            </w:r>
          </w:p>
        </w:tc>
        <w:tc>
          <w:tcPr>
            <w:tcW w:w="680" w:type="dxa"/>
            <w:vAlign w:val="bottom"/>
            <w:gridSpan w:val="3"/>
          </w:tcPr>
          <w:p>
            <w:pPr>
              <w:jc w:val="center"/>
              <w:ind w:right="40"/>
              <w:spacing w:after="0"/>
              <w:rPr>
                <w:sz w:val="20"/>
                <w:szCs w:val="20"/>
                <w:color w:val="auto"/>
              </w:rPr>
            </w:pPr>
            <w:r>
              <w:rPr>
                <w:rFonts w:ascii="Arial" w:cs="Arial" w:eastAsia="Arial" w:hAnsi="Arial"/>
                <w:sz w:val="12"/>
                <w:szCs w:val="12"/>
                <w:b w:val="1"/>
                <w:bCs w:val="1"/>
                <w:color w:val="auto"/>
                <w:w w:val="89"/>
              </w:rPr>
              <w:t>at inception</w:t>
            </w: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receivables</w:t>
            </w:r>
          </w:p>
        </w:tc>
        <w:tc>
          <w:tcPr>
            <w:tcW w:w="780" w:type="dxa"/>
            <w:vAlign w:val="bottom"/>
            <w:gridSpan w:val="2"/>
          </w:tcPr>
          <w:p>
            <w:pPr>
              <w:jc w:val="center"/>
              <w:ind w:right="80"/>
              <w:spacing w:after="0"/>
              <w:rPr>
                <w:sz w:val="20"/>
                <w:szCs w:val="20"/>
                <w:color w:val="auto"/>
              </w:rPr>
            </w:pPr>
            <w:r>
              <w:rPr>
                <w:rFonts w:ascii="Arial" w:cs="Arial" w:eastAsia="Arial" w:hAnsi="Arial"/>
                <w:sz w:val="12"/>
                <w:szCs w:val="12"/>
                <w:b w:val="1"/>
                <w:bCs w:val="1"/>
                <w:color w:val="auto"/>
                <w:w w:val="87"/>
              </w:rPr>
              <w:t>for-sale</w:t>
            </w:r>
          </w:p>
        </w:tc>
        <w:tc>
          <w:tcPr>
            <w:tcW w:w="720" w:type="dxa"/>
            <w:vAlign w:val="bottom"/>
            <w:gridSpan w:val="2"/>
          </w:tcPr>
          <w:p>
            <w:pPr>
              <w:jc w:val="center"/>
              <w:ind w:right="80"/>
              <w:spacing w:after="0"/>
              <w:rPr>
                <w:sz w:val="20"/>
                <w:szCs w:val="20"/>
                <w:color w:val="auto"/>
              </w:rPr>
            </w:pPr>
            <w:r>
              <w:rPr>
                <w:rFonts w:ascii="Arial" w:cs="Arial" w:eastAsia="Arial" w:hAnsi="Arial"/>
                <w:sz w:val="12"/>
                <w:szCs w:val="12"/>
                <w:b w:val="1"/>
                <w:bCs w:val="1"/>
                <w:color w:val="auto"/>
                <w:w w:val="92"/>
              </w:rPr>
              <w:t>maturity</w:t>
            </w:r>
          </w:p>
        </w:tc>
        <w:tc>
          <w:tcPr>
            <w:tcW w:w="860" w:type="dxa"/>
            <w:vAlign w:val="bottom"/>
            <w:gridSpan w:val="2"/>
          </w:tcPr>
          <w:p>
            <w:pPr>
              <w:jc w:val="right"/>
              <w:ind w:right="360"/>
              <w:spacing w:after="0"/>
              <w:rPr>
                <w:sz w:val="20"/>
                <w:szCs w:val="20"/>
                <w:color w:val="auto"/>
              </w:rPr>
            </w:pPr>
            <w:r>
              <w:rPr>
                <w:rFonts w:ascii="Arial" w:cs="Arial" w:eastAsia="Arial" w:hAnsi="Arial"/>
                <w:sz w:val="12"/>
                <w:szCs w:val="12"/>
                <w:b w:val="1"/>
                <w:bCs w:val="1"/>
                <w:color w:val="auto"/>
              </w:rPr>
              <w:t>cost</w:t>
            </w:r>
          </w:p>
        </w:tc>
        <w:tc>
          <w:tcPr>
            <w:tcW w:w="680" w:type="dxa"/>
            <w:vAlign w:val="bottom"/>
            <w:gridSpan w:val="2"/>
          </w:tcPr>
          <w:p>
            <w:pPr>
              <w:jc w:val="right"/>
              <w:ind w:right="220"/>
              <w:spacing w:after="0"/>
              <w:rPr>
                <w:sz w:val="20"/>
                <w:szCs w:val="20"/>
                <w:color w:val="auto"/>
              </w:rPr>
            </w:pPr>
            <w:r>
              <w:rPr>
                <w:rFonts w:ascii="Arial" w:cs="Arial" w:eastAsia="Arial" w:hAnsi="Arial"/>
                <w:sz w:val="12"/>
                <w:szCs w:val="12"/>
                <w:b w:val="1"/>
                <w:bCs w:val="1"/>
                <w:color w:val="auto"/>
              </w:rPr>
              <w:t>Total</w:t>
            </w:r>
          </w:p>
        </w:tc>
        <w:tc>
          <w:tcPr>
            <w:tcW w:w="0" w:type="dxa"/>
            <w:vAlign w:val="bottom"/>
          </w:tcPr>
          <w:p>
            <w:pPr>
              <w:spacing w:after="0"/>
              <w:rPr>
                <w:sz w:val="1"/>
                <w:szCs w:val="1"/>
                <w:color w:val="auto"/>
              </w:rPr>
            </w:pPr>
          </w:p>
        </w:tc>
      </w:tr>
      <w:tr>
        <w:trPr>
          <w:trHeight w:val="123"/>
        </w:trPr>
        <w:tc>
          <w:tcPr>
            <w:tcW w:w="780" w:type="dxa"/>
            <w:vAlign w:val="bottom"/>
          </w:tcPr>
          <w:p>
            <w:pPr>
              <w:spacing w:after="0"/>
              <w:rPr>
                <w:sz w:val="10"/>
                <w:szCs w:val="10"/>
                <w:color w:val="auto"/>
              </w:rPr>
            </w:pPr>
          </w:p>
        </w:tc>
        <w:tc>
          <w:tcPr>
            <w:tcW w:w="640" w:type="dxa"/>
            <w:vAlign w:val="bottom"/>
            <w:tcBorders>
              <w:top w:val="single" w:sz="8" w:color="auto"/>
            </w:tcBorders>
          </w:tcPr>
          <w:p>
            <w:pPr>
              <w:jc w:val="right"/>
              <w:ind w:right="79"/>
              <w:spacing w:after="0" w:line="123" w:lineRule="exact"/>
              <w:rPr>
                <w:sz w:val="20"/>
                <w:szCs w:val="20"/>
                <w:color w:val="auto"/>
              </w:rPr>
            </w:pPr>
            <w:r>
              <w:rPr>
                <w:rFonts w:ascii="Arial" w:cs="Arial" w:eastAsia="Arial" w:hAnsi="Arial"/>
                <w:sz w:val="12"/>
                <w:szCs w:val="12"/>
                <w:b w:val="1"/>
                <w:bCs w:val="1"/>
                <w:color w:val="auto"/>
              </w:rPr>
              <w:t>S/(000)</w:t>
            </w:r>
          </w:p>
        </w:tc>
        <w:tc>
          <w:tcPr>
            <w:tcW w:w="260" w:type="dxa"/>
            <w:vAlign w:val="bottom"/>
          </w:tcPr>
          <w:p>
            <w:pPr>
              <w:spacing w:after="0"/>
              <w:rPr>
                <w:sz w:val="10"/>
                <w:szCs w:val="10"/>
                <w:color w:val="auto"/>
              </w:rPr>
            </w:pPr>
          </w:p>
        </w:tc>
        <w:tc>
          <w:tcPr>
            <w:tcW w:w="600" w:type="dxa"/>
            <w:vAlign w:val="bottom"/>
            <w:tcBorders>
              <w:top w:val="single" w:sz="8" w:color="auto"/>
            </w:tcBorders>
          </w:tcPr>
          <w:p>
            <w:pPr>
              <w:jc w:val="center"/>
              <w:spacing w:after="0" w:line="123" w:lineRule="exact"/>
              <w:rPr>
                <w:sz w:val="20"/>
                <w:szCs w:val="20"/>
                <w:color w:val="auto"/>
              </w:rPr>
            </w:pPr>
            <w:r>
              <w:rPr>
                <w:rFonts w:ascii="Arial" w:cs="Arial" w:eastAsia="Arial" w:hAnsi="Arial"/>
                <w:sz w:val="12"/>
                <w:szCs w:val="12"/>
                <w:b w:val="1"/>
                <w:bCs w:val="1"/>
                <w:color w:val="auto"/>
                <w:w w:val="91"/>
              </w:rPr>
              <w:t>S/(000)</w:t>
            </w:r>
          </w:p>
        </w:tc>
        <w:tc>
          <w:tcPr>
            <w:tcW w:w="80" w:type="dxa"/>
            <w:vAlign w:val="bottom"/>
          </w:tcPr>
          <w:p>
            <w:pPr>
              <w:spacing w:after="0"/>
              <w:rPr>
                <w:sz w:val="10"/>
                <w:szCs w:val="10"/>
                <w:color w:val="auto"/>
              </w:rPr>
            </w:pPr>
          </w:p>
        </w:tc>
        <w:tc>
          <w:tcPr>
            <w:tcW w:w="640" w:type="dxa"/>
            <w:vAlign w:val="bottom"/>
            <w:tcBorders>
              <w:top w:val="single" w:sz="8" w:color="auto"/>
            </w:tcBorders>
          </w:tcPr>
          <w:p>
            <w:pPr>
              <w:ind w:left="140"/>
              <w:spacing w:after="0" w:line="123" w:lineRule="exact"/>
              <w:rPr>
                <w:sz w:val="20"/>
                <w:szCs w:val="20"/>
                <w:color w:val="auto"/>
              </w:rPr>
            </w:pPr>
            <w:r>
              <w:rPr>
                <w:rFonts w:ascii="Arial" w:cs="Arial" w:eastAsia="Arial" w:hAnsi="Arial"/>
                <w:sz w:val="12"/>
                <w:szCs w:val="12"/>
                <w:b w:val="1"/>
                <w:bCs w:val="1"/>
                <w:color w:val="auto"/>
              </w:rPr>
              <w:t>S/(000)</w:t>
            </w:r>
          </w:p>
        </w:tc>
        <w:tc>
          <w:tcPr>
            <w:tcW w:w="80" w:type="dxa"/>
            <w:vAlign w:val="bottom"/>
          </w:tcPr>
          <w:p>
            <w:pPr>
              <w:spacing w:after="0"/>
              <w:rPr>
                <w:sz w:val="10"/>
                <w:szCs w:val="10"/>
                <w:color w:val="auto"/>
              </w:rPr>
            </w:pPr>
          </w:p>
        </w:tc>
        <w:tc>
          <w:tcPr>
            <w:tcW w:w="700" w:type="dxa"/>
            <w:vAlign w:val="bottom"/>
            <w:tcBorders>
              <w:top w:val="single" w:sz="8" w:color="auto"/>
            </w:tcBorders>
          </w:tcPr>
          <w:p>
            <w:pPr>
              <w:jc w:val="center"/>
              <w:spacing w:after="0" w:line="123" w:lineRule="exact"/>
              <w:rPr>
                <w:sz w:val="20"/>
                <w:szCs w:val="20"/>
                <w:color w:val="auto"/>
              </w:rPr>
            </w:pPr>
            <w:r>
              <w:rPr>
                <w:rFonts w:ascii="Arial" w:cs="Arial" w:eastAsia="Arial" w:hAnsi="Arial"/>
                <w:sz w:val="12"/>
                <w:szCs w:val="12"/>
                <w:b w:val="1"/>
                <w:bCs w:val="1"/>
                <w:color w:val="auto"/>
                <w:w w:val="91"/>
              </w:rPr>
              <w:t>S/(000)</w:t>
            </w:r>
          </w:p>
        </w:tc>
        <w:tc>
          <w:tcPr>
            <w:tcW w:w="80" w:type="dxa"/>
            <w:vAlign w:val="bottom"/>
          </w:tcPr>
          <w:p>
            <w:pPr>
              <w:spacing w:after="0"/>
              <w:rPr>
                <w:sz w:val="10"/>
                <w:szCs w:val="10"/>
                <w:color w:val="auto"/>
              </w:rPr>
            </w:pPr>
          </w:p>
        </w:tc>
        <w:tc>
          <w:tcPr>
            <w:tcW w:w="660" w:type="dxa"/>
            <w:vAlign w:val="bottom"/>
            <w:tcBorders>
              <w:top w:val="single" w:sz="8" w:color="auto"/>
            </w:tcBorders>
          </w:tcPr>
          <w:p>
            <w:pPr>
              <w:jc w:val="center"/>
              <w:spacing w:after="0" w:line="123" w:lineRule="exact"/>
              <w:rPr>
                <w:sz w:val="20"/>
                <w:szCs w:val="20"/>
                <w:color w:val="auto"/>
              </w:rPr>
            </w:pPr>
            <w:r>
              <w:rPr>
                <w:rFonts w:ascii="Arial" w:cs="Arial" w:eastAsia="Arial" w:hAnsi="Arial"/>
                <w:sz w:val="12"/>
                <w:szCs w:val="12"/>
                <w:b w:val="1"/>
                <w:bCs w:val="1"/>
                <w:color w:val="auto"/>
                <w:w w:val="91"/>
              </w:rPr>
              <w:t>S/(000)</w:t>
            </w:r>
          </w:p>
        </w:tc>
        <w:tc>
          <w:tcPr>
            <w:tcW w:w="80" w:type="dxa"/>
            <w:vAlign w:val="bottom"/>
          </w:tcPr>
          <w:p>
            <w:pPr>
              <w:spacing w:after="0"/>
              <w:rPr>
                <w:sz w:val="10"/>
                <w:szCs w:val="10"/>
                <w:color w:val="auto"/>
              </w:rPr>
            </w:pPr>
          </w:p>
        </w:tc>
        <w:tc>
          <w:tcPr>
            <w:tcW w:w="760" w:type="dxa"/>
            <w:vAlign w:val="bottom"/>
            <w:tcBorders>
              <w:top w:val="single" w:sz="8" w:color="auto"/>
            </w:tcBorders>
          </w:tcPr>
          <w:p>
            <w:pPr>
              <w:jc w:val="right"/>
              <w:ind w:right="139"/>
              <w:spacing w:after="0" w:line="123" w:lineRule="exact"/>
              <w:rPr>
                <w:sz w:val="20"/>
                <w:szCs w:val="20"/>
                <w:color w:val="auto"/>
              </w:rPr>
            </w:pPr>
            <w:r>
              <w:rPr>
                <w:rFonts w:ascii="Arial" w:cs="Arial" w:eastAsia="Arial" w:hAnsi="Arial"/>
                <w:sz w:val="12"/>
                <w:szCs w:val="12"/>
                <w:b w:val="1"/>
                <w:bCs w:val="1"/>
                <w:color w:val="auto"/>
              </w:rPr>
              <w:t>S/(000)</w:t>
            </w:r>
          </w:p>
        </w:tc>
        <w:tc>
          <w:tcPr>
            <w:tcW w:w="80" w:type="dxa"/>
            <w:vAlign w:val="bottom"/>
          </w:tcPr>
          <w:p>
            <w:pPr>
              <w:spacing w:after="0"/>
              <w:rPr>
                <w:sz w:val="10"/>
                <w:szCs w:val="10"/>
                <w:color w:val="auto"/>
              </w:rPr>
            </w:pPr>
          </w:p>
        </w:tc>
        <w:tc>
          <w:tcPr>
            <w:tcW w:w="660" w:type="dxa"/>
            <w:vAlign w:val="bottom"/>
            <w:tcBorders>
              <w:top w:val="single" w:sz="8" w:color="auto"/>
            </w:tcBorders>
          </w:tcPr>
          <w:p>
            <w:pPr>
              <w:jc w:val="right"/>
              <w:ind w:right="79"/>
              <w:spacing w:after="0" w:line="123" w:lineRule="exact"/>
              <w:rPr>
                <w:sz w:val="20"/>
                <w:szCs w:val="20"/>
                <w:color w:val="auto"/>
              </w:rPr>
            </w:pPr>
            <w:r>
              <w:rPr>
                <w:rFonts w:ascii="Arial" w:cs="Arial" w:eastAsia="Arial" w:hAnsi="Arial"/>
                <w:sz w:val="12"/>
                <w:szCs w:val="12"/>
                <w:b w:val="1"/>
                <w:bCs w:val="1"/>
                <w:color w:val="auto"/>
              </w:rPr>
              <w:t>S/(000)</w:t>
            </w:r>
          </w:p>
        </w:tc>
        <w:tc>
          <w:tcPr>
            <w:tcW w:w="80" w:type="dxa"/>
            <w:vAlign w:val="bottom"/>
          </w:tcPr>
          <w:p>
            <w:pPr>
              <w:spacing w:after="0"/>
              <w:rPr>
                <w:sz w:val="10"/>
                <w:szCs w:val="10"/>
                <w:color w:val="auto"/>
              </w:rPr>
            </w:pPr>
          </w:p>
        </w:tc>
        <w:tc>
          <w:tcPr>
            <w:tcW w:w="640" w:type="dxa"/>
            <w:vAlign w:val="bottom"/>
            <w:tcBorders>
              <w:top w:val="single" w:sz="8" w:color="auto"/>
            </w:tcBorders>
          </w:tcPr>
          <w:p>
            <w:pPr>
              <w:jc w:val="right"/>
              <w:ind w:right="79"/>
              <w:spacing w:after="0" w:line="123" w:lineRule="exact"/>
              <w:rPr>
                <w:sz w:val="20"/>
                <w:szCs w:val="20"/>
                <w:color w:val="auto"/>
              </w:rPr>
            </w:pPr>
            <w:r>
              <w:rPr>
                <w:rFonts w:ascii="Arial" w:cs="Arial" w:eastAsia="Arial" w:hAnsi="Arial"/>
                <w:sz w:val="12"/>
                <w:szCs w:val="12"/>
                <w:b w:val="1"/>
                <w:bCs w:val="1"/>
                <w:color w:val="auto"/>
              </w:rPr>
              <w:t>S/(000)</w:t>
            </w:r>
          </w:p>
        </w:tc>
        <w:tc>
          <w:tcPr>
            <w:tcW w:w="2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Borders>
              <w:top w:val="single" w:sz="8" w:color="auto"/>
            </w:tcBorders>
          </w:tcPr>
          <w:p>
            <w:pPr>
              <w:jc w:val="center"/>
              <w:spacing w:after="0" w:line="123" w:lineRule="exact"/>
              <w:rPr>
                <w:sz w:val="20"/>
                <w:szCs w:val="20"/>
                <w:color w:val="auto"/>
              </w:rPr>
            </w:pPr>
            <w:r>
              <w:rPr>
                <w:rFonts w:ascii="Arial" w:cs="Arial" w:eastAsia="Arial" w:hAnsi="Arial"/>
                <w:sz w:val="12"/>
                <w:szCs w:val="12"/>
                <w:b w:val="1"/>
                <w:bCs w:val="1"/>
                <w:color w:val="auto"/>
                <w:w w:val="96"/>
              </w:rPr>
              <w:t>S/(000)</w:t>
            </w:r>
          </w:p>
        </w:tc>
        <w:tc>
          <w:tcPr>
            <w:tcW w:w="80" w:type="dxa"/>
            <w:vAlign w:val="bottom"/>
          </w:tcPr>
          <w:p>
            <w:pPr>
              <w:spacing w:after="0"/>
              <w:rPr>
                <w:sz w:val="10"/>
                <w:szCs w:val="10"/>
                <w:color w:val="auto"/>
              </w:rPr>
            </w:pPr>
          </w:p>
        </w:tc>
        <w:tc>
          <w:tcPr>
            <w:tcW w:w="660" w:type="dxa"/>
            <w:vAlign w:val="bottom"/>
            <w:tcBorders>
              <w:top w:val="single" w:sz="8" w:color="auto"/>
            </w:tcBorders>
          </w:tcPr>
          <w:p>
            <w:pPr>
              <w:jc w:val="right"/>
              <w:ind w:right="79"/>
              <w:spacing w:after="0" w:line="123" w:lineRule="exact"/>
              <w:rPr>
                <w:sz w:val="20"/>
                <w:szCs w:val="20"/>
                <w:color w:val="auto"/>
              </w:rPr>
            </w:pPr>
            <w:r>
              <w:rPr>
                <w:rFonts w:ascii="Arial" w:cs="Arial" w:eastAsia="Arial" w:hAnsi="Arial"/>
                <w:sz w:val="12"/>
                <w:szCs w:val="12"/>
                <w:b w:val="1"/>
                <w:bCs w:val="1"/>
                <w:color w:val="auto"/>
              </w:rPr>
              <w:t>S/(000)</w:t>
            </w:r>
          </w:p>
        </w:tc>
        <w:tc>
          <w:tcPr>
            <w:tcW w:w="80" w:type="dxa"/>
            <w:vAlign w:val="bottom"/>
          </w:tcPr>
          <w:p>
            <w:pPr>
              <w:spacing w:after="0"/>
              <w:rPr>
                <w:sz w:val="10"/>
                <w:szCs w:val="10"/>
                <w:color w:val="auto"/>
              </w:rPr>
            </w:pPr>
          </w:p>
        </w:tc>
        <w:tc>
          <w:tcPr>
            <w:tcW w:w="700" w:type="dxa"/>
            <w:vAlign w:val="bottom"/>
            <w:tcBorders>
              <w:top w:val="single" w:sz="8" w:color="auto"/>
            </w:tcBorders>
          </w:tcPr>
          <w:p>
            <w:pPr>
              <w:jc w:val="center"/>
              <w:spacing w:after="0" w:line="123" w:lineRule="exact"/>
              <w:rPr>
                <w:sz w:val="20"/>
                <w:szCs w:val="20"/>
                <w:color w:val="auto"/>
              </w:rPr>
            </w:pPr>
            <w:r>
              <w:rPr>
                <w:rFonts w:ascii="Arial" w:cs="Arial" w:eastAsia="Arial" w:hAnsi="Arial"/>
                <w:sz w:val="12"/>
                <w:szCs w:val="12"/>
                <w:b w:val="1"/>
                <w:bCs w:val="1"/>
                <w:color w:val="auto"/>
                <w:w w:val="91"/>
              </w:rPr>
              <w:t>S/(000)</w:t>
            </w:r>
          </w:p>
        </w:tc>
        <w:tc>
          <w:tcPr>
            <w:tcW w:w="80" w:type="dxa"/>
            <w:vAlign w:val="bottom"/>
          </w:tcPr>
          <w:p>
            <w:pPr>
              <w:spacing w:after="0"/>
              <w:rPr>
                <w:sz w:val="10"/>
                <w:szCs w:val="10"/>
                <w:color w:val="auto"/>
              </w:rPr>
            </w:pPr>
          </w:p>
        </w:tc>
        <w:tc>
          <w:tcPr>
            <w:tcW w:w="640" w:type="dxa"/>
            <w:vAlign w:val="bottom"/>
            <w:tcBorders>
              <w:top w:val="single" w:sz="8" w:color="auto"/>
            </w:tcBorders>
          </w:tcPr>
          <w:p>
            <w:pPr>
              <w:jc w:val="center"/>
              <w:spacing w:after="0" w:line="123" w:lineRule="exact"/>
              <w:rPr>
                <w:sz w:val="20"/>
                <w:szCs w:val="20"/>
                <w:color w:val="auto"/>
              </w:rPr>
            </w:pPr>
            <w:r>
              <w:rPr>
                <w:rFonts w:ascii="Arial" w:cs="Arial" w:eastAsia="Arial" w:hAnsi="Arial"/>
                <w:sz w:val="12"/>
                <w:szCs w:val="12"/>
                <w:b w:val="1"/>
                <w:bCs w:val="1"/>
                <w:color w:val="auto"/>
                <w:w w:val="91"/>
              </w:rPr>
              <w:t>S/(000)</w:t>
            </w:r>
          </w:p>
        </w:tc>
        <w:tc>
          <w:tcPr>
            <w:tcW w:w="80" w:type="dxa"/>
            <w:vAlign w:val="bottom"/>
          </w:tcPr>
          <w:p>
            <w:pPr>
              <w:spacing w:after="0"/>
              <w:rPr>
                <w:sz w:val="10"/>
                <w:szCs w:val="10"/>
                <w:color w:val="auto"/>
              </w:rPr>
            </w:pPr>
          </w:p>
        </w:tc>
        <w:tc>
          <w:tcPr>
            <w:tcW w:w="780" w:type="dxa"/>
            <w:vAlign w:val="bottom"/>
            <w:tcBorders>
              <w:top w:val="single" w:sz="8" w:color="auto"/>
            </w:tcBorders>
          </w:tcPr>
          <w:p>
            <w:pPr>
              <w:jc w:val="right"/>
              <w:ind w:right="139"/>
              <w:spacing w:after="0" w:line="123" w:lineRule="exact"/>
              <w:rPr>
                <w:sz w:val="20"/>
                <w:szCs w:val="20"/>
                <w:color w:val="auto"/>
              </w:rPr>
            </w:pPr>
            <w:r>
              <w:rPr>
                <w:rFonts w:ascii="Arial" w:cs="Arial" w:eastAsia="Arial" w:hAnsi="Arial"/>
                <w:sz w:val="12"/>
                <w:szCs w:val="12"/>
                <w:b w:val="1"/>
                <w:bCs w:val="1"/>
                <w:color w:val="auto"/>
              </w:rPr>
              <w:t>S/(000)</w:t>
            </w:r>
          </w:p>
        </w:tc>
        <w:tc>
          <w:tcPr>
            <w:tcW w:w="80" w:type="dxa"/>
            <w:vAlign w:val="bottom"/>
          </w:tcPr>
          <w:p>
            <w:pPr>
              <w:spacing w:after="0"/>
              <w:rPr>
                <w:sz w:val="10"/>
                <w:szCs w:val="10"/>
                <w:color w:val="auto"/>
              </w:rPr>
            </w:pPr>
          </w:p>
        </w:tc>
        <w:tc>
          <w:tcPr>
            <w:tcW w:w="640" w:type="dxa"/>
            <w:vAlign w:val="bottom"/>
            <w:tcBorders>
              <w:top w:val="single" w:sz="8" w:color="auto"/>
            </w:tcBorders>
          </w:tcPr>
          <w:p>
            <w:pPr>
              <w:jc w:val="right"/>
              <w:ind w:right="79"/>
              <w:spacing w:after="0" w:line="123" w:lineRule="exact"/>
              <w:rPr>
                <w:sz w:val="20"/>
                <w:szCs w:val="20"/>
                <w:color w:val="auto"/>
              </w:rPr>
            </w:pPr>
            <w:r>
              <w:rPr>
                <w:rFonts w:ascii="Arial" w:cs="Arial" w:eastAsia="Arial" w:hAnsi="Arial"/>
                <w:sz w:val="12"/>
                <w:szCs w:val="12"/>
                <w:b w:val="1"/>
                <w:bCs w:val="1"/>
                <w:color w:val="auto"/>
              </w:rPr>
              <w:t>S/(000)</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780" w:type="dxa"/>
            <w:vAlign w:val="bottom"/>
            <w:shd w:val="clear" w:color="auto" w:fill="CCEEFF"/>
          </w:tcPr>
          <w:p>
            <w:pPr>
              <w:spacing w:after="0" w:line="130" w:lineRule="exact"/>
              <w:rPr>
                <w:sz w:val="20"/>
                <w:szCs w:val="20"/>
                <w:color w:val="auto"/>
              </w:rPr>
            </w:pPr>
            <w:r>
              <w:rPr>
                <w:rFonts w:ascii="Arial" w:cs="Arial" w:eastAsia="Arial" w:hAnsi="Arial"/>
                <w:sz w:val="12"/>
                <w:szCs w:val="12"/>
                <w:b w:val="1"/>
                <w:bCs w:val="1"/>
                <w:color w:val="auto"/>
              </w:rPr>
              <w:t>Assets</w:t>
            </w:r>
          </w:p>
        </w:tc>
        <w:tc>
          <w:tcPr>
            <w:tcW w:w="6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6"/>
        </w:trPr>
        <w:tc>
          <w:tcPr>
            <w:tcW w:w="780" w:type="dxa"/>
            <w:vAlign w:val="bottom"/>
            <w:shd w:val="clear" w:color="auto" w:fill="CCEEFF"/>
          </w:tcPr>
          <w:p>
            <w:pPr>
              <w:spacing w:after="0" w:line="116" w:lineRule="exact"/>
              <w:rPr>
                <w:sz w:val="20"/>
                <w:szCs w:val="20"/>
                <w:color w:val="auto"/>
              </w:rPr>
            </w:pPr>
            <w:r>
              <w:rPr>
                <w:rFonts w:ascii="Arial" w:cs="Arial" w:eastAsia="Arial" w:hAnsi="Arial"/>
                <w:sz w:val="12"/>
                <w:szCs w:val="12"/>
                <w:color w:val="auto"/>
              </w:rPr>
              <w:t>Cash and due</w:t>
            </w:r>
          </w:p>
        </w:tc>
        <w:tc>
          <w:tcPr>
            <w:tcW w:w="64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780" w:type="dxa"/>
            <w:vAlign w:val="bottom"/>
            <w:shd w:val="clear" w:color="auto" w:fill="CCEEFF"/>
          </w:tcPr>
          <w:p>
            <w:pPr>
              <w:spacing w:after="0"/>
              <w:rPr>
                <w:sz w:val="20"/>
                <w:szCs w:val="20"/>
                <w:color w:val="auto"/>
              </w:rPr>
            </w:pPr>
            <w:r>
              <w:rPr>
                <w:rFonts w:ascii="Arial" w:cs="Arial" w:eastAsia="Arial" w:hAnsi="Arial"/>
                <w:sz w:val="12"/>
                <w:szCs w:val="12"/>
                <w:color w:val="auto"/>
              </w:rPr>
              <w:t>from banks</w:t>
            </w: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2"/>
                <w:szCs w:val="12"/>
                <w:color w:val="auto"/>
              </w:rPr>
              <w:t>-</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23,221,987</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23,221,987</w:t>
            </w: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gridSpan w:val="3"/>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16,645,769</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16,645,769</w:t>
            </w:r>
          </w:p>
        </w:tc>
        <w:tc>
          <w:tcPr>
            <w:tcW w:w="0" w:type="dxa"/>
            <w:vAlign w:val="bottom"/>
          </w:tcPr>
          <w:p>
            <w:pPr>
              <w:spacing w:after="0"/>
              <w:rPr>
                <w:sz w:val="1"/>
                <w:szCs w:val="1"/>
                <w:color w:val="auto"/>
              </w:rPr>
            </w:pPr>
          </w:p>
        </w:tc>
      </w:tr>
      <w:tr>
        <w:trPr>
          <w:trHeight w:val="116"/>
        </w:trPr>
        <w:tc>
          <w:tcPr>
            <w:tcW w:w="780" w:type="dxa"/>
            <w:vAlign w:val="bottom"/>
          </w:tcPr>
          <w:p>
            <w:pPr>
              <w:spacing w:after="0" w:line="116" w:lineRule="exact"/>
              <w:rPr>
                <w:sz w:val="20"/>
                <w:szCs w:val="20"/>
                <w:color w:val="auto"/>
              </w:rPr>
            </w:pPr>
            <w:r>
              <w:rPr>
                <w:rFonts w:ascii="Arial" w:cs="Arial" w:eastAsia="Arial" w:hAnsi="Arial"/>
                <w:sz w:val="12"/>
                <w:szCs w:val="12"/>
                <w:color w:val="auto"/>
              </w:rPr>
              <w:t>Cash</w:t>
            </w:r>
          </w:p>
        </w:tc>
        <w:tc>
          <w:tcPr>
            <w:tcW w:w="6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780" w:type="dxa"/>
            <w:vAlign w:val="bottom"/>
          </w:tcPr>
          <w:p>
            <w:pPr>
              <w:spacing w:after="0" w:line="130" w:lineRule="exact"/>
              <w:rPr>
                <w:sz w:val="20"/>
                <w:szCs w:val="20"/>
                <w:color w:val="auto"/>
              </w:rPr>
            </w:pPr>
            <w:r>
              <w:rPr>
                <w:rFonts w:ascii="Arial" w:cs="Arial" w:eastAsia="Arial" w:hAnsi="Arial"/>
                <w:sz w:val="12"/>
                <w:szCs w:val="12"/>
                <w:color w:val="auto"/>
              </w:rPr>
              <w:t>collateral,</w:t>
            </w: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80" w:type="dxa"/>
            <w:vAlign w:val="bottom"/>
          </w:tcPr>
          <w:p>
            <w:pPr>
              <w:spacing w:after="0" w:line="130" w:lineRule="exact"/>
              <w:rPr>
                <w:sz w:val="20"/>
                <w:szCs w:val="20"/>
                <w:color w:val="auto"/>
              </w:rPr>
            </w:pPr>
            <w:r>
              <w:rPr>
                <w:rFonts w:ascii="Arial" w:cs="Arial" w:eastAsia="Arial" w:hAnsi="Arial"/>
                <w:sz w:val="12"/>
                <w:szCs w:val="12"/>
                <w:color w:val="auto"/>
              </w:rPr>
              <w:t>reverse</w:t>
            </w: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80" w:type="dxa"/>
            <w:vAlign w:val="bottom"/>
          </w:tcPr>
          <w:p>
            <w:pPr>
              <w:spacing w:after="0" w:line="130" w:lineRule="exact"/>
              <w:rPr>
                <w:sz w:val="20"/>
                <w:szCs w:val="20"/>
                <w:color w:val="auto"/>
              </w:rPr>
            </w:pPr>
            <w:r>
              <w:rPr>
                <w:rFonts w:ascii="Arial" w:cs="Arial" w:eastAsia="Arial" w:hAnsi="Arial"/>
                <w:sz w:val="12"/>
                <w:szCs w:val="12"/>
                <w:color w:val="auto"/>
              </w:rPr>
              <w:t>repurchase</w:t>
            </w: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80" w:type="dxa"/>
            <w:vAlign w:val="bottom"/>
          </w:tcPr>
          <w:p>
            <w:pPr>
              <w:spacing w:after="0" w:line="130" w:lineRule="exact"/>
              <w:rPr>
                <w:sz w:val="20"/>
                <w:szCs w:val="20"/>
                <w:color w:val="auto"/>
              </w:rPr>
            </w:pPr>
            <w:r>
              <w:rPr>
                <w:rFonts w:ascii="Arial" w:cs="Arial" w:eastAsia="Arial" w:hAnsi="Arial"/>
                <w:sz w:val="12"/>
                <w:szCs w:val="12"/>
                <w:color w:val="auto"/>
              </w:rPr>
              <w:t>agreements</w:t>
            </w: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80" w:type="dxa"/>
            <w:vAlign w:val="bottom"/>
          </w:tcPr>
          <w:p>
            <w:pPr>
              <w:spacing w:after="0" w:line="130" w:lineRule="exact"/>
              <w:rPr>
                <w:sz w:val="20"/>
                <w:szCs w:val="20"/>
                <w:color w:val="auto"/>
              </w:rPr>
            </w:pPr>
            <w:r>
              <w:rPr>
                <w:rFonts w:ascii="Arial" w:cs="Arial" w:eastAsia="Arial" w:hAnsi="Arial"/>
                <w:sz w:val="12"/>
                <w:szCs w:val="12"/>
                <w:color w:val="auto"/>
              </w:rPr>
              <w:t>and securities</w:t>
            </w: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780" w:type="dxa"/>
            <w:vAlign w:val="bottom"/>
          </w:tcPr>
          <w:p>
            <w:pPr>
              <w:spacing w:after="0"/>
              <w:rPr>
                <w:sz w:val="20"/>
                <w:szCs w:val="20"/>
                <w:color w:val="auto"/>
              </w:rPr>
            </w:pPr>
            <w:r>
              <w:rPr>
                <w:rFonts w:ascii="Arial" w:cs="Arial" w:eastAsia="Arial" w:hAnsi="Arial"/>
                <w:sz w:val="12"/>
                <w:szCs w:val="12"/>
                <w:color w:val="auto"/>
              </w:rPr>
              <w:t>borrowings</w:t>
            </w:r>
          </w:p>
        </w:tc>
        <w:tc>
          <w:tcPr>
            <w:tcW w:w="90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68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720" w:type="dxa"/>
            <w:vAlign w:val="bottom"/>
            <w:gridSpan w:val="2"/>
          </w:tcPr>
          <w:p>
            <w:pPr>
              <w:jc w:val="right"/>
              <w:ind w:right="80"/>
              <w:spacing w:after="0"/>
              <w:rPr>
                <w:sz w:val="20"/>
                <w:szCs w:val="20"/>
                <w:color w:val="auto"/>
              </w:rPr>
            </w:pPr>
            <w:r>
              <w:rPr>
                <w:rFonts w:ascii="Arial" w:cs="Arial" w:eastAsia="Arial" w:hAnsi="Arial"/>
                <w:sz w:val="12"/>
                <w:szCs w:val="12"/>
                <w:color w:val="auto"/>
              </w:rPr>
              <w:t>7,480,420</w:t>
            </w:r>
          </w:p>
        </w:tc>
        <w:tc>
          <w:tcPr>
            <w:tcW w:w="78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74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84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660" w:type="dxa"/>
            <w:vAlign w:val="bottom"/>
          </w:tcPr>
          <w:p>
            <w:pPr>
              <w:jc w:val="right"/>
              <w:spacing w:after="0"/>
              <w:rPr>
                <w:sz w:val="20"/>
                <w:szCs w:val="20"/>
                <w:color w:val="auto"/>
              </w:rPr>
            </w:pPr>
            <w:r>
              <w:rPr>
                <w:rFonts w:ascii="Arial" w:cs="Arial" w:eastAsia="Arial" w:hAnsi="Arial"/>
                <w:sz w:val="12"/>
                <w:szCs w:val="12"/>
                <w:color w:val="auto"/>
              </w:rPr>
              <w:t>7,480,420</w:t>
            </w:r>
          </w:p>
        </w:tc>
        <w:tc>
          <w:tcPr>
            <w:tcW w:w="80" w:type="dxa"/>
            <w:vAlign w:val="bottom"/>
          </w:tcPr>
          <w:p>
            <w:pPr>
              <w:spacing w:after="0"/>
              <w:rPr>
                <w:sz w:val="12"/>
                <w:szCs w:val="12"/>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gridSpan w:val="3"/>
          </w:tcPr>
          <w:p>
            <w:pPr>
              <w:jc w:val="right"/>
              <w:ind w:right="80"/>
              <w:spacing w:after="0"/>
              <w:rPr>
                <w:sz w:val="20"/>
                <w:szCs w:val="20"/>
                <w:color w:val="auto"/>
              </w:rPr>
            </w:pPr>
            <w:r>
              <w:rPr>
                <w:rFonts w:ascii="Arial" w:cs="Arial" w:eastAsia="Arial" w:hAnsi="Arial"/>
                <w:sz w:val="12"/>
                <w:szCs w:val="12"/>
                <w:color w:val="auto"/>
              </w:rPr>
              <w:t>-</w:t>
            </w:r>
          </w:p>
        </w:tc>
        <w:tc>
          <w:tcPr>
            <w:tcW w:w="740" w:type="dxa"/>
            <w:vAlign w:val="bottom"/>
            <w:gridSpan w:val="2"/>
          </w:tcPr>
          <w:p>
            <w:pPr>
              <w:jc w:val="right"/>
              <w:ind w:right="80"/>
              <w:spacing w:after="0"/>
              <w:rPr>
                <w:sz w:val="20"/>
                <w:szCs w:val="20"/>
                <w:color w:val="auto"/>
              </w:rPr>
            </w:pPr>
            <w:r>
              <w:rPr>
                <w:rFonts w:ascii="Arial" w:cs="Arial" w:eastAsia="Arial" w:hAnsi="Arial"/>
                <w:sz w:val="12"/>
                <w:szCs w:val="12"/>
                <w:color w:val="auto"/>
              </w:rPr>
              <w:t>10,919,624</w:t>
            </w:r>
          </w:p>
        </w:tc>
        <w:tc>
          <w:tcPr>
            <w:tcW w:w="78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72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86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680" w:type="dxa"/>
            <w:vAlign w:val="bottom"/>
            <w:gridSpan w:val="2"/>
          </w:tcPr>
          <w:p>
            <w:pPr>
              <w:jc w:val="right"/>
              <w:ind w:right="40"/>
              <w:spacing w:after="0"/>
              <w:rPr>
                <w:sz w:val="20"/>
                <w:szCs w:val="20"/>
                <w:color w:val="auto"/>
              </w:rPr>
            </w:pPr>
            <w:r>
              <w:rPr>
                <w:rFonts w:ascii="Arial" w:cs="Arial" w:eastAsia="Arial" w:hAnsi="Arial"/>
                <w:sz w:val="12"/>
                <w:szCs w:val="12"/>
                <w:color w:val="auto"/>
              </w:rPr>
              <w:t>10,919,624</w:t>
            </w:r>
          </w:p>
        </w:tc>
        <w:tc>
          <w:tcPr>
            <w:tcW w:w="0" w:type="dxa"/>
            <w:vAlign w:val="bottom"/>
          </w:tcPr>
          <w:p>
            <w:pPr>
              <w:spacing w:after="0"/>
              <w:rPr>
                <w:sz w:val="1"/>
                <w:szCs w:val="1"/>
                <w:color w:val="auto"/>
              </w:rPr>
            </w:pPr>
          </w:p>
        </w:tc>
      </w:tr>
      <w:tr>
        <w:trPr>
          <w:trHeight w:val="116"/>
        </w:trPr>
        <w:tc>
          <w:tcPr>
            <w:tcW w:w="780" w:type="dxa"/>
            <w:vAlign w:val="bottom"/>
            <w:shd w:val="clear" w:color="auto" w:fill="CCEEFF"/>
          </w:tcPr>
          <w:p>
            <w:pPr>
              <w:spacing w:after="0" w:line="116" w:lineRule="exact"/>
              <w:rPr>
                <w:sz w:val="20"/>
                <w:szCs w:val="20"/>
                <w:color w:val="auto"/>
              </w:rPr>
            </w:pPr>
            <w:r>
              <w:rPr>
                <w:rFonts w:ascii="Arial" w:cs="Arial" w:eastAsia="Arial" w:hAnsi="Arial"/>
                <w:sz w:val="12"/>
                <w:szCs w:val="12"/>
                <w:color w:val="auto"/>
              </w:rPr>
              <w:t>Trading</w:t>
            </w:r>
          </w:p>
        </w:tc>
        <w:tc>
          <w:tcPr>
            <w:tcW w:w="64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780" w:type="dxa"/>
            <w:vAlign w:val="bottom"/>
            <w:shd w:val="clear" w:color="auto" w:fill="CCEEFF"/>
          </w:tcPr>
          <w:p>
            <w:pPr>
              <w:spacing w:after="0"/>
              <w:rPr>
                <w:sz w:val="20"/>
                <w:szCs w:val="20"/>
                <w:color w:val="auto"/>
              </w:rPr>
            </w:pPr>
            <w:r>
              <w:rPr>
                <w:rFonts w:ascii="Arial" w:cs="Arial" w:eastAsia="Arial" w:hAnsi="Arial"/>
                <w:sz w:val="12"/>
                <w:szCs w:val="12"/>
                <w:color w:val="auto"/>
              </w:rPr>
              <w:t>securities</w:t>
            </w: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4,024,737</w:t>
            </w:r>
          </w:p>
        </w:tc>
        <w:tc>
          <w:tcPr>
            <w:tcW w:w="26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4,024,737</w:t>
            </w: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4,015,019</w:t>
            </w:r>
          </w:p>
        </w:tc>
        <w:tc>
          <w:tcPr>
            <w:tcW w:w="240" w:type="dxa"/>
            <w:vAlign w:val="bottom"/>
            <w:shd w:val="clear" w:color="auto" w:fill="CCEEFF"/>
          </w:tcPr>
          <w:p>
            <w:pPr>
              <w:spacing w:after="0"/>
              <w:rPr>
                <w:sz w:val="12"/>
                <w:szCs w:val="12"/>
                <w:color w:val="auto"/>
              </w:rPr>
            </w:pPr>
          </w:p>
        </w:tc>
        <w:tc>
          <w:tcPr>
            <w:tcW w:w="680" w:type="dxa"/>
            <w:vAlign w:val="bottom"/>
            <w:gridSpan w:val="3"/>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4,015,019</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16"/>
        </w:trPr>
        <w:tc>
          <w:tcPr>
            <w:tcW w:w="780" w:type="dxa"/>
            <w:vAlign w:val="bottom"/>
          </w:tcPr>
          <w:p>
            <w:pPr>
              <w:spacing w:after="0" w:line="116" w:lineRule="exact"/>
              <w:rPr>
                <w:sz w:val="20"/>
                <w:szCs w:val="20"/>
                <w:color w:val="auto"/>
              </w:rPr>
            </w:pPr>
            <w:r>
              <w:rPr>
                <w:rFonts w:ascii="Arial" w:cs="Arial" w:eastAsia="Arial" w:hAnsi="Arial"/>
                <w:sz w:val="12"/>
                <w:szCs w:val="12"/>
                <w:color w:val="auto"/>
              </w:rPr>
              <w:t>Available-for-</w:t>
            </w:r>
          </w:p>
        </w:tc>
        <w:tc>
          <w:tcPr>
            <w:tcW w:w="6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780" w:type="dxa"/>
            <w:vAlign w:val="bottom"/>
          </w:tcPr>
          <w:p>
            <w:pPr>
              <w:spacing w:after="0" w:line="130" w:lineRule="exact"/>
              <w:rPr>
                <w:sz w:val="20"/>
                <w:szCs w:val="20"/>
                <w:color w:val="auto"/>
              </w:rPr>
            </w:pPr>
            <w:r>
              <w:rPr>
                <w:rFonts w:ascii="Arial" w:cs="Arial" w:eastAsia="Arial" w:hAnsi="Arial"/>
                <w:sz w:val="12"/>
                <w:szCs w:val="12"/>
                <w:color w:val="auto"/>
              </w:rPr>
              <w:t>sale</w:t>
            </w: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780" w:type="dxa"/>
            <w:vAlign w:val="bottom"/>
          </w:tcPr>
          <w:p>
            <w:pPr>
              <w:spacing w:after="0"/>
              <w:rPr>
                <w:sz w:val="20"/>
                <w:szCs w:val="20"/>
                <w:color w:val="auto"/>
              </w:rPr>
            </w:pPr>
            <w:r>
              <w:rPr>
                <w:rFonts w:ascii="Arial" w:cs="Arial" w:eastAsia="Arial" w:hAnsi="Arial"/>
                <w:sz w:val="12"/>
                <w:szCs w:val="12"/>
                <w:color w:val="auto"/>
              </w:rPr>
              <w:t>investments</w:t>
            </w:r>
          </w:p>
        </w:tc>
        <w:tc>
          <w:tcPr>
            <w:tcW w:w="90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68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72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780" w:type="dxa"/>
            <w:vAlign w:val="bottom"/>
            <w:gridSpan w:val="2"/>
          </w:tcPr>
          <w:p>
            <w:pPr>
              <w:jc w:val="right"/>
              <w:ind w:right="80"/>
              <w:spacing w:after="0"/>
              <w:rPr>
                <w:sz w:val="20"/>
                <w:szCs w:val="20"/>
                <w:color w:val="auto"/>
              </w:rPr>
            </w:pPr>
            <w:r>
              <w:rPr>
                <w:rFonts w:ascii="Arial" w:cs="Arial" w:eastAsia="Arial" w:hAnsi="Arial"/>
                <w:sz w:val="12"/>
                <w:szCs w:val="12"/>
                <w:color w:val="auto"/>
              </w:rPr>
              <w:t>24,423,891</w:t>
            </w:r>
          </w:p>
        </w:tc>
        <w:tc>
          <w:tcPr>
            <w:tcW w:w="74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84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740" w:type="dxa"/>
            <w:vAlign w:val="bottom"/>
            <w:gridSpan w:val="2"/>
          </w:tcPr>
          <w:p>
            <w:pPr>
              <w:jc w:val="right"/>
              <w:ind w:right="80"/>
              <w:spacing w:after="0"/>
              <w:rPr>
                <w:sz w:val="20"/>
                <w:szCs w:val="20"/>
                <w:color w:val="auto"/>
              </w:rPr>
            </w:pPr>
            <w:r>
              <w:rPr>
                <w:rFonts w:ascii="Arial" w:cs="Arial" w:eastAsia="Arial" w:hAnsi="Arial"/>
                <w:sz w:val="12"/>
                <w:szCs w:val="12"/>
                <w:color w:val="auto"/>
              </w:rPr>
              <w:t>24,423,891</w:t>
            </w:r>
          </w:p>
        </w:tc>
        <w:tc>
          <w:tcPr>
            <w:tcW w:w="88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gridSpan w:val="3"/>
          </w:tcPr>
          <w:p>
            <w:pPr>
              <w:jc w:val="right"/>
              <w:ind w:right="80"/>
              <w:spacing w:after="0"/>
              <w:rPr>
                <w:sz w:val="20"/>
                <w:szCs w:val="20"/>
                <w:color w:val="auto"/>
              </w:rPr>
            </w:pPr>
            <w:r>
              <w:rPr>
                <w:rFonts w:ascii="Arial" w:cs="Arial" w:eastAsia="Arial" w:hAnsi="Arial"/>
                <w:sz w:val="12"/>
                <w:szCs w:val="12"/>
                <w:color w:val="auto"/>
              </w:rPr>
              <w:t>-</w:t>
            </w:r>
          </w:p>
        </w:tc>
        <w:tc>
          <w:tcPr>
            <w:tcW w:w="74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780" w:type="dxa"/>
            <w:vAlign w:val="bottom"/>
            <w:gridSpan w:val="2"/>
          </w:tcPr>
          <w:p>
            <w:pPr>
              <w:jc w:val="right"/>
              <w:ind w:right="80"/>
              <w:spacing w:after="0"/>
              <w:rPr>
                <w:sz w:val="20"/>
                <w:szCs w:val="20"/>
                <w:color w:val="auto"/>
              </w:rPr>
            </w:pPr>
            <w:r>
              <w:rPr>
                <w:rFonts w:ascii="Arial" w:cs="Arial" w:eastAsia="Arial" w:hAnsi="Arial"/>
                <w:sz w:val="12"/>
                <w:szCs w:val="12"/>
                <w:color w:val="auto"/>
              </w:rPr>
              <w:t>18,685,667</w:t>
            </w:r>
          </w:p>
        </w:tc>
        <w:tc>
          <w:tcPr>
            <w:tcW w:w="72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86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680" w:type="dxa"/>
            <w:vAlign w:val="bottom"/>
            <w:gridSpan w:val="2"/>
          </w:tcPr>
          <w:p>
            <w:pPr>
              <w:jc w:val="right"/>
              <w:ind w:right="40"/>
              <w:spacing w:after="0"/>
              <w:rPr>
                <w:sz w:val="20"/>
                <w:szCs w:val="20"/>
                <w:color w:val="auto"/>
              </w:rPr>
            </w:pPr>
            <w:r>
              <w:rPr>
                <w:rFonts w:ascii="Arial" w:cs="Arial" w:eastAsia="Arial" w:hAnsi="Arial"/>
                <w:sz w:val="12"/>
                <w:szCs w:val="12"/>
                <w:color w:val="auto"/>
              </w:rPr>
              <w:t>18,685,667</w:t>
            </w:r>
          </w:p>
        </w:tc>
        <w:tc>
          <w:tcPr>
            <w:tcW w:w="0" w:type="dxa"/>
            <w:vAlign w:val="bottom"/>
          </w:tcPr>
          <w:p>
            <w:pPr>
              <w:spacing w:after="0"/>
              <w:rPr>
                <w:sz w:val="1"/>
                <w:szCs w:val="1"/>
                <w:color w:val="auto"/>
              </w:rPr>
            </w:pPr>
          </w:p>
        </w:tc>
      </w:tr>
      <w:tr>
        <w:trPr>
          <w:trHeight w:val="116"/>
        </w:trPr>
        <w:tc>
          <w:tcPr>
            <w:tcW w:w="780" w:type="dxa"/>
            <w:vAlign w:val="bottom"/>
            <w:shd w:val="clear" w:color="auto" w:fill="CCEEFF"/>
          </w:tcPr>
          <w:p>
            <w:pPr>
              <w:spacing w:after="0" w:line="116" w:lineRule="exact"/>
              <w:rPr>
                <w:sz w:val="20"/>
                <w:szCs w:val="20"/>
                <w:color w:val="auto"/>
              </w:rPr>
            </w:pPr>
            <w:r>
              <w:rPr>
                <w:rFonts w:ascii="Arial" w:cs="Arial" w:eastAsia="Arial" w:hAnsi="Arial"/>
                <w:sz w:val="12"/>
                <w:szCs w:val="12"/>
                <w:color w:val="auto"/>
              </w:rPr>
              <w:t>Held-to-</w:t>
            </w:r>
          </w:p>
        </w:tc>
        <w:tc>
          <w:tcPr>
            <w:tcW w:w="64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780" w:type="dxa"/>
            <w:vAlign w:val="bottom"/>
            <w:shd w:val="clear" w:color="auto" w:fill="CCEEFF"/>
          </w:tcPr>
          <w:p>
            <w:pPr>
              <w:spacing w:after="0" w:line="130" w:lineRule="exact"/>
              <w:rPr>
                <w:sz w:val="20"/>
                <w:szCs w:val="20"/>
                <w:color w:val="auto"/>
              </w:rPr>
            </w:pPr>
            <w:r>
              <w:rPr>
                <w:rFonts w:ascii="Arial" w:cs="Arial" w:eastAsia="Arial" w:hAnsi="Arial"/>
                <w:sz w:val="12"/>
                <w:szCs w:val="12"/>
                <w:color w:val="auto"/>
              </w:rPr>
              <w:t>maturity</w:t>
            </w:r>
          </w:p>
        </w:tc>
        <w:tc>
          <w:tcPr>
            <w:tcW w:w="6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780" w:type="dxa"/>
            <w:vAlign w:val="bottom"/>
            <w:shd w:val="clear" w:color="auto" w:fill="CCEEFF"/>
          </w:tcPr>
          <w:p>
            <w:pPr>
              <w:spacing w:after="0"/>
              <w:rPr>
                <w:sz w:val="20"/>
                <w:szCs w:val="20"/>
                <w:color w:val="auto"/>
              </w:rPr>
            </w:pPr>
            <w:r>
              <w:rPr>
                <w:rFonts w:ascii="Arial" w:cs="Arial" w:eastAsia="Arial" w:hAnsi="Arial"/>
                <w:sz w:val="12"/>
                <w:szCs w:val="12"/>
                <w:color w:val="auto"/>
              </w:rPr>
              <w:t>Investments</w:t>
            </w: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2"/>
                <w:szCs w:val="12"/>
                <w:color w:val="auto"/>
              </w:rPr>
              <w:t>-</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4,413,373</w:t>
            </w: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4,413,373</w:t>
            </w: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gridSpan w:val="3"/>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5,118,420</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5,118,420</w:t>
            </w:r>
          </w:p>
        </w:tc>
        <w:tc>
          <w:tcPr>
            <w:tcW w:w="0" w:type="dxa"/>
            <w:vAlign w:val="bottom"/>
          </w:tcPr>
          <w:p>
            <w:pPr>
              <w:spacing w:after="0"/>
              <w:rPr>
                <w:sz w:val="1"/>
                <w:szCs w:val="1"/>
                <w:color w:val="auto"/>
              </w:rPr>
            </w:pPr>
          </w:p>
        </w:tc>
      </w:tr>
      <w:tr>
        <w:trPr>
          <w:trHeight w:val="130"/>
        </w:trPr>
        <w:tc>
          <w:tcPr>
            <w:tcW w:w="780" w:type="dxa"/>
            <w:vAlign w:val="bottom"/>
          </w:tcPr>
          <w:p>
            <w:pPr>
              <w:spacing w:after="0" w:line="130" w:lineRule="exact"/>
              <w:rPr>
                <w:sz w:val="20"/>
                <w:szCs w:val="20"/>
                <w:color w:val="auto"/>
              </w:rPr>
            </w:pPr>
            <w:r>
              <w:rPr>
                <w:rFonts w:ascii="Arial" w:cs="Arial" w:eastAsia="Arial" w:hAnsi="Arial"/>
                <w:sz w:val="12"/>
                <w:szCs w:val="12"/>
                <w:color w:val="auto"/>
              </w:rPr>
              <w:t>Loans, net</w:t>
            </w:r>
          </w:p>
        </w:tc>
        <w:tc>
          <w:tcPr>
            <w:tcW w:w="900" w:type="dxa"/>
            <w:vAlign w:val="bottom"/>
            <w:gridSpan w:val="2"/>
          </w:tcPr>
          <w:p>
            <w:pPr>
              <w:jc w:val="right"/>
              <w:ind w:right="260"/>
              <w:spacing w:after="0" w:line="130" w:lineRule="exact"/>
              <w:rPr>
                <w:sz w:val="20"/>
                <w:szCs w:val="20"/>
                <w:color w:val="auto"/>
              </w:rPr>
            </w:pPr>
            <w:r>
              <w:rPr>
                <w:rFonts w:ascii="Arial" w:cs="Arial" w:eastAsia="Arial" w:hAnsi="Arial"/>
                <w:sz w:val="12"/>
                <w:szCs w:val="12"/>
                <w:color w:val="auto"/>
              </w:rPr>
              <w:t>-</w:t>
            </w:r>
          </w:p>
        </w:tc>
        <w:tc>
          <w:tcPr>
            <w:tcW w:w="680" w:type="dxa"/>
            <w:vAlign w:val="bottom"/>
            <w:gridSpan w:val="2"/>
          </w:tcPr>
          <w:p>
            <w:pPr>
              <w:jc w:val="right"/>
              <w:ind w:right="80"/>
              <w:spacing w:after="0" w:line="130" w:lineRule="exact"/>
              <w:rPr>
                <w:sz w:val="20"/>
                <w:szCs w:val="20"/>
                <w:color w:val="auto"/>
              </w:rPr>
            </w:pPr>
            <w:r>
              <w:rPr>
                <w:rFonts w:ascii="Arial" w:cs="Arial" w:eastAsia="Arial" w:hAnsi="Arial"/>
                <w:sz w:val="12"/>
                <w:szCs w:val="12"/>
                <w:color w:val="auto"/>
              </w:rPr>
              <w:t>-</w:t>
            </w:r>
          </w:p>
        </w:tc>
        <w:tc>
          <w:tcPr>
            <w:tcW w:w="720" w:type="dxa"/>
            <w:vAlign w:val="bottom"/>
            <w:gridSpan w:val="2"/>
          </w:tcPr>
          <w:p>
            <w:pPr>
              <w:jc w:val="right"/>
              <w:ind w:right="80"/>
              <w:spacing w:after="0" w:line="130" w:lineRule="exact"/>
              <w:rPr>
                <w:sz w:val="20"/>
                <w:szCs w:val="20"/>
                <w:color w:val="auto"/>
              </w:rPr>
            </w:pPr>
            <w:r>
              <w:rPr>
                <w:rFonts w:ascii="Arial" w:cs="Arial" w:eastAsia="Arial" w:hAnsi="Arial"/>
                <w:sz w:val="12"/>
                <w:szCs w:val="12"/>
                <w:color w:val="auto"/>
              </w:rPr>
              <w:t>95,977,277</w:t>
            </w:r>
          </w:p>
        </w:tc>
        <w:tc>
          <w:tcPr>
            <w:tcW w:w="780" w:type="dxa"/>
            <w:vAlign w:val="bottom"/>
            <w:gridSpan w:val="2"/>
          </w:tcPr>
          <w:p>
            <w:pPr>
              <w:jc w:val="right"/>
              <w:ind w:right="80"/>
              <w:spacing w:after="0" w:line="130" w:lineRule="exact"/>
              <w:rPr>
                <w:sz w:val="20"/>
                <w:szCs w:val="20"/>
                <w:color w:val="auto"/>
              </w:rPr>
            </w:pPr>
            <w:r>
              <w:rPr>
                <w:rFonts w:ascii="Arial" w:cs="Arial" w:eastAsia="Arial" w:hAnsi="Arial"/>
                <w:sz w:val="12"/>
                <w:szCs w:val="12"/>
                <w:color w:val="auto"/>
              </w:rPr>
              <w:t>-</w:t>
            </w:r>
          </w:p>
        </w:tc>
        <w:tc>
          <w:tcPr>
            <w:tcW w:w="740" w:type="dxa"/>
            <w:vAlign w:val="bottom"/>
            <w:gridSpan w:val="2"/>
          </w:tcPr>
          <w:p>
            <w:pPr>
              <w:jc w:val="right"/>
              <w:ind w:right="80"/>
              <w:spacing w:after="0" w:line="130" w:lineRule="exact"/>
              <w:rPr>
                <w:sz w:val="20"/>
                <w:szCs w:val="20"/>
                <w:color w:val="auto"/>
              </w:rPr>
            </w:pPr>
            <w:r>
              <w:rPr>
                <w:rFonts w:ascii="Arial" w:cs="Arial" w:eastAsia="Arial" w:hAnsi="Arial"/>
                <w:sz w:val="12"/>
                <w:szCs w:val="12"/>
                <w:color w:val="auto"/>
              </w:rPr>
              <w:t>-</w:t>
            </w:r>
          </w:p>
        </w:tc>
        <w:tc>
          <w:tcPr>
            <w:tcW w:w="840" w:type="dxa"/>
            <w:vAlign w:val="bottom"/>
            <w:gridSpan w:val="2"/>
          </w:tcPr>
          <w:p>
            <w:pPr>
              <w:jc w:val="right"/>
              <w:ind w:right="80"/>
              <w:spacing w:after="0" w:line="130" w:lineRule="exact"/>
              <w:rPr>
                <w:sz w:val="20"/>
                <w:szCs w:val="20"/>
                <w:color w:val="auto"/>
              </w:rPr>
            </w:pPr>
            <w:r>
              <w:rPr>
                <w:rFonts w:ascii="Arial" w:cs="Arial" w:eastAsia="Arial" w:hAnsi="Arial"/>
                <w:sz w:val="12"/>
                <w:szCs w:val="12"/>
                <w:color w:val="auto"/>
              </w:rPr>
              <w:t>-</w:t>
            </w:r>
          </w:p>
        </w:tc>
        <w:tc>
          <w:tcPr>
            <w:tcW w:w="740" w:type="dxa"/>
            <w:vAlign w:val="bottom"/>
            <w:gridSpan w:val="2"/>
          </w:tcPr>
          <w:p>
            <w:pPr>
              <w:jc w:val="right"/>
              <w:ind w:right="80"/>
              <w:spacing w:after="0" w:line="130" w:lineRule="exact"/>
              <w:rPr>
                <w:sz w:val="20"/>
                <w:szCs w:val="20"/>
                <w:color w:val="auto"/>
              </w:rPr>
            </w:pPr>
            <w:r>
              <w:rPr>
                <w:rFonts w:ascii="Arial" w:cs="Arial" w:eastAsia="Arial" w:hAnsi="Arial"/>
                <w:sz w:val="12"/>
                <w:szCs w:val="12"/>
                <w:color w:val="auto"/>
              </w:rPr>
              <w:t>95,977,277</w:t>
            </w:r>
          </w:p>
        </w:tc>
        <w:tc>
          <w:tcPr>
            <w:tcW w:w="880" w:type="dxa"/>
            <w:vAlign w:val="bottom"/>
            <w:gridSpan w:val="2"/>
          </w:tcPr>
          <w:p>
            <w:pPr>
              <w:jc w:val="right"/>
              <w:ind w:right="240"/>
              <w:spacing w:after="0" w:line="130" w:lineRule="exact"/>
              <w:rPr>
                <w:sz w:val="20"/>
                <w:szCs w:val="20"/>
                <w:color w:val="auto"/>
              </w:rPr>
            </w:pPr>
            <w:r>
              <w:rPr>
                <w:rFonts w:ascii="Arial" w:cs="Arial" w:eastAsia="Arial" w:hAnsi="Arial"/>
                <w:sz w:val="12"/>
                <w:szCs w:val="12"/>
                <w:color w:val="auto"/>
              </w:rPr>
              <w:t>-</w:t>
            </w:r>
          </w:p>
        </w:tc>
        <w:tc>
          <w:tcPr>
            <w:tcW w:w="680" w:type="dxa"/>
            <w:vAlign w:val="bottom"/>
            <w:gridSpan w:val="3"/>
          </w:tcPr>
          <w:p>
            <w:pPr>
              <w:jc w:val="right"/>
              <w:ind w:right="80"/>
              <w:spacing w:after="0" w:line="130" w:lineRule="exact"/>
              <w:rPr>
                <w:sz w:val="20"/>
                <w:szCs w:val="20"/>
                <w:color w:val="auto"/>
              </w:rPr>
            </w:pPr>
            <w:r>
              <w:rPr>
                <w:rFonts w:ascii="Arial" w:cs="Arial" w:eastAsia="Arial" w:hAnsi="Arial"/>
                <w:sz w:val="12"/>
                <w:szCs w:val="12"/>
                <w:color w:val="auto"/>
              </w:rPr>
              <w:t>-</w:t>
            </w:r>
          </w:p>
        </w:tc>
        <w:tc>
          <w:tcPr>
            <w:tcW w:w="740" w:type="dxa"/>
            <w:vAlign w:val="bottom"/>
            <w:gridSpan w:val="2"/>
          </w:tcPr>
          <w:p>
            <w:pPr>
              <w:jc w:val="right"/>
              <w:ind w:right="80"/>
              <w:spacing w:after="0" w:line="130" w:lineRule="exact"/>
              <w:rPr>
                <w:sz w:val="20"/>
                <w:szCs w:val="20"/>
                <w:color w:val="auto"/>
              </w:rPr>
            </w:pPr>
            <w:r>
              <w:rPr>
                <w:rFonts w:ascii="Arial" w:cs="Arial" w:eastAsia="Arial" w:hAnsi="Arial"/>
                <w:sz w:val="12"/>
                <w:szCs w:val="12"/>
                <w:color w:val="auto"/>
              </w:rPr>
              <w:t>90,561,768</w:t>
            </w:r>
          </w:p>
        </w:tc>
        <w:tc>
          <w:tcPr>
            <w:tcW w:w="780" w:type="dxa"/>
            <w:vAlign w:val="bottom"/>
            <w:gridSpan w:val="2"/>
          </w:tcPr>
          <w:p>
            <w:pPr>
              <w:jc w:val="right"/>
              <w:ind w:right="80"/>
              <w:spacing w:after="0" w:line="130" w:lineRule="exact"/>
              <w:rPr>
                <w:sz w:val="20"/>
                <w:szCs w:val="20"/>
                <w:color w:val="auto"/>
              </w:rPr>
            </w:pPr>
            <w:r>
              <w:rPr>
                <w:rFonts w:ascii="Arial" w:cs="Arial" w:eastAsia="Arial" w:hAnsi="Arial"/>
                <w:sz w:val="12"/>
                <w:szCs w:val="12"/>
                <w:color w:val="auto"/>
              </w:rPr>
              <w:t>-</w:t>
            </w:r>
          </w:p>
        </w:tc>
        <w:tc>
          <w:tcPr>
            <w:tcW w:w="720" w:type="dxa"/>
            <w:vAlign w:val="bottom"/>
            <w:gridSpan w:val="2"/>
          </w:tcPr>
          <w:p>
            <w:pPr>
              <w:jc w:val="right"/>
              <w:ind w:right="80"/>
              <w:spacing w:after="0" w:line="130" w:lineRule="exact"/>
              <w:rPr>
                <w:sz w:val="20"/>
                <w:szCs w:val="20"/>
                <w:color w:val="auto"/>
              </w:rPr>
            </w:pPr>
            <w:r>
              <w:rPr>
                <w:rFonts w:ascii="Arial" w:cs="Arial" w:eastAsia="Arial" w:hAnsi="Arial"/>
                <w:sz w:val="12"/>
                <w:szCs w:val="12"/>
                <w:color w:val="auto"/>
              </w:rPr>
              <w:t>-</w:t>
            </w:r>
          </w:p>
        </w:tc>
        <w:tc>
          <w:tcPr>
            <w:tcW w:w="860" w:type="dxa"/>
            <w:vAlign w:val="bottom"/>
            <w:gridSpan w:val="2"/>
          </w:tcPr>
          <w:p>
            <w:pPr>
              <w:jc w:val="right"/>
              <w:ind w:right="80"/>
              <w:spacing w:after="0" w:line="130" w:lineRule="exact"/>
              <w:rPr>
                <w:sz w:val="20"/>
                <w:szCs w:val="20"/>
                <w:color w:val="auto"/>
              </w:rPr>
            </w:pPr>
            <w:r>
              <w:rPr>
                <w:rFonts w:ascii="Arial" w:cs="Arial" w:eastAsia="Arial" w:hAnsi="Arial"/>
                <w:sz w:val="12"/>
                <w:szCs w:val="12"/>
                <w:color w:val="auto"/>
              </w:rPr>
              <w:t>-</w:t>
            </w:r>
          </w:p>
        </w:tc>
        <w:tc>
          <w:tcPr>
            <w:tcW w:w="680" w:type="dxa"/>
            <w:vAlign w:val="bottom"/>
            <w:gridSpan w:val="2"/>
          </w:tcPr>
          <w:p>
            <w:pPr>
              <w:jc w:val="right"/>
              <w:ind w:right="40"/>
              <w:spacing w:after="0" w:line="130" w:lineRule="exact"/>
              <w:rPr>
                <w:sz w:val="20"/>
                <w:szCs w:val="20"/>
                <w:color w:val="auto"/>
              </w:rPr>
            </w:pPr>
            <w:r>
              <w:rPr>
                <w:rFonts w:ascii="Arial" w:cs="Arial" w:eastAsia="Arial" w:hAnsi="Arial"/>
                <w:sz w:val="12"/>
                <w:szCs w:val="12"/>
                <w:color w:val="auto"/>
              </w:rPr>
              <w:t>90,561,768</w:t>
            </w:r>
          </w:p>
        </w:tc>
        <w:tc>
          <w:tcPr>
            <w:tcW w:w="0" w:type="dxa"/>
            <w:vAlign w:val="bottom"/>
          </w:tcPr>
          <w:p>
            <w:pPr>
              <w:spacing w:after="0"/>
              <w:rPr>
                <w:sz w:val="1"/>
                <w:szCs w:val="1"/>
                <w:color w:val="auto"/>
              </w:rPr>
            </w:pPr>
          </w:p>
        </w:tc>
      </w:tr>
      <w:tr>
        <w:trPr>
          <w:trHeight w:val="116"/>
        </w:trPr>
        <w:tc>
          <w:tcPr>
            <w:tcW w:w="780" w:type="dxa"/>
            <w:vAlign w:val="bottom"/>
            <w:shd w:val="clear" w:color="auto" w:fill="CCEEFF"/>
          </w:tcPr>
          <w:p>
            <w:pPr>
              <w:spacing w:after="0" w:line="116" w:lineRule="exact"/>
              <w:rPr>
                <w:sz w:val="20"/>
                <w:szCs w:val="20"/>
                <w:color w:val="auto"/>
              </w:rPr>
            </w:pPr>
            <w:r>
              <w:rPr>
                <w:rFonts w:ascii="Arial" w:cs="Arial" w:eastAsia="Arial" w:hAnsi="Arial"/>
                <w:sz w:val="12"/>
                <w:szCs w:val="12"/>
                <w:color w:val="auto"/>
              </w:rPr>
              <w:t>Financial</w:t>
            </w:r>
          </w:p>
        </w:tc>
        <w:tc>
          <w:tcPr>
            <w:tcW w:w="64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780" w:type="dxa"/>
            <w:vAlign w:val="bottom"/>
            <w:shd w:val="clear" w:color="auto" w:fill="CCEEFF"/>
          </w:tcPr>
          <w:p>
            <w:pPr>
              <w:spacing w:after="0" w:line="130" w:lineRule="exact"/>
              <w:rPr>
                <w:sz w:val="20"/>
                <w:szCs w:val="20"/>
                <w:color w:val="auto"/>
              </w:rPr>
            </w:pPr>
            <w:r>
              <w:rPr>
                <w:rFonts w:ascii="Arial" w:cs="Arial" w:eastAsia="Arial" w:hAnsi="Arial"/>
                <w:sz w:val="12"/>
                <w:szCs w:val="12"/>
                <w:color w:val="auto"/>
              </w:rPr>
              <w:t>assets</w:t>
            </w:r>
          </w:p>
        </w:tc>
        <w:tc>
          <w:tcPr>
            <w:tcW w:w="6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80" w:type="dxa"/>
            <w:vAlign w:val="bottom"/>
            <w:shd w:val="clear" w:color="auto" w:fill="CCEEFF"/>
          </w:tcPr>
          <w:p>
            <w:pPr>
              <w:spacing w:after="0" w:line="130" w:lineRule="exact"/>
              <w:rPr>
                <w:sz w:val="20"/>
                <w:szCs w:val="20"/>
                <w:color w:val="auto"/>
              </w:rPr>
            </w:pPr>
            <w:r>
              <w:rPr>
                <w:rFonts w:ascii="Arial" w:cs="Arial" w:eastAsia="Arial" w:hAnsi="Arial"/>
                <w:sz w:val="12"/>
                <w:szCs w:val="12"/>
                <w:color w:val="auto"/>
              </w:rPr>
              <w:t>designated at</w:t>
            </w:r>
          </w:p>
        </w:tc>
        <w:tc>
          <w:tcPr>
            <w:tcW w:w="6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80" w:type="dxa"/>
            <w:vAlign w:val="bottom"/>
            <w:shd w:val="clear" w:color="auto" w:fill="CCEEFF"/>
          </w:tcPr>
          <w:p>
            <w:pPr>
              <w:spacing w:after="0" w:line="130" w:lineRule="exact"/>
              <w:rPr>
                <w:sz w:val="20"/>
                <w:szCs w:val="20"/>
                <w:color w:val="auto"/>
              </w:rPr>
            </w:pPr>
            <w:r>
              <w:rPr>
                <w:rFonts w:ascii="Arial" w:cs="Arial" w:eastAsia="Arial" w:hAnsi="Arial"/>
                <w:sz w:val="12"/>
                <w:szCs w:val="12"/>
                <w:color w:val="auto"/>
              </w:rPr>
              <w:t>fair value</w:t>
            </w:r>
          </w:p>
        </w:tc>
        <w:tc>
          <w:tcPr>
            <w:tcW w:w="6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80" w:type="dxa"/>
            <w:vAlign w:val="bottom"/>
            <w:shd w:val="clear" w:color="auto" w:fill="CCEEFF"/>
          </w:tcPr>
          <w:p>
            <w:pPr>
              <w:spacing w:after="0" w:line="130" w:lineRule="exact"/>
              <w:rPr>
                <w:sz w:val="20"/>
                <w:szCs w:val="20"/>
                <w:color w:val="auto"/>
              </w:rPr>
            </w:pPr>
            <w:r>
              <w:rPr>
                <w:rFonts w:ascii="Arial" w:cs="Arial" w:eastAsia="Arial" w:hAnsi="Arial"/>
                <w:sz w:val="12"/>
                <w:szCs w:val="12"/>
                <w:color w:val="auto"/>
              </w:rPr>
              <w:t>through profit</w:t>
            </w:r>
          </w:p>
        </w:tc>
        <w:tc>
          <w:tcPr>
            <w:tcW w:w="6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780" w:type="dxa"/>
            <w:vAlign w:val="bottom"/>
            <w:shd w:val="clear" w:color="auto" w:fill="CCEEFF"/>
          </w:tcPr>
          <w:p>
            <w:pPr>
              <w:spacing w:after="0"/>
              <w:rPr>
                <w:sz w:val="20"/>
                <w:szCs w:val="20"/>
                <w:color w:val="auto"/>
              </w:rPr>
            </w:pPr>
            <w:r>
              <w:rPr>
                <w:rFonts w:ascii="Arial" w:cs="Arial" w:eastAsia="Arial" w:hAnsi="Arial"/>
                <w:sz w:val="12"/>
                <w:szCs w:val="12"/>
                <w:color w:val="auto"/>
              </w:rPr>
              <w:t>or loss</w:t>
            </w: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2"/>
                <w:szCs w:val="12"/>
                <w:color w:val="auto"/>
              </w:rPr>
              <w:t>-</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537,685</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537,685</w:t>
            </w: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gridSpan w:val="3"/>
            <w:shd w:val="clear" w:color="auto" w:fill="CCEEFF"/>
          </w:tcPr>
          <w:p>
            <w:pPr>
              <w:jc w:val="right"/>
              <w:ind w:right="80"/>
              <w:spacing w:after="0"/>
              <w:rPr>
                <w:sz w:val="20"/>
                <w:szCs w:val="20"/>
                <w:color w:val="auto"/>
              </w:rPr>
            </w:pPr>
            <w:r>
              <w:rPr>
                <w:rFonts w:ascii="Arial" w:cs="Arial" w:eastAsia="Arial" w:hAnsi="Arial"/>
                <w:sz w:val="12"/>
                <w:szCs w:val="12"/>
                <w:color w:val="auto"/>
              </w:rPr>
              <w:t>459,099</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459,099</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16"/>
        </w:trPr>
        <w:tc>
          <w:tcPr>
            <w:tcW w:w="780" w:type="dxa"/>
            <w:vAlign w:val="bottom"/>
          </w:tcPr>
          <w:p>
            <w:pPr>
              <w:spacing w:after="0" w:line="116" w:lineRule="exact"/>
              <w:rPr>
                <w:sz w:val="20"/>
                <w:szCs w:val="20"/>
                <w:color w:val="auto"/>
              </w:rPr>
            </w:pPr>
            <w:r>
              <w:rPr>
                <w:rFonts w:ascii="Arial" w:cs="Arial" w:eastAsia="Arial" w:hAnsi="Arial"/>
                <w:sz w:val="12"/>
                <w:szCs w:val="12"/>
                <w:color w:val="auto"/>
                <w:w w:val="98"/>
              </w:rPr>
              <w:t>Premiums and</w:t>
            </w:r>
          </w:p>
        </w:tc>
        <w:tc>
          <w:tcPr>
            <w:tcW w:w="6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780" w:type="dxa"/>
            <w:vAlign w:val="bottom"/>
          </w:tcPr>
          <w:p>
            <w:pPr>
              <w:spacing w:after="0" w:line="130" w:lineRule="exact"/>
              <w:rPr>
                <w:sz w:val="20"/>
                <w:szCs w:val="20"/>
                <w:color w:val="auto"/>
              </w:rPr>
            </w:pPr>
            <w:r>
              <w:rPr>
                <w:rFonts w:ascii="Arial" w:cs="Arial" w:eastAsia="Arial" w:hAnsi="Arial"/>
                <w:sz w:val="12"/>
                <w:szCs w:val="12"/>
                <w:color w:val="auto"/>
              </w:rPr>
              <w:t>other policies</w:t>
            </w: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780" w:type="dxa"/>
            <w:vAlign w:val="bottom"/>
          </w:tcPr>
          <w:p>
            <w:pPr>
              <w:spacing w:after="0"/>
              <w:rPr>
                <w:sz w:val="20"/>
                <w:szCs w:val="20"/>
                <w:color w:val="auto"/>
              </w:rPr>
            </w:pPr>
            <w:r>
              <w:rPr>
                <w:rFonts w:ascii="Arial" w:cs="Arial" w:eastAsia="Arial" w:hAnsi="Arial"/>
                <w:sz w:val="12"/>
                <w:szCs w:val="12"/>
                <w:color w:val="auto"/>
              </w:rPr>
              <w:t>receivable</w:t>
            </w:r>
          </w:p>
        </w:tc>
        <w:tc>
          <w:tcPr>
            <w:tcW w:w="90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68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720" w:type="dxa"/>
            <w:vAlign w:val="bottom"/>
            <w:gridSpan w:val="2"/>
          </w:tcPr>
          <w:p>
            <w:pPr>
              <w:jc w:val="right"/>
              <w:ind w:right="80"/>
              <w:spacing w:after="0"/>
              <w:rPr>
                <w:sz w:val="20"/>
                <w:szCs w:val="20"/>
                <w:color w:val="auto"/>
              </w:rPr>
            </w:pPr>
            <w:r>
              <w:rPr>
                <w:rFonts w:ascii="Arial" w:cs="Arial" w:eastAsia="Arial" w:hAnsi="Arial"/>
                <w:sz w:val="12"/>
                <w:szCs w:val="12"/>
                <w:color w:val="auto"/>
              </w:rPr>
              <w:t>656,829</w:t>
            </w:r>
          </w:p>
        </w:tc>
        <w:tc>
          <w:tcPr>
            <w:tcW w:w="78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74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84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740" w:type="dxa"/>
            <w:vAlign w:val="bottom"/>
            <w:gridSpan w:val="2"/>
          </w:tcPr>
          <w:p>
            <w:pPr>
              <w:jc w:val="right"/>
              <w:ind w:right="80"/>
              <w:spacing w:after="0"/>
              <w:rPr>
                <w:sz w:val="20"/>
                <w:szCs w:val="20"/>
                <w:color w:val="auto"/>
              </w:rPr>
            </w:pPr>
            <w:r>
              <w:rPr>
                <w:rFonts w:ascii="Arial" w:cs="Arial" w:eastAsia="Arial" w:hAnsi="Arial"/>
                <w:sz w:val="12"/>
                <w:szCs w:val="12"/>
                <w:color w:val="auto"/>
              </w:rPr>
              <w:t>656,829</w:t>
            </w:r>
          </w:p>
        </w:tc>
        <w:tc>
          <w:tcPr>
            <w:tcW w:w="88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gridSpan w:val="3"/>
          </w:tcPr>
          <w:p>
            <w:pPr>
              <w:jc w:val="right"/>
              <w:ind w:right="80"/>
              <w:spacing w:after="0"/>
              <w:rPr>
                <w:sz w:val="20"/>
                <w:szCs w:val="20"/>
                <w:color w:val="auto"/>
              </w:rPr>
            </w:pPr>
            <w:r>
              <w:rPr>
                <w:rFonts w:ascii="Arial" w:cs="Arial" w:eastAsia="Arial" w:hAnsi="Arial"/>
                <w:sz w:val="12"/>
                <w:szCs w:val="12"/>
                <w:color w:val="auto"/>
              </w:rPr>
              <w:t>-</w:t>
            </w:r>
          </w:p>
        </w:tc>
        <w:tc>
          <w:tcPr>
            <w:tcW w:w="740" w:type="dxa"/>
            <w:vAlign w:val="bottom"/>
            <w:gridSpan w:val="2"/>
          </w:tcPr>
          <w:p>
            <w:pPr>
              <w:jc w:val="right"/>
              <w:ind w:right="80"/>
              <w:spacing w:after="0"/>
              <w:rPr>
                <w:sz w:val="20"/>
                <w:szCs w:val="20"/>
                <w:color w:val="auto"/>
              </w:rPr>
            </w:pPr>
            <w:r>
              <w:rPr>
                <w:rFonts w:ascii="Arial" w:cs="Arial" w:eastAsia="Arial" w:hAnsi="Arial"/>
                <w:sz w:val="12"/>
                <w:szCs w:val="12"/>
                <w:color w:val="auto"/>
              </w:rPr>
              <w:t>643,224</w:t>
            </w:r>
          </w:p>
        </w:tc>
        <w:tc>
          <w:tcPr>
            <w:tcW w:w="78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72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86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640" w:type="dxa"/>
            <w:vAlign w:val="bottom"/>
          </w:tcPr>
          <w:p>
            <w:pPr>
              <w:jc w:val="right"/>
              <w:spacing w:after="0"/>
              <w:rPr>
                <w:sz w:val="20"/>
                <w:szCs w:val="20"/>
                <w:color w:val="auto"/>
              </w:rPr>
            </w:pPr>
            <w:r>
              <w:rPr>
                <w:rFonts w:ascii="Arial" w:cs="Arial" w:eastAsia="Arial" w:hAnsi="Arial"/>
                <w:sz w:val="12"/>
                <w:szCs w:val="12"/>
                <w:color w:val="auto"/>
              </w:rPr>
              <w:t>643,224</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6"/>
        </w:trPr>
        <w:tc>
          <w:tcPr>
            <w:tcW w:w="780" w:type="dxa"/>
            <w:vAlign w:val="bottom"/>
            <w:shd w:val="clear" w:color="auto" w:fill="CCEEFF"/>
          </w:tcPr>
          <w:p>
            <w:pPr>
              <w:spacing w:after="0" w:line="116" w:lineRule="exact"/>
              <w:rPr>
                <w:sz w:val="20"/>
                <w:szCs w:val="20"/>
                <w:color w:val="auto"/>
              </w:rPr>
            </w:pPr>
            <w:r>
              <w:rPr>
                <w:rFonts w:ascii="Arial" w:cs="Arial" w:eastAsia="Arial" w:hAnsi="Arial"/>
                <w:sz w:val="12"/>
                <w:szCs w:val="12"/>
                <w:color w:val="auto"/>
              </w:rPr>
              <w:t>Accounts</w:t>
            </w:r>
          </w:p>
        </w:tc>
        <w:tc>
          <w:tcPr>
            <w:tcW w:w="64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780" w:type="dxa"/>
            <w:vAlign w:val="bottom"/>
            <w:shd w:val="clear" w:color="auto" w:fill="CCEEFF"/>
          </w:tcPr>
          <w:p>
            <w:pPr>
              <w:spacing w:after="0" w:line="130" w:lineRule="exact"/>
              <w:rPr>
                <w:sz w:val="20"/>
                <w:szCs w:val="20"/>
                <w:color w:val="auto"/>
              </w:rPr>
            </w:pPr>
            <w:r>
              <w:rPr>
                <w:rFonts w:ascii="Arial" w:cs="Arial" w:eastAsia="Arial" w:hAnsi="Arial"/>
                <w:sz w:val="12"/>
                <w:szCs w:val="12"/>
                <w:color w:val="auto"/>
              </w:rPr>
              <w:t>receivable</w:t>
            </w:r>
          </w:p>
        </w:tc>
        <w:tc>
          <w:tcPr>
            <w:tcW w:w="6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80" w:type="dxa"/>
            <w:vAlign w:val="bottom"/>
            <w:shd w:val="clear" w:color="auto" w:fill="CCEEFF"/>
          </w:tcPr>
          <w:p>
            <w:pPr>
              <w:spacing w:after="0" w:line="130" w:lineRule="exact"/>
              <w:rPr>
                <w:sz w:val="20"/>
                <w:szCs w:val="20"/>
                <w:color w:val="auto"/>
              </w:rPr>
            </w:pPr>
            <w:r>
              <w:rPr>
                <w:rFonts w:ascii="Arial" w:cs="Arial" w:eastAsia="Arial" w:hAnsi="Arial"/>
                <w:sz w:val="12"/>
                <w:szCs w:val="12"/>
                <w:color w:val="auto"/>
              </w:rPr>
              <w:t>from</w:t>
            </w:r>
          </w:p>
        </w:tc>
        <w:tc>
          <w:tcPr>
            <w:tcW w:w="6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80" w:type="dxa"/>
            <w:vAlign w:val="bottom"/>
            <w:shd w:val="clear" w:color="auto" w:fill="CCEEFF"/>
          </w:tcPr>
          <w:p>
            <w:pPr>
              <w:spacing w:after="0" w:line="130" w:lineRule="exact"/>
              <w:rPr>
                <w:sz w:val="20"/>
                <w:szCs w:val="20"/>
                <w:color w:val="auto"/>
              </w:rPr>
            </w:pPr>
            <w:r>
              <w:rPr>
                <w:rFonts w:ascii="Arial" w:cs="Arial" w:eastAsia="Arial" w:hAnsi="Arial"/>
                <w:sz w:val="12"/>
                <w:szCs w:val="12"/>
                <w:color w:val="auto"/>
                <w:w w:val="99"/>
              </w:rPr>
              <w:t>reinsurers and</w:t>
            </w:r>
          </w:p>
        </w:tc>
        <w:tc>
          <w:tcPr>
            <w:tcW w:w="6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780" w:type="dxa"/>
            <w:vAlign w:val="bottom"/>
            <w:shd w:val="clear" w:color="auto" w:fill="CCEEFF"/>
          </w:tcPr>
          <w:p>
            <w:pPr>
              <w:spacing w:after="0"/>
              <w:rPr>
                <w:sz w:val="20"/>
                <w:szCs w:val="20"/>
                <w:color w:val="auto"/>
              </w:rPr>
            </w:pPr>
            <w:r>
              <w:rPr>
                <w:rFonts w:ascii="Arial" w:cs="Arial" w:eastAsia="Arial" w:hAnsi="Arial"/>
                <w:sz w:val="12"/>
                <w:szCs w:val="12"/>
                <w:color w:val="auto"/>
              </w:rPr>
              <w:t>coinsurers</w:t>
            </w: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2"/>
                <w:szCs w:val="12"/>
                <w:color w:val="auto"/>
              </w:rPr>
              <w:t>-</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715,695</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715,695</w:t>
            </w: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gridSpan w:val="3"/>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454,187</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454,187</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16"/>
        </w:trPr>
        <w:tc>
          <w:tcPr>
            <w:tcW w:w="780" w:type="dxa"/>
            <w:vAlign w:val="bottom"/>
          </w:tcPr>
          <w:p>
            <w:pPr>
              <w:spacing w:after="0" w:line="116" w:lineRule="exact"/>
              <w:rPr>
                <w:sz w:val="20"/>
                <w:szCs w:val="20"/>
                <w:color w:val="auto"/>
              </w:rPr>
            </w:pPr>
            <w:r>
              <w:rPr>
                <w:rFonts w:ascii="Arial" w:cs="Arial" w:eastAsia="Arial" w:hAnsi="Arial"/>
                <w:sz w:val="12"/>
                <w:szCs w:val="12"/>
                <w:color w:val="auto"/>
              </w:rPr>
              <w:t>Due from</w:t>
            </w:r>
          </w:p>
        </w:tc>
        <w:tc>
          <w:tcPr>
            <w:tcW w:w="6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780" w:type="dxa"/>
            <w:vAlign w:val="bottom"/>
          </w:tcPr>
          <w:p>
            <w:pPr>
              <w:spacing w:after="0" w:line="130" w:lineRule="exact"/>
              <w:rPr>
                <w:sz w:val="20"/>
                <w:szCs w:val="20"/>
                <w:color w:val="auto"/>
              </w:rPr>
            </w:pPr>
            <w:r>
              <w:rPr>
                <w:rFonts w:ascii="Arial" w:cs="Arial" w:eastAsia="Arial" w:hAnsi="Arial"/>
                <w:sz w:val="12"/>
                <w:szCs w:val="12"/>
                <w:color w:val="auto"/>
              </w:rPr>
              <w:t>customers on</w:t>
            </w: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780" w:type="dxa"/>
            <w:vAlign w:val="bottom"/>
          </w:tcPr>
          <w:p>
            <w:pPr>
              <w:spacing w:after="0"/>
              <w:rPr>
                <w:sz w:val="20"/>
                <w:szCs w:val="20"/>
                <w:color w:val="auto"/>
              </w:rPr>
            </w:pPr>
            <w:r>
              <w:rPr>
                <w:rFonts w:ascii="Arial" w:cs="Arial" w:eastAsia="Arial" w:hAnsi="Arial"/>
                <w:sz w:val="12"/>
                <w:szCs w:val="12"/>
                <w:color w:val="auto"/>
              </w:rPr>
              <w:t>acceptances</w:t>
            </w:r>
          </w:p>
        </w:tc>
        <w:tc>
          <w:tcPr>
            <w:tcW w:w="90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68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720" w:type="dxa"/>
            <w:vAlign w:val="bottom"/>
            <w:gridSpan w:val="2"/>
          </w:tcPr>
          <w:p>
            <w:pPr>
              <w:jc w:val="right"/>
              <w:ind w:right="80"/>
              <w:spacing w:after="0"/>
              <w:rPr>
                <w:sz w:val="20"/>
                <w:szCs w:val="20"/>
                <w:color w:val="auto"/>
              </w:rPr>
            </w:pPr>
            <w:r>
              <w:rPr>
                <w:rFonts w:ascii="Arial" w:cs="Arial" w:eastAsia="Arial" w:hAnsi="Arial"/>
                <w:sz w:val="12"/>
                <w:szCs w:val="12"/>
                <w:color w:val="auto"/>
              </w:rPr>
              <w:t>532,034</w:t>
            </w:r>
          </w:p>
        </w:tc>
        <w:tc>
          <w:tcPr>
            <w:tcW w:w="78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74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84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740" w:type="dxa"/>
            <w:vAlign w:val="bottom"/>
            <w:gridSpan w:val="2"/>
          </w:tcPr>
          <w:p>
            <w:pPr>
              <w:jc w:val="right"/>
              <w:ind w:right="80"/>
              <w:spacing w:after="0"/>
              <w:rPr>
                <w:sz w:val="20"/>
                <w:szCs w:val="20"/>
                <w:color w:val="auto"/>
              </w:rPr>
            </w:pPr>
            <w:r>
              <w:rPr>
                <w:rFonts w:ascii="Arial" w:cs="Arial" w:eastAsia="Arial" w:hAnsi="Arial"/>
                <w:sz w:val="12"/>
                <w:szCs w:val="12"/>
                <w:color w:val="auto"/>
              </w:rPr>
              <w:t>532,034</w:t>
            </w:r>
          </w:p>
        </w:tc>
        <w:tc>
          <w:tcPr>
            <w:tcW w:w="88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gridSpan w:val="3"/>
          </w:tcPr>
          <w:p>
            <w:pPr>
              <w:jc w:val="right"/>
              <w:ind w:right="80"/>
              <w:spacing w:after="0"/>
              <w:rPr>
                <w:sz w:val="20"/>
                <w:szCs w:val="20"/>
                <w:color w:val="auto"/>
              </w:rPr>
            </w:pPr>
            <w:r>
              <w:rPr>
                <w:rFonts w:ascii="Arial" w:cs="Arial" w:eastAsia="Arial" w:hAnsi="Arial"/>
                <w:sz w:val="12"/>
                <w:szCs w:val="12"/>
                <w:color w:val="auto"/>
              </w:rPr>
              <w:t>-</w:t>
            </w:r>
          </w:p>
        </w:tc>
        <w:tc>
          <w:tcPr>
            <w:tcW w:w="740" w:type="dxa"/>
            <w:vAlign w:val="bottom"/>
            <w:gridSpan w:val="2"/>
          </w:tcPr>
          <w:p>
            <w:pPr>
              <w:jc w:val="right"/>
              <w:ind w:right="80"/>
              <w:spacing w:after="0"/>
              <w:rPr>
                <w:sz w:val="20"/>
                <w:szCs w:val="20"/>
                <w:color w:val="auto"/>
              </w:rPr>
            </w:pPr>
            <w:r>
              <w:rPr>
                <w:rFonts w:ascii="Arial" w:cs="Arial" w:eastAsia="Arial" w:hAnsi="Arial"/>
                <w:sz w:val="12"/>
                <w:szCs w:val="12"/>
                <w:color w:val="auto"/>
              </w:rPr>
              <w:t>491,139</w:t>
            </w:r>
          </w:p>
        </w:tc>
        <w:tc>
          <w:tcPr>
            <w:tcW w:w="78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72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86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640" w:type="dxa"/>
            <w:vAlign w:val="bottom"/>
          </w:tcPr>
          <w:p>
            <w:pPr>
              <w:jc w:val="right"/>
              <w:spacing w:after="0"/>
              <w:rPr>
                <w:sz w:val="20"/>
                <w:szCs w:val="20"/>
                <w:color w:val="auto"/>
              </w:rPr>
            </w:pPr>
            <w:r>
              <w:rPr>
                <w:rFonts w:ascii="Arial" w:cs="Arial" w:eastAsia="Arial" w:hAnsi="Arial"/>
                <w:sz w:val="12"/>
                <w:szCs w:val="12"/>
                <w:color w:val="auto"/>
              </w:rPr>
              <w:t>491,139</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6"/>
        </w:trPr>
        <w:tc>
          <w:tcPr>
            <w:tcW w:w="780" w:type="dxa"/>
            <w:vAlign w:val="bottom"/>
            <w:shd w:val="clear" w:color="auto" w:fill="CCEEFF"/>
          </w:tcPr>
          <w:p>
            <w:pPr>
              <w:spacing w:after="0" w:line="116" w:lineRule="exact"/>
              <w:rPr>
                <w:sz w:val="20"/>
                <w:szCs w:val="20"/>
                <w:color w:val="auto"/>
              </w:rPr>
            </w:pPr>
            <w:r>
              <w:rPr>
                <w:rFonts w:ascii="Arial" w:cs="Arial" w:eastAsia="Arial" w:hAnsi="Arial"/>
                <w:sz w:val="12"/>
                <w:szCs w:val="12"/>
                <w:color w:val="auto"/>
              </w:rPr>
              <w:t>Other assets,</w:t>
            </w:r>
          </w:p>
        </w:tc>
        <w:tc>
          <w:tcPr>
            <w:tcW w:w="64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7"/>
        </w:trPr>
        <w:tc>
          <w:tcPr>
            <w:tcW w:w="780" w:type="dxa"/>
            <w:vAlign w:val="bottom"/>
            <w:shd w:val="clear" w:color="auto" w:fill="CCEEFF"/>
          </w:tcPr>
          <w:p>
            <w:pPr>
              <w:spacing w:after="0"/>
              <w:rPr>
                <w:sz w:val="20"/>
                <w:szCs w:val="20"/>
                <w:color w:val="auto"/>
              </w:rPr>
            </w:pPr>
            <w:r>
              <w:rPr>
                <w:rFonts w:ascii="Arial" w:cs="Arial" w:eastAsia="Arial" w:hAnsi="Arial"/>
                <w:sz w:val="12"/>
                <w:szCs w:val="12"/>
                <w:color w:val="auto"/>
              </w:rPr>
              <w:t>Note 12</w:t>
            </w: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2"/>
                <w:szCs w:val="12"/>
                <w:color w:val="auto"/>
              </w:rPr>
              <w:t>701,826</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1,759,125</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2,460,951</w:t>
            </w:r>
          </w:p>
        </w:tc>
        <w:tc>
          <w:tcPr>
            <w:tcW w:w="8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942,602</w:t>
            </w:r>
          </w:p>
        </w:tc>
        <w:tc>
          <w:tcPr>
            <w:tcW w:w="680" w:type="dxa"/>
            <w:vAlign w:val="bottom"/>
            <w:gridSpan w:val="3"/>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1,286,082</w:t>
            </w:r>
          </w:p>
        </w:tc>
        <w:tc>
          <w:tcPr>
            <w:tcW w:w="8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2,228,684</w:t>
            </w: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780" w:type="dxa"/>
            <w:vAlign w:val="bottom"/>
            <w:tcBorders>
              <w:bottom w:val="single" w:sz="8" w:color="CCEEFF"/>
            </w:tcBorders>
          </w:tcPr>
          <w:p>
            <w:pPr>
              <w:spacing w:after="0"/>
              <w:rPr>
                <w:sz w:val="15"/>
                <w:szCs w:val="15"/>
                <w:color w:val="auto"/>
              </w:rPr>
            </w:pPr>
          </w:p>
        </w:tc>
        <w:tc>
          <w:tcPr>
            <w:tcW w:w="640" w:type="dxa"/>
            <w:vAlign w:val="bottom"/>
            <w:tcBorders>
              <w:top w:val="single" w:sz="8" w:color="auto"/>
              <w:bottom w:val="single" w:sz="8" w:color="auto"/>
            </w:tcBorders>
          </w:tcPr>
          <w:p>
            <w:pPr>
              <w:jc w:val="right"/>
              <w:spacing w:after="0" w:line="136" w:lineRule="exact"/>
              <w:rPr>
                <w:sz w:val="20"/>
                <w:szCs w:val="20"/>
                <w:color w:val="auto"/>
              </w:rPr>
            </w:pPr>
            <w:r>
              <w:rPr>
                <w:rFonts w:ascii="Arial" w:cs="Arial" w:eastAsia="Arial" w:hAnsi="Arial"/>
                <w:sz w:val="12"/>
                <w:szCs w:val="12"/>
                <w:color w:val="auto"/>
              </w:rPr>
              <w:t>4,726,563</w:t>
            </w:r>
          </w:p>
        </w:tc>
        <w:tc>
          <w:tcPr>
            <w:tcW w:w="260" w:type="dxa"/>
            <w:vAlign w:val="bottom"/>
            <w:tcBorders>
              <w:bottom w:val="single" w:sz="8" w:color="CCEEFF"/>
            </w:tcBorders>
          </w:tcPr>
          <w:p>
            <w:pPr>
              <w:spacing w:after="0"/>
              <w:rPr>
                <w:sz w:val="15"/>
                <w:szCs w:val="15"/>
                <w:color w:val="auto"/>
              </w:rPr>
            </w:pPr>
          </w:p>
        </w:tc>
        <w:tc>
          <w:tcPr>
            <w:tcW w:w="600" w:type="dxa"/>
            <w:vAlign w:val="bottom"/>
            <w:tcBorders>
              <w:top w:val="single" w:sz="8" w:color="auto"/>
              <w:bottom w:val="single" w:sz="8" w:color="auto"/>
            </w:tcBorders>
          </w:tcPr>
          <w:p>
            <w:pPr>
              <w:jc w:val="right"/>
              <w:spacing w:after="0" w:line="136" w:lineRule="exact"/>
              <w:rPr>
                <w:sz w:val="20"/>
                <w:szCs w:val="20"/>
                <w:color w:val="auto"/>
              </w:rPr>
            </w:pPr>
            <w:r>
              <w:rPr>
                <w:rFonts w:ascii="Arial" w:cs="Arial" w:eastAsia="Arial" w:hAnsi="Arial"/>
                <w:sz w:val="12"/>
                <w:szCs w:val="12"/>
                <w:color w:val="auto"/>
              </w:rPr>
              <w:t>537,685</w:t>
            </w:r>
          </w:p>
        </w:tc>
        <w:tc>
          <w:tcPr>
            <w:tcW w:w="80" w:type="dxa"/>
            <w:vAlign w:val="bottom"/>
            <w:tcBorders>
              <w:bottom w:val="single" w:sz="8" w:color="CCEEFF"/>
            </w:tcBorders>
          </w:tcPr>
          <w:p>
            <w:pPr>
              <w:spacing w:after="0"/>
              <w:rPr>
                <w:sz w:val="15"/>
                <w:szCs w:val="15"/>
                <w:color w:val="auto"/>
              </w:rPr>
            </w:pPr>
          </w:p>
        </w:tc>
        <w:tc>
          <w:tcPr>
            <w:tcW w:w="640" w:type="dxa"/>
            <w:vAlign w:val="bottom"/>
            <w:tcBorders>
              <w:top w:val="single" w:sz="8" w:color="auto"/>
              <w:bottom w:val="single" w:sz="8" w:color="auto"/>
            </w:tcBorders>
          </w:tcPr>
          <w:p>
            <w:pPr>
              <w:jc w:val="right"/>
              <w:spacing w:after="0" w:line="136" w:lineRule="exact"/>
              <w:rPr>
                <w:sz w:val="20"/>
                <w:szCs w:val="20"/>
                <w:color w:val="auto"/>
              </w:rPr>
            </w:pPr>
            <w:r>
              <w:rPr>
                <w:rFonts w:ascii="Arial" w:cs="Arial" w:eastAsia="Arial" w:hAnsi="Arial"/>
                <w:sz w:val="12"/>
                <w:szCs w:val="12"/>
                <w:color w:val="auto"/>
                <w:w w:val="92"/>
              </w:rPr>
              <w:t>130,343,367</w:t>
            </w:r>
          </w:p>
        </w:tc>
        <w:tc>
          <w:tcPr>
            <w:tcW w:w="80" w:type="dxa"/>
            <w:vAlign w:val="bottom"/>
            <w:tcBorders>
              <w:bottom w:val="single" w:sz="8" w:color="CCEEFF"/>
            </w:tcBorders>
          </w:tcPr>
          <w:p>
            <w:pPr>
              <w:spacing w:after="0"/>
              <w:rPr>
                <w:sz w:val="15"/>
                <w:szCs w:val="15"/>
                <w:color w:val="auto"/>
              </w:rPr>
            </w:pPr>
          </w:p>
        </w:tc>
        <w:tc>
          <w:tcPr>
            <w:tcW w:w="700" w:type="dxa"/>
            <w:vAlign w:val="bottom"/>
            <w:tcBorders>
              <w:top w:val="single" w:sz="8" w:color="auto"/>
              <w:bottom w:val="single" w:sz="8" w:color="auto"/>
            </w:tcBorders>
          </w:tcPr>
          <w:p>
            <w:pPr>
              <w:jc w:val="right"/>
              <w:spacing w:after="0" w:line="136" w:lineRule="exact"/>
              <w:rPr>
                <w:sz w:val="20"/>
                <w:szCs w:val="20"/>
                <w:color w:val="auto"/>
              </w:rPr>
            </w:pPr>
            <w:r>
              <w:rPr>
                <w:rFonts w:ascii="Arial" w:cs="Arial" w:eastAsia="Arial" w:hAnsi="Arial"/>
                <w:sz w:val="12"/>
                <w:szCs w:val="12"/>
                <w:color w:val="auto"/>
              </w:rPr>
              <w:t>24,423,891</w:t>
            </w:r>
          </w:p>
        </w:tc>
        <w:tc>
          <w:tcPr>
            <w:tcW w:w="80" w:type="dxa"/>
            <w:vAlign w:val="bottom"/>
            <w:tcBorders>
              <w:bottom w:val="single" w:sz="8" w:color="CCEEFF"/>
            </w:tcBorders>
          </w:tcPr>
          <w:p>
            <w:pPr>
              <w:spacing w:after="0"/>
              <w:rPr>
                <w:sz w:val="15"/>
                <w:szCs w:val="15"/>
                <w:color w:val="auto"/>
              </w:rPr>
            </w:pPr>
          </w:p>
        </w:tc>
        <w:tc>
          <w:tcPr>
            <w:tcW w:w="660" w:type="dxa"/>
            <w:vAlign w:val="bottom"/>
            <w:tcBorders>
              <w:top w:val="single" w:sz="8" w:color="auto"/>
              <w:bottom w:val="single" w:sz="8" w:color="auto"/>
            </w:tcBorders>
          </w:tcPr>
          <w:p>
            <w:pPr>
              <w:jc w:val="right"/>
              <w:spacing w:after="0" w:line="136" w:lineRule="exact"/>
              <w:rPr>
                <w:sz w:val="20"/>
                <w:szCs w:val="20"/>
                <w:color w:val="auto"/>
              </w:rPr>
            </w:pPr>
            <w:r>
              <w:rPr>
                <w:rFonts w:ascii="Arial" w:cs="Arial" w:eastAsia="Arial" w:hAnsi="Arial"/>
                <w:sz w:val="12"/>
                <w:szCs w:val="12"/>
                <w:color w:val="auto"/>
              </w:rPr>
              <w:t>4,413,373</w:t>
            </w:r>
          </w:p>
        </w:tc>
        <w:tc>
          <w:tcPr>
            <w:tcW w:w="80" w:type="dxa"/>
            <w:vAlign w:val="bottom"/>
            <w:tcBorders>
              <w:bottom w:val="single" w:sz="8" w:color="CCEEFF"/>
            </w:tcBorders>
          </w:tcPr>
          <w:p>
            <w:pPr>
              <w:spacing w:after="0"/>
              <w:rPr>
                <w:sz w:val="15"/>
                <w:szCs w:val="15"/>
                <w:color w:val="auto"/>
              </w:rPr>
            </w:pPr>
          </w:p>
        </w:tc>
        <w:tc>
          <w:tcPr>
            <w:tcW w:w="760" w:type="dxa"/>
            <w:vAlign w:val="bottom"/>
            <w:tcBorders>
              <w:top w:val="single" w:sz="8" w:color="auto"/>
              <w:bottom w:val="single" w:sz="8" w:color="auto"/>
            </w:tcBorders>
          </w:tcPr>
          <w:p>
            <w:pPr>
              <w:jc w:val="right"/>
              <w:spacing w:after="0" w:line="136" w:lineRule="exact"/>
              <w:rPr>
                <w:sz w:val="20"/>
                <w:szCs w:val="20"/>
                <w:color w:val="auto"/>
              </w:rPr>
            </w:pPr>
            <w:r>
              <w:rPr>
                <w:rFonts w:ascii="Arial" w:cs="Arial" w:eastAsia="Arial" w:hAnsi="Arial"/>
                <w:sz w:val="12"/>
                <w:szCs w:val="12"/>
                <w:color w:val="auto"/>
              </w:rPr>
              <w:t>-</w:t>
            </w:r>
          </w:p>
        </w:tc>
        <w:tc>
          <w:tcPr>
            <w:tcW w:w="80" w:type="dxa"/>
            <w:vAlign w:val="bottom"/>
            <w:tcBorders>
              <w:bottom w:val="single" w:sz="8" w:color="CCEEFF"/>
            </w:tcBorders>
          </w:tcPr>
          <w:p>
            <w:pPr>
              <w:spacing w:after="0"/>
              <w:rPr>
                <w:sz w:val="15"/>
                <w:szCs w:val="15"/>
                <w:color w:val="auto"/>
              </w:rPr>
            </w:pPr>
          </w:p>
        </w:tc>
        <w:tc>
          <w:tcPr>
            <w:tcW w:w="660" w:type="dxa"/>
            <w:vAlign w:val="bottom"/>
            <w:tcBorders>
              <w:top w:val="single" w:sz="8" w:color="auto"/>
              <w:bottom w:val="single" w:sz="8" w:color="auto"/>
            </w:tcBorders>
          </w:tcPr>
          <w:p>
            <w:pPr>
              <w:jc w:val="right"/>
              <w:spacing w:after="0" w:line="136" w:lineRule="exact"/>
              <w:rPr>
                <w:sz w:val="20"/>
                <w:szCs w:val="20"/>
                <w:color w:val="auto"/>
              </w:rPr>
            </w:pPr>
            <w:r>
              <w:rPr>
                <w:rFonts w:ascii="Arial" w:cs="Arial" w:eastAsia="Arial" w:hAnsi="Arial"/>
                <w:sz w:val="12"/>
                <w:szCs w:val="12"/>
                <w:color w:val="auto"/>
                <w:w w:val="95"/>
              </w:rPr>
              <w:t>164,444,879</w:t>
            </w:r>
          </w:p>
        </w:tc>
        <w:tc>
          <w:tcPr>
            <w:tcW w:w="80" w:type="dxa"/>
            <w:vAlign w:val="bottom"/>
            <w:tcBorders>
              <w:bottom w:val="single" w:sz="8" w:color="CCEEFF"/>
            </w:tcBorders>
          </w:tcPr>
          <w:p>
            <w:pPr>
              <w:spacing w:after="0"/>
              <w:rPr>
                <w:sz w:val="15"/>
                <w:szCs w:val="15"/>
                <w:color w:val="auto"/>
              </w:rPr>
            </w:pPr>
          </w:p>
        </w:tc>
        <w:tc>
          <w:tcPr>
            <w:tcW w:w="640" w:type="dxa"/>
            <w:vAlign w:val="bottom"/>
            <w:tcBorders>
              <w:top w:val="single" w:sz="8" w:color="auto"/>
              <w:bottom w:val="single" w:sz="8" w:color="auto"/>
            </w:tcBorders>
          </w:tcPr>
          <w:p>
            <w:pPr>
              <w:jc w:val="right"/>
              <w:spacing w:after="0" w:line="136" w:lineRule="exact"/>
              <w:rPr>
                <w:sz w:val="20"/>
                <w:szCs w:val="20"/>
                <w:color w:val="auto"/>
              </w:rPr>
            </w:pPr>
            <w:r>
              <w:rPr>
                <w:rFonts w:ascii="Arial" w:cs="Arial" w:eastAsia="Arial" w:hAnsi="Arial"/>
                <w:sz w:val="12"/>
                <w:szCs w:val="12"/>
                <w:color w:val="auto"/>
              </w:rPr>
              <w:t>4,957,621</w:t>
            </w:r>
          </w:p>
        </w:tc>
        <w:tc>
          <w:tcPr>
            <w:tcW w:w="24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580" w:type="dxa"/>
            <w:vAlign w:val="bottom"/>
            <w:tcBorders>
              <w:top w:val="single" w:sz="8" w:color="auto"/>
              <w:bottom w:val="single" w:sz="8" w:color="auto"/>
            </w:tcBorders>
          </w:tcPr>
          <w:p>
            <w:pPr>
              <w:jc w:val="right"/>
              <w:spacing w:after="0" w:line="136" w:lineRule="exact"/>
              <w:rPr>
                <w:sz w:val="20"/>
                <w:szCs w:val="20"/>
                <w:color w:val="auto"/>
              </w:rPr>
            </w:pPr>
            <w:r>
              <w:rPr>
                <w:rFonts w:ascii="Arial" w:cs="Arial" w:eastAsia="Arial" w:hAnsi="Arial"/>
                <w:sz w:val="12"/>
                <w:szCs w:val="12"/>
                <w:color w:val="auto"/>
              </w:rPr>
              <w:t>459,099</w:t>
            </w:r>
          </w:p>
        </w:tc>
        <w:tc>
          <w:tcPr>
            <w:tcW w:w="80" w:type="dxa"/>
            <w:vAlign w:val="bottom"/>
            <w:tcBorders>
              <w:bottom w:val="single" w:sz="8" w:color="CCEEFF"/>
            </w:tcBorders>
          </w:tcPr>
          <w:p>
            <w:pPr>
              <w:spacing w:after="0"/>
              <w:rPr>
                <w:sz w:val="15"/>
                <w:szCs w:val="15"/>
                <w:color w:val="auto"/>
              </w:rPr>
            </w:pPr>
          </w:p>
        </w:tc>
        <w:tc>
          <w:tcPr>
            <w:tcW w:w="660" w:type="dxa"/>
            <w:vAlign w:val="bottom"/>
            <w:tcBorders>
              <w:top w:val="single" w:sz="8" w:color="auto"/>
              <w:bottom w:val="single" w:sz="8" w:color="auto"/>
            </w:tcBorders>
          </w:tcPr>
          <w:p>
            <w:pPr>
              <w:jc w:val="right"/>
              <w:spacing w:after="0" w:line="136" w:lineRule="exact"/>
              <w:rPr>
                <w:sz w:val="20"/>
                <w:szCs w:val="20"/>
                <w:color w:val="auto"/>
              </w:rPr>
            </w:pPr>
            <w:r>
              <w:rPr>
                <w:rFonts w:ascii="Arial" w:cs="Arial" w:eastAsia="Arial" w:hAnsi="Arial"/>
                <w:sz w:val="12"/>
                <w:szCs w:val="12"/>
                <w:color w:val="auto"/>
                <w:w w:val="95"/>
              </w:rPr>
              <w:t>121,001,793</w:t>
            </w:r>
          </w:p>
        </w:tc>
        <w:tc>
          <w:tcPr>
            <w:tcW w:w="80" w:type="dxa"/>
            <w:vAlign w:val="bottom"/>
            <w:tcBorders>
              <w:bottom w:val="single" w:sz="8" w:color="CCEEFF"/>
            </w:tcBorders>
          </w:tcPr>
          <w:p>
            <w:pPr>
              <w:spacing w:after="0"/>
              <w:rPr>
                <w:sz w:val="15"/>
                <w:szCs w:val="15"/>
                <w:color w:val="auto"/>
              </w:rPr>
            </w:pPr>
          </w:p>
        </w:tc>
        <w:tc>
          <w:tcPr>
            <w:tcW w:w="700" w:type="dxa"/>
            <w:vAlign w:val="bottom"/>
            <w:tcBorders>
              <w:top w:val="single" w:sz="8" w:color="auto"/>
              <w:bottom w:val="single" w:sz="8" w:color="auto"/>
            </w:tcBorders>
          </w:tcPr>
          <w:p>
            <w:pPr>
              <w:jc w:val="right"/>
              <w:spacing w:after="0" w:line="136" w:lineRule="exact"/>
              <w:rPr>
                <w:sz w:val="20"/>
                <w:szCs w:val="20"/>
                <w:color w:val="auto"/>
              </w:rPr>
            </w:pPr>
            <w:r>
              <w:rPr>
                <w:rFonts w:ascii="Arial" w:cs="Arial" w:eastAsia="Arial" w:hAnsi="Arial"/>
                <w:sz w:val="12"/>
                <w:szCs w:val="12"/>
                <w:color w:val="auto"/>
              </w:rPr>
              <w:t>18,685,667</w:t>
            </w:r>
          </w:p>
        </w:tc>
        <w:tc>
          <w:tcPr>
            <w:tcW w:w="80" w:type="dxa"/>
            <w:vAlign w:val="bottom"/>
            <w:tcBorders>
              <w:bottom w:val="single" w:sz="8" w:color="CCEEFF"/>
            </w:tcBorders>
          </w:tcPr>
          <w:p>
            <w:pPr>
              <w:spacing w:after="0"/>
              <w:rPr>
                <w:sz w:val="15"/>
                <w:szCs w:val="15"/>
                <w:color w:val="auto"/>
              </w:rPr>
            </w:pPr>
          </w:p>
        </w:tc>
        <w:tc>
          <w:tcPr>
            <w:tcW w:w="640" w:type="dxa"/>
            <w:vAlign w:val="bottom"/>
            <w:tcBorders>
              <w:top w:val="single" w:sz="8" w:color="auto"/>
              <w:bottom w:val="single" w:sz="8" w:color="auto"/>
            </w:tcBorders>
          </w:tcPr>
          <w:p>
            <w:pPr>
              <w:jc w:val="right"/>
              <w:spacing w:after="0" w:line="136" w:lineRule="exact"/>
              <w:rPr>
                <w:sz w:val="20"/>
                <w:szCs w:val="20"/>
                <w:color w:val="auto"/>
              </w:rPr>
            </w:pPr>
            <w:r>
              <w:rPr>
                <w:rFonts w:ascii="Arial" w:cs="Arial" w:eastAsia="Arial" w:hAnsi="Arial"/>
                <w:sz w:val="12"/>
                <w:szCs w:val="12"/>
                <w:color w:val="auto"/>
              </w:rPr>
              <w:t>5,118,420</w:t>
            </w:r>
          </w:p>
        </w:tc>
        <w:tc>
          <w:tcPr>
            <w:tcW w:w="80" w:type="dxa"/>
            <w:vAlign w:val="bottom"/>
            <w:tcBorders>
              <w:bottom w:val="single" w:sz="8" w:color="CCEEFF"/>
            </w:tcBorders>
          </w:tcPr>
          <w:p>
            <w:pPr>
              <w:spacing w:after="0"/>
              <w:rPr>
                <w:sz w:val="15"/>
                <w:szCs w:val="15"/>
                <w:color w:val="auto"/>
              </w:rPr>
            </w:pPr>
          </w:p>
        </w:tc>
        <w:tc>
          <w:tcPr>
            <w:tcW w:w="780" w:type="dxa"/>
            <w:vAlign w:val="bottom"/>
            <w:tcBorders>
              <w:top w:val="single" w:sz="8" w:color="auto"/>
              <w:bottom w:val="single" w:sz="8" w:color="auto"/>
            </w:tcBorders>
          </w:tcPr>
          <w:p>
            <w:pPr>
              <w:jc w:val="right"/>
              <w:spacing w:after="0" w:line="136" w:lineRule="exact"/>
              <w:rPr>
                <w:sz w:val="20"/>
                <w:szCs w:val="20"/>
                <w:color w:val="auto"/>
              </w:rPr>
            </w:pPr>
            <w:r>
              <w:rPr>
                <w:rFonts w:ascii="Arial" w:cs="Arial" w:eastAsia="Arial" w:hAnsi="Arial"/>
                <w:sz w:val="12"/>
                <w:szCs w:val="12"/>
                <w:color w:val="auto"/>
              </w:rPr>
              <w:t>-</w:t>
            </w:r>
          </w:p>
        </w:tc>
        <w:tc>
          <w:tcPr>
            <w:tcW w:w="80" w:type="dxa"/>
            <w:vAlign w:val="bottom"/>
            <w:tcBorders>
              <w:bottom w:val="single" w:sz="8" w:color="CCEEFF"/>
            </w:tcBorders>
          </w:tcPr>
          <w:p>
            <w:pPr>
              <w:spacing w:after="0"/>
              <w:rPr>
                <w:sz w:val="15"/>
                <w:szCs w:val="15"/>
                <w:color w:val="auto"/>
              </w:rPr>
            </w:pPr>
          </w:p>
        </w:tc>
        <w:tc>
          <w:tcPr>
            <w:tcW w:w="640" w:type="dxa"/>
            <w:vAlign w:val="bottom"/>
            <w:tcBorders>
              <w:top w:val="single" w:sz="8" w:color="auto"/>
              <w:bottom w:val="single" w:sz="8" w:color="auto"/>
            </w:tcBorders>
          </w:tcPr>
          <w:p>
            <w:pPr>
              <w:jc w:val="right"/>
              <w:spacing w:after="0" w:line="136" w:lineRule="exact"/>
              <w:rPr>
                <w:sz w:val="20"/>
                <w:szCs w:val="20"/>
                <w:color w:val="auto"/>
              </w:rPr>
            </w:pPr>
            <w:r>
              <w:rPr>
                <w:rFonts w:ascii="Arial" w:cs="Arial" w:eastAsia="Arial" w:hAnsi="Arial"/>
                <w:sz w:val="12"/>
                <w:szCs w:val="12"/>
                <w:color w:val="auto"/>
                <w:w w:val="92"/>
              </w:rPr>
              <w:t>150,222,600</w:t>
            </w:r>
          </w:p>
        </w:tc>
        <w:tc>
          <w:tcPr>
            <w:tcW w:w="4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09"/>
        </w:trPr>
        <w:tc>
          <w:tcPr>
            <w:tcW w:w="7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780" w:type="dxa"/>
            <w:vAlign w:val="bottom"/>
          </w:tcPr>
          <w:p>
            <w:pPr>
              <w:spacing w:after="0" w:line="130" w:lineRule="exact"/>
              <w:rPr>
                <w:sz w:val="20"/>
                <w:szCs w:val="20"/>
                <w:color w:val="auto"/>
              </w:rPr>
            </w:pPr>
            <w:r>
              <w:rPr>
                <w:rFonts w:ascii="Arial" w:cs="Arial" w:eastAsia="Arial" w:hAnsi="Arial"/>
                <w:sz w:val="12"/>
                <w:szCs w:val="12"/>
                <w:b w:val="1"/>
                <w:bCs w:val="1"/>
                <w:color w:val="auto"/>
              </w:rPr>
              <w:t>Liabilities</w:t>
            </w: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16"/>
        </w:trPr>
        <w:tc>
          <w:tcPr>
            <w:tcW w:w="780" w:type="dxa"/>
            <w:vAlign w:val="bottom"/>
          </w:tcPr>
          <w:p>
            <w:pPr>
              <w:spacing w:after="0" w:line="116" w:lineRule="exact"/>
              <w:rPr>
                <w:sz w:val="20"/>
                <w:szCs w:val="20"/>
                <w:color w:val="auto"/>
              </w:rPr>
            </w:pPr>
            <w:r>
              <w:rPr>
                <w:rFonts w:ascii="Arial" w:cs="Arial" w:eastAsia="Arial" w:hAnsi="Arial"/>
                <w:sz w:val="12"/>
                <w:szCs w:val="12"/>
                <w:color w:val="auto"/>
              </w:rPr>
              <w:t>Deposits and</w:t>
            </w:r>
          </w:p>
        </w:tc>
        <w:tc>
          <w:tcPr>
            <w:tcW w:w="6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780" w:type="dxa"/>
            <w:vAlign w:val="bottom"/>
          </w:tcPr>
          <w:p>
            <w:pPr>
              <w:spacing w:after="0"/>
              <w:rPr>
                <w:sz w:val="20"/>
                <w:szCs w:val="20"/>
                <w:color w:val="auto"/>
              </w:rPr>
            </w:pPr>
            <w:r>
              <w:rPr>
                <w:rFonts w:ascii="Arial" w:cs="Arial" w:eastAsia="Arial" w:hAnsi="Arial"/>
                <w:sz w:val="12"/>
                <w:szCs w:val="12"/>
                <w:color w:val="auto"/>
              </w:rPr>
              <w:t>obligations</w:t>
            </w:r>
          </w:p>
        </w:tc>
        <w:tc>
          <w:tcPr>
            <w:tcW w:w="90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68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72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78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74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840" w:type="dxa"/>
            <w:vAlign w:val="bottom"/>
            <w:gridSpan w:val="2"/>
          </w:tcPr>
          <w:p>
            <w:pPr>
              <w:jc w:val="right"/>
              <w:ind w:right="80"/>
              <w:spacing w:after="0"/>
              <w:rPr>
                <w:sz w:val="20"/>
                <w:szCs w:val="20"/>
                <w:color w:val="auto"/>
              </w:rPr>
            </w:pPr>
            <w:r>
              <w:rPr>
                <w:rFonts w:ascii="Arial" w:cs="Arial" w:eastAsia="Arial" w:hAnsi="Arial"/>
                <w:sz w:val="12"/>
                <w:szCs w:val="12"/>
                <w:color w:val="auto"/>
              </w:rPr>
              <w:t>97,170,411</w:t>
            </w:r>
          </w:p>
        </w:tc>
        <w:tc>
          <w:tcPr>
            <w:tcW w:w="740" w:type="dxa"/>
            <w:vAlign w:val="bottom"/>
            <w:gridSpan w:val="2"/>
          </w:tcPr>
          <w:p>
            <w:pPr>
              <w:jc w:val="right"/>
              <w:ind w:right="80"/>
              <w:spacing w:after="0"/>
              <w:rPr>
                <w:sz w:val="20"/>
                <w:szCs w:val="20"/>
                <w:color w:val="auto"/>
              </w:rPr>
            </w:pPr>
            <w:r>
              <w:rPr>
                <w:rFonts w:ascii="Arial" w:cs="Arial" w:eastAsia="Arial" w:hAnsi="Arial"/>
                <w:sz w:val="12"/>
                <w:szCs w:val="12"/>
                <w:color w:val="auto"/>
              </w:rPr>
              <w:t>97,170,411</w:t>
            </w:r>
          </w:p>
        </w:tc>
        <w:tc>
          <w:tcPr>
            <w:tcW w:w="88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gridSpan w:val="3"/>
          </w:tcPr>
          <w:p>
            <w:pPr>
              <w:jc w:val="right"/>
              <w:ind w:right="80"/>
              <w:spacing w:after="0"/>
              <w:rPr>
                <w:sz w:val="20"/>
                <w:szCs w:val="20"/>
                <w:color w:val="auto"/>
              </w:rPr>
            </w:pPr>
            <w:r>
              <w:rPr>
                <w:rFonts w:ascii="Arial" w:cs="Arial" w:eastAsia="Arial" w:hAnsi="Arial"/>
                <w:sz w:val="12"/>
                <w:szCs w:val="12"/>
                <w:color w:val="auto"/>
              </w:rPr>
              <w:t>-</w:t>
            </w:r>
          </w:p>
        </w:tc>
        <w:tc>
          <w:tcPr>
            <w:tcW w:w="74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78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72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860" w:type="dxa"/>
            <w:vAlign w:val="bottom"/>
            <w:gridSpan w:val="2"/>
          </w:tcPr>
          <w:p>
            <w:pPr>
              <w:jc w:val="right"/>
              <w:ind w:right="80"/>
              <w:spacing w:after="0"/>
              <w:rPr>
                <w:sz w:val="20"/>
                <w:szCs w:val="20"/>
                <w:color w:val="auto"/>
              </w:rPr>
            </w:pPr>
            <w:r>
              <w:rPr>
                <w:rFonts w:ascii="Arial" w:cs="Arial" w:eastAsia="Arial" w:hAnsi="Arial"/>
                <w:sz w:val="12"/>
                <w:szCs w:val="12"/>
                <w:color w:val="auto"/>
              </w:rPr>
              <w:t>85,916,387</w:t>
            </w:r>
          </w:p>
        </w:tc>
        <w:tc>
          <w:tcPr>
            <w:tcW w:w="680" w:type="dxa"/>
            <w:vAlign w:val="bottom"/>
            <w:gridSpan w:val="2"/>
          </w:tcPr>
          <w:p>
            <w:pPr>
              <w:jc w:val="right"/>
              <w:ind w:right="40"/>
              <w:spacing w:after="0"/>
              <w:rPr>
                <w:sz w:val="20"/>
                <w:szCs w:val="20"/>
                <w:color w:val="auto"/>
              </w:rPr>
            </w:pPr>
            <w:r>
              <w:rPr>
                <w:rFonts w:ascii="Arial" w:cs="Arial" w:eastAsia="Arial" w:hAnsi="Arial"/>
                <w:sz w:val="12"/>
                <w:szCs w:val="12"/>
                <w:color w:val="auto"/>
              </w:rPr>
              <w:t>85,916,387</w:t>
            </w:r>
          </w:p>
        </w:tc>
        <w:tc>
          <w:tcPr>
            <w:tcW w:w="0" w:type="dxa"/>
            <w:vAlign w:val="bottom"/>
          </w:tcPr>
          <w:p>
            <w:pPr>
              <w:spacing w:after="0"/>
              <w:rPr>
                <w:sz w:val="1"/>
                <w:szCs w:val="1"/>
                <w:color w:val="auto"/>
              </w:rPr>
            </w:pPr>
          </w:p>
        </w:tc>
      </w:tr>
      <w:tr>
        <w:trPr>
          <w:trHeight w:val="116"/>
        </w:trPr>
        <w:tc>
          <w:tcPr>
            <w:tcW w:w="780" w:type="dxa"/>
            <w:vAlign w:val="bottom"/>
            <w:shd w:val="clear" w:color="auto" w:fill="CCEEFF"/>
          </w:tcPr>
          <w:p>
            <w:pPr>
              <w:spacing w:after="0" w:line="116" w:lineRule="exact"/>
              <w:rPr>
                <w:sz w:val="20"/>
                <w:szCs w:val="20"/>
                <w:color w:val="auto"/>
              </w:rPr>
            </w:pPr>
            <w:r>
              <w:rPr>
                <w:rFonts w:ascii="Arial" w:cs="Arial" w:eastAsia="Arial" w:hAnsi="Arial"/>
                <w:sz w:val="12"/>
                <w:szCs w:val="12"/>
                <w:color w:val="auto"/>
                <w:w w:val="99"/>
              </w:rPr>
              <w:t>Payables from</w:t>
            </w:r>
          </w:p>
        </w:tc>
        <w:tc>
          <w:tcPr>
            <w:tcW w:w="64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780" w:type="dxa"/>
            <w:vAlign w:val="bottom"/>
            <w:shd w:val="clear" w:color="auto" w:fill="CCEEFF"/>
          </w:tcPr>
          <w:p>
            <w:pPr>
              <w:spacing w:after="0" w:line="130" w:lineRule="exact"/>
              <w:rPr>
                <w:sz w:val="20"/>
                <w:szCs w:val="20"/>
                <w:color w:val="auto"/>
              </w:rPr>
            </w:pPr>
            <w:r>
              <w:rPr>
                <w:rFonts w:ascii="Arial" w:cs="Arial" w:eastAsia="Arial" w:hAnsi="Arial"/>
                <w:sz w:val="12"/>
                <w:szCs w:val="12"/>
                <w:color w:val="auto"/>
              </w:rPr>
              <w:t>repurchase</w:t>
            </w:r>
          </w:p>
        </w:tc>
        <w:tc>
          <w:tcPr>
            <w:tcW w:w="6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80" w:type="dxa"/>
            <w:vAlign w:val="bottom"/>
            <w:shd w:val="clear" w:color="auto" w:fill="CCEEFF"/>
          </w:tcPr>
          <w:p>
            <w:pPr>
              <w:spacing w:after="0" w:line="130" w:lineRule="exact"/>
              <w:rPr>
                <w:sz w:val="20"/>
                <w:szCs w:val="20"/>
                <w:color w:val="auto"/>
              </w:rPr>
            </w:pPr>
            <w:r>
              <w:rPr>
                <w:rFonts w:ascii="Arial" w:cs="Arial" w:eastAsia="Arial" w:hAnsi="Arial"/>
                <w:sz w:val="12"/>
                <w:szCs w:val="12"/>
                <w:color w:val="auto"/>
              </w:rPr>
              <w:t>agreements</w:t>
            </w:r>
          </w:p>
        </w:tc>
        <w:tc>
          <w:tcPr>
            <w:tcW w:w="6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80" w:type="dxa"/>
            <w:vAlign w:val="bottom"/>
            <w:shd w:val="clear" w:color="auto" w:fill="CCEEFF"/>
          </w:tcPr>
          <w:p>
            <w:pPr>
              <w:spacing w:after="0" w:line="130" w:lineRule="exact"/>
              <w:rPr>
                <w:sz w:val="20"/>
                <w:szCs w:val="20"/>
                <w:color w:val="auto"/>
              </w:rPr>
            </w:pPr>
            <w:r>
              <w:rPr>
                <w:rFonts w:ascii="Arial" w:cs="Arial" w:eastAsia="Arial" w:hAnsi="Arial"/>
                <w:sz w:val="12"/>
                <w:szCs w:val="12"/>
                <w:color w:val="auto"/>
              </w:rPr>
              <w:t>and security</w:t>
            </w:r>
          </w:p>
        </w:tc>
        <w:tc>
          <w:tcPr>
            <w:tcW w:w="6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780" w:type="dxa"/>
            <w:vAlign w:val="bottom"/>
            <w:shd w:val="clear" w:color="auto" w:fill="CCEEFF"/>
          </w:tcPr>
          <w:p>
            <w:pPr>
              <w:spacing w:after="0"/>
              <w:rPr>
                <w:sz w:val="20"/>
                <w:szCs w:val="20"/>
                <w:color w:val="auto"/>
              </w:rPr>
            </w:pPr>
            <w:r>
              <w:rPr>
                <w:rFonts w:ascii="Arial" w:cs="Arial" w:eastAsia="Arial" w:hAnsi="Arial"/>
                <w:sz w:val="12"/>
                <w:szCs w:val="12"/>
                <w:color w:val="auto"/>
              </w:rPr>
              <w:t>lendings</w:t>
            </w: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2"/>
                <w:szCs w:val="12"/>
                <w:color w:val="auto"/>
              </w:rPr>
              <w:t>-</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13,415,843</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13,415,843</w:t>
            </w: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gridSpan w:val="3"/>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15,127,999</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15,127,999</w:t>
            </w:r>
          </w:p>
        </w:tc>
        <w:tc>
          <w:tcPr>
            <w:tcW w:w="0" w:type="dxa"/>
            <w:vAlign w:val="bottom"/>
          </w:tcPr>
          <w:p>
            <w:pPr>
              <w:spacing w:after="0"/>
              <w:rPr>
                <w:sz w:val="1"/>
                <w:szCs w:val="1"/>
                <w:color w:val="auto"/>
              </w:rPr>
            </w:pPr>
          </w:p>
        </w:tc>
      </w:tr>
      <w:tr>
        <w:trPr>
          <w:trHeight w:val="116"/>
        </w:trPr>
        <w:tc>
          <w:tcPr>
            <w:tcW w:w="780" w:type="dxa"/>
            <w:vAlign w:val="bottom"/>
          </w:tcPr>
          <w:p>
            <w:pPr>
              <w:spacing w:after="0" w:line="116" w:lineRule="exact"/>
              <w:rPr>
                <w:sz w:val="20"/>
                <w:szCs w:val="20"/>
                <w:color w:val="auto"/>
              </w:rPr>
            </w:pPr>
            <w:r>
              <w:rPr>
                <w:rFonts w:ascii="Arial" w:cs="Arial" w:eastAsia="Arial" w:hAnsi="Arial"/>
                <w:sz w:val="12"/>
                <w:szCs w:val="12"/>
                <w:color w:val="auto"/>
              </w:rPr>
              <w:t>Due to banks</w:t>
            </w:r>
          </w:p>
        </w:tc>
        <w:tc>
          <w:tcPr>
            <w:tcW w:w="6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780" w:type="dxa"/>
            <w:vAlign w:val="bottom"/>
          </w:tcPr>
          <w:p>
            <w:pPr>
              <w:spacing w:after="0" w:line="130" w:lineRule="exact"/>
              <w:rPr>
                <w:sz w:val="20"/>
                <w:szCs w:val="20"/>
                <w:color w:val="auto"/>
              </w:rPr>
            </w:pPr>
            <w:r>
              <w:rPr>
                <w:rFonts w:ascii="Arial" w:cs="Arial" w:eastAsia="Arial" w:hAnsi="Arial"/>
                <w:sz w:val="12"/>
                <w:szCs w:val="12"/>
                <w:color w:val="auto"/>
              </w:rPr>
              <w:t>and</w:t>
            </w: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780" w:type="dxa"/>
            <w:vAlign w:val="bottom"/>
          </w:tcPr>
          <w:p>
            <w:pPr>
              <w:spacing w:after="0"/>
              <w:rPr>
                <w:sz w:val="20"/>
                <w:szCs w:val="20"/>
                <w:color w:val="auto"/>
              </w:rPr>
            </w:pPr>
            <w:r>
              <w:rPr>
                <w:rFonts w:ascii="Arial" w:cs="Arial" w:eastAsia="Arial" w:hAnsi="Arial"/>
                <w:sz w:val="12"/>
                <w:szCs w:val="12"/>
                <w:color w:val="auto"/>
                <w:w w:val="91"/>
              </w:rPr>
              <w:t>correspondents</w:t>
            </w:r>
          </w:p>
        </w:tc>
        <w:tc>
          <w:tcPr>
            <w:tcW w:w="90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68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72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78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74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840" w:type="dxa"/>
            <w:vAlign w:val="bottom"/>
            <w:gridSpan w:val="2"/>
          </w:tcPr>
          <w:p>
            <w:pPr>
              <w:jc w:val="right"/>
              <w:ind w:right="80"/>
              <w:spacing w:after="0"/>
              <w:rPr>
                <w:sz w:val="20"/>
                <w:szCs w:val="20"/>
                <w:color w:val="auto"/>
              </w:rPr>
            </w:pPr>
            <w:r>
              <w:rPr>
                <w:rFonts w:ascii="Arial" w:cs="Arial" w:eastAsia="Arial" w:hAnsi="Arial"/>
                <w:sz w:val="12"/>
                <w:szCs w:val="12"/>
                <w:color w:val="auto"/>
              </w:rPr>
              <w:t>7,996,889</w:t>
            </w:r>
          </w:p>
        </w:tc>
        <w:tc>
          <w:tcPr>
            <w:tcW w:w="660" w:type="dxa"/>
            <w:vAlign w:val="bottom"/>
          </w:tcPr>
          <w:p>
            <w:pPr>
              <w:jc w:val="right"/>
              <w:spacing w:after="0"/>
              <w:rPr>
                <w:sz w:val="20"/>
                <w:szCs w:val="20"/>
                <w:color w:val="auto"/>
              </w:rPr>
            </w:pPr>
            <w:r>
              <w:rPr>
                <w:rFonts w:ascii="Arial" w:cs="Arial" w:eastAsia="Arial" w:hAnsi="Arial"/>
                <w:sz w:val="12"/>
                <w:szCs w:val="12"/>
                <w:color w:val="auto"/>
              </w:rPr>
              <w:t>7,996,889</w:t>
            </w:r>
          </w:p>
        </w:tc>
        <w:tc>
          <w:tcPr>
            <w:tcW w:w="80" w:type="dxa"/>
            <w:vAlign w:val="bottom"/>
          </w:tcPr>
          <w:p>
            <w:pPr>
              <w:spacing w:after="0"/>
              <w:rPr>
                <w:sz w:val="12"/>
                <w:szCs w:val="12"/>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gridSpan w:val="3"/>
          </w:tcPr>
          <w:p>
            <w:pPr>
              <w:jc w:val="right"/>
              <w:ind w:right="80"/>
              <w:spacing w:after="0"/>
              <w:rPr>
                <w:sz w:val="20"/>
                <w:szCs w:val="20"/>
                <w:color w:val="auto"/>
              </w:rPr>
            </w:pPr>
            <w:r>
              <w:rPr>
                <w:rFonts w:ascii="Arial" w:cs="Arial" w:eastAsia="Arial" w:hAnsi="Arial"/>
                <w:sz w:val="12"/>
                <w:szCs w:val="12"/>
                <w:color w:val="auto"/>
              </w:rPr>
              <w:t>-</w:t>
            </w:r>
          </w:p>
        </w:tc>
        <w:tc>
          <w:tcPr>
            <w:tcW w:w="74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78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72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780" w:type="dxa"/>
            <w:vAlign w:val="bottom"/>
          </w:tcPr>
          <w:p>
            <w:pPr>
              <w:jc w:val="right"/>
              <w:spacing w:after="0"/>
              <w:rPr>
                <w:sz w:val="20"/>
                <w:szCs w:val="20"/>
                <w:color w:val="auto"/>
              </w:rPr>
            </w:pPr>
            <w:r>
              <w:rPr>
                <w:rFonts w:ascii="Arial" w:cs="Arial" w:eastAsia="Arial" w:hAnsi="Arial"/>
                <w:sz w:val="12"/>
                <w:szCs w:val="12"/>
                <w:color w:val="auto"/>
              </w:rPr>
              <w:t>7,493,916</w:t>
            </w: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7,493,916</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6"/>
        </w:trPr>
        <w:tc>
          <w:tcPr>
            <w:tcW w:w="780" w:type="dxa"/>
            <w:vAlign w:val="bottom"/>
            <w:shd w:val="clear" w:color="auto" w:fill="CCEEFF"/>
          </w:tcPr>
          <w:p>
            <w:pPr>
              <w:spacing w:after="0" w:line="116" w:lineRule="exact"/>
              <w:rPr>
                <w:sz w:val="20"/>
                <w:szCs w:val="20"/>
                <w:color w:val="auto"/>
              </w:rPr>
            </w:pPr>
            <w:r>
              <w:rPr>
                <w:rFonts w:ascii="Arial" w:cs="Arial" w:eastAsia="Arial" w:hAnsi="Arial"/>
                <w:sz w:val="12"/>
                <w:szCs w:val="12"/>
                <w:color w:val="auto"/>
              </w:rPr>
              <w:t>Bankers’</w:t>
            </w:r>
          </w:p>
        </w:tc>
        <w:tc>
          <w:tcPr>
            <w:tcW w:w="64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780" w:type="dxa"/>
            <w:vAlign w:val="bottom"/>
            <w:shd w:val="clear" w:color="auto" w:fill="CCEEFF"/>
          </w:tcPr>
          <w:p>
            <w:pPr>
              <w:spacing w:after="0" w:line="130" w:lineRule="exact"/>
              <w:rPr>
                <w:sz w:val="20"/>
                <w:szCs w:val="20"/>
                <w:color w:val="auto"/>
              </w:rPr>
            </w:pPr>
            <w:r>
              <w:rPr>
                <w:rFonts w:ascii="Arial" w:cs="Arial" w:eastAsia="Arial" w:hAnsi="Arial"/>
                <w:sz w:val="12"/>
                <w:szCs w:val="12"/>
                <w:color w:val="auto"/>
              </w:rPr>
              <w:t>acceptances</w:t>
            </w:r>
          </w:p>
        </w:tc>
        <w:tc>
          <w:tcPr>
            <w:tcW w:w="6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780" w:type="dxa"/>
            <w:vAlign w:val="bottom"/>
            <w:shd w:val="clear" w:color="auto" w:fill="CCEEFF"/>
          </w:tcPr>
          <w:p>
            <w:pPr>
              <w:spacing w:after="0"/>
              <w:rPr>
                <w:sz w:val="20"/>
                <w:szCs w:val="20"/>
                <w:color w:val="auto"/>
              </w:rPr>
            </w:pPr>
            <w:r>
              <w:rPr>
                <w:rFonts w:ascii="Arial" w:cs="Arial" w:eastAsia="Arial" w:hAnsi="Arial"/>
                <w:sz w:val="12"/>
                <w:szCs w:val="12"/>
                <w:color w:val="auto"/>
              </w:rPr>
              <w:t>outstanding</w:t>
            </w: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2"/>
                <w:szCs w:val="12"/>
                <w:color w:val="auto"/>
              </w:rPr>
              <w:t>-</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532,034</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532,034</w:t>
            </w: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gridSpan w:val="3"/>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491,139</w:t>
            </w: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491,139</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16"/>
        </w:trPr>
        <w:tc>
          <w:tcPr>
            <w:tcW w:w="780" w:type="dxa"/>
            <w:vAlign w:val="bottom"/>
          </w:tcPr>
          <w:p>
            <w:pPr>
              <w:spacing w:after="0" w:line="116" w:lineRule="exact"/>
              <w:rPr>
                <w:sz w:val="20"/>
                <w:szCs w:val="20"/>
                <w:color w:val="auto"/>
              </w:rPr>
            </w:pPr>
            <w:r>
              <w:rPr>
                <w:rFonts w:ascii="Arial" w:cs="Arial" w:eastAsia="Arial" w:hAnsi="Arial"/>
                <w:sz w:val="12"/>
                <w:szCs w:val="12"/>
                <w:color w:val="auto"/>
              </w:rPr>
              <w:t>Financial</w:t>
            </w:r>
          </w:p>
        </w:tc>
        <w:tc>
          <w:tcPr>
            <w:tcW w:w="6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780" w:type="dxa"/>
            <w:vAlign w:val="bottom"/>
          </w:tcPr>
          <w:p>
            <w:pPr>
              <w:spacing w:after="0" w:line="130" w:lineRule="exact"/>
              <w:rPr>
                <w:sz w:val="20"/>
                <w:szCs w:val="20"/>
                <w:color w:val="auto"/>
              </w:rPr>
            </w:pPr>
            <w:r>
              <w:rPr>
                <w:rFonts w:ascii="Arial" w:cs="Arial" w:eastAsia="Arial" w:hAnsi="Arial"/>
                <w:sz w:val="12"/>
                <w:szCs w:val="12"/>
                <w:color w:val="auto"/>
              </w:rPr>
              <w:t>liabilities at</w:t>
            </w: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80" w:type="dxa"/>
            <w:vAlign w:val="bottom"/>
          </w:tcPr>
          <w:p>
            <w:pPr>
              <w:spacing w:after="0" w:line="130" w:lineRule="exact"/>
              <w:rPr>
                <w:sz w:val="20"/>
                <w:szCs w:val="20"/>
                <w:color w:val="auto"/>
              </w:rPr>
            </w:pPr>
            <w:r>
              <w:rPr>
                <w:rFonts w:ascii="Arial" w:cs="Arial" w:eastAsia="Arial" w:hAnsi="Arial"/>
                <w:sz w:val="12"/>
                <w:szCs w:val="12"/>
                <w:color w:val="auto"/>
              </w:rPr>
              <w:t>fair value</w:t>
            </w: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80" w:type="dxa"/>
            <w:vAlign w:val="bottom"/>
          </w:tcPr>
          <w:p>
            <w:pPr>
              <w:spacing w:after="0" w:line="130" w:lineRule="exact"/>
              <w:rPr>
                <w:sz w:val="20"/>
                <w:szCs w:val="20"/>
                <w:color w:val="auto"/>
              </w:rPr>
            </w:pPr>
            <w:r>
              <w:rPr>
                <w:rFonts w:ascii="Arial" w:cs="Arial" w:eastAsia="Arial" w:hAnsi="Arial"/>
                <w:sz w:val="12"/>
                <w:szCs w:val="12"/>
                <w:color w:val="auto"/>
              </w:rPr>
              <w:t>through profit</w:t>
            </w: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780" w:type="dxa"/>
            <w:vAlign w:val="bottom"/>
          </w:tcPr>
          <w:p>
            <w:pPr>
              <w:spacing w:after="0"/>
              <w:rPr>
                <w:sz w:val="20"/>
                <w:szCs w:val="20"/>
                <w:color w:val="auto"/>
              </w:rPr>
            </w:pPr>
            <w:r>
              <w:rPr>
                <w:rFonts w:ascii="Arial" w:cs="Arial" w:eastAsia="Arial" w:hAnsi="Arial"/>
                <w:sz w:val="12"/>
                <w:szCs w:val="12"/>
                <w:color w:val="auto"/>
              </w:rPr>
              <w:t>or loss</w:t>
            </w:r>
          </w:p>
        </w:tc>
        <w:tc>
          <w:tcPr>
            <w:tcW w:w="900" w:type="dxa"/>
            <w:vAlign w:val="bottom"/>
            <w:gridSpan w:val="2"/>
          </w:tcPr>
          <w:p>
            <w:pPr>
              <w:jc w:val="right"/>
              <w:ind w:right="260"/>
              <w:spacing w:after="0"/>
              <w:rPr>
                <w:sz w:val="20"/>
                <w:szCs w:val="20"/>
                <w:color w:val="auto"/>
              </w:rPr>
            </w:pPr>
            <w:r>
              <w:rPr>
                <w:rFonts w:ascii="Arial" w:cs="Arial" w:eastAsia="Arial" w:hAnsi="Arial"/>
                <w:sz w:val="12"/>
                <w:szCs w:val="12"/>
                <w:color w:val="auto"/>
              </w:rPr>
              <w:t>168,089</w:t>
            </w:r>
          </w:p>
        </w:tc>
        <w:tc>
          <w:tcPr>
            <w:tcW w:w="68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72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78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74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84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740" w:type="dxa"/>
            <w:vAlign w:val="bottom"/>
            <w:gridSpan w:val="2"/>
          </w:tcPr>
          <w:p>
            <w:pPr>
              <w:jc w:val="right"/>
              <w:ind w:right="80"/>
              <w:spacing w:after="0"/>
              <w:rPr>
                <w:sz w:val="20"/>
                <w:szCs w:val="20"/>
                <w:color w:val="auto"/>
              </w:rPr>
            </w:pPr>
            <w:r>
              <w:rPr>
                <w:rFonts w:ascii="Arial" w:cs="Arial" w:eastAsia="Arial" w:hAnsi="Arial"/>
                <w:sz w:val="12"/>
                <w:szCs w:val="12"/>
                <w:color w:val="auto"/>
              </w:rPr>
              <w:t>168,089</w:t>
            </w:r>
          </w:p>
        </w:tc>
        <w:tc>
          <w:tcPr>
            <w:tcW w:w="880" w:type="dxa"/>
            <w:vAlign w:val="bottom"/>
            <w:gridSpan w:val="2"/>
          </w:tcPr>
          <w:p>
            <w:pPr>
              <w:jc w:val="right"/>
              <w:ind w:right="240"/>
              <w:spacing w:after="0"/>
              <w:rPr>
                <w:sz w:val="20"/>
                <w:szCs w:val="20"/>
                <w:color w:val="auto"/>
              </w:rPr>
            </w:pPr>
            <w:r>
              <w:rPr>
                <w:rFonts w:ascii="Arial" w:cs="Arial" w:eastAsia="Arial" w:hAnsi="Arial"/>
                <w:sz w:val="12"/>
                <w:szCs w:val="12"/>
                <w:color w:val="auto"/>
              </w:rPr>
              <w:t>209,520</w:t>
            </w:r>
          </w:p>
        </w:tc>
        <w:tc>
          <w:tcPr>
            <w:tcW w:w="680" w:type="dxa"/>
            <w:vAlign w:val="bottom"/>
            <w:gridSpan w:val="3"/>
          </w:tcPr>
          <w:p>
            <w:pPr>
              <w:jc w:val="right"/>
              <w:ind w:right="80"/>
              <w:spacing w:after="0"/>
              <w:rPr>
                <w:sz w:val="20"/>
                <w:szCs w:val="20"/>
                <w:color w:val="auto"/>
              </w:rPr>
            </w:pPr>
            <w:r>
              <w:rPr>
                <w:rFonts w:ascii="Arial" w:cs="Arial" w:eastAsia="Arial" w:hAnsi="Arial"/>
                <w:sz w:val="12"/>
                <w:szCs w:val="12"/>
                <w:color w:val="auto"/>
              </w:rPr>
              <w:t>-</w:t>
            </w:r>
          </w:p>
        </w:tc>
        <w:tc>
          <w:tcPr>
            <w:tcW w:w="74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78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72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86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640" w:type="dxa"/>
            <w:vAlign w:val="bottom"/>
          </w:tcPr>
          <w:p>
            <w:pPr>
              <w:jc w:val="right"/>
              <w:spacing w:after="0"/>
              <w:rPr>
                <w:sz w:val="20"/>
                <w:szCs w:val="20"/>
                <w:color w:val="auto"/>
              </w:rPr>
            </w:pPr>
            <w:r>
              <w:rPr>
                <w:rFonts w:ascii="Arial" w:cs="Arial" w:eastAsia="Arial" w:hAnsi="Arial"/>
                <w:sz w:val="12"/>
                <w:szCs w:val="12"/>
                <w:color w:val="auto"/>
              </w:rPr>
              <w:t>209,520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6"/>
        </w:trPr>
        <w:tc>
          <w:tcPr>
            <w:tcW w:w="780" w:type="dxa"/>
            <w:vAlign w:val="bottom"/>
            <w:shd w:val="clear" w:color="auto" w:fill="CCEEFF"/>
          </w:tcPr>
          <w:p>
            <w:pPr>
              <w:spacing w:after="0" w:line="116" w:lineRule="exact"/>
              <w:rPr>
                <w:sz w:val="20"/>
                <w:szCs w:val="20"/>
                <w:color w:val="auto"/>
              </w:rPr>
            </w:pPr>
            <w:r>
              <w:rPr>
                <w:rFonts w:ascii="Arial" w:cs="Arial" w:eastAsia="Arial" w:hAnsi="Arial"/>
                <w:sz w:val="12"/>
                <w:szCs w:val="12"/>
                <w:color w:val="auto"/>
              </w:rPr>
              <w:t>Accounts</w:t>
            </w:r>
          </w:p>
        </w:tc>
        <w:tc>
          <w:tcPr>
            <w:tcW w:w="64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780" w:type="dxa"/>
            <w:vAlign w:val="bottom"/>
            <w:shd w:val="clear" w:color="auto" w:fill="CCEEFF"/>
          </w:tcPr>
          <w:p>
            <w:pPr>
              <w:spacing w:after="0" w:line="130" w:lineRule="exact"/>
              <w:rPr>
                <w:sz w:val="20"/>
                <w:szCs w:val="20"/>
                <w:color w:val="auto"/>
              </w:rPr>
            </w:pPr>
            <w:r>
              <w:rPr>
                <w:rFonts w:ascii="Arial" w:cs="Arial" w:eastAsia="Arial" w:hAnsi="Arial"/>
                <w:sz w:val="12"/>
                <w:szCs w:val="12"/>
                <w:color w:val="auto"/>
              </w:rPr>
              <w:t>payable to</w:t>
            </w:r>
          </w:p>
        </w:tc>
        <w:tc>
          <w:tcPr>
            <w:tcW w:w="6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80" w:type="dxa"/>
            <w:vAlign w:val="bottom"/>
            <w:shd w:val="clear" w:color="auto" w:fill="CCEEFF"/>
          </w:tcPr>
          <w:p>
            <w:pPr>
              <w:spacing w:after="0" w:line="130" w:lineRule="exact"/>
              <w:rPr>
                <w:sz w:val="20"/>
                <w:szCs w:val="20"/>
                <w:color w:val="auto"/>
              </w:rPr>
            </w:pPr>
            <w:r>
              <w:rPr>
                <w:rFonts w:ascii="Arial" w:cs="Arial" w:eastAsia="Arial" w:hAnsi="Arial"/>
                <w:sz w:val="12"/>
                <w:szCs w:val="12"/>
                <w:color w:val="auto"/>
                <w:w w:val="99"/>
              </w:rPr>
              <w:t>reinsurers and</w:t>
            </w:r>
          </w:p>
        </w:tc>
        <w:tc>
          <w:tcPr>
            <w:tcW w:w="6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780" w:type="dxa"/>
            <w:vAlign w:val="bottom"/>
            <w:shd w:val="clear" w:color="auto" w:fill="CCEEFF"/>
          </w:tcPr>
          <w:p>
            <w:pPr>
              <w:spacing w:after="0"/>
              <w:rPr>
                <w:sz w:val="20"/>
                <w:szCs w:val="20"/>
                <w:color w:val="auto"/>
              </w:rPr>
            </w:pPr>
            <w:r>
              <w:rPr>
                <w:rFonts w:ascii="Arial" w:cs="Arial" w:eastAsia="Arial" w:hAnsi="Arial"/>
                <w:sz w:val="12"/>
                <w:szCs w:val="12"/>
                <w:color w:val="auto"/>
              </w:rPr>
              <w:t>coinsurers</w:t>
            </w: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2"/>
                <w:szCs w:val="12"/>
                <w:color w:val="auto"/>
              </w:rPr>
              <w:t>-</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235,185</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235,185</w:t>
            </w: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gridSpan w:val="3"/>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233,892</w:t>
            </w: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233,892</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16"/>
        </w:trPr>
        <w:tc>
          <w:tcPr>
            <w:tcW w:w="780" w:type="dxa"/>
            <w:vAlign w:val="bottom"/>
          </w:tcPr>
          <w:p>
            <w:pPr>
              <w:spacing w:after="0" w:line="116" w:lineRule="exact"/>
              <w:rPr>
                <w:sz w:val="20"/>
                <w:szCs w:val="20"/>
                <w:color w:val="auto"/>
              </w:rPr>
            </w:pPr>
            <w:r>
              <w:rPr>
                <w:rFonts w:ascii="Arial" w:cs="Arial" w:eastAsia="Arial" w:hAnsi="Arial"/>
                <w:sz w:val="12"/>
                <w:szCs w:val="12"/>
                <w:color w:val="auto"/>
              </w:rPr>
              <w:t>Bonds and</w:t>
            </w:r>
          </w:p>
        </w:tc>
        <w:tc>
          <w:tcPr>
            <w:tcW w:w="6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780" w:type="dxa"/>
            <w:vAlign w:val="bottom"/>
          </w:tcPr>
          <w:p>
            <w:pPr>
              <w:spacing w:after="0"/>
              <w:rPr>
                <w:sz w:val="20"/>
                <w:szCs w:val="20"/>
                <w:color w:val="auto"/>
              </w:rPr>
            </w:pPr>
            <w:r>
              <w:rPr>
                <w:rFonts w:ascii="Arial" w:cs="Arial" w:eastAsia="Arial" w:hAnsi="Arial"/>
                <w:sz w:val="12"/>
                <w:szCs w:val="12"/>
                <w:color w:val="auto"/>
              </w:rPr>
              <w:t>Notes issued</w:t>
            </w:r>
          </w:p>
        </w:tc>
        <w:tc>
          <w:tcPr>
            <w:tcW w:w="640" w:type="dxa"/>
            <w:vAlign w:val="bottom"/>
          </w:tcPr>
          <w:p>
            <w:pPr>
              <w:jc w:val="right"/>
              <w:spacing w:after="0"/>
              <w:rPr>
                <w:sz w:val="20"/>
                <w:szCs w:val="20"/>
                <w:color w:val="auto"/>
              </w:rPr>
            </w:pPr>
            <w:r>
              <w:rPr>
                <w:rFonts w:ascii="Arial" w:cs="Arial" w:eastAsia="Arial" w:hAnsi="Arial"/>
                <w:sz w:val="12"/>
                <w:szCs w:val="12"/>
                <w:color w:val="auto"/>
              </w:rPr>
              <w:t>7,986,539</w:t>
            </w:r>
          </w:p>
        </w:tc>
        <w:tc>
          <w:tcPr>
            <w:tcW w:w="260" w:type="dxa"/>
            <w:vAlign w:val="bottom"/>
          </w:tcPr>
          <w:p>
            <w:pPr>
              <w:spacing w:after="0"/>
              <w:rPr>
                <w:sz w:val="12"/>
                <w:szCs w:val="12"/>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72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78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74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840" w:type="dxa"/>
            <w:vAlign w:val="bottom"/>
            <w:gridSpan w:val="2"/>
          </w:tcPr>
          <w:p>
            <w:pPr>
              <w:jc w:val="right"/>
              <w:ind w:right="80"/>
              <w:spacing w:after="0"/>
              <w:rPr>
                <w:sz w:val="20"/>
                <w:szCs w:val="20"/>
                <w:color w:val="auto"/>
              </w:rPr>
            </w:pPr>
            <w:r>
              <w:rPr>
                <w:rFonts w:ascii="Arial" w:cs="Arial" w:eastAsia="Arial" w:hAnsi="Arial"/>
                <w:sz w:val="12"/>
                <w:szCs w:val="12"/>
                <w:color w:val="auto"/>
              </w:rPr>
              <w:t>8,255,718</w:t>
            </w:r>
          </w:p>
        </w:tc>
        <w:tc>
          <w:tcPr>
            <w:tcW w:w="740" w:type="dxa"/>
            <w:vAlign w:val="bottom"/>
            <w:gridSpan w:val="2"/>
          </w:tcPr>
          <w:p>
            <w:pPr>
              <w:jc w:val="right"/>
              <w:ind w:right="80"/>
              <w:spacing w:after="0"/>
              <w:rPr>
                <w:sz w:val="20"/>
                <w:szCs w:val="20"/>
                <w:color w:val="auto"/>
              </w:rPr>
            </w:pPr>
            <w:r>
              <w:rPr>
                <w:rFonts w:ascii="Arial" w:cs="Arial" w:eastAsia="Arial" w:hAnsi="Arial"/>
                <w:sz w:val="12"/>
                <w:szCs w:val="12"/>
                <w:color w:val="auto"/>
              </w:rPr>
              <w:t>16,242,257</w:t>
            </w:r>
          </w:p>
        </w:tc>
        <w:tc>
          <w:tcPr>
            <w:tcW w:w="640" w:type="dxa"/>
            <w:vAlign w:val="bottom"/>
          </w:tcPr>
          <w:p>
            <w:pPr>
              <w:jc w:val="right"/>
              <w:spacing w:after="0"/>
              <w:rPr>
                <w:sz w:val="20"/>
                <w:szCs w:val="20"/>
                <w:color w:val="auto"/>
              </w:rPr>
            </w:pPr>
            <w:r>
              <w:rPr>
                <w:rFonts w:ascii="Arial" w:cs="Arial" w:eastAsia="Arial" w:hAnsi="Arial"/>
                <w:sz w:val="12"/>
                <w:szCs w:val="12"/>
                <w:color w:val="auto"/>
              </w:rPr>
              <w:t>8,412,515</w:t>
            </w:r>
          </w:p>
        </w:tc>
        <w:tc>
          <w:tcPr>
            <w:tcW w:w="240" w:type="dxa"/>
            <w:vAlign w:val="bottom"/>
          </w:tcPr>
          <w:p>
            <w:pPr>
              <w:spacing w:after="0"/>
              <w:rPr>
                <w:sz w:val="12"/>
                <w:szCs w:val="12"/>
                <w:color w:val="auto"/>
              </w:rPr>
            </w:pPr>
          </w:p>
        </w:tc>
        <w:tc>
          <w:tcPr>
            <w:tcW w:w="680" w:type="dxa"/>
            <w:vAlign w:val="bottom"/>
            <w:gridSpan w:val="3"/>
          </w:tcPr>
          <w:p>
            <w:pPr>
              <w:jc w:val="right"/>
              <w:ind w:right="80"/>
              <w:spacing w:after="0"/>
              <w:rPr>
                <w:sz w:val="20"/>
                <w:szCs w:val="20"/>
                <w:color w:val="auto"/>
              </w:rPr>
            </w:pPr>
            <w:r>
              <w:rPr>
                <w:rFonts w:ascii="Arial" w:cs="Arial" w:eastAsia="Arial" w:hAnsi="Arial"/>
                <w:sz w:val="12"/>
                <w:szCs w:val="12"/>
                <w:color w:val="auto"/>
              </w:rPr>
              <w:t>-</w:t>
            </w:r>
          </w:p>
        </w:tc>
        <w:tc>
          <w:tcPr>
            <w:tcW w:w="74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78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72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780" w:type="dxa"/>
            <w:vAlign w:val="bottom"/>
          </w:tcPr>
          <w:p>
            <w:pPr>
              <w:jc w:val="right"/>
              <w:spacing w:after="0"/>
              <w:rPr>
                <w:sz w:val="20"/>
                <w:szCs w:val="20"/>
                <w:color w:val="auto"/>
              </w:rPr>
            </w:pPr>
            <w:r>
              <w:rPr>
                <w:rFonts w:ascii="Arial" w:cs="Arial" w:eastAsia="Arial" w:hAnsi="Arial"/>
                <w:sz w:val="12"/>
                <w:szCs w:val="12"/>
                <w:color w:val="auto"/>
              </w:rPr>
              <w:t>7,527,088</w:t>
            </w:r>
          </w:p>
        </w:tc>
        <w:tc>
          <w:tcPr>
            <w:tcW w:w="80" w:type="dxa"/>
            <w:vAlign w:val="bottom"/>
          </w:tcPr>
          <w:p>
            <w:pPr>
              <w:spacing w:after="0"/>
              <w:rPr>
                <w:sz w:val="12"/>
                <w:szCs w:val="12"/>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2"/>
                <w:szCs w:val="12"/>
                <w:color w:val="auto"/>
              </w:rPr>
              <w:t>15,939,603</w:t>
            </w:r>
          </w:p>
        </w:tc>
        <w:tc>
          <w:tcPr>
            <w:tcW w:w="0" w:type="dxa"/>
            <w:vAlign w:val="bottom"/>
          </w:tcPr>
          <w:p>
            <w:pPr>
              <w:spacing w:after="0"/>
              <w:rPr>
                <w:sz w:val="1"/>
                <w:szCs w:val="1"/>
                <w:color w:val="auto"/>
              </w:rPr>
            </w:pPr>
          </w:p>
        </w:tc>
      </w:tr>
      <w:tr>
        <w:trPr>
          <w:trHeight w:val="116"/>
        </w:trPr>
        <w:tc>
          <w:tcPr>
            <w:tcW w:w="780" w:type="dxa"/>
            <w:vAlign w:val="bottom"/>
            <w:shd w:val="clear" w:color="auto" w:fill="CCEEFF"/>
          </w:tcPr>
          <w:p>
            <w:pPr>
              <w:spacing w:after="0" w:line="116" w:lineRule="exact"/>
              <w:rPr>
                <w:sz w:val="20"/>
                <w:szCs w:val="20"/>
                <w:color w:val="auto"/>
              </w:rPr>
            </w:pPr>
            <w:r>
              <w:rPr>
                <w:rFonts w:ascii="Arial" w:cs="Arial" w:eastAsia="Arial" w:hAnsi="Arial"/>
                <w:sz w:val="12"/>
                <w:szCs w:val="12"/>
                <w:color w:val="auto"/>
              </w:rPr>
              <w:t>Other</w:t>
            </w:r>
          </w:p>
        </w:tc>
        <w:tc>
          <w:tcPr>
            <w:tcW w:w="64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780" w:type="dxa"/>
            <w:vAlign w:val="bottom"/>
            <w:shd w:val="clear" w:color="auto" w:fill="CCEEFF"/>
          </w:tcPr>
          <w:p>
            <w:pPr>
              <w:spacing w:after="0" w:line="130" w:lineRule="exact"/>
              <w:rPr>
                <w:sz w:val="20"/>
                <w:szCs w:val="20"/>
                <w:color w:val="auto"/>
              </w:rPr>
            </w:pPr>
            <w:r>
              <w:rPr>
                <w:rFonts w:ascii="Arial" w:cs="Arial" w:eastAsia="Arial" w:hAnsi="Arial"/>
                <w:sz w:val="12"/>
                <w:szCs w:val="12"/>
                <w:color w:val="auto"/>
              </w:rPr>
              <w:t>liabilities,</w:t>
            </w:r>
          </w:p>
        </w:tc>
        <w:tc>
          <w:tcPr>
            <w:tcW w:w="6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780" w:type="dxa"/>
            <w:vAlign w:val="bottom"/>
            <w:shd w:val="clear" w:color="auto" w:fill="CCEEFF"/>
          </w:tcPr>
          <w:p>
            <w:pPr>
              <w:spacing w:after="0"/>
              <w:rPr>
                <w:sz w:val="20"/>
                <w:szCs w:val="20"/>
                <w:color w:val="auto"/>
              </w:rPr>
            </w:pPr>
            <w:r>
              <w:rPr>
                <w:rFonts w:ascii="Arial" w:cs="Arial" w:eastAsia="Arial" w:hAnsi="Arial"/>
                <w:sz w:val="12"/>
                <w:szCs w:val="12"/>
                <w:color w:val="auto"/>
              </w:rPr>
              <w:t>Note 12</w:t>
            </w: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2"/>
                <w:szCs w:val="12"/>
                <w:color w:val="auto"/>
              </w:rPr>
              <w:t>636,762</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3,236,251</w:t>
            </w: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3,873,013</w:t>
            </w:r>
          </w:p>
        </w:tc>
        <w:tc>
          <w:tcPr>
            <w:tcW w:w="8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673,015</w:t>
            </w:r>
          </w:p>
        </w:tc>
        <w:tc>
          <w:tcPr>
            <w:tcW w:w="680" w:type="dxa"/>
            <w:vAlign w:val="bottom"/>
            <w:gridSpan w:val="3"/>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2,540,980</w:t>
            </w:r>
          </w:p>
        </w:tc>
        <w:tc>
          <w:tcPr>
            <w:tcW w:w="8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3,213,995</w:t>
            </w: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6"/>
        </w:trPr>
        <w:tc>
          <w:tcPr>
            <w:tcW w:w="780" w:type="dxa"/>
            <w:vAlign w:val="bottom"/>
          </w:tcPr>
          <w:p>
            <w:pPr>
              <w:spacing w:after="0"/>
              <w:rPr>
                <w:sz w:val="11"/>
                <w:szCs w:val="11"/>
                <w:color w:val="auto"/>
              </w:rPr>
            </w:pPr>
          </w:p>
        </w:tc>
        <w:tc>
          <w:tcPr>
            <w:tcW w:w="640" w:type="dxa"/>
            <w:vAlign w:val="bottom"/>
            <w:tcBorders>
              <w:top w:val="single" w:sz="8" w:color="auto"/>
              <w:bottom w:val="single" w:sz="8" w:color="auto"/>
            </w:tcBorders>
          </w:tcPr>
          <w:p>
            <w:pPr>
              <w:jc w:val="right"/>
              <w:spacing w:after="0" w:line="136" w:lineRule="exact"/>
              <w:rPr>
                <w:sz w:val="20"/>
                <w:szCs w:val="20"/>
                <w:color w:val="auto"/>
              </w:rPr>
            </w:pPr>
            <w:r>
              <w:rPr>
                <w:rFonts w:ascii="Arial" w:cs="Arial" w:eastAsia="Arial" w:hAnsi="Arial"/>
                <w:sz w:val="12"/>
                <w:szCs w:val="12"/>
                <w:color w:val="auto"/>
              </w:rPr>
              <w:t>8,791,390</w:t>
            </w:r>
          </w:p>
        </w:tc>
        <w:tc>
          <w:tcPr>
            <w:tcW w:w="260" w:type="dxa"/>
            <w:vAlign w:val="bottom"/>
          </w:tcPr>
          <w:p>
            <w:pPr>
              <w:spacing w:after="0"/>
              <w:rPr>
                <w:sz w:val="11"/>
                <w:szCs w:val="11"/>
                <w:color w:val="auto"/>
              </w:rPr>
            </w:pPr>
          </w:p>
        </w:tc>
        <w:tc>
          <w:tcPr>
            <w:tcW w:w="600" w:type="dxa"/>
            <w:vAlign w:val="bottom"/>
            <w:tcBorders>
              <w:top w:val="single" w:sz="8" w:color="auto"/>
              <w:bottom w:val="single" w:sz="8" w:color="auto"/>
            </w:tcBorders>
          </w:tcPr>
          <w:p>
            <w:pPr>
              <w:jc w:val="right"/>
              <w:spacing w:after="0" w:line="136"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1"/>
                <w:szCs w:val="11"/>
                <w:color w:val="auto"/>
              </w:rPr>
            </w:pPr>
          </w:p>
        </w:tc>
        <w:tc>
          <w:tcPr>
            <w:tcW w:w="640" w:type="dxa"/>
            <w:vAlign w:val="bottom"/>
            <w:tcBorders>
              <w:top w:val="single" w:sz="8" w:color="auto"/>
              <w:bottom w:val="single" w:sz="8" w:color="auto"/>
            </w:tcBorders>
          </w:tcPr>
          <w:p>
            <w:pPr>
              <w:jc w:val="right"/>
              <w:spacing w:after="0" w:line="136"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1"/>
                <w:szCs w:val="11"/>
                <w:color w:val="auto"/>
              </w:rPr>
            </w:pPr>
          </w:p>
        </w:tc>
        <w:tc>
          <w:tcPr>
            <w:tcW w:w="700" w:type="dxa"/>
            <w:vAlign w:val="bottom"/>
            <w:tcBorders>
              <w:top w:val="single" w:sz="8" w:color="auto"/>
              <w:bottom w:val="single" w:sz="8" w:color="auto"/>
            </w:tcBorders>
          </w:tcPr>
          <w:p>
            <w:pPr>
              <w:jc w:val="right"/>
              <w:spacing w:after="0" w:line="136"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1"/>
                <w:szCs w:val="11"/>
                <w:color w:val="auto"/>
              </w:rPr>
            </w:pPr>
          </w:p>
        </w:tc>
        <w:tc>
          <w:tcPr>
            <w:tcW w:w="660" w:type="dxa"/>
            <w:vAlign w:val="bottom"/>
            <w:tcBorders>
              <w:top w:val="single" w:sz="8" w:color="auto"/>
              <w:bottom w:val="single" w:sz="8" w:color="auto"/>
            </w:tcBorders>
          </w:tcPr>
          <w:p>
            <w:pPr>
              <w:jc w:val="right"/>
              <w:spacing w:after="0" w:line="136"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1"/>
                <w:szCs w:val="11"/>
                <w:color w:val="auto"/>
              </w:rPr>
            </w:pPr>
          </w:p>
        </w:tc>
        <w:tc>
          <w:tcPr>
            <w:tcW w:w="760" w:type="dxa"/>
            <w:vAlign w:val="bottom"/>
            <w:tcBorders>
              <w:top w:val="single" w:sz="8" w:color="auto"/>
              <w:bottom w:val="single" w:sz="8" w:color="auto"/>
            </w:tcBorders>
          </w:tcPr>
          <w:p>
            <w:pPr>
              <w:jc w:val="right"/>
              <w:spacing w:after="0" w:line="136" w:lineRule="exact"/>
              <w:rPr>
                <w:sz w:val="20"/>
                <w:szCs w:val="20"/>
                <w:color w:val="auto"/>
              </w:rPr>
            </w:pPr>
            <w:r>
              <w:rPr>
                <w:rFonts w:ascii="Arial" w:cs="Arial" w:eastAsia="Arial" w:hAnsi="Arial"/>
                <w:sz w:val="12"/>
                <w:szCs w:val="12"/>
                <w:color w:val="auto"/>
              </w:rPr>
              <w:t>130,842,331</w:t>
            </w:r>
          </w:p>
        </w:tc>
        <w:tc>
          <w:tcPr>
            <w:tcW w:w="80" w:type="dxa"/>
            <w:vAlign w:val="bottom"/>
          </w:tcPr>
          <w:p>
            <w:pPr>
              <w:spacing w:after="0"/>
              <w:rPr>
                <w:sz w:val="11"/>
                <w:szCs w:val="11"/>
                <w:color w:val="auto"/>
              </w:rPr>
            </w:pPr>
          </w:p>
        </w:tc>
        <w:tc>
          <w:tcPr>
            <w:tcW w:w="660" w:type="dxa"/>
            <w:vAlign w:val="bottom"/>
            <w:tcBorders>
              <w:top w:val="single" w:sz="8" w:color="auto"/>
              <w:bottom w:val="single" w:sz="8" w:color="auto"/>
            </w:tcBorders>
          </w:tcPr>
          <w:p>
            <w:pPr>
              <w:jc w:val="right"/>
              <w:spacing w:after="0" w:line="136" w:lineRule="exact"/>
              <w:rPr>
                <w:sz w:val="20"/>
                <w:szCs w:val="20"/>
                <w:color w:val="auto"/>
              </w:rPr>
            </w:pPr>
            <w:r>
              <w:rPr>
                <w:rFonts w:ascii="Arial" w:cs="Arial" w:eastAsia="Arial" w:hAnsi="Arial"/>
                <w:sz w:val="12"/>
                <w:szCs w:val="12"/>
                <w:color w:val="auto"/>
                <w:w w:val="95"/>
              </w:rPr>
              <w:t>139,633,721</w:t>
            </w:r>
          </w:p>
        </w:tc>
        <w:tc>
          <w:tcPr>
            <w:tcW w:w="80" w:type="dxa"/>
            <w:vAlign w:val="bottom"/>
          </w:tcPr>
          <w:p>
            <w:pPr>
              <w:spacing w:after="0"/>
              <w:rPr>
                <w:sz w:val="11"/>
                <w:szCs w:val="11"/>
                <w:color w:val="auto"/>
              </w:rPr>
            </w:pPr>
          </w:p>
        </w:tc>
        <w:tc>
          <w:tcPr>
            <w:tcW w:w="640" w:type="dxa"/>
            <w:vAlign w:val="bottom"/>
            <w:tcBorders>
              <w:top w:val="single" w:sz="8" w:color="auto"/>
              <w:bottom w:val="single" w:sz="8" w:color="auto"/>
            </w:tcBorders>
          </w:tcPr>
          <w:p>
            <w:pPr>
              <w:jc w:val="right"/>
              <w:spacing w:after="0" w:line="136" w:lineRule="exact"/>
              <w:rPr>
                <w:sz w:val="20"/>
                <w:szCs w:val="20"/>
                <w:color w:val="auto"/>
              </w:rPr>
            </w:pPr>
            <w:r>
              <w:rPr>
                <w:rFonts w:ascii="Arial" w:cs="Arial" w:eastAsia="Arial" w:hAnsi="Arial"/>
                <w:sz w:val="12"/>
                <w:szCs w:val="12"/>
                <w:color w:val="auto"/>
              </w:rPr>
              <w:t>9,295,050</w:t>
            </w: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Borders>
              <w:top w:val="single" w:sz="8" w:color="auto"/>
              <w:bottom w:val="single" w:sz="8" w:color="auto"/>
            </w:tcBorders>
          </w:tcPr>
          <w:p>
            <w:pPr>
              <w:jc w:val="right"/>
              <w:spacing w:after="0" w:line="136"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1"/>
                <w:szCs w:val="11"/>
                <w:color w:val="auto"/>
              </w:rPr>
            </w:pPr>
          </w:p>
        </w:tc>
        <w:tc>
          <w:tcPr>
            <w:tcW w:w="660" w:type="dxa"/>
            <w:vAlign w:val="bottom"/>
            <w:tcBorders>
              <w:top w:val="single" w:sz="8" w:color="auto"/>
              <w:bottom w:val="single" w:sz="8" w:color="auto"/>
            </w:tcBorders>
          </w:tcPr>
          <w:p>
            <w:pPr>
              <w:jc w:val="right"/>
              <w:spacing w:after="0" w:line="136"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1"/>
                <w:szCs w:val="11"/>
                <w:color w:val="auto"/>
              </w:rPr>
            </w:pPr>
          </w:p>
        </w:tc>
        <w:tc>
          <w:tcPr>
            <w:tcW w:w="700" w:type="dxa"/>
            <w:vAlign w:val="bottom"/>
            <w:tcBorders>
              <w:top w:val="single" w:sz="8" w:color="auto"/>
              <w:bottom w:val="single" w:sz="8" w:color="auto"/>
            </w:tcBorders>
          </w:tcPr>
          <w:p>
            <w:pPr>
              <w:jc w:val="right"/>
              <w:spacing w:after="0" w:line="136"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1"/>
                <w:szCs w:val="11"/>
                <w:color w:val="auto"/>
              </w:rPr>
            </w:pPr>
          </w:p>
        </w:tc>
        <w:tc>
          <w:tcPr>
            <w:tcW w:w="640" w:type="dxa"/>
            <w:vAlign w:val="bottom"/>
            <w:tcBorders>
              <w:top w:val="single" w:sz="8" w:color="auto"/>
              <w:bottom w:val="single" w:sz="8" w:color="auto"/>
            </w:tcBorders>
          </w:tcPr>
          <w:p>
            <w:pPr>
              <w:jc w:val="right"/>
              <w:spacing w:after="0" w:line="136"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1"/>
                <w:szCs w:val="11"/>
                <w:color w:val="auto"/>
              </w:rPr>
            </w:pPr>
          </w:p>
        </w:tc>
        <w:tc>
          <w:tcPr>
            <w:tcW w:w="780" w:type="dxa"/>
            <w:vAlign w:val="bottom"/>
            <w:tcBorders>
              <w:top w:val="single" w:sz="8" w:color="auto"/>
              <w:bottom w:val="single" w:sz="8" w:color="auto"/>
            </w:tcBorders>
          </w:tcPr>
          <w:p>
            <w:pPr>
              <w:jc w:val="right"/>
              <w:spacing w:after="0" w:line="136" w:lineRule="exact"/>
              <w:rPr>
                <w:sz w:val="20"/>
                <w:szCs w:val="20"/>
                <w:color w:val="auto"/>
              </w:rPr>
            </w:pPr>
            <w:r>
              <w:rPr>
                <w:rFonts w:ascii="Arial" w:cs="Arial" w:eastAsia="Arial" w:hAnsi="Arial"/>
                <w:sz w:val="12"/>
                <w:szCs w:val="12"/>
                <w:color w:val="auto"/>
              </w:rPr>
              <w:t>119,331,401</w:t>
            </w:r>
          </w:p>
        </w:tc>
        <w:tc>
          <w:tcPr>
            <w:tcW w:w="80" w:type="dxa"/>
            <w:vAlign w:val="bottom"/>
          </w:tcPr>
          <w:p>
            <w:pPr>
              <w:spacing w:after="0"/>
              <w:rPr>
                <w:sz w:val="11"/>
                <w:szCs w:val="11"/>
                <w:color w:val="auto"/>
              </w:rPr>
            </w:pPr>
          </w:p>
        </w:tc>
        <w:tc>
          <w:tcPr>
            <w:tcW w:w="640" w:type="dxa"/>
            <w:vAlign w:val="bottom"/>
            <w:tcBorders>
              <w:top w:val="single" w:sz="8" w:color="auto"/>
              <w:bottom w:val="single" w:sz="8" w:color="auto"/>
            </w:tcBorders>
          </w:tcPr>
          <w:p>
            <w:pPr>
              <w:jc w:val="right"/>
              <w:spacing w:after="0" w:line="136" w:lineRule="exact"/>
              <w:rPr>
                <w:sz w:val="20"/>
                <w:szCs w:val="20"/>
                <w:color w:val="auto"/>
              </w:rPr>
            </w:pPr>
            <w:r>
              <w:rPr>
                <w:rFonts w:ascii="Arial" w:cs="Arial" w:eastAsia="Arial" w:hAnsi="Arial"/>
                <w:sz w:val="12"/>
                <w:szCs w:val="12"/>
                <w:color w:val="auto"/>
                <w:w w:val="92"/>
              </w:rPr>
              <w:t>128,626,451</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3" w:lineRule="exact"/>
        <w:rPr>
          <w:sz w:val="20"/>
          <w:szCs w:val="20"/>
          <w:color w:val="auto"/>
        </w:rPr>
      </w:pPr>
    </w:p>
    <w:p>
      <w:pPr>
        <w:jc w:val="center"/>
        <w:ind w:right="80"/>
        <w:spacing w:after="0"/>
        <w:rPr>
          <w:sz w:val="20"/>
          <w:szCs w:val="20"/>
          <w:color w:val="auto"/>
        </w:rPr>
      </w:pPr>
      <w:r>
        <w:rPr>
          <w:rFonts w:ascii="Arial" w:cs="Arial" w:eastAsia="Arial" w:hAnsi="Arial"/>
          <w:sz w:val="17"/>
          <w:szCs w:val="17"/>
          <w:color w:val="auto"/>
        </w:rPr>
        <w:t>- 109 -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15875</wp:posOffset>
            </wp:positionV>
            <wp:extent cx="725170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51700" cy="8255"/>
                    </a:xfrm>
                    <a:prstGeom prst="rect">
                      <a:avLst/>
                    </a:prstGeom>
                    <a:noFill/>
                  </pic:spPr>
                </pic:pic>
              </a:graphicData>
            </a:graphic>
          </wp:anchor>
        </w:drawing>
      </w:r>
    </w:p>
    <w:p>
      <w:pPr>
        <w:sectPr>
          <w:pgSz w:w="11900" w:h="16838" w:orient="portrait"/>
          <w:cols w:equalWidth="0" w:num="1">
            <w:col w:w="11520"/>
          </w:cols>
          <w:pgMar w:left="240" w:top="875" w:right="139" w:bottom="1440" w:gutter="0" w:footer="0" w:header="0"/>
        </w:sectPr>
      </w:pPr>
    </w:p>
    <w:bookmarkStart w:id="115" w:name="page116"/>
    <w:bookmarkEnd w:id="115"/>
    <w:p>
      <w:pPr>
        <w:spacing w:after="0"/>
        <w:tabs>
          <w:tab w:leader="none" w:pos="300" w:val="left"/>
        </w:tabs>
        <w:rPr>
          <w:sz w:val="20"/>
          <w:szCs w:val="20"/>
          <w:color w:val="auto"/>
        </w:rPr>
      </w:pPr>
      <w:r>
        <w:rPr>
          <w:rFonts w:ascii="Arial" w:cs="Arial" w:eastAsia="Arial" w:hAnsi="Arial"/>
          <w:sz w:val="17"/>
          <w:szCs w:val="17"/>
          <w:b w:val="1"/>
          <w:bCs w:val="1"/>
          <w:color w:val="auto"/>
        </w:rPr>
        <w:t>32</w:t>
        <w:tab/>
        <w:t>FINANCIAL RISK MANAGEMENT</w:t>
      </w:r>
    </w:p>
    <w:p>
      <w:pPr>
        <w:spacing w:after="0" w:line="226" w:lineRule="exact"/>
        <w:rPr>
          <w:sz w:val="20"/>
          <w:szCs w:val="20"/>
          <w:color w:val="auto"/>
        </w:rPr>
      </w:pPr>
    </w:p>
    <w:p>
      <w:pPr>
        <w:ind w:right="140"/>
        <w:spacing w:after="0" w:line="270" w:lineRule="auto"/>
        <w:rPr>
          <w:sz w:val="20"/>
          <w:szCs w:val="20"/>
          <w:color w:val="auto"/>
        </w:rPr>
      </w:pPr>
      <w:r>
        <w:rPr>
          <w:rFonts w:ascii="Arial" w:cs="Arial" w:eastAsia="Arial" w:hAnsi="Arial"/>
          <w:sz w:val="17"/>
          <w:szCs w:val="17"/>
          <w:color w:val="auto"/>
        </w:rPr>
        <w:t>The Group’s activities involve principally the use of financial instruments, including derivatives. The Group accepts deposits from customers at both fixed and floating rates, for various periods, and invests these funds in high-quality assets. Additionally, it places these deposits at fixed and variable rates with legal entities and individuals, considering the finance costs and expected profitability.</w:t>
      </w:r>
    </w:p>
    <w:p>
      <w:pPr>
        <w:spacing w:after="0" w:line="172" w:lineRule="exact"/>
        <w:rPr>
          <w:sz w:val="20"/>
          <w:szCs w:val="20"/>
          <w:color w:val="auto"/>
        </w:rPr>
      </w:pPr>
    </w:p>
    <w:p>
      <w:pPr>
        <w:ind w:right="460"/>
        <w:spacing w:after="0" w:line="285" w:lineRule="auto"/>
        <w:rPr>
          <w:sz w:val="20"/>
          <w:szCs w:val="20"/>
          <w:color w:val="auto"/>
        </w:rPr>
      </w:pPr>
      <w:r>
        <w:rPr>
          <w:rFonts w:ascii="Arial" w:cs="Arial" w:eastAsia="Arial" w:hAnsi="Arial"/>
          <w:sz w:val="17"/>
          <w:szCs w:val="17"/>
          <w:color w:val="auto"/>
        </w:rPr>
        <w:t>The Group also trades in financial instruments where it takes positions in traded and over-the-counter instruments, including derivatives, to take advantage of market movements in equities, bonds, currencies and interest rates.</w:t>
      </w:r>
    </w:p>
    <w:p>
      <w:pPr>
        <w:spacing w:after="0" w:line="159" w:lineRule="exact"/>
        <w:rPr>
          <w:sz w:val="20"/>
          <w:szCs w:val="20"/>
          <w:color w:val="auto"/>
        </w:rPr>
      </w:pPr>
    </w:p>
    <w:p>
      <w:pPr>
        <w:ind w:right="520"/>
        <w:spacing w:after="0" w:line="270" w:lineRule="auto"/>
        <w:rPr>
          <w:sz w:val="20"/>
          <w:szCs w:val="20"/>
          <w:color w:val="auto"/>
        </w:rPr>
      </w:pPr>
      <w:r>
        <w:rPr>
          <w:rFonts w:ascii="Arial" w:cs="Arial" w:eastAsia="Arial" w:hAnsi="Arial"/>
          <w:sz w:val="17"/>
          <w:szCs w:val="17"/>
          <w:color w:val="auto"/>
        </w:rPr>
        <w:t>Given the Group’s activities, it has a framework for risk appetite, a corner stone of our management. Our risk management processes involve continuous identification, measurement and monitoring. The Group is exposed, principally, to operating risk, credit risk, liquidity risk and market risk, strategic risk and insurance technical risk. Finally, we report on a consolidated basis the risks to which the Group is exposed.</w:t>
      </w:r>
    </w:p>
    <w:p>
      <w:pPr>
        <w:spacing w:after="0" w:line="172" w:lineRule="exact"/>
        <w:rPr>
          <w:sz w:val="20"/>
          <w:szCs w:val="20"/>
          <w:color w:val="auto"/>
        </w:rPr>
      </w:pPr>
    </w:p>
    <w:p>
      <w:pPr>
        <w:ind w:left="320" w:hanging="316"/>
        <w:spacing w:after="0"/>
        <w:tabs>
          <w:tab w:leader="none" w:pos="320" w:val="left"/>
        </w:tabs>
        <w:numPr>
          <w:ilvl w:val="0"/>
          <w:numId w:val="131"/>
        </w:numPr>
        <w:rPr>
          <w:rFonts w:ascii="Arial" w:cs="Arial" w:eastAsia="Arial" w:hAnsi="Arial"/>
          <w:sz w:val="17"/>
          <w:szCs w:val="17"/>
          <w:color w:val="auto"/>
        </w:rPr>
      </w:pPr>
      <w:r>
        <w:rPr>
          <w:rFonts w:ascii="Arial" w:cs="Arial" w:eastAsia="Arial" w:hAnsi="Arial"/>
          <w:sz w:val="17"/>
          <w:szCs w:val="17"/>
          <w:color w:val="auto"/>
        </w:rPr>
        <w:t>Risk management structure -</w:t>
      </w:r>
    </w:p>
    <w:p>
      <w:pPr>
        <w:spacing w:after="0" w:line="220" w:lineRule="exact"/>
        <w:rPr>
          <w:rFonts w:ascii="Arial" w:cs="Arial" w:eastAsia="Arial" w:hAnsi="Arial"/>
          <w:sz w:val="17"/>
          <w:szCs w:val="17"/>
          <w:color w:val="auto"/>
        </w:rPr>
      </w:pPr>
    </w:p>
    <w:p>
      <w:pPr>
        <w:ind w:left="320" w:right="700"/>
        <w:spacing w:after="0" w:line="285" w:lineRule="auto"/>
        <w:rPr>
          <w:rFonts w:ascii="Arial" w:cs="Arial" w:eastAsia="Arial" w:hAnsi="Arial"/>
          <w:sz w:val="17"/>
          <w:szCs w:val="17"/>
          <w:color w:val="auto"/>
        </w:rPr>
      </w:pPr>
      <w:r>
        <w:rPr>
          <w:rFonts w:ascii="Arial" w:cs="Arial" w:eastAsia="Arial" w:hAnsi="Arial"/>
          <w:sz w:val="17"/>
          <w:szCs w:val="17"/>
          <w:color w:val="auto"/>
        </w:rPr>
        <w:t>The Board of Directors of the Group and of each subsidiary is ultimately responsible for identifying and controlling risks; however, there are separate independent instances in the major subsidiaries responsible for managing and monitoring risks, as further explained below:</w:t>
      </w:r>
    </w:p>
    <w:p>
      <w:pPr>
        <w:spacing w:after="0" w:line="159" w:lineRule="exact"/>
        <w:rPr>
          <w:rFonts w:ascii="Arial" w:cs="Arial" w:eastAsia="Arial" w:hAnsi="Arial"/>
          <w:sz w:val="17"/>
          <w:szCs w:val="17"/>
          <w:color w:val="auto"/>
        </w:rPr>
      </w:pPr>
    </w:p>
    <w:p>
      <w:pPr>
        <w:ind w:left="620" w:hanging="304"/>
        <w:spacing w:after="0"/>
        <w:tabs>
          <w:tab w:leader="none" w:pos="620" w:val="left"/>
        </w:tabs>
        <w:numPr>
          <w:ilvl w:val="1"/>
          <w:numId w:val="131"/>
        </w:numPr>
        <w:rPr>
          <w:rFonts w:ascii="Arial" w:cs="Arial" w:eastAsia="Arial" w:hAnsi="Arial"/>
          <w:sz w:val="17"/>
          <w:szCs w:val="17"/>
          <w:color w:val="auto"/>
        </w:rPr>
      </w:pPr>
      <w:r>
        <w:rPr>
          <w:rFonts w:ascii="Arial" w:cs="Arial" w:eastAsia="Arial" w:hAnsi="Arial"/>
          <w:sz w:val="17"/>
          <w:szCs w:val="17"/>
          <w:color w:val="auto"/>
        </w:rPr>
        <w:t>Board of Directors Credicorp -</w:t>
      </w:r>
    </w:p>
    <w:p>
      <w:pPr>
        <w:spacing w:after="0" w:line="220" w:lineRule="exact"/>
        <w:rPr>
          <w:rFonts w:ascii="Arial" w:cs="Arial" w:eastAsia="Arial" w:hAnsi="Arial"/>
          <w:sz w:val="17"/>
          <w:szCs w:val="17"/>
          <w:color w:val="auto"/>
        </w:rPr>
      </w:pPr>
    </w:p>
    <w:p>
      <w:pPr>
        <w:ind w:left="620"/>
        <w:spacing w:after="0" w:line="265" w:lineRule="auto"/>
        <w:rPr>
          <w:rFonts w:ascii="Arial" w:cs="Arial" w:eastAsia="Arial" w:hAnsi="Arial"/>
          <w:sz w:val="17"/>
          <w:szCs w:val="17"/>
          <w:color w:val="auto"/>
        </w:rPr>
      </w:pPr>
      <w:r>
        <w:rPr>
          <w:rFonts w:ascii="Arial" w:cs="Arial" w:eastAsia="Arial" w:hAnsi="Arial"/>
          <w:sz w:val="17"/>
          <w:szCs w:val="17"/>
          <w:color w:val="auto"/>
        </w:rPr>
        <w:t>The Board of Directors is responsible for the overall risk management approach and for the approval of the levels of risk appetite that the Group is prepared to assume. Furthermore, it approves the guidelines and policies for Integral Risk Management. On the other hand, the Board establishes an organizational culture which emphasizes the importance of risk management, oversees the internal control system and ensures the adequate performance of the compliance function.</w:t>
      </w:r>
    </w:p>
    <w:p>
      <w:pPr>
        <w:spacing w:after="0" w:line="176" w:lineRule="exact"/>
        <w:rPr>
          <w:rFonts w:ascii="Arial" w:cs="Arial" w:eastAsia="Arial" w:hAnsi="Arial"/>
          <w:sz w:val="17"/>
          <w:szCs w:val="17"/>
          <w:color w:val="auto"/>
        </w:rPr>
      </w:pPr>
    </w:p>
    <w:p>
      <w:pPr>
        <w:ind w:left="620"/>
        <w:spacing w:after="0"/>
        <w:rPr>
          <w:rFonts w:ascii="Arial" w:cs="Arial" w:eastAsia="Arial" w:hAnsi="Arial"/>
          <w:sz w:val="17"/>
          <w:szCs w:val="17"/>
          <w:color w:val="auto"/>
        </w:rPr>
      </w:pPr>
      <w:r>
        <w:rPr>
          <w:rFonts w:ascii="Arial" w:cs="Arial" w:eastAsia="Arial" w:hAnsi="Arial"/>
          <w:sz w:val="17"/>
          <w:szCs w:val="17"/>
          <w:color w:val="auto"/>
        </w:rPr>
        <w:t>Board of Group Companies –</w:t>
      </w:r>
    </w:p>
    <w:p>
      <w:pPr>
        <w:spacing w:after="0" w:line="220" w:lineRule="exact"/>
        <w:rPr>
          <w:rFonts w:ascii="Arial" w:cs="Arial" w:eastAsia="Arial" w:hAnsi="Arial"/>
          <w:sz w:val="17"/>
          <w:szCs w:val="17"/>
          <w:color w:val="auto"/>
        </w:rPr>
      </w:pPr>
    </w:p>
    <w:p>
      <w:pPr>
        <w:ind w:left="620" w:right="40"/>
        <w:spacing w:after="0" w:line="285" w:lineRule="auto"/>
        <w:rPr>
          <w:rFonts w:ascii="Arial" w:cs="Arial" w:eastAsia="Arial" w:hAnsi="Arial"/>
          <w:sz w:val="17"/>
          <w:szCs w:val="17"/>
          <w:color w:val="auto"/>
        </w:rPr>
      </w:pPr>
      <w:r>
        <w:rPr>
          <w:rFonts w:ascii="Arial" w:cs="Arial" w:eastAsia="Arial" w:hAnsi="Arial"/>
          <w:sz w:val="17"/>
          <w:szCs w:val="17"/>
          <w:color w:val="auto"/>
        </w:rPr>
        <w:t>The Board of each of the Group companies is responsible for aligning the risk management established by the Board of Credicorp with the context of each one of them. For that, it establishes a framework for risk appetite, policies and guidelines.</w:t>
      </w:r>
    </w:p>
    <w:p>
      <w:pPr>
        <w:spacing w:after="0" w:line="159" w:lineRule="exact"/>
        <w:rPr>
          <w:rFonts w:ascii="Arial" w:cs="Arial" w:eastAsia="Arial" w:hAnsi="Arial"/>
          <w:sz w:val="17"/>
          <w:szCs w:val="17"/>
          <w:color w:val="auto"/>
        </w:rPr>
      </w:pPr>
    </w:p>
    <w:p>
      <w:pPr>
        <w:ind w:left="620" w:hanging="304"/>
        <w:spacing w:after="0"/>
        <w:tabs>
          <w:tab w:leader="none" w:pos="620" w:val="left"/>
        </w:tabs>
        <w:numPr>
          <w:ilvl w:val="1"/>
          <w:numId w:val="131"/>
        </w:numPr>
        <w:rPr>
          <w:rFonts w:ascii="Arial" w:cs="Arial" w:eastAsia="Arial" w:hAnsi="Arial"/>
          <w:sz w:val="17"/>
          <w:szCs w:val="17"/>
          <w:color w:val="auto"/>
        </w:rPr>
      </w:pPr>
      <w:r>
        <w:rPr>
          <w:rFonts w:ascii="Arial" w:cs="Arial" w:eastAsia="Arial" w:hAnsi="Arial"/>
          <w:sz w:val="17"/>
          <w:szCs w:val="17"/>
          <w:color w:val="auto"/>
        </w:rPr>
        <w:t>Risk Committee -</w:t>
      </w:r>
    </w:p>
    <w:p>
      <w:pPr>
        <w:spacing w:after="0" w:line="220" w:lineRule="exact"/>
        <w:rPr>
          <w:rFonts w:ascii="Arial" w:cs="Arial" w:eastAsia="Arial" w:hAnsi="Arial"/>
          <w:sz w:val="17"/>
          <w:szCs w:val="17"/>
          <w:color w:val="auto"/>
        </w:rPr>
      </w:pPr>
    </w:p>
    <w:p>
      <w:pPr>
        <w:ind w:left="620" w:right="60"/>
        <w:spacing w:after="0" w:line="318" w:lineRule="auto"/>
        <w:rPr>
          <w:rFonts w:ascii="Arial" w:cs="Arial" w:eastAsia="Arial" w:hAnsi="Arial"/>
          <w:sz w:val="17"/>
          <w:szCs w:val="17"/>
          <w:color w:val="auto"/>
        </w:rPr>
      </w:pPr>
      <w:r>
        <w:rPr>
          <w:rFonts w:ascii="Arial" w:cs="Arial" w:eastAsia="Arial" w:hAnsi="Arial"/>
          <w:sz w:val="16"/>
          <w:szCs w:val="16"/>
          <w:color w:val="auto"/>
        </w:rPr>
        <w:t>It represents the Board of Credicorp in risk management decision-making. This Committee defines the strategies used for the adequate management of the different types of risks and the supervision of risk appetite. In addition to establishing principles, policies and general limits.</w:t>
      </w:r>
    </w:p>
    <w:p>
      <w:pPr>
        <w:spacing w:after="0" w:line="136" w:lineRule="exact"/>
        <w:rPr>
          <w:rFonts w:ascii="Arial" w:cs="Arial" w:eastAsia="Arial" w:hAnsi="Arial"/>
          <w:sz w:val="17"/>
          <w:szCs w:val="17"/>
          <w:color w:val="auto"/>
        </w:rPr>
      </w:pPr>
    </w:p>
    <w:p>
      <w:pPr>
        <w:ind w:left="620" w:right="60"/>
        <w:spacing w:after="0" w:line="270" w:lineRule="auto"/>
        <w:rPr>
          <w:rFonts w:ascii="Arial" w:cs="Arial" w:eastAsia="Arial" w:hAnsi="Arial"/>
          <w:sz w:val="17"/>
          <w:szCs w:val="17"/>
          <w:color w:val="auto"/>
        </w:rPr>
      </w:pPr>
      <w:r>
        <w:rPr>
          <w:rFonts w:ascii="Arial" w:cs="Arial" w:eastAsia="Arial" w:hAnsi="Arial"/>
          <w:sz w:val="17"/>
          <w:szCs w:val="17"/>
          <w:color w:val="auto"/>
        </w:rPr>
        <w:t>The Risk Committee is presided by a Board member of Credicorp, it is also consists of a CEOsecond member of the Board of Credicorp, a Board member of BCP, the General Manager of BCP, the Central Manager of Planning and Finance of BCP, the Central Risk Manager of BCP and the Manager of Risk Management of BCP CFO.</w:t>
      </w:r>
    </w:p>
    <w:p>
      <w:pPr>
        <w:spacing w:after="0" w:line="171" w:lineRule="exact"/>
        <w:rPr>
          <w:rFonts w:ascii="Arial" w:cs="Arial" w:eastAsia="Arial" w:hAnsi="Arial"/>
          <w:sz w:val="17"/>
          <w:szCs w:val="17"/>
          <w:color w:val="auto"/>
        </w:rPr>
      </w:pPr>
    </w:p>
    <w:p>
      <w:pPr>
        <w:ind w:left="620"/>
        <w:spacing w:after="0" w:line="285" w:lineRule="auto"/>
        <w:rPr>
          <w:rFonts w:ascii="Arial" w:cs="Arial" w:eastAsia="Arial" w:hAnsi="Arial"/>
          <w:sz w:val="17"/>
          <w:szCs w:val="17"/>
          <w:color w:val="auto"/>
        </w:rPr>
      </w:pPr>
      <w:r>
        <w:rPr>
          <w:rFonts w:ascii="Arial" w:cs="Arial" w:eastAsia="Arial" w:hAnsi="Arial"/>
          <w:sz w:val="17"/>
          <w:szCs w:val="17"/>
          <w:color w:val="auto"/>
        </w:rPr>
        <w:t>In addition to effectively managing all the risks, the Risk Committee is supported by the following committees which report on a monthly basis all relevant changes or issues relating to the risks being managed:</w:t>
      </w:r>
    </w:p>
    <w:p>
      <w:pPr>
        <w:spacing w:after="0" w:line="367" w:lineRule="exact"/>
        <w:rPr>
          <w:rFonts w:ascii="Arial" w:cs="Arial" w:eastAsia="Arial" w:hAnsi="Arial"/>
          <w:sz w:val="17"/>
          <w:szCs w:val="17"/>
          <w:color w:val="auto"/>
        </w:rPr>
      </w:pPr>
    </w:p>
    <w:p>
      <w:pPr>
        <w:ind w:left="5600" w:hanging="107"/>
        <w:spacing w:after="0"/>
        <w:tabs>
          <w:tab w:leader="none" w:pos="5600" w:val="left"/>
        </w:tabs>
        <w:numPr>
          <w:ilvl w:val="2"/>
          <w:numId w:val="131"/>
        </w:numPr>
        <w:rPr>
          <w:rFonts w:ascii="Arial" w:cs="Arial" w:eastAsia="Arial" w:hAnsi="Arial"/>
          <w:sz w:val="17"/>
          <w:szCs w:val="17"/>
          <w:color w:val="auto"/>
        </w:rPr>
      </w:pPr>
      <w:r>
        <w:rPr>
          <w:rFonts w:ascii="Arial" w:cs="Arial" w:eastAsia="Arial" w:hAnsi="Arial"/>
          <w:sz w:val="17"/>
          <w:szCs w:val="17"/>
          <w:color w:val="auto"/>
        </w:rPr>
        <w:t>110 -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15875</wp:posOffset>
            </wp:positionV>
            <wp:extent cx="725170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51700" cy="8255"/>
                    </a:xfrm>
                    <a:prstGeom prst="rect">
                      <a:avLst/>
                    </a:prstGeom>
                    <a:noFill/>
                  </pic:spPr>
                </pic:pic>
              </a:graphicData>
            </a:graphic>
          </wp:anchor>
        </w:drawing>
      </w:r>
    </w:p>
    <w:p>
      <w:pPr>
        <w:sectPr>
          <w:pgSz w:w="11900" w:h="16838" w:orient="portrait"/>
          <w:cols w:equalWidth="0" w:num="1">
            <w:col w:w="11380"/>
          </w:cols>
          <w:pgMar w:left="240" w:top="875" w:right="279" w:bottom="1440" w:gutter="0" w:footer="0" w:header="0"/>
        </w:sectPr>
      </w:pPr>
    </w:p>
    <w:bookmarkStart w:id="116" w:name="page117"/>
    <w:bookmarkEnd w:id="116"/>
    <w:p>
      <w:pPr>
        <w:ind w:left="304"/>
        <w:spacing w:after="0"/>
        <w:rPr>
          <w:sz w:val="20"/>
          <w:szCs w:val="20"/>
          <w:color w:val="auto"/>
        </w:rPr>
      </w:pPr>
      <w:r>
        <w:rPr>
          <w:rFonts w:ascii="Arial" w:cs="Arial" w:eastAsia="Arial" w:hAnsi="Arial"/>
          <w:sz w:val="17"/>
          <w:szCs w:val="17"/>
          <w:color w:val="auto"/>
        </w:rPr>
        <w:t>Credit Risk Committees -</w:t>
      </w:r>
    </w:p>
    <w:p>
      <w:pPr>
        <w:spacing w:after="0" w:line="220" w:lineRule="exact"/>
        <w:rPr>
          <w:sz w:val="20"/>
          <w:szCs w:val="20"/>
          <w:color w:val="auto"/>
        </w:rPr>
      </w:pPr>
    </w:p>
    <w:p>
      <w:pPr>
        <w:ind w:left="304" w:right="120"/>
        <w:spacing w:after="0" w:line="294" w:lineRule="auto"/>
        <w:rPr>
          <w:sz w:val="20"/>
          <w:szCs w:val="20"/>
          <w:color w:val="auto"/>
        </w:rPr>
      </w:pPr>
      <w:r>
        <w:rPr>
          <w:rFonts w:ascii="Arial" w:cs="Arial" w:eastAsia="Arial" w:hAnsi="Arial"/>
          <w:sz w:val="16"/>
          <w:szCs w:val="16"/>
          <w:color w:val="auto"/>
        </w:rPr>
        <w:t>The Credit Risk Committee is responsible for reviewing the tolerance level of the credit risk appetite and the limits of exposure. As well as also proposing credit risk management norms and policies within the framework of governance and the organization for the integral management of credit risk. Furthermore, it proposes the approval of any changes to the functions described above and important findings to the Risk Committee.</w:t>
      </w:r>
    </w:p>
    <w:p>
      <w:pPr>
        <w:spacing w:after="0" w:line="155" w:lineRule="exact"/>
        <w:rPr>
          <w:sz w:val="20"/>
          <w:szCs w:val="20"/>
          <w:color w:val="auto"/>
        </w:rPr>
      </w:pPr>
    </w:p>
    <w:p>
      <w:pPr>
        <w:ind w:left="304"/>
        <w:spacing w:after="0"/>
        <w:rPr>
          <w:sz w:val="20"/>
          <w:szCs w:val="20"/>
          <w:color w:val="auto"/>
        </w:rPr>
      </w:pPr>
      <w:r>
        <w:rPr>
          <w:rFonts w:ascii="Arial" w:cs="Arial" w:eastAsia="Arial" w:hAnsi="Arial"/>
          <w:sz w:val="17"/>
          <w:szCs w:val="17"/>
          <w:color w:val="auto"/>
        </w:rPr>
        <w:t>Treasury and ALM (Asset Liability Management) Risk Committee -</w:t>
      </w:r>
    </w:p>
    <w:p>
      <w:pPr>
        <w:spacing w:after="0" w:line="220" w:lineRule="exact"/>
        <w:rPr>
          <w:sz w:val="20"/>
          <w:szCs w:val="20"/>
          <w:color w:val="auto"/>
        </w:rPr>
      </w:pPr>
    </w:p>
    <w:p>
      <w:pPr>
        <w:ind w:left="304"/>
        <w:spacing w:after="0" w:line="265" w:lineRule="auto"/>
        <w:rPr>
          <w:sz w:val="20"/>
          <w:szCs w:val="20"/>
          <w:color w:val="auto"/>
        </w:rPr>
      </w:pPr>
      <w:r>
        <w:rPr>
          <w:rFonts w:ascii="Arial" w:cs="Arial" w:eastAsia="Arial" w:hAnsi="Arial"/>
          <w:sz w:val="17"/>
          <w:szCs w:val="17"/>
          <w:color w:val="auto"/>
        </w:rPr>
        <w:t>The Treasury and ALM Risk Committee is responsible for analyzing and proposing the risk appetite and exposure level of the Treasury. It also proposes the guidelines and policies for the Treasury Risk Management and ALM, within the framework of governance and organization for the integral management of market risks. Furthermore, it is responsible for proposing the approval of any changes in the functions described above and for reporting any finding to the Risk Committee.</w:t>
      </w:r>
    </w:p>
    <w:p>
      <w:pPr>
        <w:spacing w:after="0" w:line="176" w:lineRule="exact"/>
        <w:rPr>
          <w:sz w:val="20"/>
          <w:szCs w:val="20"/>
          <w:color w:val="auto"/>
        </w:rPr>
      </w:pPr>
    </w:p>
    <w:p>
      <w:pPr>
        <w:ind w:left="304"/>
        <w:spacing w:after="0"/>
        <w:rPr>
          <w:sz w:val="20"/>
          <w:szCs w:val="20"/>
          <w:color w:val="auto"/>
        </w:rPr>
      </w:pPr>
      <w:r>
        <w:rPr>
          <w:rFonts w:ascii="Arial" w:cs="Arial" w:eastAsia="Arial" w:hAnsi="Arial"/>
          <w:sz w:val="17"/>
          <w:szCs w:val="17"/>
          <w:color w:val="auto"/>
        </w:rPr>
        <w:t>Operational Risk Committee -</w:t>
      </w:r>
    </w:p>
    <w:p>
      <w:pPr>
        <w:spacing w:after="0" w:line="220" w:lineRule="exact"/>
        <w:rPr>
          <w:sz w:val="20"/>
          <w:szCs w:val="20"/>
          <w:color w:val="auto"/>
        </w:rPr>
      </w:pPr>
    </w:p>
    <w:p>
      <w:pPr>
        <w:ind w:left="304" w:right="500"/>
        <w:spacing w:after="0" w:line="265" w:lineRule="auto"/>
        <w:rPr>
          <w:sz w:val="20"/>
          <w:szCs w:val="20"/>
          <w:color w:val="auto"/>
        </w:rPr>
      </w:pPr>
      <w:r>
        <w:rPr>
          <w:rFonts w:ascii="Arial" w:cs="Arial" w:eastAsia="Arial" w:hAnsi="Arial"/>
          <w:sz w:val="17"/>
          <w:szCs w:val="17"/>
          <w:color w:val="auto"/>
        </w:rPr>
        <w:t>The Operational Risk Committee is responsible for reviewing the tolerance level, the appetite for operational risk and the limits of exposure. It also proposes the norms and policies for the management of operational risks and the mechanisms for the implementation of corrective actions within the governance framework. Furthermore, it proposes the approval of any changes to the functions described above and reports any finding to the Risk Committee.</w:t>
      </w:r>
    </w:p>
    <w:p>
      <w:pPr>
        <w:spacing w:after="0" w:line="176" w:lineRule="exact"/>
        <w:rPr>
          <w:sz w:val="20"/>
          <w:szCs w:val="20"/>
          <w:color w:val="auto"/>
        </w:rPr>
      </w:pPr>
    </w:p>
    <w:p>
      <w:pPr>
        <w:ind w:left="304" w:hanging="304"/>
        <w:spacing w:after="0"/>
        <w:tabs>
          <w:tab w:leader="none" w:pos="304" w:val="left"/>
        </w:tabs>
        <w:numPr>
          <w:ilvl w:val="0"/>
          <w:numId w:val="132"/>
        </w:numPr>
        <w:rPr>
          <w:rFonts w:ascii="Arial" w:cs="Arial" w:eastAsia="Arial" w:hAnsi="Arial"/>
          <w:sz w:val="17"/>
          <w:szCs w:val="17"/>
          <w:color w:val="auto"/>
        </w:rPr>
      </w:pPr>
      <w:r>
        <w:rPr>
          <w:rFonts w:ascii="Arial" w:cs="Arial" w:eastAsia="Arial" w:hAnsi="Arial"/>
          <w:sz w:val="17"/>
          <w:szCs w:val="17"/>
          <w:color w:val="auto"/>
        </w:rPr>
        <w:t>Central Risk Management -</w:t>
      </w:r>
    </w:p>
    <w:p>
      <w:pPr>
        <w:spacing w:after="0" w:line="220" w:lineRule="exact"/>
        <w:rPr>
          <w:rFonts w:ascii="Arial" w:cs="Arial" w:eastAsia="Arial" w:hAnsi="Arial"/>
          <w:sz w:val="17"/>
          <w:szCs w:val="17"/>
          <w:color w:val="auto"/>
        </w:rPr>
      </w:pPr>
    </w:p>
    <w:p>
      <w:pPr>
        <w:ind w:left="304" w:right="240"/>
        <w:spacing w:after="0" w:line="294" w:lineRule="auto"/>
        <w:rPr>
          <w:rFonts w:ascii="Arial" w:cs="Arial" w:eastAsia="Arial" w:hAnsi="Arial"/>
          <w:sz w:val="17"/>
          <w:szCs w:val="17"/>
          <w:color w:val="auto"/>
        </w:rPr>
      </w:pPr>
      <w:r>
        <w:rPr>
          <w:rFonts w:ascii="Arial" w:cs="Arial" w:eastAsia="Arial" w:hAnsi="Arial"/>
          <w:sz w:val="16"/>
          <w:szCs w:val="16"/>
          <w:color w:val="auto"/>
        </w:rPr>
        <w:t>The Central Risk Management is responsible for implementing policies, procedures, methodologies and actions to identify, measure, monitor, mitigate, report and control the different types of risks to which the Group is exposed. Also, it participates in the design and definition of the strategic plans of the business units to ensure that they are framed within the risk appetite metrics approved by the Group’s Board of Directors of Credicorp.</w:t>
      </w:r>
    </w:p>
    <w:p>
      <w:pPr>
        <w:spacing w:after="0" w:line="155" w:lineRule="exact"/>
        <w:rPr>
          <w:rFonts w:ascii="Arial" w:cs="Arial" w:eastAsia="Arial" w:hAnsi="Arial"/>
          <w:sz w:val="17"/>
          <w:szCs w:val="17"/>
          <w:color w:val="auto"/>
        </w:rPr>
      </w:pPr>
    </w:p>
    <w:p>
      <w:pPr>
        <w:ind w:left="304" w:right="6200"/>
        <w:spacing w:after="0" w:line="510" w:lineRule="auto"/>
        <w:rPr>
          <w:rFonts w:ascii="Arial" w:cs="Arial" w:eastAsia="Arial" w:hAnsi="Arial"/>
          <w:sz w:val="17"/>
          <w:szCs w:val="17"/>
          <w:color w:val="auto"/>
        </w:rPr>
      </w:pPr>
      <w:r>
        <w:rPr>
          <w:rFonts w:ascii="Arial" w:cs="Arial" w:eastAsia="Arial" w:hAnsi="Arial"/>
          <w:sz w:val="17"/>
          <w:szCs w:val="17"/>
          <w:color w:val="auto"/>
        </w:rPr>
        <w:t>The Central Risk Management is divided into the following areas: Credit Division -</w:t>
      </w:r>
    </w:p>
    <w:p>
      <w:pPr>
        <w:ind w:left="304" w:right="140"/>
        <w:spacing w:after="0" w:line="270" w:lineRule="auto"/>
        <w:rPr>
          <w:rFonts w:ascii="Arial" w:cs="Arial" w:eastAsia="Arial" w:hAnsi="Arial"/>
          <w:sz w:val="17"/>
          <w:szCs w:val="17"/>
          <w:color w:val="auto"/>
        </w:rPr>
      </w:pPr>
      <w:r>
        <w:rPr>
          <w:rFonts w:ascii="Arial" w:cs="Arial" w:eastAsia="Arial" w:hAnsi="Arial"/>
          <w:sz w:val="17"/>
          <w:szCs w:val="17"/>
          <w:color w:val="auto"/>
        </w:rPr>
        <w:t>The Credit Division is responsible for ensuring the quality of the wholesale banking portfolio in accordance with the Group’s risk strategy and appetite on the basis of an efficient management of the lending process relying on well-defined lending policies and highly trained personnel with best lending practices.</w:t>
      </w:r>
    </w:p>
    <w:p>
      <w:pPr>
        <w:spacing w:after="0" w:line="171" w:lineRule="exact"/>
        <w:rPr>
          <w:rFonts w:ascii="Arial" w:cs="Arial" w:eastAsia="Arial" w:hAnsi="Arial"/>
          <w:sz w:val="17"/>
          <w:szCs w:val="17"/>
          <w:color w:val="auto"/>
        </w:rPr>
      </w:pPr>
    </w:p>
    <w:p>
      <w:pPr>
        <w:ind w:left="304"/>
        <w:spacing w:after="0"/>
        <w:rPr>
          <w:rFonts w:ascii="Arial" w:cs="Arial" w:eastAsia="Arial" w:hAnsi="Arial"/>
          <w:sz w:val="17"/>
          <w:szCs w:val="17"/>
          <w:color w:val="auto"/>
        </w:rPr>
      </w:pPr>
      <w:r>
        <w:rPr>
          <w:rFonts w:ascii="Arial" w:cs="Arial" w:eastAsia="Arial" w:hAnsi="Arial"/>
          <w:sz w:val="17"/>
          <w:szCs w:val="17"/>
          <w:color w:val="auto"/>
        </w:rPr>
        <w:t>Risk Management Division -</w:t>
      </w:r>
    </w:p>
    <w:p>
      <w:pPr>
        <w:spacing w:after="0" w:line="220" w:lineRule="exact"/>
        <w:rPr>
          <w:rFonts w:ascii="Arial" w:cs="Arial" w:eastAsia="Arial" w:hAnsi="Arial"/>
          <w:sz w:val="17"/>
          <w:szCs w:val="17"/>
          <w:color w:val="auto"/>
        </w:rPr>
      </w:pPr>
    </w:p>
    <w:p>
      <w:pPr>
        <w:ind w:left="304" w:right="60"/>
        <w:spacing w:after="0" w:line="265" w:lineRule="auto"/>
        <w:rPr>
          <w:rFonts w:ascii="Arial" w:cs="Arial" w:eastAsia="Arial" w:hAnsi="Arial"/>
          <w:sz w:val="17"/>
          <w:szCs w:val="17"/>
          <w:color w:val="auto"/>
        </w:rPr>
      </w:pPr>
      <w:r>
        <w:rPr>
          <w:rFonts w:ascii="Arial" w:cs="Arial" w:eastAsia="Arial" w:hAnsi="Arial"/>
          <w:sz w:val="17"/>
          <w:szCs w:val="17"/>
          <w:color w:val="auto"/>
        </w:rPr>
        <w:t>The Risk Management Division is responsible for ensuring that policies and risk management policies established by the Board of Directors are complied with and monitored. Supervise the process of risk management and coordinate the risk response with the companies of Credicorp involved in the whole process. It also has the task of informing Senior Management regarding: global exposure and by type of risk, as well as the specific exposure of each of the Group’s companies.</w:t>
      </w:r>
    </w:p>
    <w:p>
      <w:pPr>
        <w:spacing w:after="0" w:line="176" w:lineRule="exact"/>
        <w:rPr>
          <w:rFonts w:ascii="Arial" w:cs="Arial" w:eastAsia="Arial" w:hAnsi="Arial"/>
          <w:sz w:val="17"/>
          <w:szCs w:val="17"/>
          <w:color w:val="auto"/>
        </w:rPr>
      </w:pPr>
    </w:p>
    <w:p>
      <w:pPr>
        <w:ind w:left="304" w:right="340"/>
        <w:spacing w:after="0" w:line="270" w:lineRule="auto"/>
        <w:rPr>
          <w:rFonts w:ascii="Arial" w:cs="Arial" w:eastAsia="Arial" w:hAnsi="Arial"/>
          <w:sz w:val="17"/>
          <w:szCs w:val="17"/>
          <w:color w:val="auto"/>
        </w:rPr>
      </w:pPr>
      <w:r>
        <w:rPr>
          <w:rFonts w:ascii="Arial" w:cs="Arial" w:eastAsia="Arial" w:hAnsi="Arial"/>
          <w:sz w:val="17"/>
          <w:szCs w:val="17"/>
          <w:color w:val="auto"/>
        </w:rPr>
        <w:t>The Risk Management Division consists of the following units: The Operational Risk and Insurance Risk Management Department, the Credit and Corporate Management Risk Department, Market Risk Management Department, Global Risk Management, Internal Validation and Risk Management Methodology and Modelling.</w:t>
      </w:r>
    </w:p>
    <w:p>
      <w:pPr>
        <w:spacing w:after="0" w:line="379" w:lineRule="exact"/>
        <w:rPr>
          <w:rFonts w:ascii="Arial" w:cs="Arial" w:eastAsia="Arial" w:hAnsi="Arial"/>
          <w:sz w:val="17"/>
          <w:szCs w:val="17"/>
          <w:color w:val="auto"/>
        </w:rPr>
      </w:pPr>
    </w:p>
    <w:p>
      <w:pPr>
        <w:ind w:left="5284" w:hanging="104"/>
        <w:spacing w:after="0"/>
        <w:tabs>
          <w:tab w:leader="none" w:pos="5284" w:val="left"/>
        </w:tabs>
        <w:numPr>
          <w:ilvl w:val="1"/>
          <w:numId w:val="132"/>
        </w:numPr>
        <w:rPr>
          <w:rFonts w:ascii="Arial" w:cs="Arial" w:eastAsia="Arial" w:hAnsi="Arial"/>
          <w:sz w:val="17"/>
          <w:szCs w:val="17"/>
          <w:color w:val="auto"/>
        </w:rPr>
      </w:pPr>
      <w:r>
        <w:rPr>
          <w:rFonts w:ascii="Arial" w:cs="Arial" w:eastAsia="Arial" w:hAnsi="Arial"/>
          <w:sz w:val="17"/>
          <w:szCs w:val="17"/>
          <w:color w:val="auto"/>
        </w:rPr>
        <w:t>111 -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-197485</wp:posOffset>
            </wp:positionH>
            <wp:positionV relativeFrom="paragraph">
              <wp:posOffset>15875</wp:posOffset>
            </wp:positionV>
            <wp:extent cx="725170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51700" cy="8255"/>
                    </a:xfrm>
                    <a:prstGeom prst="rect">
                      <a:avLst/>
                    </a:prstGeom>
                    <a:noFill/>
                  </pic:spPr>
                </pic:pic>
              </a:graphicData>
            </a:graphic>
          </wp:anchor>
        </w:drawing>
      </w:r>
    </w:p>
    <w:p>
      <w:pPr>
        <w:sectPr>
          <w:pgSz w:w="11900" w:h="16838" w:orient="portrait"/>
          <w:cols w:equalWidth="0" w:num="1">
            <w:col w:w="11104"/>
          </w:cols>
          <w:pgMar w:left="556" w:top="881" w:right="239" w:bottom="1440" w:gutter="0" w:footer="0" w:header="0"/>
        </w:sectPr>
      </w:pPr>
    </w:p>
    <w:bookmarkStart w:id="117" w:name="page118"/>
    <w:bookmarkEnd w:id="117"/>
    <w:p>
      <w:pPr>
        <w:ind w:left="736"/>
        <w:spacing w:after="0"/>
        <w:rPr>
          <w:sz w:val="20"/>
          <w:szCs w:val="20"/>
          <w:color w:val="auto"/>
        </w:rPr>
      </w:pPr>
      <w:r>
        <w:rPr>
          <w:rFonts w:ascii="Arial" w:cs="Arial" w:eastAsia="Arial" w:hAnsi="Arial"/>
          <w:sz w:val="17"/>
          <w:szCs w:val="17"/>
          <w:color w:val="auto"/>
        </w:rPr>
        <w:t>Retail Banking Risk Division -</w:t>
      </w:r>
    </w:p>
    <w:p>
      <w:pPr>
        <w:spacing w:after="0" w:line="220" w:lineRule="exact"/>
        <w:rPr>
          <w:sz w:val="20"/>
          <w:szCs w:val="20"/>
          <w:color w:val="auto"/>
        </w:rPr>
      </w:pPr>
    </w:p>
    <w:p>
      <w:pPr>
        <w:ind w:left="736" w:right="520"/>
        <w:spacing w:after="0" w:line="285" w:lineRule="auto"/>
        <w:rPr>
          <w:sz w:val="20"/>
          <w:szCs w:val="20"/>
          <w:color w:val="auto"/>
        </w:rPr>
      </w:pPr>
      <w:r>
        <w:rPr>
          <w:rFonts w:ascii="Arial" w:cs="Arial" w:eastAsia="Arial" w:hAnsi="Arial"/>
          <w:sz w:val="17"/>
          <w:szCs w:val="17"/>
          <w:color w:val="auto"/>
        </w:rPr>
        <w:t>This division is responsible for ensuring the quality of the retail portfolio and the development of credit policies that are consistent with the overall guidelines and policies set by the Board of Credicorp.</w:t>
      </w:r>
    </w:p>
    <w:p>
      <w:pPr>
        <w:spacing w:after="0" w:line="159" w:lineRule="exact"/>
        <w:rPr>
          <w:sz w:val="20"/>
          <w:szCs w:val="20"/>
          <w:color w:val="auto"/>
        </w:rPr>
      </w:pPr>
    </w:p>
    <w:p>
      <w:pPr>
        <w:ind w:left="736"/>
        <w:spacing w:after="0"/>
        <w:rPr>
          <w:sz w:val="20"/>
          <w:szCs w:val="20"/>
          <w:color w:val="auto"/>
        </w:rPr>
      </w:pPr>
      <w:r>
        <w:rPr>
          <w:rFonts w:ascii="Arial" w:cs="Arial" w:eastAsia="Arial" w:hAnsi="Arial"/>
          <w:sz w:val="17"/>
          <w:szCs w:val="17"/>
          <w:color w:val="auto"/>
        </w:rPr>
        <w:t>Treasury Risk Management –</w:t>
      </w:r>
    </w:p>
    <w:p>
      <w:pPr>
        <w:spacing w:after="0" w:line="220" w:lineRule="exact"/>
        <w:rPr>
          <w:sz w:val="20"/>
          <w:szCs w:val="20"/>
          <w:color w:val="auto"/>
        </w:rPr>
      </w:pPr>
    </w:p>
    <w:p>
      <w:pPr>
        <w:ind w:left="736" w:right="180"/>
        <w:spacing w:after="0" w:line="270" w:lineRule="auto"/>
        <w:rPr>
          <w:sz w:val="20"/>
          <w:szCs w:val="20"/>
          <w:color w:val="auto"/>
        </w:rPr>
      </w:pPr>
      <w:r>
        <w:rPr>
          <w:rFonts w:ascii="Arial" w:cs="Arial" w:eastAsia="Arial" w:hAnsi="Arial"/>
          <w:sz w:val="17"/>
          <w:szCs w:val="17"/>
          <w:color w:val="auto"/>
        </w:rPr>
        <w:t>The Treasury Risk Management is responsible for planning, coordinating and monitoring the implementation of the Treasury Division with risk measurement methodologies and limits approved by the Risk Committee. Also, it is responsible for assessing the effectiveness of hedge derivatives and the valuation of investments.</w:t>
      </w:r>
    </w:p>
    <w:p>
      <w:pPr>
        <w:spacing w:after="0" w:line="172" w:lineRule="exact"/>
        <w:rPr>
          <w:sz w:val="20"/>
          <w:szCs w:val="20"/>
          <w:color w:val="auto"/>
        </w:rPr>
      </w:pPr>
    </w:p>
    <w:p>
      <w:pPr>
        <w:ind w:left="736" w:hanging="424"/>
        <w:spacing w:after="0"/>
        <w:tabs>
          <w:tab w:leader="none" w:pos="736" w:val="left"/>
        </w:tabs>
        <w:numPr>
          <w:ilvl w:val="1"/>
          <w:numId w:val="133"/>
        </w:numPr>
        <w:rPr>
          <w:rFonts w:ascii="Arial" w:cs="Arial" w:eastAsia="Arial" w:hAnsi="Arial"/>
          <w:sz w:val="17"/>
          <w:szCs w:val="17"/>
          <w:color w:val="auto"/>
        </w:rPr>
      </w:pPr>
      <w:r>
        <w:rPr>
          <w:rFonts w:ascii="Arial" w:cs="Arial" w:eastAsia="Arial" w:hAnsi="Arial"/>
          <w:sz w:val="17"/>
          <w:szCs w:val="17"/>
          <w:color w:val="auto"/>
        </w:rPr>
        <w:t>Internal Audit Division and Compliance Division -</w:t>
      </w:r>
    </w:p>
    <w:p>
      <w:pPr>
        <w:spacing w:after="0" w:line="220" w:lineRule="exact"/>
        <w:rPr>
          <w:rFonts w:ascii="Arial" w:cs="Arial" w:eastAsia="Arial" w:hAnsi="Arial"/>
          <w:sz w:val="17"/>
          <w:szCs w:val="17"/>
          <w:color w:val="auto"/>
        </w:rPr>
      </w:pPr>
    </w:p>
    <w:p>
      <w:pPr>
        <w:ind w:left="736" w:right="60"/>
        <w:spacing w:after="0" w:line="265" w:lineRule="auto"/>
        <w:rPr>
          <w:rFonts w:ascii="Arial" w:cs="Arial" w:eastAsia="Arial" w:hAnsi="Arial"/>
          <w:sz w:val="17"/>
          <w:szCs w:val="17"/>
          <w:color w:val="auto"/>
        </w:rPr>
      </w:pPr>
      <w:r>
        <w:rPr>
          <w:rFonts w:ascii="Arial" w:cs="Arial" w:eastAsia="Arial" w:hAnsi="Arial"/>
          <w:sz w:val="17"/>
          <w:szCs w:val="17"/>
          <w:color w:val="auto"/>
        </w:rPr>
        <w:t>The Audit Division is in charge of monitoring on an ongoing basis the effectiveness of the risk management function of the Group, verifying compliance with laws and regulations, as well as the policies, objectives and guidelines set by the Board of Directors. On the other hand, it evaluates the sufficiency and level of integration of the Group’s information and database systems. Finally, it ensures that independence is maintained between the functions of the risk management and business units, for each of the Group’s companies.</w:t>
      </w:r>
    </w:p>
    <w:p>
      <w:pPr>
        <w:spacing w:after="0" w:line="176" w:lineRule="exact"/>
        <w:rPr>
          <w:rFonts w:ascii="Arial" w:cs="Arial" w:eastAsia="Arial" w:hAnsi="Arial"/>
          <w:sz w:val="17"/>
          <w:szCs w:val="17"/>
          <w:color w:val="auto"/>
        </w:rPr>
      </w:pPr>
    </w:p>
    <w:p>
      <w:pPr>
        <w:ind w:left="736"/>
        <w:spacing w:after="0"/>
        <w:rPr>
          <w:rFonts w:ascii="Arial" w:cs="Arial" w:eastAsia="Arial" w:hAnsi="Arial"/>
          <w:sz w:val="17"/>
          <w:szCs w:val="17"/>
          <w:color w:val="auto"/>
        </w:rPr>
      </w:pPr>
      <w:r>
        <w:rPr>
          <w:rFonts w:ascii="Arial" w:cs="Arial" w:eastAsia="Arial" w:hAnsi="Arial"/>
          <w:sz w:val="17"/>
          <w:szCs w:val="17"/>
          <w:color w:val="auto"/>
        </w:rPr>
        <w:t>The Compliance Division is responsible for ensuring applicable laws and regulations and the internal Code of Ethics are adhered to.</w:t>
      </w:r>
    </w:p>
    <w:p>
      <w:pPr>
        <w:spacing w:after="0" w:line="220" w:lineRule="exact"/>
        <w:rPr>
          <w:rFonts w:ascii="Arial" w:cs="Arial" w:eastAsia="Arial" w:hAnsi="Arial"/>
          <w:sz w:val="17"/>
          <w:szCs w:val="17"/>
          <w:color w:val="auto"/>
        </w:rPr>
      </w:pPr>
    </w:p>
    <w:p>
      <w:pPr>
        <w:ind w:left="316" w:hanging="316"/>
        <w:spacing w:after="0"/>
        <w:tabs>
          <w:tab w:leader="none" w:pos="316" w:val="left"/>
        </w:tabs>
        <w:numPr>
          <w:ilvl w:val="0"/>
          <w:numId w:val="134"/>
        </w:numPr>
        <w:rPr>
          <w:rFonts w:ascii="Arial" w:cs="Arial" w:eastAsia="Arial" w:hAnsi="Arial"/>
          <w:sz w:val="17"/>
          <w:szCs w:val="17"/>
          <w:color w:val="auto"/>
        </w:rPr>
      </w:pPr>
      <w:r>
        <w:rPr>
          <w:rFonts w:ascii="Arial" w:cs="Arial" w:eastAsia="Arial" w:hAnsi="Arial"/>
          <w:sz w:val="17"/>
          <w:szCs w:val="17"/>
          <w:color w:val="auto"/>
        </w:rPr>
        <w:t>Risk measurement and reporting systems -</w:t>
      </w:r>
    </w:p>
    <w:p>
      <w:pPr>
        <w:spacing w:after="0" w:line="220" w:lineRule="exact"/>
        <w:rPr>
          <w:rFonts w:ascii="Arial" w:cs="Arial" w:eastAsia="Arial" w:hAnsi="Arial"/>
          <w:sz w:val="17"/>
          <w:szCs w:val="17"/>
          <w:color w:val="auto"/>
        </w:rPr>
      </w:pPr>
    </w:p>
    <w:p>
      <w:pPr>
        <w:jc w:val="both"/>
        <w:ind w:left="316" w:right="40"/>
        <w:spacing w:after="0" w:line="294" w:lineRule="auto"/>
        <w:rPr>
          <w:rFonts w:ascii="Arial" w:cs="Arial" w:eastAsia="Arial" w:hAnsi="Arial"/>
          <w:sz w:val="17"/>
          <w:szCs w:val="17"/>
          <w:color w:val="auto"/>
        </w:rPr>
      </w:pPr>
      <w:r>
        <w:rPr>
          <w:rFonts w:ascii="Arial" w:cs="Arial" w:eastAsia="Arial" w:hAnsi="Arial"/>
          <w:sz w:val="16"/>
          <w:szCs w:val="16"/>
          <w:color w:val="auto"/>
        </w:rPr>
        <w:t>Credicorp has independent databases that are subsequently integrated through corporate reports. These reports enable it to monitor at an aggregate and detailed level, the different types of risks to which each company is exposed. The system provides it the ability to comply with the needs for revision of the risk appetite requested by the above-mentioned committees and areas; as well as also complying with regulatory requirements.</w:t>
      </w:r>
    </w:p>
    <w:p>
      <w:pPr>
        <w:spacing w:after="0" w:line="155" w:lineRule="exact"/>
        <w:rPr>
          <w:rFonts w:ascii="Arial" w:cs="Arial" w:eastAsia="Arial" w:hAnsi="Arial"/>
          <w:sz w:val="17"/>
          <w:szCs w:val="17"/>
          <w:color w:val="auto"/>
        </w:rPr>
      </w:pPr>
    </w:p>
    <w:p>
      <w:pPr>
        <w:ind w:left="316" w:hanging="316"/>
        <w:spacing w:after="0"/>
        <w:tabs>
          <w:tab w:leader="none" w:pos="316" w:val="left"/>
        </w:tabs>
        <w:numPr>
          <w:ilvl w:val="0"/>
          <w:numId w:val="134"/>
        </w:numPr>
        <w:rPr>
          <w:rFonts w:ascii="Arial" w:cs="Arial" w:eastAsia="Arial" w:hAnsi="Arial"/>
          <w:sz w:val="17"/>
          <w:szCs w:val="17"/>
          <w:color w:val="auto"/>
        </w:rPr>
      </w:pPr>
      <w:r>
        <w:rPr>
          <w:rFonts w:ascii="Arial" w:cs="Arial" w:eastAsia="Arial" w:hAnsi="Arial"/>
          <w:sz w:val="17"/>
          <w:szCs w:val="17"/>
          <w:color w:val="auto"/>
        </w:rPr>
        <w:t>Risk mitigation -</w:t>
      </w:r>
    </w:p>
    <w:p>
      <w:pPr>
        <w:spacing w:after="0" w:line="220" w:lineRule="exact"/>
        <w:rPr>
          <w:rFonts w:ascii="Arial" w:cs="Arial" w:eastAsia="Arial" w:hAnsi="Arial"/>
          <w:sz w:val="17"/>
          <w:szCs w:val="17"/>
          <w:color w:val="auto"/>
        </w:rPr>
      </w:pPr>
    </w:p>
    <w:p>
      <w:pPr>
        <w:ind w:left="316" w:right="60"/>
        <w:spacing w:after="0" w:line="285" w:lineRule="auto"/>
        <w:rPr>
          <w:rFonts w:ascii="Arial" w:cs="Arial" w:eastAsia="Arial" w:hAnsi="Arial"/>
          <w:sz w:val="17"/>
          <w:szCs w:val="17"/>
          <w:color w:val="auto"/>
        </w:rPr>
      </w:pPr>
      <w:r>
        <w:rPr>
          <w:rFonts w:ascii="Arial" w:cs="Arial" w:eastAsia="Arial" w:hAnsi="Arial"/>
          <w:sz w:val="17"/>
          <w:szCs w:val="17"/>
          <w:color w:val="auto"/>
        </w:rPr>
        <w:t>Depending on the type of risk, the Group uses mitigating instruments to reduce its exposure, such as guarantees, derivatives, controls, insurance, among others. Furthermore, it has policies linked to risk appetite and established procedures for each type of risk.</w:t>
      </w:r>
    </w:p>
    <w:p>
      <w:pPr>
        <w:spacing w:after="0" w:line="159" w:lineRule="exact"/>
        <w:rPr>
          <w:rFonts w:ascii="Arial" w:cs="Arial" w:eastAsia="Arial" w:hAnsi="Arial"/>
          <w:sz w:val="17"/>
          <w:szCs w:val="17"/>
          <w:color w:val="auto"/>
        </w:rPr>
      </w:pPr>
    </w:p>
    <w:p>
      <w:pPr>
        <w:ind w:left="316"/>
        <w:spacing w:after="0"/>
        <w:rPr>
          <w:rFonts w:ascii="Arial" w:cs="Arial" w:eastAsia="Arial" w:hAnsi="Arial"/>
          <w:sz w:val="17"/>
          <w:szCs w:val="17"/>
          <w:color w:val="auto"/>
        </w:rPr>
      </w:pPr>
      <w:r>
        <w:rPr>
          <w:rFonts w:ascii="Arial" w:cs="Arial" w:eastAsia="Arial" w:hAnsi="Arial"/>
          <w:sz w:val="17"/>
          <w:szCs w:val="17"/>
          <w:color w:val="auto"/>
        </w:rPr>
        <w:t>The Group actively uses guarantees to reduce its credit risks.</w:t>
      </w:r>
    </w:p>
    <w:p>
      <w:pPr>
        <w:spacing w:after="0" w:line="220" w:lineRule="exact"/>
        <w:rPr>
          <w:rFonts w:ascii="Arial" w:cs="Arial" w:eastAsia="Arial" w:hAnsi="Arial"/>
          <w:sz w:val="17"/>
          <w:szCs w:val="17"/>
          <w:color w:val="auto"/>
        </w:rPr>
      </w:pPr>
    </w:p>
    <w:p>
      <w:pPr>
        <w:ind w:left="316" w:hanging="316"/>
        <w:spacing w:after="0"/>
        <w:tabs>
          <w:tab w:leader="none" w:pos="316" w:val="left"/>
        </w:tabs>
        <w:numPr>
          <w:ilvl w:val="0"/>
          <w:numId w:val="134"/>
        </w:numPr>
        <w:rPr>
          <w:rFonts w:ascii="Arial" w:cs="Arial" w:eastAsia="Arial" w:hAnsi="Arial"/>
          <w:sz w:val="17"/>
          <w:szCs w:val="17"/>
          <w:color w:val="auto"/>
        </w:rPr>
      </w:pPr>
      <w:r>
        <w:rPr>
          <w:rFonts w:ascii="Arial" w:cs="Arial" w:eastAsia="Arial" w:hAnsi="Arial"/>
          <w:sz w:val="17"/>
          <w:szCs w:val="17"/>
          <w:color w:val="auto"/>
        </w:rPr>
        <w:t>Risk appetite -</w:t>
      </w:r>
    </w:p>
    <w:p>
      <w:pPr>
        <w:spacing w:after="0" w:line="220" w:lineRule="exact"/>
        <w:rPr>
          <w:rFonts w:ascii="Arial" w:cs="Arial" w:eastAsia="Arial" w:hAnsi="Arial"/>
          <w:sz w:val="17"/>
          <w:szCs w:val="17"/>
          <w:color w:val="auto"/>
        </w:rPr>
      </w:pPr>
    </w:p>
    <w:p>
      <w:pPr>
        <w:ind w:left="316"/>
        <w:spacing w:after="0" w:line="318" w:lineRule="auto"/>
        <w:rPr>
          <w:rFonts w:ascii="Arial" w:cs="Arial" w:eastAsia="Arial" w:hAnsi="Arial"/>
          <w:sz w:val="17"/>
          <w:szCs w:val="17"/>
          <w:color w:val="auto"/>
        </w:rPr>
      </w:pPr>
      <w:r>
        <w:rPr>
          <w:rFonts w:ascii="Arial" w:cs="Arial" w:eastAsia="Arial" w:hAnsi="Arial"/>
          <w:sz w:val="16"/>
          <w:szCs w:val="16"/>
          <w:color w:val="auto"/>
        </w:rPr>
        <w:t>In the different subsidiaries of the Group, the respective Boards approve the risk appetite framework to define the maximum level of risk that the organization is willing to take in seeking to accomplish its strategic and financial objectives. This Risk Appetite framework is based on primary and secondary objectives:</w:t>
      </w:r>
    </w:p>
    <w:p>
      <w:pPr>
        <w:spacing w:after="0" w:line="136" w:lineRule="exact"/>
        <w:rPr>
          <w:rFonts w:ascii="Arial" w:cs="Arial" w:eastAsia="Arial" w:hAnsi="Arial"/>
          <w:sz w:val="17"/>
          <w:szCs w:val="17"/>
          <w:color w:val="auto"/>
        </w:rPr>
      </w:pPr>
    </w:p>
    <w:p>
      <w:pPr>
        <w:ind w:left="316" w:right="360"/>
        <w:spacing w:after="0" w:line="285" w:lineRule="auto"/>
        <w:rPr>
          <w:rFonts w:ascii="Arial" w:cs="Arial" w:eastAsia="Arial" w:hAnsi="Arial"/>
          <w:sz w:val="17"/>
          <w:szCs w:val="17"/>
          <w:color w:val="auto"/>
        </w:rPr>
      </w:pPr>
      <w:r>
        <w:rPr>
          <w:rFonts w:ascii="Arial" w:cs="Arial" w:eastAsia="Arial" w:hAnsi="Arial"/>
          <w:sz w:val="17"/>
          <w:szCs w:val="17"/>
          <w:color w:val="auto"/>
        </w:rPr>
        <w:t>Primary objectives are intended to preserve the strategic pillars of the organization, defined as solvency, liquidity, profit and growth, stability of results and balance structure.</w:t>
      </w:r>
    </w:p>
    <w:p>
      <w:pPr>
        <w:spacing w:after="0" w:line="159" w:lineRule="exact"/>
        <w:rPr>
          <w:rFonts w:ascii="Arial" w:cs="Arial" w:eastAsia="Arial" w:hAnsi="Arial"/>
          <w:sz w:val="17"/>
          <w:szCs w:val="17"/>
          <w:color w:val="auto"/>
        </w:rPr>
      </w:pPr>
    </w:p>
    <w:p>
      <w:pPr>
        <w:ind w:left="316" w:right="480"/>
        <w:spacing w:after="0" w:line="355" w:lineRule="auto"/>
        <w:rPr>
          <w:rFonts w:ascii="Arial" w:cs="Arial" w:eastAsia="Arial" w:hAnsi="Arial"/>
          <w:sz w:val="17"/>
          <w:szCs w:val="17"/>
          <w:color w:val="auto"/>
        </w:rPr>
      </w:pPr>
      <w:r>
        <w:rPr>
          <w:rFonts w:ascii="Arial" w:cs="Arial" w:eastAsia="Arial" w:hAnsi="Arial"/>
          <w:sz w:val="15"/>
          <w:szCs w:val="15"/>
          <w:color w:val="auto"/>
        </w:rPr>
        <w:t>Secondary objectives are intended to monitor on a qualitative and quantitative basis the various risks to which the Group is exposed, as well as defining a tolerance threshold of each of those risks, so the risk profile set by the Board is preserved and any risk focus is anticipated on a more granular basis.</w:t>
      </w:r>
    </w:p>
    <w:p>
      <w:pPr>
        <w:spacing w:after="0" w:line="321" w:lineRule="exact"/>
        <w:rPr>
          <w:rFonts w:ascii="Arial" w:cs="Arial" w:eastAsia="Arial" w:hAnsi="Arial"/>
          <w:sz w:val="17"/>
          <w:szCs w:val="17"/>
          <w:color w:val="auto"/>
        </w:rPr>
      </w:pPr>
    </w:p>
    <w:p>
      <w:pPr>
        <w:ind w:left="5596" w:hanging="107"/>
        <w:spacing w:after="0"/>
        <w:tabs>
          <w:tab w:leader="none" w:pos="5596" w:val="left"/>
        </w:tabs>
        <w:numPr>
          <w:ilvl w:val="2"/>
          <w:numId w:val="134"/>
        </w:numPr>
        <w:rPr>
          <w:rFonts w:ascii="Arial" w:cs="Arial" w:eastAsia="Arial" w:hAnsi="Arial"/>
          <w:sz w:val="17"/>
          <w:szCs w:val="17"/>
          <w:color w:val="auto"/>
        </w:rPr>
      </w:pPr>
      <w:r>
        <w:rPr>
          <w:rFonts w:ascii="Arial" w:cs="Arial" w:eastAsia="Arial" w:hAnsi="Arial"/>
          <w:sz w:val="17"/>
          <w:szCs w:val="17"/>
          <w:color w:val="auto"/>
        </w:rPr>
        <w:t>112 -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15875</wp:posOffset>
            </wp:positionV>
            <wp:extent cx="725170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51700" cy="8255"/>
                    </a:xfrm>
                    <a:prstGeom prst="rect">
                      <a:avLst/>
                    </a:prstGeom>
                    <a:noFill/>
                  </pic:spPr>
                </pic:pic>
              </a:graphicData>
            </a:graphic>
          </wp:anchor>
        </w:drawing>
      </w:r>
    </w:p>
    <w:p>
      <w:pPr>
        <w:sectPr>
          <w:pgSz w:w="11900" w:h="16838" w:orient="portrait"/>
          <w:cols w:equalWidth="0" w:num="1">
            <w:col w:w="11416"/>
          </w:cols>
          <w:pgMar w:left="244" w:top="881" w:right="239" w:bottom="1440" w:gutter="0" w:footer="0" w:header="0"/>
        </w:sectPr>
      </w:pPr>
    </w:p>
    <w:bookmarkStart w:id="118" w:name="page119"/>
    <w:bookmarkEnd w:id="118"/>
    <w:p>
      <w:pPr>
        <w:ind w:left="320"/>
        <w:spacing w:after="0"/>
        <w:rPr>
          <w:sz w:val="20"/>
          <w:szCs w:val="20"/>
          <w:color w:val="auto"/>
        </w:rPr>
      </w:pPr>
      <w:r>
        <w:rPr>
          <w:rFonts w:ascii="Arial" w:cs="Arial" w:eastAsia="Arial" w:hAnsi="Arial"/>
          <w:sz w:val="17"/>
          <w:szCs w:val="17"/>
          <w:color w:val="auto"/>
        </w:rPr>
        <w:t>Risk appetite is instrumented through the following elements:</w:t>
      </w:r>
    </w:p>
    <w:p>
      <w:pPr>
        <w:spacing w:after="0" w:line="220" w:lineRule="exact"/>
        <w:rPr>
          <w:sz w:val="20"/>
          <w:szCs w:val="20"/>
          <w:color w:val="auto"/>
        </w:rPr>
      </w:pPr>
    </w:p>
    <w:p>
      <w:pPr>
        <w:ind w:left="620" w:hanging="304"/>
        <w:spacing w:after="0"/>
        <w:tabs>
          <w:tab w:leader="none" w:pos="620" w:val="left"/>
        </w:tabs>
        <w:numPr>
          <w:ilvl w:val="1"/>
          <w:numId w:val="135"/>
        </w:numPr>
        <w:rPr>
          <w:rFonts w:ascii="Arial" w:cs="Arial" w:eastAsia="Arial" w:hAnsi="Arial"/>
          <w:sz w:val="17"/>
          <w:szCs w:val="17"/>
          <w:color w:val="auto"/>
        </w:rPr>
      </w:pPr>
      <w:r>
        <w:rPr>
          <w:rFonts w:ascii="Arial" w:cs="Arial" w:eastAsia="Arial" w:hAnsi="Arial"/>
          <w:sz w:val="17"/>
          <w:szCs w:val="17"/>
          <w:color w:val="auto"/>
        </w:rPr>
        <w:t>Risk appetite statement: It makes explicit the general principles and the qualitative declarations which complement the Bank’s risk strategy.</w:t>
      </w:r>
    </w:p>
    <w:p>
      <w:pPr>
        <w:spacing w:after="0" w:line="220" w:lineRule="exact"/>
        <w:rPr>
          <w:rFonts w:ascii="Arial" w:cs="Arial" w:eastAsia="Arial" w:hAnsi="Arial"/>
          <w:sz w:val="17"/>
          <w:szCs w:val="17"/>
          <w:color w:val="auto"/>
        </w:rPr>
      </w:pPr>
    </w:p>
    <w:p>
      <w:pPr>
        <w:ind w:left="620" w:hanging="304"/>
        <w:spacing w:after="0"/>
        <w:tabs>
          <w:tab w:leader="none" w:pos="620" w:val="left"/>
        </w:tabs>
        <w:numPr>
          <w:ilvl w:val="1"/>
          <w:numId w:val="135"/>
        </w:numPr>
        <w:rPr>
          <w:rFonts w:ascii="Arial" w:cs="Arial" w:eastAsia="Arial" w:hAnsi="Arial"/>
          <w:sz w:val="17"/>
          <w:szCs w:val="17"/>
          <w:color w:val="auto"/>
        </w:rPr>
      </w:pPr>
      <w:r>
        <w:rPr>
          <w:rFonts w:ascii="Arial" w:cs="Arial" w:eastAsia="Arial" w:hAnsi="Arial"/>
          <w:sz w:val="17"/>
          <w:szCs w:val="17"/>
          <w:color w:val="auto"/>
        </w:rPr>
        <w:t>Metrics scorecard: These are used to define the levels of risk exposure in the different strategic pillars.</w:t>
      </w:r>
    </w:p>
    <w:p>
      <w:pPr>
        <w:spacing w:after="0" w:line="220" w:lineRule="exact"/>
        <w:rPr>
          <w:rFonts w:ascii="Arial" w:cs="Arial" w:eastAsia="Arial" w:hAnsi="Arial"/>
          <w:sz w:val="17"/>
          <w:szCs w:val="17"/>
          <w:color w:val="auto"/>
        </w:rPr>
      </w:pPr>
    </w:p>
    <w:p>
      <w:pPr>
        <w:ind w:left="620" w:hanging="304"/>
        <w:spacing w:after="0" w:line="285" w:lineRule="auto"/>
        <w:tabs>
          <w:tab w:leader="none" w:pos="620" w:val="left"/>
        </w:tabs>
        <w:numPr>
          <w:ilvl w:val="1"/>
          <w:numId w:val="135"/>
        </w:numPr>
        <w:rPr>
          <w:rFonts w:ascii="Arial" w:cs="Arial" w:eastAsia="Arial" w:hAnsi="Arial"/>
          <w:sz w:val="17"/>
          <w:szCs w:val="17"/>
          <w:color w:val="auto"/>
        </w:rPr>
      </w:pPr>
      <w:r>
        <w:rPr>
          <w:rFonts w:ascii="Arial" w:cs="Arial" w:eastAsia="Arial" w:hAnsi="Arial"/>
          <w:sz w:val="17"/>
          <w:szCs w:val="17"/>
          <w:color w:val="auto"/>
        </w:rPr>
        <w:t>Limits: Allows to take over the risk-taking process within the tolerance established by the Board. They also provide accountability for the risk-taking process and define guidelines regarding the target risk profile.</w:t>
      </w:r>
    </w:p>
    <w:p>
      <w:pPr>
        <w:spacing w:after="0" w:line="159" w:lineRule="exact"/>
        <w:rPr>
          <w:rFonts w:ascii="Arial" w:cs="Arial" w:eastAsia="Arial" w:hAnsi="Arial"/>
          <w:sz w:val="17"/>
          <w:szCs w:val="17"/>
          <w:color w:val="auto"/>
        </w:rPr>
      </w:pPr>
    </w:p>
    <w:p>
      <w:pPr>
        <w:ind w:left="620" w:hanging="304"/>
        <w:spacing w:after="0" w:line="285" w:lineRule="auto"/>
        <w:tabs>
          <w:tab w:leader="none" w:pos="620" w:val="left"/>
        </w:tabs>
        <w:numPr>
          <w:ilvl w:val="1"/>
          <w:numId w:val="135"/>
        </w:numPr>
        <w:rPr>
          <w:rFonts w:ascii="Arial" w:cs="Arial" w:eastAsia="Arial" w:hAnsi="Arial"/>
          <w:sz w:val="17"/>
          <w:szCs w:val="17"/>
          <w:color w:val="auto"/>
        </w:rPr>
      </w:pPr>
      <w:r>
        <w:rPr>
          <w:rFonts w:ascii="Arial" w:cs="Arial" w:eastAsia="Arial" w:hAnsi="Arial"/>
          <w:sz w:val="17"/>
          <w:szCs w:val="17"/>
          <w:color w:val="auto"/>
        </w:rPr>
        <w:t>Government of the risk appetite process: Seeks to guarantee compliance of the framework through the different roles and responsibilities assigned to the units involved.</w:t>
      </w:r>
    </w:p>
    <w:p>
      <w:pPr>
        <w:spacing w:after="0" w:line="159" w:lineRule="exact"/>
        <w:rPr>
          <w:rFonts w:ascii="Arial" w:cs="Arial" w:eastAsia="Arial" w:hAnsi="Arial"/>
          <w:sz w:val="17"/>
          <w:szCs w:val="17"/>
          <w:color w:val="auto"/>
        </w:rPr>
      </w:pPr>
    </w:p>
    <w:p>
      <w:pPr>
        <w:ind w:left="320" w:hanging="316"/>
        <w:spacing w:after="0"/>
        <w:tabs>
          <w:tab w:leader="none" w:pos="320" w:val="left"/>
        </w:tabs>
        <w:numPr>
          <w:ilvl w:val="0"/>
          <w:numId w:val="135"/>
        </w:numPr>
        <w:rPr>
          <w:rFonts w:ascii="Arial" w:cs="Arial" w:eastAsia="Arial" w:hAnsi="Arial"/>
          <w:sz w:val="17"/>
          <w:szCs w:val="17"/>
          <w:color w:val="auto"/>
        </w:rPr>
      </w:pPr>
      <w:r>
        <w:rPr>
          <w:rFonts w:ascii="Arial" w:cs="Arial" w:eastAsia="Arial" w:hAnsi="Arial"/>
          <w:sz w:val="17"/>
          <w:szCs w:val="17"/>
          <w:color w:val="auto"/>
        </w:rPr>
        <w:t>Risk concentration -</w:t>
      </w:r>
    </w:p>
    <w:p>
      <w:pPr>
        <w:spacing w:after="0" w:line="220" w:lineRule="exact"/>
        <w:rPr>
          <w:rFonts w:ascii="Arial" w:cs="Arial" w:eastAsia="Arial" w:hAnsi="Arial"/>
          <w:sz w:val="17"/>
          <w:szCs w:val="17"/>
          <w:color w:val="auto"/>
        </w:rPr>
      </w:pPr>
    </w:p>
    <w:p>
      <w:pPr>
        <w:ind w:left="320" w:right="100"/>
        <w:spacing w:after="0" w:line="285" w:lineRule="auto"/>
        <w:rPr>
          <w:rFonts w:ascii="Arial" w:cs="Arial" w:eastAsia="Arial" w:hAnsi="Arial"/>
          <w:sz w:val="17"/>
          <w:szCs w:val="17"/>
          <w:color w:val="auto"/>
        </w:rPr>
      </w:pPr>
      <w:r>
        <w:rPr>
          <w:rFonts w:ascii="Arial" w:cs="Arial" w:eastAsia="Arial" w:hAnsi="Arial"/>
          <w:sz w:val="17"/>
          <w:szCs w:val="17"/>
          <w:color w:val="auto"/>
        </w:rPr>
        <w:t>Concentrations arise when a reduced and representative number of all of the counterparties of the Group are engaged in similar business activities, or activities in the same geographic region, or have similar economic, political or other conditions.</w:t>
      </w:r>
    </w:p>
    <w:p>
      <w:pPr>
        <w:spacing w:after="0" w:line="159" w:lineRule="exact"/>
        <w:rPr>
          <w:rFonts w:ascii="Arial" w:cs="Arial" w:eastAsia="Arial" w:hAnsi="Arial"/>
          <w:sz w:val="17"/>
          <w:szCs w:val="17"/>
          <w:color w:val="auto"/>
        </w:rPr>
      </w:pPr>
    </w:p>
    <w:p>
      <w:pPr>
        <w:ind w:left="320"/>
        <w:spacing w:after="0"/>
        <w:rPr>
          <w:rFonts w:ascii="Arial" w:cs="Arial" w:eastAsia="Arial" w:hAnsi="Arial"/>
          <w:sz w:val="17"/>
          <w:szCs w:val="17"/>
          <w:color w:val="auto"/>
        </w:rPr>
      </w:pPr>
      <w:r>
        <w:rPr>
          <w:rFonts w:ascii="Arial" w:cs="Arial" w:eastAsia="Arial" w:hAnsi="Arial"/>
          <w:sz w:val="17"/>
          <w:szCs w:val="17"/>
          <w:color w:val="auto"/>
        </w:rPr>
        <w:t>In order to avoid excessive concentrations of risk, the policies and procedures include specific guidelines to guarantee a diversified portfolio.</w:t>
      </w:r>
    </w:p>
    <w:p>
      <w:pPr>
        <w:spacing w:after="0" w:line="2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32.1  Credit risk -</w:t>
      </w:r>
    </w:p>
    <w:p>
      <w:pPr>
        <w:spacing w:after="0" w:line="226" w:lineRule="exact"/>
        <w:rPr>
          <w:sz w:val="20"/>
          <w:szCs w:val="20"/>
          <w:color w:val="auto"/>
        </w:rPr>
      </w:pPr>
    </w:p>
    <w:p>
      <w:pPr>
        <w:ind w:left="320" w:right="380" w:hanging="316"/>
        <w:spacing w:after="0" w:line="285" w:lineRule="auto"/>
        <w:tabs>
          <w:tab w:leader="none" w:pos="320" w:val="left"/>
        </w:tabs>
        <w:numPr>
          <w:ilvl w:val="0"/>
          <w:numId w:val="136"/>
        </w:numPr>
        <w:rPr>
          <w:rFonts w:ascii="Arial" w:cs="Arial" w:eastAsia="Arial" w:hAnsi="Arial"/>
          <w:sz w:val="17"/>
          <w:szCs w:val="17"/>
          <w:color w:val="auto"/>
        </w:rPr>
      </w:pPr>
      <w:r>
        <w:rPr>
          <w:rFonts w:ascii="Arial" w:cs="Arial" w:eastAsia="Arial" w:hAnsi="Arial"/>
          <w:sz w:val="17"/>
          <w:szCs w:val="17"/>
          <w:color w:val="auto"/>
        </w:rPr>
        <w:t>The Group takes on exposure to credit risk, which is the probability of suffering losses caused by debtors or counterparties failing to comply with payment obligations in on or off the balance sheet exposures.</w:t>
      </w:r>
    </w:p>
    <w:p>
      <w:pPr>
        <w:spacing w:after="0" w:line="159" w:lineRule="exact"/>
        <w:rPr>
          <w:rFonts w:ascii="Arial" w:cs="Arial" w:eastAsia="Arial" w:hAnsi="Arial"/>
          <w:sz w:val="17"/>
          <w:szCs w:val="17"/>
          <w:color w:val="auto"/>
        </w:rPr>
      </w:pPr>
    </w:p>
    <w:p>
      <w:pPr>
        <w:ind w:left="320" w:right="320"/>
        <w:spacing w:after="0" w:line="311" w:lineRule="auto"/>
        <w:rPr>
          <w:rFonts w:ascii="Arial" w:cs="Arial" w:eastAsia="Arial" w:hAnsi="Arial"/>
          <w:sz w:val="17"/>
          <w:szCs w:val="17"/>
          <w:color w:val="auto"/>
        </w:rPr>
      </w:pPr>
      <w:r>
        <w:rPr>
          <w:rFonts w:ascii="Arial" w:cs="Arial" w:eastAsia="Arial" w:hAnsi="Arial"/>
          <w:sz w:val="15"/>
          <w:szCs w:val="15"/>
          <w:color w:val="auto"/>
        </w:rPr>
        <w:t>Credit risk is the most important risk for the Group’s business; therefore, Management carefully manages its exposure to credit risk. Credit exposures arise principally from lending activities that lead to direct loans; they also result from investment activities. There is also credit risk in off-balance sheet financial instruments, such as contingent credits (indirect loans), which expose Credicorp to similar risks to direct loans. Likewise, credit risk arises from derivative financial instruments showing positive fair values. Finally, all exposure to credit risk (direct or indirect) is mitigated by the control processes and policies.</w:t>
      </w:r>
    </w:p>
    <w:p>
      <w:pPr>
        <w:spacing w:after="0" w:line="145" w:lineRule="exact"/>
        <w:rPr>
          <w:rFonts w:ascii="Arial" w:cs="Arial" w:eastAsia="Arial" w:hAnsi="Arial"/>
          <w:sz w:val="17"/>
          <w:szCs w:val="17"/>
          <w:color w:val="auto"/>
        </w:rPr>
      </w:pPr>
    </w:p>
    <w:p>
      <w:pPr>
        <w:ind w:left="320"/>
        <w:spacing w:after="0"/>
        <w:rPr>
          <w:rFonts w:ascii="Arial" w:cs="Arial" w:eastAsia="Arial" w:hAnsi="Arial"/>
          <w:sz w:val="17"/>
          <w:szCs w:val="17"/>
          <w:color w:val="auto"/>
        </w:rPr>
      </w:pPr>
      <w:r>
        <w:rPr>
          <w:rFonts w:ascii="Arial" w:cs="Arial" w:eastAsia="Arial" w:hAnsi="Arial"/>
          <w:sz w:val="16"/>
          <w:szCs w:val="16"/>
          <w:color w:val="auto"/>
        </w:rPr>
        <w:t>As part of the management of this type of risk, Credicorp assigns impairment provisions for its loan portfolio at the date of the statement of financial position.</w:t>
      </w:r>
    </w:p>
    <w:p>
      <w:pPr>
        <w:spacing w:after="0" w:line="231" w:lineRule="exact"/>
        <w:rPr>
          <w:rFonts w:ascii="Arial" w:cs="Arial" w:eastAsia="Arial" w:hAnsi="Arial"/>
          <w:sz w:val="17"/>
          <w:szCs w:val="17"/>
          <w:color w:val="auto"/>
        </w:rPr>
      </w:pPr>
    </w:p>
    <w:p>
      <w:pPr>
        <w:jc w:val="both"/>
        <w:ind w:left="320" w:right="80"/>
        <w:spacing w:after="0" w:line="270" w:lineRule="auto"/>
        <w:rPr>
          <w:rFonts w:ascii="Arial" w:cs="Arial" w:eastAsia="Arial" w:hAnsi="Arial"/>
          <w:sz w:val="17"/>
          <w:szCs w:val="17"/>
          <w:color w:val="auto"/>
        </w:rPr>
      </w:pPr>
      <w:r>
        <w:rPr>
          <w:rFonts w:ascii="Arial" w:cs="Arial" w:eastAsia="Arial" w:hAnsi="Arial"/>
          <w:sz w:val="17"/>
          <w:szCs w:val="17"/>
          <w:color w:val="auto"/>
        </w:rPr>
        <w:t>The Group defines the levels of credit risk assumed based on risk exposure limits, which are frequently monitored. Said limits are established in relation to one borrower or group of borrowers, geographical and industry segments. Furthermore, the risk limits by product, industry sector and by geographical segment are approved by the Risk Committee.</w:t>
      </w:r>
    </w:p>
    <w:p>
      <w:pPr>
        <w:spacing w:after="0" w:line="171" w:lineRule="exact"/>
        <w:rPr>
          <w:rFonts w:ascii="Arial" w:cs="Arial" w:eastAsia="Arial" w:hAnsi="Arial"/>
          <w:sz w:val="17"/>
          <w:szCs w:val="17"/>
          <w:color w:val="auto"/>
        </w:rPr>
      </w:pPr>
    </w:p>
    <w:p>
      <w:pPr>
        <w:ind w:left="320" w:right="180"/>
        <w:spacing w:after="0" w:line="285" w:lineRule="auto"/>
        <w:rPr>
          <w:rFonts w:ascii="Arial" w:cs="Arial" w:eastAsia="Arial" w:hAnsi="Arial"/>
          <w:sz w:val="17"/>
          <w:szCs w:val="17"/>
          <w:color w:val="auto"/>
        </w:rPr>
      </w:pPr>
      <w:r>
        <w:rPr>
          <w:rFonts w:ascii="Arial" w:cs="Arial" w:eastAsia="Arial" w:hAnsi="Arial"/>
          <w:sz w:val="17"/>
          <w:szCs w:val="17"/>
          <w:color w:val="auto"/>
        </w:rPr>
        <w:t>Exposure to credit risk is managed through regular analysis of the ability of debtors and potential debtors to meet interest and principal repayment obligations and by changing the credit limits when it is appropriate. Some other specific control measures are outlined below:</w:t>
      </w:r>
    </w:p>
    <w:p>
      <w:pPr>
        <w:spacing w:after="0" w:line="367" w:lineRule="exact"/>
        <w:rPr>
          <w:rFonts w:ascii="Arial" w:cs="Arial" w:eastAsia="Arial" w:hAnsi="Arial"/>
          <w:sz w:val="17"/>
          <w:szCs w:val="17"/>
          <w:color w:val="auto"/>
        </w:rPr>
      </w:pPr>
    </w:p>
    <w:p>
      <w:pPr>
        <w:ind w:left="5600" w:hanging="107"/>
        <w:spacing w:after="0"/>
        <w:tabs>
          <w:tab w:leader="none" w:pos="5600" w:val="left"/>
        </w:tabs>
        <w:numPr>
          <w:ilvl w:val="1"/>
          <w:numId w:val="136"/>
        </w:numPr>
        <w:rPr>
          <w:rFonts w:ascii="Arial" w:cs="Arial" w:eastAsia="Arial" w:hAnsi="Arial"/>
          <w:sz w:val="17"/>
          <w:szCs w:val="17"/>
          <w:color w:val="auto"/>
        </w:rPr>
      </w:pPr>
      <w:r>
        <w:rPr>
          <w:rFonts w:ascii="Arial" w:cs="Arial" w:eastAsia="Arial" w:hAnsi="Arial"/>
          <w:sz w:val="17"/>
          <w:szCs w:val="17"/>
          <w:color w:val="auto"/>
        </w:rPr>
        <w:t>113 -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15875</wp:posOffset>
            </wp:positionV>
            <wp:extent cx="725170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51700" cy="8255"/>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119" w:name="page120"/>
    <w:bookmarkEnd w:id="119"/>
    <w:p>
      <w:pPr>
        <w:ind w:left="304" w:hanging="304"/>
        <w:spacing w:after="0"/>
        <w:tabs>
          <w:tab w:leader="none" w:pos="304" w:val="left"/>
        </w:tabs>
        <w:numPr>
          <w:ilvl w:val="0"/>
          <w:numId w:val="137"/>
        </w:numPr>
        <w:rPr>
          <w:rFonts w:ascii="Arial" w:cs="Arial" w:eastAsia="Arial" w:hAnsi="Arial"/>
          <w:sz w:val="17"/>
          <w:szCs w:val="17"/>
          <w:color w:val="auto"/>
        </w:rPr>
      </w:pPr>
      <w:r>
        <w:rPr>
          <w:rFonts w:ascii="Arial" w:cs="Arial" w:eastAsia="Arial" w:hAnsi="Arial"/>
          <w:sz w:val="17"/>
          <w:szCs w:val="17"/>
          <w:color w:val="auto"/>
        </w:rPr>
        <w:t>Collateral -</w:t>
      </w:r>
    </w:p>
    <w:p>
      <w:pPr>
        <w:spacing w:after="0" w:line="220" w:lineRule="exact"/>
        <w:rPr>
          <w:rFonts w:ascii="Arial" w:cs="Arial" w:eastAsia="Arial" w:hAnsi="Arial"/>
          <w:sz w:val="17"/>
          <w:szCs w:val="17"/>
          <w:color w:val="auto"/>
        </w:rPr>
      </w:pPr>
    </w:p>
    <w:p>
      <w:pPr>
        <w:ind w:left="304" w:right="380"/>
        <w:spacing w:after="0" w:line="270" w:lineRule="auto"/>
        <w:rPr>
          <w:rFonts w:ascii="Arial" w:cs="Arial" w:eastAsia="Arial" w:hAnsi="Arial"/>
          <w:sz w:val="17"/>
          <w:szCs w:val="17"/>
          <w:color w:val="auto"/>
        </w:rPr>
      </w:pPr>
      <w:r>
        <w:rPr>
          <w:rFonts w:ascii="Arial" w:cs="Arial" w:eastAsia="Arial" w:hAnsi="Arial"/>
          <w:sz w:val="17"/>
          <w:szCs w:val="17"/>
          <w:color w:val="auto"/>
        </w:rPr>
        <w:t>The Group employs a range of policies and practices to mitigate credit risk. The most traditional of these is collaterize with guarantees part of the loan portfolio. The Group implements guidelines on the acceptability of specific classes of collateral or credit risk mitigation. The main types of collateral obtained are as follows:</w:t>
      </w:r>
    </w:p>
    <w:p>
      <w:pPr>
        <w:spacing w:after="0" w:line="171" w:lineRule="exact"/>
        <w:rPr>
          <w:rFonts w:ascii="Arial" w:cs="Arial" w:eastAsia="Arial" w:hAnsi="Arial"/>
          <w:sz w:val="17"/>
          <w:szCs w:val="17"/>
          <w:color w:val="auto"/>
        </w:rPr>
      </w:pPr>
    </w:p>
    <w:p>
      <w:pPr>
        <w:ind w:left="624" w:hanging="312"/>
        <w:spacing w:after="0" w:line="285" w:lineRule="auto"/>
        <w:tabs>
          <w:tab w:leader="none" w:pos="624" w:val="left"/>
        </w:tabs>
        <w:numPr>
          <w:ilvl w:val="1"/>
          <w:numId w:val="137"/>
        </w:numPr>
        <w:rPr>
          <w:rFonts w:ascii="Arial" w:cs="Arial" w:eastAsia="Arial" w:hAnsi="Arial"/>
          <w:sz w:val="17"/>
          <w:szCs w:val="17"/>
          <w:color w:val="auto"/>
        </w:rPr>
      </w:pPr>
      <w:r>
        <w:rPr>
          <w:rFonts w:ascii="Arial" w:cs="Arial" w:eastAsia="Arial" w:hAnsi="Arial"/>
          <w:sz w:val="17"/>
          <w:szCs w:val="17"/>
          <w:color w:val="auto"/>
        </w:rPr>
        <w:t>For loans and advances, collaterals include, among others, mortgages over residential properties; liens over business assets such as plant building, inventory and accounts receivable; and liens over financial instruments such as debt securities and equity securities.</w:t>
      </w:r>
    </w:p>
    <w:p>
      <w:pPr>
        <w:spacing w:after="0" w:line="159" w:lineRule="exact"/>
        <w:rPr>
          <w:rFonts w:ascii="Arial" w:cs="Arial" w:eastAsia="Arial" w:hAnsi="Arial"/>
          <w:sz w:val="17"/>
          <w:szCs w:val="17"/>
          <w:color w:val="auto"/>
        </w:rPr>
      </w:pPr>
    </w:p>
    <w:p>
      <w:pPr>
        <w:ind w:left="624" w:hanging="312"/>
        <w:spacing w:after="0" w:line="285" w:lineRule="auto"/>
        <w:tabs>
          <w:tab w:leader="none" w:pos="624" w:val="left"/>
        </w:tabs>
        <w:numPr>
          <w:ilvl w:val="1"/>
          <w:numId w:val="137"/>
        </w:numPr>
        <w:rPr>
          <w:rFonts w:ascii="Arial" w:cs="Arial" w:eastAsia="Arial" w:hAnsi="Arial"/>
          <w:sz w:val="17"/>
          <w:szCs w:val="17"/>
          <w:color w:val="auto"/>
        </w:rPr>
      </w:pPr>
      <w:r>
        <w:rPr>
          <w:rFonts w:ascii="Arial" w:cs="Arial" w:eastAsia="Arial" w:hAnsi="Arial"/>
          <w:sz w:val="17"/>
          <w:szCs w:val="17"/>
          <w:color w:val="auto"/>
        </w:rPr>
        <w:t>Long-term loans and financing to corporate entities, are generally not guaranteed. Loans to micro business generally have no collateral. In order to minimize credit loss, the Group will seek additional collateral from the counterparty as soon as impairment indicators arise.</w:t>
      </w:r>
    </w:p>
    <w:p>
      <w:pPr>
        <w:spacing w:after="0" w:line="159" w:lineRule="exact"/>
        <w:rPr>
          <w:rFonts w:ascii="Arial" w:cs="Arial" w:eastAsia="Arial" w:hAnsi="Arial"/>
          <w:sz w:val="17"/>
          <w:szCs w:val="17"/>
          <w:color w:val="auto"/>
        </w:rPr>
      </w:pPr>
    </w:p>
    <w:p>
      <w:pPr>
        <w:ind w:left="624" w:hanging="312"/>
        <w:spacing w:after="0"/>
        <w:tabs>
          <w:tab w:leader="none" w:pos="624" w:val="left"/>
        </w:tabs>
        <w:numPr>
          <w:ilvl w:val="1"/>
          <w:numId w:val="137"/>
        </w:numPr>
        <w:rPr>
          <w:rFonts w:ascii="Arial" w:cs="Arial" w:eastAsia="Arial" w:hAnsi="Arial"/>
          <w:sz w:val="17"/>
          <w:szCs w:val="17"/>
          <w:color w:val="auto"/>
        </w:rPr>
      </w:pPr>
      <w:r>
        <w:rPr>
          <w:rFonts w:ascii="Arial" w:cs="Arial" w:eastAsia="Arial" w:hAnsi="Arial"/>
          <w:sz w:val="17"/>
          <w:szCs w:val="17"/>
          <w:color w:val="auto"/>
        </w:rPr>
        <w:t>For repurchase agreements and securities lending, the collateral are represented by fixed income instruments and cash.</w:t>
      </w:r>
    </w:p>
    <w:p>
      <w:pPr>
        <w:spacing w:after="0" w:line="220" w:lineRule="exact"/>
        <w:rPr>
          <w:sz w:val="20"/>
          <w:szCs w:val="20"/>
          <w:color w:val="auto"/>
        </w:rPr>
      </w:pPr>
    </w:p>
    <w:p>
      <w:pPr>
        <w:ind w:left="304" w:right="320"/>
        <w:spacing w:after="0" w:line="270" w:lineRule="auto"/>
        <w:rPr>
          <w:sz w:val="20"/>
          <w:szCs w:val="20"/>
          <w:color w:val="auto"/>
        </w:rPr>
      </w:pPr>
      <w:r>
        <w:rPr>
          <w:rFonts w:ascii="Arial" w:cs="Arial" w:eastAsia="Arial" w:hAnsi="Arial"/>
          <w:sz w:val="17"/>
          <w:szCs w:val="17"/>
          <w:color w:val="auto"/>
        </w:rPr>
        <w:t>Collateral held as security for financial assets other than loans is determined by the nature of the instrument. Debt securities, treasury and other eligible bills are generally unsecured, with the exception of assets backed securities and similar instruments, which are secured by portfolios of financial instruments.</w:t>
      </w:r>
    </w:p>
    <w:p>
      <w:pPr>
        <w:spacing w:after="0" w:line="172" w:lineRule="exact"/>
        <w:rPr>
          <w:sz w:val="20"/>
          <w:szCs w:val="20"/>
          <w:color w:val="auto"/>
        </w:rPr>
      </w:pPr>
    </w:p>
    <w:p>
      <w:pPr>
        <w:jc w:val="both"/>
        <w:ind w:left="304" w:right="100"/>
        <w:spacing w:after="0" w:line="322" w:lineRule="auto"/>
        <w:rPr>
          <w:sz w:val="20"/>
          <w:szCs w:val="20"/>
          <w:color w:val="auto"/>
        </w:rPr>
      </w:pPr>
      <w:r>
        <w:rPr>
          <w:rFonts w:ascii="Arial" w:cs="Arial" w:eastAsia="Arial" w:hAnsi="Arial"/>
          <w:sz w:val="15"/>
          <w:szCs w:val="15"/>
          <w:color w:val="auto"/>
        </w:rPr>
        <w:t>Management monitors the market value of collateral, requests additional collateral in accordance with the underlying agreement, and monitors the market value of collateral obtained during its review of the adequacy of the allowance for impairment losses. It is the Group’s policy to dispose of seized assets in an orderly manner. The proceeds are used to reduce or repay the outstanding claim. In general, the Group does not use seized assets for its own business.</w:t>
      </w:r>
    </w:p>
    <w:p>
      <w:pPr>
        <w:spacing w:after="0" w:line="137" w:lineRule="exact"/>
        <w:rPr>
          <w:sz w:val="20"/>
          <w:szCs w:val="20"/>
          <w:color w:val="auto"/>
        </w:rPr>
      </w:pPr>
    </w:p>
    <w:p>
      <w:pPr>
        <w:ind w:left="304" w:hanging="304"/>
        <w:spacing w:after="0"/>
        <w:tabs>
          <w:tab w:leader="none" w:pos="304" w:val="left"/>
        </w:tabs>
        <w:numPr>
          <w:ilvl w:val="0"/>
          <w:numId w:val="138"/>
        </w:numPr>
        <w:rPr>
          <w:rFonts w:ascii="Arial" w:cs="Arial" w:eastAsia="Arial" w:hAnsi="Arial"/>
          <w:sz w:val="17"/>
          <w:szCs w:val="17"/>
          <w:color w:val="auto"/>
        </w:rPr>
      </w:pPr>
      <w:r>
        <w:rPr>
          <w:rFonts w:ascii="Arial" w:cs="Arial" w:eastAsia="Arial" w:hAnsi="Arial"/>
          <w:sz w:val="17"/>
          <w:szCs w:val="17"/>
          <w:color w:val="auto"/>
        </w:rPr>
        <w:t>Derivatives -</w:t>
      </w:r>
    </w:p>
    <w:p>
      <w:pPr>
        <w:spacing w:after="0" w:line="220" w:lineRule="exact"/>
        <w:rPr>
          <w:rFonts w:ascii="Arial" w:cs="Arial" w:eastAsia="Arial" w:hAnsi="Arial"/>
          <w:sz w:val="17"/>
          <w:szCs w:val="17"/>
          <w:color w:val="auto"/>
        </w:rPr>
      </w:pPr>
    </w:p>
    <w:p>
      <w:pPr>
        <w:ind w:left="304" w:right="20"/>
        <w:spacing w:after="0" w:line="280" w:lineRule="auto"/>
        <w:rPr>
          <w:rFonts w:ascii="Arial" w:cs="Arial" w:eastAsia="Arial" w:hAnsi="Arial"/>
          <w:sz w:val="17"/>
          <w:szCs w:val="17"/>
          <w:color w:val="auto"/>
        </w:rPr>
      </w:pPr>
      <w:r>
        <w:rPr>
          <w:rFonts w:ascii="Arial" w:cs="Arial" w:eastAsia="Arial" w:hAnsi="Arial"/>
          <w:sz w:val="16"/>
          <w:szCs w:val="16"/>
          <w:color w:val="auto"/>
        </w:rPr>
        <w:t>The amount subject to credit risk is limited to the current and potential fair value of instruments that are favorable to the Group (fair value is positive). In the case of derivatives this is only a small fraction of the contract, or notional values used to express the volume of instruments outstanding. This credit risk exposure is managed as part of the total credit limits with customers, together with potential exposures from market movements. Collateral or other security is not usually obtained for this type of risk exposure. With respect to derivatives agreed with non-financial customers, collaterals have been granted to secure the overall amount; with respect to financial counterparties, collaterals granted are those required under the clearing provisions issued by the International Swaps and Derivatives Association Inc. (ISDA) or the local framework agreement.</w:t>
      </w:r>
    </w:p>
    <w:p>
      <w:pPr>
        <w:spacing w:after="0" w:line="167" w:lineRule="exact"/>
        <w:rPr>
          <w:rFonts w:ascii="Arial" w:cs="Arial" w:eastAsia="Arial" w:hAnsi="Arial"/>
          <w:sz w:val="17"/>
          <w:szCs w:val="17"/>
          <w:color w:val="auto"/>
        </w:rPr>
      </w:pPr>
    </w:p>
    <w:p>
      <w:pPr>
        <w:ind w:left="304" w:hanging="304"/>
        <w:spacing w:after="0"/>
        <w:tabs>
          <w:tab w:leader="none" w:pos="304" w:val="left"/>
        </w:tabs>
        <w:numPr>
          <w:ilvl w:val="0"/>
          <w:numId w:val="138"/>
        </w:numPr>
        <w:rPr>
          <w:rFonts w:ascii="Arial" w:cs="Arial" w:eastAsia="Arial" w:hAnsi="Arial"/>
          <w:sz w:val="17"/>
          <w:szCs w:val="17"/>
          <w:color w:val="auto"/>
        </w:rPr>
      </w:pPr>
      <w:r>
        <w:rPr>
          <w:rFonts w:ascii="Arial" w:cs="Arial" w:eastAsia="Arial" w:hAnsi="Arial"/>
          <w:sz w:val="17"/>
          <w:szCs w:val="17"/>
          <w:color w:val="auto"/>
        </w:rPr>
        <w:t>Credit-related commitments -</w:t>
      </w:r>
    </w:p>
    <w:p>
      <w:pPr>
        <w:spacing w:after="0" w:line="220" w:lineRule="exact"/>
        <w:rPr>
          <w:rFonts w:ascii="Arial" w:cs="Arial" w:eastAsia="Arial" w:hAnsi="Arial"/>
          <w:sz w:val="17"/>
          <w:szCs w:val="17"/>
          <w:color w:val="auto"/>
        </w:rPr>
      </w:pPr>
    </w:p>
    <w:p>
      <w:pPr>
        <w:ind w:left="304" w:right="280"/>
        <w:spacing w:after="0" w:line="311" w:lineRule="auto"/>
        <w:rPr>
          <w:rFonts w:ascii="Arial" w:cs="Arial" w:eastAsia="Arial" w:hAnsi="Arial"/>
          <w:sz w:val="17"/>
          <w:szCs w:val="17"/>
          <w:color w:val="auto"/>
        </w:rPr>
      </w:pPr>
      <w:r>
        <w:rPr>
          <w:rFonts w:ascii="Arial" w:cs="Arial" w:eastAsia="Arial" w:hAnsi="Arial"/>
          <w:sz w:val="15"/>
          <w:szCs w:val="15"/>
          <w:color w:val="auto"/>
        </w:rPr>
        <w:t>The primary purpose of these instruments is to ensure that funds are available to a customer as required. Guarantees and letters of credit have the same credit risk as loans. Documentary and commercial letters of credit - which are written undertakings by the Group on behalf of a customer authorizing a third party to draw drafts on the Group up to a stipulated amount under specific terms and conditions - are collateralized by the underlying shipments of goods to which they relate and therefore have less risk than a direct loan. The Group has no mandatory commitments to extend credit.</w:t>
      </w:r>
    </w:p>
    <w:p>
      <w:pPr>
        <w:spacing w:after="0" w:line="353" w:lineRule="exact"/>
        <w:rPr>
          <w:rFonts w:ascii="Arial" w:cs="Arial" w:eastAsia="Arial" w:hAnsi="Arial"/>
          <w:sz w:val="17"/>
          <w:szCs w:val="17"/>
          <w:color w:val="auto"/>
        </w:rPr>
      </w:pPr>
    </w:p>
    <w:p>
      <w:pPr>
        <w:ind w:left="5284" w:hanging="107"/>
        <w:spacing w:after="0"/>
        <w:tabs>
          <w:tab w:leader="none" w:pos="5284" w:val="left"/>
        </w:tabs>
        <w:numPr>
          <w:ilvl w:val="1"/>
          <w:numId w:val="138"/>
        </w:numPr>
        <w:rPr>
          <w:rFonts w:ascii="Arial" w:cs="Arial" w:eastAsia="Arial" w:hAnsi="Arial"/>
          <w:sz w:val="17"/>
          <w:szCs w:val="17"/>
          <w:color w:val="auto"/>
        </w:rPr>
      </w:pPr>
      <w:r>
        <w:rPr>
          <w:rFonts w:ascii="Arial" w:cs="Arial" w:eastAsia="Arial" w:hAnsi="Arial"/>
          <w:sz w:val="17"/>
          <w:szCs w:val="17"/>
          <w:color w:val="auto"/>
        </w:rPr>
        <w:t>114 -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-197485</wp:posOffset>
            </wp:positionH>
            <wp:positionV relativeFrom="paragraph">
              <wp:posOffset>15875</wp:posOffset>
            </wp:positionV>
            <wp:extent cx="725170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51700" cy="8255"/>
                    </a:xfrm>
                    <a:prstGeom prst="rect">
                      <a:avLst/>
                    </a:prstGeom>
                    <a:noFill/>
                  </pic:spPr>
                </pic:pic>
              </a:graphicData>
            </a:graphic>
          </wp:anchor>
        </w:drawing>
      </w:r>
    </w:p>
    <w:p>
      <w:pPr>
        <w:sectPr>
          <w:pgSz w:w="11900" w:h="16838" w:orient="portrait"/>
          <w:cols w:equalWidth="0" w:num="1">
            <w:col w:w="11104"/>
          </w:cols>
          <w:pgMar w:left="556" w:top="881" w:right="239" w:bottom="1440" w:gutter="0" w:footer="0" w:header="0"/>
        </w:sectPr>
      </w:pPr>
    </w:p>
    <w:bookmarkStart w:id="120" w:name="page121"/>
    <w:bookmarkEnd w:id="120"/>
    <w:p>
      <w:pPr>
        <w:ind w:left="616" w:right="180"/>
        <w:spacing w:after="0" w:line="265" w:lineRule="auto"/>
        <w:rPr>
          <w:sz w:val="20"/>
          <w:szCs w:val="20"/>
          <w:color w:val="auto"/>
        </w:rPr>
      </w:pPr>
      <w:r>
        <w:rPr>
          <w:rFonts w:ascii="Arial" w:cs="Arial" w:eastAsia="Arial" w:hAnsi="Arial"/>
          <w:sz w:val="17"/>
          <w:szCs w:val="17"/>
          <w:color w:val="auto"/>
        </w:rPr>
        <w:t>In order to manage credit risk, as part of the Group’s risk management structure, there is a Credit Risk Management Department, the major functions of which are implementing methodologies and statistical models for measuring credit risk exposures, developing and applying methodologies for the calculation of risk-ratings, both at the corporate and business unit levels, performing analysis of credit concentrations, verifying that credit exposures are within the established limits and suggesting global risk exposures by economic sector, among others.</w:t>
      </w:r>
    </w:p>
    <w:p>
      <w:pPr>
        <w:spacing w:after="0" w:line="176" w:lineRule="exact"/>
        <w:rPr>
          <w:sz w:val="20"/>
          <w:szCs w:val="20"/>
          <w:color w:val="auto"/>
        </w:rPr>
      </w:pPr>
    </w:p>
    <w:p>
      <w:pPr>
        <w:ind w:left="616"/>
        <w:spacing w:after="0" w:line="262" w:lineRule="auto"/>
        <w:rPr>
          <w:sz w:val="20"/>
          <w:szCs w:val="20"/>
          <w:color w:val="auto"/>
        </w:rPr>
      </w:pPr>
      <w:r>
        <w:rPr>
          <w:rFonts w:ascii="Arial" w:cs="Arial" w:eastAsia="Arial" w:hAnsi="Arial"/>
          <w:sz w:val="17"/>
          <w:szCs w:val="17"/>
          <w:color w:val="auto"/>
        </w:rPr>
        <w:t>For enhanced risk identification, the Group has internal credit scoring models, which have been prepared and implemented for the main business segments. Each model is related to a defined group of scoring bands. Clients who are inside a band are characterized by having a similar risk level (within the band); however, they are different compared to the other band. For retail clients, these scoring models are highly related to management (admission, follow-up, campaigns, etc.) from different portfolios. On the other hand, for non-retail clients, ratings mainly serve as support for making credit decisions in admission, follow-up and price allocation, etc.</w:t>
      </w:r>
    </w:p>
    <w:p>
      <w:pPr>
        <w:spacing w:after="0" w:line="180" w:lineRule="exact"/>
        <w:rPr>
          <w:sz w:val="20"/>
          <w:szCs w:val="20"/>
          <w:color w:val="auto"/>
        </w:rPr>
      </w:pPr>
    </w:p>
    <w:p>
      <w:pPr>
        <w:ind w:left="616" w:right="20"/>
        <w:spacing w:after="0" w:line="280" w:lineRule="auto"/>
        <w:rPr>
          <w:sz w:val="20"/>
          <w:szCs w:val="20"/>
          <w:color w:val="auto"/>
        </w:rPr>
      </w:pPr>
      <w:r>
        <w:rPr>
          <w:rFonts w:ascii="Arial" w:cs="Arial" w:eastAsia="Arial" w:hAnsi="Arial"/>
          <w:sz w:val="16"/>
          <w:szCs w:val="16"/>
          <w:color w:val="auto"/>
        </w:rPr>
        <w:t>The Group has a Credit Division, which establishes the overall credit policies for each of the businesses in which the Group decides to take part. These credit policies are set forth based on the guidelines established by the Board of Directors and keeping in mind the statutory financial laws and regulations. The main activities are to establish the client credit standards and guidelines (evaluation, authorization and control); follow the guidelines established by the Board of Directors and General Management, as well as those established by governmental regulatory bodies; review and authorize credit applications, up to the limit within the scope of its responsibilities and to submit to upper hierarchies those credit applications exceeding the established limits; monitor credit-granting activities within the different autonomous entities, among others.</w:t>
      </w:r>
    </w:p>
    <w:p>
      <w:pPr>
        <w:spacing w:after="0" w:line="167" w:lineRule="exact"/>
        <w:rPr>
          <w:sz w:val="20"/>
          <w:szCs w:val="20"/>
          <w:color w:val="auto"/>
        </w:rPr>
      </w:pPr>
    </w:p>
    <w:p>
      <w:pPr>
        <w:ind w:left="316" w:right="300" w:hanging="316"/>
        <w:spacing w:after="0" w:line="285" w:lineRule="auto"/>
        <w:tabs>
          <w:tab w:leader="none" w:pos="316" w:val="left"/>
        </w:tabs>
        <w:numPr>
          <w:ilvl w:val="0"/>
          <w:numId w:val="139"/>
        </w:numPr>
        <w:rPr>
          <w:rFonts w:ascii="Arial" w:cs="Arial" w:eastAsia="Arial" w:hAnsi="Arial"/>
          <w:sz w:val="17"/>
          <w:szCs w:val="17"/>
          <w:color w:val="auto"/>
        </w:rPr>
      </w:pPr>
      <w:r>
        <w:rPr>
          <w:rFonts w:ascii="Arial" w:cs="Arial" w:eastAsia="Arial" w:hAnsi="Arial"/>
          <w:sz w:val="17"/>
          <w:szCs w:val="17"/>
          <w:color w:val="auto"/>
        </w:rPr>
        <w:t>The maximum exposure to credit risk at December 31, 2017 and 2016, before the effect of mitigation through any collateral, is the carrying amount of each class of financial assets indicated in note 32.7(a), 32.7(b) and the contingent credits detailed in note 20(a).</w:t>
      </w:r>
    </w:p>
    <w:p>
      <w:pPr>
        <w:spacing w:after="0" w:line="159" w:lineRule="exact"/>
        <w:rPr>
          <w:rFonts w:ascii="Arial" w:cs="Arial" w:eastAsia="Arial" w:hAnsi="Arial"/>
          <w:sz w:val="17"/>
          <w:szCs w:val="17"/>
          <w:color w:val="auto"/>
        </w:rPr>
      </w:pPr>
    </w:p>
    <w:p>
      <w:pPr>
        <w:ind w:left="316" w:right="80"/>
        <w:spacing w:after="0" w:line="285" w:lineRule="auto"/>
        <w:rPr>
          <w:rFonts w:ascii="Arial" w:cs="Arial" w:eastAsia="Arial" w:hAnsi="Arial"/>
          <w:sz w:val="17"/>
          <w:szCs w:val="17"/>
          <w:color w:val="auto"/>
        </w:rPr>
      </w:pPr>
      <w:r>
        <w:rPr>
          <w:rFonts w:ascii="Arial" w:cs="Arial" w:eastAsia="Arial" w:hAnsi="Arial"/>
          <w:sz w:val="17"/>
          <w:szCs w:val="17"/>
          <w:color w:val="auto"/>
        </w:rPr>
        <w:t>The Management is confident of its ability to continue to controlling and maintaining minimal exposure of credit risk to the Group resulting from both its loan and securities portfolio.</w:t>
      </w:r>
    </w:p>
    <w:p>
      <w:pPr>
        <w:spacing w:after="0" w:line="159" w:lineRule="exact"/>
        <w:rPr>
          <w:rFonts w:ascii="Arial" w:cs="Arial" w:eastAsia="Arial" w:hAnsi="Arial"/>
          <w:sz w:val="17"/>
          <w:szCs w:val="17"/>
          <w:color w:val="auto"/>
        </w:rPr>
      </w:pPr>
    </w:p>
    <w:p>
      <w:pPr>
        <w:ind w:left="316" w:hanging="316"/>
        <w:spacing w:after="0"/>
        <w:tabs>
          <w:tab w:leader="none" w:pos="316" w:val="left"/>
        </w:tabs>
        <w:numPr>
          <w:ilvl w:val="0"/>
          <w:numId w:val="139"/>
        </w:numPr>
        <w:rPr>
          <w:rFonts w:ascii="Arial" w:cs="Arial" w:eastAsia="Arial" w:hAnsi="Arial"/>
          <w:sz w:val="17"/>
          <w:szCs w:val="17"/>
          <w:color w:val="auto"/>
        </w:rPr>
      </w:pPr>
      <w:r>
        <w:rPr>
          <w:rFonts w:ascii="Arial" w:cs="Arial" w:eastAsia="Arial" w:hAnsi="Arial"/>
          <w:sz w:val="17"/>
          <w:szCs w:val="17"/>
          <w:color w:val="auto"/>
        </w:rPr>
        <w:t>Credit risk management for loans -</w:t>
      </w:r>
    </w:p>
    <w:p>
      <w:pPr>
        <w:spacing w:after="0" w:line="220" w:lineRule="exact"/>
        <w:rPr>
          <w:rFonts w:ascii="Arial" w:cs="Arial" w:eastAsia="Arial" w:hAnsi="Arial"/>
          <w:sz w:val="17"/>
          <w:szCs w:val="17"/>
          <w:color w:val="auto"/>
        </w:rPr>
      </w:pPr>
    </w:p>
    <w:p>
      <w:pPr>
        <w:ind w:left="316"/>
        <w:spacing w:after="0" w:line="294" w:lineRule="auto"/>
        <w:rPr>
          <w:rFonts w:ascii="Arial" w:cs="Arial" w:eastAsia="Arial" w:hAnsi="Arial"/>
          <w:sz w:val="17"/>
          <w:szCs w:val="17"/>
          <w:color w:val="auto"/>
        </w:rPr>
      </w:pPr>
      <w:r>
        <w:rPr>
          <w:rFonts w:ascii="Arial" w:cs="Arial" w:eastAsia="Arial" w:hAnsi="Arial"/>
          <w:sz w:val="16"/>
          <w:szCs w:val="16"/>
          <w:color w:val="auto"/>
        </w:rPr>
        <w:t>Credit risk management is mainly based on the rating and scoring of the internal models of each of the Group companies. In Credicorp, a quantitative and qualitative analysis of each customer is carried out, its financial condition and the conditions of the market in which those customers operate; for that purpose it classifies its loan portfolio into one of five pre-defined risk categories, depending upon the degree of risk of default of each debtor.</w:t>
      </w:r>
    </w:p>
    <w:p>
      <w:pPr>
        <w:spacing w:after="0" w:line="155" w:lineRule="exact"/>
        <w:rPr>
          <w:rFonts w:ascii="Arial" w:cs="Arial" w:eastAsia="Arial" w:hAnsi="Arial"/>
          <w:sz w:val="17"/>
          <w:szCs w:val="17"/>
          <w:color w:val="auto"/>
        </w:rPr>
      </w:pPr>
    </w:p>
    <w:p>
      <w:pPr>
        <w:ind w:left="316" w:right="820"/>
        <w:spacing w:after="0" w:line="285" w:lineRule="auto"/>
        <w:rPr>
          <w:rFonts w:ascii="Arial" w:cs="Arial" w:eastAsia="Arial" w:hAnsi="Arial"/>
          <w:sz w:val="17"/>
          <w:szCs w:val="17"/>
          <w:color w:val="auto"/>
        </w:rPr>
      </w:pPr>
      <w:r>
        <w:rPr>
          <w:rFonts w:ascii="Arial" w:cs="Arial" w:eastAsia="Arial" w:hAnsi="Arial"/>
          <w:sz w:val="17"/>
          <w:szCs w:val="17"/>
          <w:color w:val="auto"/>
        </w:rPr>
        <w:t>The categories used are: (i) normal - A, (ii) potential problems - B, (iii) substandard - C, (iv) doubtful - D and (v) loss - E, which have the following characteristics:</w:t>
      </w:r>
    </w:p>
    <w:p>
      <w:pPr>
        <w:spacing w:after="0" w:line="153" w:lineRule="exact"/>
        <w:rPr>
          <w:rFonts w:ascii="Arial" w:cs="Arial" w:eastAsia="Arial" w:hAnsi="Arial"/>
          <w:sz w:val="17"/>
          <w:szCs w:val="17"/>
          <w:color w:val="auto"/>
        </w:rPr>
      </w:pPr>
    </w:p>
    <w:p>
      <w:pPr>
        <w:ind w:left="316"/>
        <w:spacing w:after="0"/>
        <w:rPr>
          <w:rFonts w:ascii="Arial" w:cs="Arial" w:eastAsia="Arial" w:hAnsi="Arial"/>
          <w:sz w:val="17"/>
          <w:szCs w:val="17"/>
          <w:color w:val="auto"/>
        </w:rPr>
      </w:pPr>
      <w:r>
        <w:rPr>
          <w:rFonts w:ascii="Arial" w:cs="Arial" w:eastAsia="Arial" w:hAnsi="Arial"/>
          <w:sz w:val="17"/>
          <w:szCs w:val="17"/>
          <w:b w:val="1"/>
          <w:bCs w:val="1"/>
          <w:color w:val="auto"/>
        </w:rPr>
        <w:t>Normal (Class A):</w:t>
      </w:r>
    </w:p>
    <w:p>
      <w:pPr>
        <w:spacing w:after="0" w:line="30" w:lineRule="exact"/>
        <w:rPr>
          <w:rFonts w:ascii="Arial" w:cs="Arial" w:eastAsia="Arial" w:hAnsi="Arial"/>
          <w:sz w:val="17"/>
          <w:szCs w:val="17"/>
          <w:color w:val="auto"/>
        </w:rPr>
      </w:pPr>
    </w:p>
    <w:p>
      <w:pPr>
        <w:ind w:left="316" w:right="40"/>
        <w:spacing w:after="0" w:line="278" w:lineRule="auto"/>
        <w:rPr>
          <w:rFonts w:ascii="Arial" w:cs="Arial" w:eastAsia="Arial" w:hAnsi="Arial"/>
          <w:sz w:val="17"/>
          <w:szCs w:val="17"/>
          <w:color w:val="auto"/>
        </w:rPr>
      </w:pPr>
      <w:r>
        <w:rPr>
          <w:rFonts w:ascii="Arial" w:cs="Arial" w:eastAsia="Arial" w:hAnsi="Arial"/>
          <w:sz w:val="16"/>
          <w:szCs w:val="16"/>
          <w:color w:val="auto"/>
        </w:rPr>
        <w:t>Debtors of commercial loans that fall into this category have complied on a timely basis with their obligations and at the time of evaluation do not present any reason for doubt with respect to repayment of interest and principal on the agreed dates, and there is no reason to believe that the status will change before the next evaluation. To place a loan in Class A, a clear understanding of the use to be made of the funds and the origin of the cash flows to be used by the debtor to repay the loan is required. Additionally, consumer and micro-business loans are categorized as Class A if payments are current or up to eight days past-due. Residential mortgage loans are classified as Class A, if payments are current or up to thirty days past-due.</w:t>
      </w:r>
    </w:p>
    <w:p>
      <w:pPr>
        <w:spacing w:after="0" w:line="377" w:lineRule="exact"/>
        <w:rPr>
          <w:rFonts w:ascii="Arial" w:cs="Arial" w:eastAsia="Arial" w:hAnsi="Arial"/>
          <w:sz w:val="17"/>
          <w:szCs w:val="17"/>
          <w:color w:val="auto"/>
        </w:rPr>
      </w:pPr>
    </w:p>
    <w:p>
      <w:pPr>
        <w:ind w:left="5596" w:hanging="107"/>
        <w:spacing w:after="0"/>
        <w:tabs>
          <w:tab w:leader="none" w:pos="5596" w:val="left"/>
        </w:tabs>
        <w:numPr>
          <w:ilvl w:val="1"/>
          <w:numId w:val="139"/>
        </w:numPr>
        <w:rPr>
          <w:rFonts w:ascii="Arial" w:cs="Arial" w:eastAsia="Arial" w:hAnsi="Arial"/>
          <w:sz w:val="17"/>
          <w:szCs w:val="17"/>
          <w:color w:val="auto"/>
        </w:rPr>
      </w:pPr>
      <w:r>
        <w:rPr>
          <w:rFonts w:ascii="Arial" w:cs="Arial" w:eastAsia="Arial" w:hAnsi="Arial"/>
          <w:sz w:val="17"/>
          <w:szCs w:val="17"/>
          <w:color w:val="auto"/>
        </w:rPr>
        <w:t>115 -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15875</wp:posOffset>
            </wp:positionV>
            <wp:extent cx="725170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51700" cy="8255"/>
                    </a:xfrm>
                    <a:prstGeom prst="rect">
                      <a:avLst/>
                    </a:prstGeom>
                    <a:noFill/>
                  </pic:spPr>
                </pic:pic>
              </a:graphicData>
            </a:graphic>
          </wp:anchor>
        </w:drawing>
      </w:r>
    </w:p>
    <w:p>
      <w:pPr>
        <w:sectPr>
          <w:pgSz w:w="11900" w:h="16838" w:orient="portrait"/>
          <w:cols w:equalWidth="0" w:num="1">
            <w:col w:w="11376"/>
          </w:cols>
          <w:pgMar w:left="244" w:top="881" w:right="279" w:bottom="1440" w:gutter="0" w:footer="0" w:header="0"/>
        </w:sectPr>
      </w:pPr>
    </w:p>
    <w:bookmarkStart w:id="121" w:name="page122"/>
    <w:bookmarkEnd w:id="121"/>
    <w:p>
      <w:pPr>
        <w:ind w:left="4"/>
        <w:spacing w:after="0"/>
        <w:rPr>
          <w:sz w:val="20"/>
          <w:szCs w:val="20"/>
          <w:color w:val="auto"/>
        </w:rPr>
      </w:pPr>
      <w:r>
        <w:rPr>
          <w:rFonts w:ascii="Arial" w:cs="Arial" w:eastAsia="Arial" w:hAnsi="Arial"/>
          <w:sz w:val="17"/>
          <w:szCs w:val="17"/>
          <w:b w:val="1"/>
          <w:bCs w:val="1"/>
          <w:color w:val="auto"/>
        </w:rPr>
        <w:t>Potential problems (Class B):</w:t>
      </w:r>
    </w:p>
    <w:p>
      <w:pPr>
        <w:spacing w:after="0" w:line="31" w:lineRule="exact"/>
        <w:rPr>
          <w:sz w:val="20"/>
          <w:szCs w:val="20"/>
          <w:color w:val="auto"/>
        </w:rPr>
      </w:pPr>
    </w:p>
    <w:p>
      <w:pPr>
        <w:ind w:left="4" w:right="160"/>
        <w:spacing w:after="0" w:line="277" w:lineRule="auto"/>
        <w:rPr>
          <w:sz w:val="20"/>
          <w:szCs w:val="20"/>
          <w:color w:val="auto"/>
        </w:rPr>
      </w:pPr>
      <w:r>
        <w:rPr>
          <w:rFonts w:ascii="Arial" w:cs="Arial" w:eastAsia="Arial" w:hAnsi="Arial"/>
          <w:sz w:val="16"/>
          <w:szCs w:val="16"/>
          <w:color w:val="auto"/>
        </w:rPr>
        <w:t>Debtors of commercial loans included in this category are those that at the time of the evaluation demonstrate certain deficiencies, which, if not corrected in a timely manner, imply risks with respect to the recovery of the loan. Certain common characteristics of loans or credits in the category include: delays in loan payments which are promptly covered, a general lack of information required to analyze the credit, out-of-date financial information, temporary economic or financial imbalances on the part of the debtor which could affect its ability to repay the loan, and market conditions that could affect the economic sector in which the debtor is active. Consumer and micro-business loans are categorized as Class B if payments are between 9 and 30 days late. Residential mortgage loans are classified as Class B when payments are between 31 and 60 days late.</w:t>
      </w:r>
    </w:p>
    <w:p>
      <w:pPr>
        <w:spacing w:after="0" w:line="163" w:lineRule="exact"/>
        <w:rPr>
          <w:sz w:val="20"/>
          <w:szCs w:val="20"/>
          <w:color w:val="auto"/>
        </w:rPr>
      </w:pPr>
    </w:p>
    <w:p>
      <w:pPr>
        <w:ind w:left="4"/>
        <w:spacing w:after="0"/>
        <w:rPr>
          <w:sz w:val="20"/>
          <w:szCs w:val="20"/>
          <w:color w:val="auto"/>
        </w:rPr>
      </w:pPr>
      <w:r>
        <w:rPr>
          <w:rFonts w:ascii="Arial" w:cs="Arial" w:eastAsia="Arial" w:hAnsi="Arial"/>
          <w:sz w:val="17"/>
          <w:szCs w:val="17"/>
          <w:b w:val="1"/>
          <w:bCs w:val="1"/>
          <w:color w:val="auto"/>
        </w:rPr>
        <w:t>Substandard (Class C):</w:t>
      </w:r>
    </w:p>
    <w:p>
      <w:pPr>
        <w:spacing w:after="0" w:line="31" w:lineRule="exact"/>
        <w:rPr>
          <w:sz w:val="20"/>
          <w:szCs w:val="20"/>
          <w:color w:val="auto"/>
        </w:rPr>
      </w:pPr>
    </w:p>
    <w:p>
      <w:pPr>
        <w:ind w:left="4" w:right="20"/>
        <w:spacing w:after="0" w:line="277" w:lineRule="auto"/>
        <w:rPr>
          <w:sz w:val="20"/>
          <w:szCs w:val="20"/>
          <w:color w:val="auto"/>
        </w:rPr>
      </w:pPr>
      <w:r>
        <w:rPr>
          <w:rFonts w:ascii="Arial" w:cs="Arial" w:eastAsia="Arial" w:hAnsi="Arial"/>
          <w:sz w:val="16"/>
          <w:szCs w:val="16"/>
          <w:color w:val="auto"/>
        </w:rPr>
        <w:t>Debtors of commercial loans included in this category demonstrate serious financial weakness, often with operating results or available income insufficient to cover financial obligations on agreed upon terms, with no reasonable short-term prospects for a strengthening of their financial capacity. Debtors demonstrating the same deficiencies that warrant classification as category B warrant classification as Class C if those deficiencies are such that if they are not corrected in the near term, they could impede the recovery of principal and interest on the loan on the originally agreed terms. In addition, commercial loans are classified in this category when payments are between 61 and 120 days late. Consumer and micro-business loans are categorized as Class C if payments are between 31 and 60 days late. Residential mortgage loans are classified as Class C when payments are between 61 and 120 days late.</w:t>
      </w:r>
    </w:p>
    <w:p>
      <w:pPr>
        <w:spacing w:after="0" w:line="163" w:lineRule="exact"/>
        <w:rPr>
          <w:sz w:val="20"/>
          <w:szCs w:val="20"/>
          <w:color w:val="auto"/>
        </w:rPr>
      </w:pPr>
    </w:p>
    <w:p>
      <w:pPr>
        <w:ind w:left="4"/>
        <w:spacing w:after="0"/>
        <w:rPr>
          <w:sz w:val="20"/>
          <w:szCs w:val="20"/>
          <w:color w:val="auto"/>
        </w:rPr>
      </w:pPr>
      <w:r>
        <w:rPr>
          <w:rFonts w:ascii="Arial" w:cs="Arial" w:eastAsia="Arial" w:hAnsi="Arial"/>
          <w:sz w:val="17"/>
          <w:szCs w:val="17"/>
          <w:b w:val="1"/>
          <w:bCs w:val="1"/>
          <w:color w:val="auto"/>
        </w:rPr>
        <w:t>Doubtful (Class D):</w:t>
      </w:r>
    </w:p>
    <w:p>
      <w:pPr>
        <w:spacing w:after="0" w:line="31" w:lineRule="exact"/>
        <w:rPr>
          <w:sz w:val="20"/>
          <w:szCs w:val="20"/>
          <w:color w:val="auto"/>
        </w:rPr>
      </w:pPr>
    </w:p>
    <w:p>
      <w:pPr>
        <w:ind w:left="4" w:right="180"/>
        <w:spacing w:after="0" w:line="277" w:lineRule="auto"/>
        <w:rPr>
          <w:sz w:val="20"/>
          <w:szCs w:val="20"/>
          <w:color w:val="auto"/>
        </w:rPr>
      </w:pPr>
      <w:r>
        <w:rPr>
          <w:rFonts w:ascii="Arial" w:cs="Arial" w:eastAsia="Arial" w:hAnsi="Arial"/>
          <w:sz w:val="16"/>
          <w:szCs w:val="16"/>
          <w:color w:val="auto"/>
        </w:rPr>
        <w:t>Debtors of commercial loans included in this category present characteristics that make doubtful the recovery of the loan. Although the loan recovery is doubtful, if there is a reasonable possibility that in the near future the creditworthiness of the debtor might improve, a Class D categorization is appropriate. These credits are distinguished from Class E credits by the requirement that the debtor remains in operation, generates cash flow, and makes payments on the loan, although at a rate less than that specified in its contractual obligations. In addition, commercial loans are classified in this category when payments are between 121 and 365 days late. Consumer and micro-business loans are classified as Class D if payments are between 61 and 120 days late. Residential mortgage loans are Class D when payments are between 121 and 365 days late.</w:t>
      </w:r>
    </w:p>
    <w:p>
      <w:pPr>
        <w:spacing w:after="0" w:line="163" w:lineRule="exact"/>
        <w:rPr>
          <w:sz w:val="20"/>
          <w:szCs w:val="20"/>
          <w:color w:val="auto"/>
        </w:rPr>
      </w:pPr>
    </w:p>
    <w:p>
      <w:pPr>
        <w:ind w:left="4"/>
        <w:spacing w:after="0"/>
        <w:rPr>
          <w:sz w:val="20"/>
          <w:szCs w:val="20"/>
          <w:color w:val="auto"/>
        </w:rPr>
      </w:pPr>
      <w:r>
        <w:rPr>
          <w:rFonts w:ascii="Arial" w:cs="Arial" w:eastAsia="Arial" w:hAnsi="Arial"/>
          <w:sz w:val="17"/>
          <w:szCs w:val="17"/>
          <w:b w:val="1"/>
          <w:bCs w:val="1"/>
          <w:color w:val="auto"/>
        </w:rPr>
        <w:t>Loss (Class E):</w:t>
      </w:r>
    </w:p>
    <w:p>
      <w:pPr>
        <w:spacing w:after="0" w:line="31" w:lineRule="exact"/>
        <w:rPr>
          <w:sz w:val="20"/>
          <w:szCs w:val="20"/>
          <w:color w:val="auto"/>
        </w:rPr>
      </w:pPr>
    </w:p>
    <w:p>
      <w:pPr>
        <w:ind w:left="4"/>
        <w:spacing w:after="0" w:line="260" w:lineRule="auto"/>
        <w:rPr>
          <w:sz w:val="20"/>
          <w:szCs w:val="20"/>
          <w:color w:val="auto"/>
        </w:rPr>
      </w:pPr>
      <w:r>
        <w:rPr>
          <w:rFonts w:ascii="Arial" w:cs="Arial" w:eastAsia="Arial" w:hAnsi="Arial"/>
          <w:sz w:val="17"/>
          <w:szCs w:val="17"/>
          <w:color w:val="auto"/>
        </w:rPr>
        <w:t>Commercial loans which are considered unrecoverable or which for any other reason should not appear on the Group’s books as an asset based on the originally contracted terms fall into this category. In addition, commercial loans are classified in this category when payments are more than 365 days late. Consumer and micro-business loans are categorized as Class E if payments are more than 120 days late. Residential mortgage loans are classified as Class E when payments are more than 365 days late.</w:t>
      </w:r>
    </w:p>
    <w:p>
      <w:pPr>
        <w:spacing w:after="0" w:line="180" w:lineRule="exact"/>
        <w:rPr>
          <w:sz w:val="20"/>
          <w:szCs w:val="20"/>
          <w:color w:val="auto"/>
        </w:rPr>
      </w:pPr>
    </w:p>
    <w:p>
      <w:pPr>
        <w:ind w:left="4"/>
        <w:spacing w:after="0"/>
        <w:rPr>
          <w:sz w:val="20"/>
          <w:szCs w:val="20"/>
          <w:color w:val="auto"/>
        </w:rPr>
      </w:pPr>
      <w:r>
        <w:rPr>
          <w:rFonts w:ascii="Arial" w:cs="Arial" w:eastAsia="Arial" w:hAnsi="Arial"/>
          <w:sz w:val="17"/>
          <w:szCs w:val="17"/>
          <w:color w:val="auto"/>
        </w:rPr>
        <w:t>The Group constantly reviews the loan portfolio in order to assess the completion and accuracy of its classifications.</w:t>
      </w:r>
    </w:p>
    <w:p>
      <w:pPr>
        <w:spacing w:after="0" w:line="220" w:lineRule="exact"/>
        <w:rPr>
          <w:sz w:val="20"/>
          <w:szCs w:val="20"/>
          <w:color w:val="auto"/>
        </w:rPr>
      </w:pPr>
    </w:p>
    <w:p>
      <w:pPr>
        <w:ind w:left="4" w:right="180"/>
        <w:spacing w:after="0" w:line="285" w:lineRule="auto"/>
        <w:rPr>
          <w:sz w:val="20"/>
          <w:szCs w:val="20"/>
          <w:color w:val="auto"/>
        </w:rPr>
      </w:pPr>
      <w:r>
        <w:rPr>
          <w:rFonts w:ascii="Arial" w:cs="Arial" w:eastAsia="Arial" w:hAnsi="Arial"/>
          <w:sz w:val="17"/>
          <w:szCs w:val="17"/>
          <w:color w:val="auto"/>
        </w:rPr>
        <w:t>All loans considered impaired (the ones classified as substandard, doubtful or loss) are analyzed by the Group’s Management, which addresses impairment in two areas: individually assessed provisions and collectively assessed provisions, as follows:</w:t>
      </w:r>
    </w:p>
    <w:p>
      <w:pPr>
        <w:spacing w:after="0" w:line="159" w:lineRule="exact"/>
        <w:rPr>
          <w:sz w:val="20"/>
          <w:szCs w:val="20"/>
          <w:color w:val="auto"/>
        </w:rPr>
      </w:pPr>
    </w:p>
    <w:p>
      <w:pPr>
        <w:ind w:left="304" w:hanging="304"/>
        <w:spacing w:after="0"/>
        <w:tabs>
          <w:tab w:leader="none" w:pos="304" w:val="left"/>
        </w:tabs>
        <w:numPr>
          <w:ilvl w:val="0"/>
          <w:numId w:val="140"/>
        </w:numPr>
        <w:rPr>
          <w:rFonts w:ascii="Arial" w:cs="Arial" w:eastAsia="Arial" w:hAnsi="Arial"/>
          <w:sz w:val="17"/>
          <w:szCs w:val="17"/>
          <w:color w:val="auto"/>
        </w:rPr>
      </w:pPr>
      <w:r>
        <w:rPr>
          <w:rFonts w:ascii="Arial" w:cs="Arial" w:eastAsia="Arial" w:hAnsi="Arial"/>
          <w:sz w:val="17"/>
          <w:szCs w:val="17"/>
          <w:color w:val="auto"/>
        </w:rPr>
        <w:t>Individually assessed allowance -</w:t>
      </w:r>
    </w:p>
    <w:p>
      <w:pPr>
        <w:spacing w:after="0" w:line="220" w:lineRule="exact"/>
        <w:rPr>
          <w:rFonts w:ascii="Arial" w:cs="Arial" w:eastAsia="Arial" w:hAnsi="Arial"/>
          <w:sz w:val="17"/>
          <w:szCs w:val="17"/>
          <w:color w:val="auto"/>
        </w:rPr>
      </w:pPr>
    </w:p>
    <w:p>
      <w:pPr>
        <w:ind w:left="304" w:right="20"/>
        <w:spacing w:after="0" w:line="270" w:lineRule="auto"/>
        <w:rPr>
          <w:rFonts w:ascii="Arial" w:cs="Arial" w:eastAsia="Arial" w:hAnsi="Arial"/>
          <w:sz w:val="17"/>
          <w:szCs w:val="17"/>
          <w:color w:val="auto"/>
        </w:rPr>
      </w:pPr>
      <w:r>
        <w:rPr>
          <w:rFonts w:ascii="Arial" w:cs="Arial" w:eastAsia="Arial" w:hAnsi="Arial"/>
          <w:sz w:val="17"/>
          <w:szCs w:val="17"/>
          <w:color w:val="auto"/>
        </w:rPr>
        <w:t>The methodology is applied to all of the impaired clients (classified as deficient, doubtful or loss) of Wholesale Banking and consists of estimating the loss generated by each client after deducting the present value of the future payments that he could pay and the recovery value of the guarantees, equally brought to present value.</w:t>
      </w:r>
    </w:p>
    <w:p>
      <w:pPr>
        <w:spacing w:after="0" w:line="379" w:lineRule="exact"/>
        <w:rPr>
          <w:rFonts w:ascii="Arial" w:cs="Arial" w:eastAsia="Arial" w:hAnsi="Arial"/>
          <w:sz w:val="17"/>
          <w:szCs w:val="17"/>
          <w:color w:val="auto"/>
        </w:rPr>
      </w:pPr>
    </w:p>
    <w:p>
      <w:pPr>
        <w:ind w:left="5284" w:hanging="107"/>
        <w:spacing w:after="0"/>
        <w:tabs>
          <w:tab w:leader="none" w:pos="5284" w:val="left"/>
        </w:tabs>
        <w:numPr>
          <w:ilvl w:val="1"/>
          <w:numId w:val="140"/>
        </w:numPr>
        <w:rPr>
          <w:rFonts w:ascii="Arial" w:cs="Arial" w:eastAsia="Arial" w:hAnsi="Arial"/>
          <w:sz w:val="17"/>
          <w:szCs w:val="17"/>
          <w:color w:val="auto"/>
        </w:rPr>
      </w:pPr>
      <w:r>
        <w:rPr>
          <w:rFonts w:ascii="Arial" w:cs="Arial" w:eastAsia="Arial" w:hAnsi="Arial"/>
          <w:sz w:val="17"/>
          <w:szCs w:val="17"/>
          <w:color w:val="auto"/>
        </w:rPr>
        <w:t>116 -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-197485</wp:posOffset>
            </wp:positionH>
            <wp:positionV relativeFrom="paragraph">
              <wp:posOffset>15875</wp:posOffset>
            </wp:positionV>
            <wp:extent cx="725170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51700" cy="8255"/>
                    </a:xfrm>
                    <a:prstGeom prst="rect">
                      <a:avLst/>
                    </a:prstGeom>
                    <a:noFill/>
                  </pic:spPr>
                </pic:pic>
              </a:graphicData>
            </a:graphic>
          </wp:anchor>
        </w:drawing>
      </w:r>
    </w:p>
    <w:p>
      <w:pPr>
        <w:sectPr>
          <w:pgSz w:w="11900" w:h="16838" w:orient="portrait"/>
          <w:cols w:equalWidth="0" w:num="1">
            <w:col w:w="11084"/>
          </w:cols>
          <w:pgMar w:left="556" w:top="875" w:right="259" w:bottom="1440" w:gutter="0" w:footer="0" w:header="0"/>
        </w:sectPr>
      </w:pPr>
    </w:p>
    <w:bookmarkStart w:id="122" w:name="page123"/>
    <w:bookmarkEnd w:id="122"/>
    <w:p>
      <w:pPr>
        <w:ind w:left="382" w:right="180"/>
        <w:spacing w:after="0" w:line="285" w:lineRule="auto"/>
        <w:rPr>
          <w:sz w:val="20"/>
          <w:szCs w:val="20"/>
          <w:color w:val="auto"/>
        </w:rPr>
      </w:pPr>
      <w:r>
        <w:rPr>
          <w:rFonts w:ascii="Arial" w:cs="Arial" w:eastAsia="Arial" w:hAnsi="Arial"/>
          <w:sz w:val="17"/>
          <w:szCs w:val="17"/>
          <w:color w:val="auto"/>
        </w:rPr>
        <w:t>The methodology and assumptions used for estimating future cash flows are reviewed regularly by the Group in order to reduce any differences between loss estimates and actual loss experience.</w:t>
      </w:r>
    </w:p>
    <w:p>
      <w:pPr>
        <w:spacing w:after="0" w:line="159" w:lineRule="exact"/>
        <w:rPr>
          <w:sz w:val="20"/>
          <w:szCs w:val="20"/>
          <w:color w:val="auto"/>
        </w:rPr>
      </w:pPr>
    </w:p>
    <w:p>
      <w:pPr>
        <w:ind w:left="382" w:hanging="382"/>
        <w:spacing w:after="0"/>
        <w:tabs>
          <w:tab w:leader="none" w:pos="382" w:val="left"/>
        </w:tabs>
        <w:numPr>
          <w:ilvl w:val="0"/>
          <w:numId w:val="141"/>
        </w:numPr>
        <w:rPr>
          <w:rFonts w:ascii="Arial" w:cs="Arial" w:eastAsia="Arial" w:hAnsi="Arial"/>
          <w:sz w:val="17"/>
          <w:szCs w:val="17"/>
          <w:color w:val="auto"/>
        </w:rPr>
      </w:pPr>
      <w:r>
        <w:rPr>
          <w:rFonts w:ascii="Arial" w:cs="Arial" w:eastAsia="Arial" w:hAnsi="Arial"/>
          <w:sz w:val="17"/>
          <w:szCs w:val="17"/>
          <w:color w:val="auto"/>
        </w:rPr>
        <w:t>Collectively assessed allowance -</w:t>
      </w:r>
    </w:p>
    <w:p>
      <w:pPr>
        <w:spacing w:after="0" w:line="220" w:lineRule="exact"/>
        <w:rPr>
          <w:rFonts w:ascii="Arial" w:cs="Arial" w:eastAsia="Arial" w:hAnsi="Arial"/>
          <w:sz w:val="17"/>
          <w:szCs w:val="17"/>
          <w:color w:val="auto"/>
        </w:rPr>
      </w:pPr>
    </w:p>
    <w:p>
      <w:pPr>
        <w:ind w:left="382" w:right="340"/>
        <w:spacing w:after="0" w:line="265" w:lineRule="auto"/>
        <w:rPr>
          <w:rFonts w:ascii="Arial" w:cs="Arial" w:eastAsia="Arial" w:hAnsi="Arial"/>
          <w:sz w:val="17"/>
          <w:szCs w:val="17"/>
          <w:color w:val="auto"/>
        </w:rPr>
      </w:pPr>
      <w:r>
        <w:rPr>
          <w:rFonts w:ascii="Arial" w:cs="Arial" w:eastAsia="Arial" w:hAnsi="Arial"/>
          <w:sz w:val="17"/>
          <w:szCs w:val="17"/>
          <w:color w:val="auto"/>
        </w:rPr>
        <w:t>The methodology is applied for the unimpaired clients of Wholesale Banking and for Retail Credits (Consumer Credits, Small and Medium Enterprise Credits and Mortgage Loans). Allowance requirements are assessed collectively for losses on loans and advances that are not individually significant (including consumer, micro-business and residential mortgages) and for individually significant loans and advances where there is not yet objective evidence of individual impairment (included in categories A and B).</w:t>
      </w:r>
    </w:p>
    <w:p>
      <w:pPr>
        <w:spacing w:after="0" w:line="176" w:lineRule="exact"/>
        <w:rPr>
          <w:rFonts w:ascii="Arial" w:cs="Arial" w:eastAsia="Arial" w:hAnsi="Arial"/>
          <w:sz w:val="17"/>
          <w:szCs w:val="17"/>
          <w:color w:val="auto"/>
        </w:rPr>
      </w:pPr>
    </w:p>
    <w:p>
      <w:pPr>
        <w:ind w:left="382"/>
        <w:spacing w:after="0" w:line="285" w:lineRule="auto"/>
        <w:rPr>
          <w:rFonts w:ascii="Arial" w:cs="Arial" w:eastAsia="Arial" w:hAnsi="Arial"/>
          <w:sz w:val="17"/>
          <w:szCs w:val="17"/>
          <w:color w:val="auto"/>
        </w:rPr>
      </w:pPr>
      <w:r>
        <w:rPr>
          <w:rFonts w:ascii="Arial" w:cs="Arial" w:eastAsia="Arial" w:hAnsi="Arial"/>
          <w:sz w:val="17"/>
          <w:szCs w:val="17"/>
          <w:color w:val="auto"/>
        </w:rPr>
        <w:t>Impairment losses are estimated by taking into consideration the following information: historical losses on the portfolio, and current economic conditions. The impairment allowance is then reviewed by Management to ensure alignment with the Group’s overall policy.</w:t>
      </w:r>
    </w:p>
    <w:p>
      <w:pPr>
        <w:spacing w:after="0" w:line="159" w:lineRule="exact"/>
        <w:rPr>
          <w:rFonts w:ascii="Arial" w:cs="Arial" w:eastAsia="Arial" w:hAnsi="Arial"/>
          <w:sz w:val="17"/>
          <w:szCs w:val="17"/>
          <w:color w:val="auto"/>
        </w:rPr>
      </w:pPr>
    </w:p>
    <w:p>
      <w:pPr>
        <w:ind w:left="382" w:right="520"/>
        <w:spacing w:after="0" w:line="262" w:lineRule="auto"/>
        <w:rPr>
          <w:rFonts w:ascii="Arial" w:cs="Arial" w:eastAsia="Arial" w:hAnsi="Arial"/>
          <w:sz w:val="17"/>
          <w:szCs w:val="17"/>
          <w:color w:val="auto"/>
        </w:rPr>
      </w:pPr>
      <w:r>
        <w:rPr>
          <w:rFonts w:ascii="Arial" w:cs="Arial" w:eastAsia="Arial" w:hAnsi="Arial"/>
          <w:sz w:val="17"/>
          <w:szCs w:val="17"/>
          <w:color w:val="auto"/>
        </w:rPr>
        <w:t>The methodology includes three estimation scenarios: base, upper threshold and lower threshold. These scenarios are generated by modifying some assumptions, such as collateral recovery values and the effects of changes in the economic environment.</w:t>
      </w:r>
    </w:p>
    <w:p>
      <w:pPr>
        <w:spacing w:after="0" w:line="1" w:lineRule="exact"/>
        <w:rPr>
          <w:rFonts w:ascii="Arial" w:cs="Arial" w:eastAsia="Arial" w:hAnsi="Arial"/>
          <w:sz w:val="17"/>
          <w:szCs w:val="17"/>
          <w:color w:val="auto"/>
        </w:rPr>
      </w:pPr>
    </w:p>
    <w:p>
      <w:pPr>
        <w:ind w:left="382" w:right="380"/>
        <w:spacing w:after="0" w:line="270" w:lineRule="auto"/>
        <w:rPr>
          <w:rFonts w:ascii="Arial" w:cs="Arial" w:eastAsia="Arial" w:hAnsi="Arial"/>
          <w:sz w:val="17"/>
          <w:szCs w:val="17"/>
          <w:color w:val="auto"/>
        </w:rPr>
      </w:pPr>
      <w:r>
        <w:rPr>
          <w:rFonts w:ascii="Arial" w:cs="Arial" w:eastAsia="Arial" w:hAnsi="Arial"/>
          <w:sz w:val="17"/>
          <w:szCs w:val="17"/>
          <w:color w:val="auto"/>
        </w:rPr>
        <w:t>The process to select the best estimate within the range is based on management´s best judgment, complemented by historical loss experience and the Company’s strategy (e.g. penetration in new segments).</w:t>
      </w:r>
    </w:p>
    <w:p>
      <w:pPr>
        <w:spacing w:after="0" w:line="171" w:lineRule="exact"/>
        <w:rPr>
          <w:rFonts w:ascii="Arial" w:cs="Arial" w:eastAsia="Arial" w:hAnsi="Arial"/>
          <w:sz w:val="17"/>
          <w:szCs w:val="17"/>
          <w:color w:val="auto"/>
        </w:rPr>
      </w:pPr>
    </w:p>
    <w:p>
      <w:pPr>
        <w:ind w:left="382" w:right="480"/>
        <w:spacing w:after="0" w:line="578" w:lineRule="auto"/>
        <w:rPr>
          <w:rFonts w:ascii="Arial" w:cs="Arial" w:eastAsia="Arial" w:hAnsi="Arial"/>
          <w:sz w:val="17"/>
          <w:szCs w:val="17"/>
          <w:color w:val="auto"/>
        </w:rPr>
      </w:pPr>
      <w:r>
        <w:rPr>
          <w:rFonts w:ascii="Arial" w:cs="Arial" w:eastAsia="Arial" w:hAnsi="Arial"/>
          <w:sz w:val="15"/>
          <w:szCs w:val="15"/>
          <w:color w:val="auto"/>
        </w:rPr>
        <w:t>Impairment losses are evaluated at each reporting date as soon as there is any objective evidence that a financial asset or group of assets is impaired. Financial guarantees and letter of credit (indirect loans) are assessed and a provision estimated following a similar procedure as for loans.</w:t>
      </w:r>
    </w:p>
    <w:p>
      <w:pPr>
        <w:ind w:left="382" w:right="100"/>
        <w:spacing w:after="0" w:line="285" w:lineRule="auto"/>
        <w:rPr>
          <w:rFonts w:ascii="Arial" w:cs="Arial" w:eastAsia="Arial" w:hAnsi="Arial"/>
          <w:sz w:val="17"/>
          <w:szCs w:val="17"/>
          <w:color w:val="auto"/>
        </w:rPr>
      </w:pPr>
      <w:r>
        <w:rPr>
          <w:rFonts w:ascii="Arial" w:cs="Arial" w:eastAsia="Arial" w:hAnsi="Arial"/>
          <w:sz w:val="17"/>
          <w:szCs w:val="17"/>
          <w:color w:val="auto"/>
        </w:rPr>
        <w:t>In the case of borrowers in countries where there is an increased risk of difficulties in servicing external debt, an assessment of the political and economic situation is made, and an additional country risk provision is recorded, if necessary.</w:t>
      </w:r>
    </w:p>
    <w:p>
      <w:pPr>
        <w:spacing w:after="0" w:line="159" w:lineRule="exact"/>
        <w:rPr>
          <w:rFonts w:ascii="Arial" w:cs="Arial" w:eastAsia="Arial" w:hAnsi="Arial"/>
          <w:sz w:val="17"/>
          <w:szCs w:val="17"/>
          <w:color w:val="auto"/>
        </w:rPr>
      </w:pPr>
    </w:p>
    <w:p>
      <w:pPr>
        <w:ind w:left="382" w:right="480"/>
        <w:spacing w:after="0" w:line="285" w:lineRule="auto"/>
        <w:rPr>
          <w:rFonts w:ascii="Arial" w:cs="Arial" w:eastAsia="Arial" w:hAnsi="Arial"/>
          <w:sz w:val="17"/>
          <w:szCs w:val="17"/>
          <w:color w:val="auto"/>
        </w:rPr>
      </w:pPr>
      <w:r>
        <w:rPr>
          <w:rFonts w:ascii="Arial" w:cs="Arial" w:eastAsia="Arial" w:hAnsi="Arial"/>
          <w:sz w:val="17"/>
          <w:szCs w:val="17"/>
          <w:color w:val="auto"/>
        </w:rPr>
        <w:t>When a loan is uncollectible, it is written off against the related provision for loan impairment. Said loans are written off after all the necessary legal procedures have been completed.</w:t>
      </w:r>
    </w:p>
    <w:p>
      <w:pPr>
        <w:spacing w:after="0" w:line="159" w:lineRule="exact"/>
        <w:rPr>
          <w:rFonts w:ascii="Arial" w:cs="Arial" w:eastAsia="Arial" w:hAnsi="Arial"/>
          <w:sz w:val="17"/>
          <w:szCs w:val="17"/>
          <w:color w:val="auto"/>
        </w:rPr>
      </w:pPr>
    </w:p>
    <w:p>
      <w:pPr>
        <w:ind w:left="382"/>
        <w:spacing w:after="0"/>
        <w:rPr>
          <w:rFonts w:ascii="Arial" w:cs="Arial" w:eastAsia="Arial" w:hAnsi="Arial"/>
          <w:sz w:val="17"/>
          <w:szCs w:val="17"/>
          <w:color w:val="auto"/>
        </w:rPr>
      </w:pPr>
      <w:r>
        <w:rPr>
          <w:rFonts w:ascii="Arial" w:cs="Arial" w:eastAsia="Arial" w:hAnsi="Arial"/>
          <w:sz w:val="17"/>
          <w:szCs w:val="17"/>
          <w:color w:val="auto"/>
        </w:rPr>
        <w:t>The subsequent recovery of written off loans decreases the amount of the provision for loan losses, in the consolidated statement of income.</w:t>
      </w:r>
    </w:p>
    <w:p>
      <w:pPr>
        <w:spacing w:after="0" w:line="200" w:lineRule="exact"/>
        <w:rPr>
          <w:rFonts w:ascii="Arial" w:cs="Arial" w:eastAsia="Arial" w:hAnsi="Arial"/>
          <w:sz w:val="17"/>
          <w:szCs w:val="17"/>
          <w:color w:val="auto"/>
        </w:rPr>
      </w:pPr>
    </w:p>
    <w:p>
      <w:pPr>
        <w:spacing w:after="0" w:line="228" w:lineRule="exact"/>
        <w:rPr>
          <w:rFonts w:ascii="Arial" w:cs="Arial" w:eastAsia="Arial" w:hAnsi="Arial"/>
          <w:sz w:val="17"/>
          <w:szCs w:val="17"/>
          <w:color w:val="auto"/>
        </w:rPr>
      </w:pPr>
    </w:p>
    <w:p>
      <w:pPr>
        <w:ind w:left="5362" w:hanging="107"/>
        <w:spacing w:after="0"/>
        <w:tabs>
          <w:tab w:leader="none" w:pos="5362" w:val="left"/>
        </w:tabs>
        <w:numPr>
          <w:ilvl w:val="1"/>
          <w:numId w:val="141"/>
        </w:numPr>
        <w:rPr>
          <w:rFonts w:ascii="Arial" w:cs="Arial" w:eastAsia="Arial" w:hAnsi="Arial"/>
          <w:sz w:val="17"/>
          <w:szCs w:val="17"/>
          <w:color w:val="auto"/>
        </w:rPr>
      </w:pPr>
      <w:r>
        <w:rPr>
          <w:rFonts w:ascii="Arial" w:cs="Arial" w:eastAsia="Arial" w:hAnsi="Arial"/>
          <w:sz w:val="17"/>
          <w:szCs w:val="17"/>
          <w:color w:val="auto"/>
        </w:rPr>
        <w:t>117 -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-147955</wp:posOffset>
            </wp:positionH>
            <wp:positionV relativeFrom="paragraph">
              <wp:posOffset>15875</wp:posOffset>
            </wp:positionV>
            <wp:extent cx="725170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51700" cy="8255"/>
                    </a:xfrm>
                    <a:prstGeom prst="rect">
                      <a:avLst/>
                    </a:prstGeom>
                    <a:noFill/>
                  </pic:spPr>
                </pic:pic>
              </a:graphicData>
            </a:graphic>
          </wp:anchor>
        </w:drawing>
      </w:r>
    </w:p>
    <w:p>
      <w:pPr>
        <w:sectPr>
          <w:pgSz w:w="11900" w:h="16838" w:orient="portrait"/>
          <w:cols w:equalWidth="0" w:num="1">
            <w:col w:w="11142"/>
          </w:cols>
          <w:pgMar w:left="478" w:top="880" w:right="279" w:bottom="1440" w:gutter="0" w:footer="0" w:header="0"/>
        </w:sectPr>
      </w:pPr>
    </w:p>
    <w:bookmarkStart w:id="123" w:name="page124"/>
    <w:bookmarkEnd w:id="123"/>
    <w:p>
      <w:pPr>
        <w:spacing w:after="0"/>
        <w:rPr>
          <w:sz w:val="20"/>
          <w:szCs w:val="20"/>
          <w:color w:val="auto"/>
        </w:rPr>
      </w:pPr>
      <w:r>
        <w:rPr>
          <w:rFonts w:ascii="Arial" w:cs="Arial" w:eastAsia="Arial" w:hAnsi="Arial"/>
          <w:sz w:val="17"/>
          <w:szCs w:val="17"/>
          <w:color w:val="auto"/>
        </w:rPr>
        <w:t>The following is a summary of the direct credits classified into three important groups and their respective allowance for each of the types of loans:</w:t>
      </w:r>
    </w:p>
    <w:p>
      <w:pPr>
        <w:spacing w:after="0" w:line="220" w:lineRule="exact"/>
        <w:rPr>
          <w:sz w:val="20"/>
          <w:szCs w:val="20"/>
          <w:color w:val="auto"/>
        </w:rPr>
      </w:pPr>
    </w:p>
    <w:p>
      <w:pPr>
        <w:ind w:left="440" w:hanging="436"/>
        <w:spacing w:after="0" w:line="262" w:lineRule="auto"/>
        <w:tabs>
          <w:tab w:leader="none" w:pos="440" w:val="left"/>
        </w:tabs>
        <w:numPr>
          <w:ilvl w:val="0"/>
          <w:numId w:val="142"/>
        </w:numPr>
        <w:rPr>
          <w:rFonts w:ascii="Arial" w:cs="Arial" w:eastAsia="Arial" w:hAnsi="Arial"/>
          <w:sz w:val="17"/>
          <w:szCs w:val="17"/>
          <w:color w:val="auto"/>
        </w:rPr>
      </w:pPr>
      <w:r>
        <w:rPr>
          <w:rFonts w:ascii="Arial" w:cs="Arial" w:eastAsia="Arial" w:hAnsi="Arial"/>
          <w:sz w:val="17"/>
          <w:szCs w:val="17"/>
          <w:color w:val="auto"/>
        </w:rPr>
        <w:t>Loans neither past due nor impaired, comprising those direct loans having presently no delinquency characteristics and related to clients ranked as normal or potential problems;</w:t>
      </w:r>
    </w:p>
    <w:p>
      <w:pPr>
        <w:spacing w:after="0" w:line="1" w:lineRule="exact"/>
        <w:rPr>
          <w:rFonts w:ascii="Arial" w:cs="Arial" w:eastAsia="Arial" w:hAnsi="Arial"/>
          <w:sz w:val="17"/>
          <w:szCs w:val="17"/>
          <w:color w:val="auto"/>
        </w:rPr>
      </w:pPr>
    </w:p>
    <w:p>
      <w:pPr>
        <w:ind w:left="440" w:hanging="436"/>
        <w:spacing w:after="0"/>
        <w:tabs>
          <w:tab w:leader="none" w:pos="440" w:val="left"/>
        </w:tabs>
        <w:numPr>
          <w:ilvl w:val="0"/>
          <w:numId w:val="142"/>
        </w:numPr>
        <w:rPr>
          <w:rFonts w:ascii="Arial" w:cs="Arial" w:eastAsia="Arial" w:hAnsi="Arial"/>
          <w:sz w:val="17"/>
          <w:szCs w:val="17"/>
          <w:color w:val="auto"/>
        </w:rPr>
      </w:pPr>
      <w:r>
        <w:rPr>
          <w:rFonts w:ascii="Arial" w:cs="Arial" w:eastAsia="Arial" w:hAnsi="Arial"/>
          <w:sz w:val="17"/>
          <w:szCs w:val="17"/>
          <w:color w:val="auto"/>
        </w:rPr>
        <w:t>Past due but not impaired loans, comprising past due loans of clients classified as normal or with potential problems and</w:t>
      </w:r>
    </w:p>
    <w:p>
      <w:pPr>
        <w:spacing w:after="0" w:line="12" w:lineRule="exact"/>
        <w:rPr>
          <w:rFonts w:ascii="Arial" w:cs="Arial" w:eastAsia="Arial" w:hAnsi="Arial"/>
          <w:sz w:val="17"/>
          <w:szCs w:val="17"/>
          <w:color w:val="auto"/>
        </w:rPr>
      </w:pPr>
    </w:p>
    <w:p>
      <w:pPr>
        <w:ind w:left="440" w:hanging="436"/>
        <w:spacing w:after="0"/>
        <w:tabs>
          <w:tab w:leader="none" w:pos="440" w:val="left"/>
        </w:tabs>
        <w:numPr>
          <w:ilvl w:val="0"/>
          <w:numId w:val="142"/>
        </w:numPr>
        <w:rPr>
          <w:rFonts w:ascii="Arial" w:cs="Arial" w:eastAsia="Arial" w:hAnsi="Arial"/>
          <w:sz w:val="17"/>
          <w:szCs w:val="17"/>
          <w:color w:val="auto"/>
        </w:rPr>
      </w:pPr>
      <w:r>
        <w:rPr>
          <w:rFonts w:ascii="Arial" w:cs="Arial" w:eastAsia="Arial" w:hAnsi="Arial"/>
          <w:sz w:val="17"/>
          <w:szCs w:val="17"/>
          <w:color w:val="auto"/>
        </w:rPr>
        <w:t>Impaired loans, those past due loans of clients classified as substandard, doubtful or loss;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1300" w:type="dxa"/>
            <w:vAlign w:val="bottom"/>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5"/>
          </w:tcPr>
          <w:p>
            <w:pPr>
              <w:jc w:val="right"/>
              <w:ind w:right="440"/>
              <w:spacing w:after="0"/>
              <w:rPr>
                <w:sz w:val="20"/>
                <w:szCs w:val="20"/>
                <w:color w:val="auto"/>
              </w:rPr>
            </w:pPr>
            <w:r>
              <w:rPr>
                <w:rFonts w:ascii="Arial" w:cs="Arial" w:eastAsia="Arial" w:hAnsi="Arial"/>
                <w:sz w:val="14"/>
                <w:szCs w:val="14"/>
                <w:b w:val="1"/>
                <w:bCs w:val="1"/>
                <w:color w:val="auto"/>
                <w:w w:val="92"/>
              </w:rPr>
              <w:t>At December 31, 2017</w:t>
            </w:r>
          </w:p>
        </w:tc>
        <w:tc>
          <w:tcPr>
            <w:tcW w:w="7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5"/>
          </w:tcPr>
          <w:p>
            <w:pPr>
              <w:jc w:val="right"/>
              <w:ind w:right="440"/>
              <w:spacing w:after="0"/>
              <w:rPr>
                <w:sz w:val="20"/>
                <w:szCs w:val="20"/>
                <w:color w:val="auto"/>
              </w:rPr>
            </w:pPr>
            <w:r>
              <w:rPr>
                <w:rFonts w:ascii="Arial" w:cs="Arial" w:eastAsia="Arial" w:hAnsi="Arial"/>
                <w:sz w:val="14"/>
                <w:szCs w:val="14"/>
                <w:b w:val="1"/>
                <w:bCs w:val="1"/>
                <w:color w:val="auto"/>
                <w:w w:val="92"/>
              </w:rPr>
              <w:t>At December 31, 2016</w:t>
            </w:r>
          </w:p>
        </w:tc>
        <w:tc>
          <w:tcPr>
            <w:tcW w:w="7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3"/>
        </w:trPr>
        <w:tc>
          <w:tcPr>
            <w:tcW w:w="1300" w:type="dxa"/>
            <w:vAlign w:val="bottom"/>
          </w:tcPr>
          <w:p>
            <w:pPr>
              <w:spacing w:after="0"/>
              <w:rPr>
                <w:sz w:val="9"/>
                <w:szCs w:val="9"/>
                <w:color w:val="auto"/>
              </w:rPr>
            </w:pPr>
          </w:p>
        </w:tc>
        <w:tc>
          <w:tcPr>
            <w:tcW w:w="92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89"/>
              </w:rPr>
              <w:t>Commercial</w:t>
            </w:r>
          </w:p>
        </w:tc>
        <w:tc>
          <w:tcPr>
            <w:tcW w:w="820" w:type="dxa"/>
            <w:vAlign w:val="bottom"/>
            <w:gridSpan w:val="2"/>
          </w:tcPr>
          <w:p>
            <w:pPr>
              <w:jc w:val="center"/>
              <w:ind w:right="120"/>
              <w:spacing w:after="0" w:line="114" w:lineRule="exact"/>
              <w:rPr>
                <w:sz w:val="20"/>
                <w:szCs w:val="20"/>
                <w:color w:val="auto"/>
              </w:rPr>
            </w:pPr>
            <w:r>
              <w:rPr>
                <w:rFonts w:ascii="Arial" w:cs="Arial" w:eastAsia="Arial" w:hAnsi="Arial"/>
                <w:sz w:val="13"/>
                <w:szCs w:val="13"/>
                <w:b w:val="1"/>
                <w:bCs w:val="1"/>
                <w:color w:val="auto"/>
                <w:w w:val="95"/>
              </w:rPr>
              <w:t>Residential</w:t>
            </w:r>
          </w:p>
        </w:tc>
        <w:tc>
          <w:tcPr>
            <w:tcW w:w="80" w:type="dxa"/>
            <w:vAlign w:val="bottom"/>
          </w:tcPr>
          <w:p>
            <w:pPr>
              <w:spacing w:after="0"/>
              <w:rPr>
                <w:sz w:val="9"/>
                <w:szCs w:val="9"/>
                <w:color w:val="auto"/>
              </w:rPr>
            </w:pPr>
          </w:p>
        </w:tc>
        <w:tc>
          <w:tcPr>
            <w:tcW w:w="860" w:type="dxa"/>
            <w:vAlign w:val="bottom"/>
            <w:gridSpan w:val="2"/>
          </w:tcPr>
          <w:p>
            <w:pPr>
              <w:jc w:val="center"/>
              <w:ind w:right="140"/>
              <w:spacing w:after="0" w:line="114" w:lineRule="exact"/>
              <w:rPr>
                <w:sz w:val="20"/>
                <w:szCs w:val="20"/>
                <w:color w:val="auto"/>
              </w:rPr>
            </w:pPr>
            <w:r>
              <w:rPr>
                <w:rFonts w:ascii="Arial" w:cs="Arial" w:eastAsia="Arial" w:hAnsi="Arial"/>
                <w:sz w:val="13"/>
                <w:szCs w:val="13"/>
                <w:b w:val="1"/>
                <w:bCs w:val="1"/>
                <w:color w:val="auto"/>
              </w:rPr>
              <w:t>Micro-</w:t>
            </w:r>
          </w:p>
        </w:tc>
        <w:tc>
          <w:tcPr>
            <w:tcW w:w="86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89"/>
              </w:rPr>
              <w:t>Consumer</w:t>
            </w:r>
          </w:p>
        </w:tc>
        <w:tc>
          <w:tcPr>
            <w:tcW w:w="700" w:type="dxa"/>
            <w:vAlign w:val="bottom"/>
          </w:tcPr>
          <w:p>
            <w:pPr>
              <w:spacing w:after="0"/>
              <w:rPr>
                <w:sz w:val="9"/>
                <w:szCs w:val="9"/>
                <w:color w:val="auto"/>
              </w:rPr>
            </w:pPr>
          </w:p>
        </w:tc>
        <w:tc>
          <w:tcPr>
            <w:tcW w:w="16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0" w:type="dxa"/>
            <w:vAlign w:val="bottom"/>
          </w:tcPr>
          <w:p>
            <w:pPr>
              <w:spacing w:after="0"/>
              <w:rPr>
                <w:sz w:val="9"/>
                <w:szCs w:val="9"/>
                <w:color w:val="auto"/>
              </w:rPr>
            </w:pPr>
          </w:p>
        </w:tc>
        <w:tc>
          <w:tcPr>
            <w:tcW w:w="92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89"/>
              </w:rPr>
              <w:t>Commercial</w:t>
            </w:r>
          </w:p>
        </w:tc>
        <w:tc>
          <w:tcPr>
            <w:tcW w:w="820" w:type="dxa"/>
            <w:vAlign w:val="bottom"/>
            <w:gridSpan w:val="2"/>
          </w:tcPr>
          <w:p>
            <w:pPr>
              <w:jc w:val="center"/>
              <w:ind w:right="120"/>
              <w:spacing w:after="0" w:line="114" w:lineRule="exact"/>
              <w:rPr>
                <w:sz w:val="20"/>
                <w:szCs w:val="20"/>
                <w:color w:val="auto"/>
              </w:rPr>
            </w:pPr>
            <w:r>
              <w:rPr>
                <w:rFonts w:ascii="Arial" w:cs="Arial" w:eastAsia="Arial" w:hAnsi="Arial"/>
                <w:sz w:val="13"/>
                <w:szCs w:val="13"/>
                <w:b w:val="1"/>
                <w:bCs w:val="1"/>
                <w:color w:val="auto"/>
                <w:w w:val="95"/>
              </w:rPr>
              <w:t>Residential</w:t>
            </w:r>
          </w:p>
        </w:tc>
        <w:tc>
          <w:tcPr>
            <w:tcW w:w="80" w:type="dxa"/>
            <w:vAlign w:val="bottom"/>
          </w:tcPr>
          <w:p>
            <w:pPr>
              <w:spacing w:after="0"/>
              <w:rPr>
                <w:sz w:val="9"/>
                <w:szCs w:val="9"/>
                <w:color w:val="auto"/>
              </w:rPr>
            </w:pPr>
          </w:p>
        </w:tc>
        <w:tc>
          <w:tcPr>
            <w:tcW w:w="860" w:type="dxa"/>
            <w:vAlign w:val="bottom"/>
            <w:gridSpan w:val="2"/>
          </w:tcPr>
          <w:p>
            <w:pPr>
              <w:jc w:val="center"/>
              <w:ind w:right="140"/>
              <w:spacing w:after="0" w:line="114" w:lineRule="exact"/>
              <w:rPr>
                <w:sz w:val="20"/>
                <w:szCs w:val="20"/>
                <w:color w:val="auto"/>
              </w:rPr>
            </w:pPr>
            <w:r>
              <w:rPr>
                <w:rFonts w:ascii="Arial" w:cs="Arial" w:eastAsia="Arial" w:hAnsi="Arial"/>
                <w:sz w:val="13"/>
                <w:szCs w:val="13"/>
                <w:b w:val="1"/>
                <w:bCs w:val="1"/>
                <w:color w:val="auto"/>
              </w:rPr>
              <w:t>Micro-</w:t>
            </w:r>
          </w:p>
        </w:tc>
        <w:tc>
          <w:tcPr>
            <w:tcW w:w="86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86"/>
              </w:rPr>
              <w:t>Consumer</w:t>
            </w:r>
          </w:p>
        </w:tc>
        <w:tc>
          <w:tcPr>
            <w:tcW w:w="700" w:type="dxa"/>
            <w:vAlign w:val="bottom"/>
          </w:tcPr>
          <w:p>
            <w:pPr>
              <w:spacing w:after="0"/>
              <w:rPr>
                <w:sz w:val="9"/>
                <w:szCs w:val="9"/>
                <w:color w:val="auto"/>
              </w:rPr>
            </w:pPr>
          </w:p>
        </w:tc>
        <w:tc>
          <w:tcPr>
            <w:tcW w:w="16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3"/>
        </w:trPr>
        <w:tc>
          <w:tcPr>
            <w:tcW w:w="130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820" w:type="dxa"/>
            <w:vAlign w:val="bottom"/>
            <w:gridSpan w:val="2"/>
          </w:tcPr>
          <w:p>
            <w:pPr>
              <w:jc w:val="center"/>
              <w:ind w:right="100"/>
              <w:spacing w:after="0" w:line="143" w:lineRule="exact"/>
              <w:rPr>
                <w:sz w:val="20"/>
                <w:szCs w:val="20"/>
                <w:color w:val="auto"/>
              </w:rPr>
            </w:pPr>
            <w:r>
              <w:rPr>
                <w:rFonts w:ascii="Arial" w:cs="Arial" w:eastAsia="Arial" w:hAnsi="Arial"/>
                <w:sz w:val="14"/>
                <w:szCs w:val="14"/>
                <w:b w:val="1"/>
                <w:bCs w:val="1"/>
                <w:color w:val="auto"/>
                <w:w w:val="87"/>
              </w:rPr>
              <w:t>mortgage</w:t>
            </w:r>
          </w:p>
        </w:tc>
        <w:tc>
          <w:tcPr>
            <w:tcW w:w="80" w:type="dxa"/>
            <w:vAlign w:val="bottom"/>
          </w:tcPr>
          <w:p>
            <w:pPr>
              <w:spacing w:after="0"/>
              <w:rPr>
                <w:sz w:val="12"/>
                <w:szCs w:val="12"/>
                <w:color w:val="auto"/>
              </w:rPr>
            </w:pPr>
          </w:p>
        </w:tc>
        <w:tc>
          <w:tcPr>
            <w:tcW w:w="860" w:type="dxa"/>
            <w:vAlign w:val="bottom"/>
            <w:gridSpan w:val="2"/>
          </w:tcPr>
          <w:p>
            <w:pPr>
              <w:jc w:val="center"/>
              <w:ind w:right="200"/>
              <w:spacing w:after="0" w:line="143" w:lineRule="exact"/>
              <w:rPr>
                <w:sz w:val="20"/>
                <w:szCs w:val="20"/>
                <w:color w:val="auto"/>
              </w:rPr>
            </w:pPr>
            <w:r>
              <w:rPr>
                <w:rFonts w:ascii="Arial" w:cs="Arial" w:eastAsia="Arial" w:hAnsi="Arial"/>
                <w:sz w:val="14"/>
                <w:szCs w:val="14"/>
                <w:b w:val="1"/>
                <w:bCs w:val="1"/>
                <w:color w:val="auto"/>
                <w:w w:val="82"/>
              </w:rPr>
              <w:t>business</w:t>
            </w:r>
          </w:p>
        </w:tc>
        <w:tc>
          <w:tcPr>
            <w:tcW w:w="860" w:type="dxa"/>
            <w:vAlign w:val="bottom"/>
            <w:gridSpan w:val="2"/>
            <w:vMerge w:val="continue"/>
          </w:tcPr>
          <w:p>
            <w:pPr>
              <w:spacing w:after="0"/>
              <w:rPr>
                <w:sz w:val="12"/>
                <w:szCs w:val="12"/>
                <w:color w:val="auto"/>
              </w:rPr>
            </w:pPr>
          </w:p>
        </w:tc>
        <w:tc>
          <w:tcPr>
            <w:tcW w:w="86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Total</w:t>
            </w:r>
          </w:p>
        </w:tc>
        <w:tc>
          <w:tcPr>
            <w:tcW w:w="500" w:type="dxa"/>
            <w:vAlign w:val="bottom"/>
            <w:vMerge w:val="restart"/>
          </w:tcPr>
          <w:p>
            <w:pPr>
              <w:jc w:val="right"/>
              <w:ind w:right="111"/>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820" w:type="dxa"/>
            <w:vAlign w:val="bottom"/>
            <w:gridSpan w:val="2"/>
          </w:tcPr>
          <w:p>
            <w:pPr>
              <w:jc w:val="center"/>
              <w:ind w:right="100"/>
              <w:spacing w:after="0" w:line="143" w:lineRule="exact"/>
              <w:rPr>
                <w:sz w:val="20"/>
                <w:szCs w:val="20"/>
                <w:color w:val="auto"/>
              </w:rPr>
            </w:pPr>
            <w:r>
              <w:rPr>
                <w:rFonts w:ascii="Arial" w:cs="Arial" w:eastAsia="Arial" w:hAnsi="Arial"/>
                <w:sz w:val="14"/>
                <w:szCs w:val="14"/>
                <w:b w:val="1"/>
                <w:bCs w:val="1"/>
                <w:color w:val="auto"/>
                <w:w w:val="87"/>
              </w:rPr>
              <w:t>mortgage</w:t>
            </w:r>
          </w:p>
        </w:tc>
        <w:tc>
          <w:tcPr>
            <w:tcW w:w="80" w:type="dxa"/>
            <w:vAlign w:val="bottom"/>
          </w:tcPr>
          <w:p>
            <w:pPr>
              <w:spacing w:after="0"/>
              <w:rPr>
                <w:sz w:val="12"/>
                <w:szCs w:val="12"/>
                <w:color w:val="auto"/>
              </w:rPr>
            </w:pPr>
          </w:p>
        </w:tc>
        <w:tc>
          <w:tcPr>
            <w:tcW w:w="860" w:type="dxa"/>
            <w:vAlign w:val="bottom"/>
            <w:gridSpan w:val="2"/>
          </w:tcPr>
          <w:p>
            <w:pPr>
              <w:jc w:val="center"/>
              <w:ind w:right="180"/>
              <w:spacing w:after="0" w:line="143" w:lineRule="exact"/>
              <w:rPr>
                <w:sz w:val="20"/>
                <w:szCs w:val="20"/>
                <w:color w:val="auto"/>
              </w:rPr>
            </w:pPr>
            <w:r>
              <w:rPr>
                <w:rFonts w:ascii="Arial" w:cs="Arial" w:eastAsia="Arial" w:hAnsi="Arial"/>
                <w:sz w:val="14"/>
                <w:szCs w:val="14"/>
                <w:b w:val="1"/>
                <w:bCs w:val="1"/>
                <w:color w:val="auto"/>
                <w:w w:val="79"/>
              </w:rPr>
              <w:t>business</w:t>
            </w:r>
          </w:p>
        </w:tc>
        <w:tc>
          <w:tcPr>
            <w:tcW w:w="860" w:type="dxa"/>
            <w:vAlign w:val="bottom"/>
            <w:gridSpan w:val="2"/>
            <w:vMerge w:val="continue"/>
          </w:tcPr>
          <w:p>
            <w:pPr>
              <w:spacing w:after="0"/>
              <w:rPr>
                <w:sz w:val="12"/>
                <w:szCs w:val="12"/>
                <w:color w:val="auto"/>
              </w:rPr>
            </w:pPr>
          </w:p>
        </w:tc>
        <w:tc>
          <w:tcPr>
            <w:tcW w:w="86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rPr>
              <w:t>Total</w:t>
            </w:r>
          </w:p>
        </w:tc>
        <w:tc>
          <w:tcPr>
            <w:tcW w:w="500" w:type="dxa"/>
            <w:vAlign w:val="bottom"/>
            <w:vMerge w:val="restart"/>
          </w:tcPr>
          <w:p>
            <w:pPr>
              <w:jc w:val="right"/>
              <w:ind w:right="111"/>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1300" w:type="dxa"/>
            <w:vAlign w:val="bottom"/>
          </w:tcPr>
          <w:p>
            <w:pPr>
              <w:spacing w:after="0"/>
              <w:rPr>
                <w:sz w:val="14"/>
                <w:szCs w:val="14"/>
                <w:color w:val="auto"/>
              </w:rPr>
            </w:pPr>
          </w:p>
        </w:tc>
        <w:tc>
          <w:tcPr>
            <w:tcW w:w="9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1"/>
              </w:rPr>
              <w:t>loans</w:t>
            </w:r>
          </w:p>
        </w:tc>
        <w:tc>
          <w:tcPr>
            <w:tcW w:w="8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1"/>
              </w:rPr>
              <w:t>loans</w:t>
            </w:r>
          </w:p>
        </w:tc>
        <w:tc>
          <w:tcPr>
            <w:tcW w:w="80" w:type="dxa"/>
            <w:vAlign w:val="bottom"/>
          </w:tcPr>
          <w:p>
            <w:pPr>
              <w:spacing w:after="0"/>
              <w:rPr>
                <w:sz w:val="14"/>
                <w:szCs w:val="14"/>
                <w:color w:val="auto"/>
              </w:rPr>
            </w:pPr>
          </w:p>
        </w:tc>
        <w:tc>
          <w:tcPr>
            <w:tcW w:w="8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1"/>
              </w:rPr>
              <w:t>loans</w:t>
            </w:r>
          </w:p>
        </w:tc>
        <w:tc>
          <w:tcPr>
            <w:tcW w:w="8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1"/>
              </w:rPr>
              <w:t>loans</w:t>
            </w:r>
          </w:p>
        </w:tc>
        <w:tc>
          <w:tcPr>
            <w:tcW w:w="860" w:type="dxa"/>
            <w:vAlign w:val="bottom"/>
            <w:gridSpan w:val="2"/>
            <w:vMerge w:val="continue"/>
          </w:tcPr>
          <w:p>
            <w:pPr>
              <w:spacing w:after="0"/>
              <w:rPr>
                <w:sz w:val="14"/>
                <w:szCs w:val="14"/>
                <w:color w:val="auto"/>
              </w:rPr>
            </w:pPr>
          </w:p>
        </w:tc>
        <w:tc>
          <w:tcPr>
            <w:tcW w:w="50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7"/>
              </w:rPr>
              <w:t>loans</w:t>
            </w:r>
          </w:p>
        </w:tc>
        <w:tc>
          <w:tcPr>
            <w:tcW w:w="8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1"/>
              </w:rPr>
              <w:t>loans</w:t>
            </w:r>
          </w:p>
        </w:tc>
        <w:tc>
          <w:tcPr>
            <w:tcW w:w="80" w:type="dxa"/>
            <w:vAlign w:val="bottom"/>
          </w:tcPr>
          <w:p>
            <w:pPr>
              <w:spacing w:after="0"/>
              <w:rPr>
                <w:sz w:val="14"/>
                <w:szCs w:val="14"/>
                <w:color w:val="auto"/>
              </w:rPr>
            </w:pPr>
          </w:p>
        </w:tc>
        <w:tc>
          <w:tcPr>
            <w:tcW w:w="8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7"/>
              </w:rPr>
              <w:t>loans</w:t>
            </w:r>
          </w:p>
        </w:tc>
        <w:tc>
          <w:tcPr>
            <w:tcW w:w="8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7"/>
              </w:rPr>
              <w:t>loans</w:t>
            </w:r>
          </w:p>
        </w:tc>
        <w:tc>
          <w:tcPr>
            <w:tcW w:w="860" w:type="dxa"/>
            <w:vAlign w:val="bottom"/>
            <w:gridSpan w:val="2"/>
            <w:vMerge w:val="continue"/>
          </w:tcPr>
          <w:p>
            <w:pPr>
              <w:spacing w:after="0"/>
              <w:rPr>
                <w:sz w:val="14"/>
                <w:szCs w:val="14"/>
                <w:color w:val="auto"/>
              </w:rPr>
            </w:pPr>
          </w:p>
        </w:tc>
        <w:tc>
          <w:tcPr>
            <w:tcW w:w="5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1300" w:type="dxa"/>
            <w:vAlign w:val="bottom"/>
          </w:tcPr>
          <w:p>
            <w:pPr>
              <w:spacing w:after="0"/>
              <w:rPr>
                <w:sz w:val="11"/>
                <w:szCs w:val="11"/>
                <w:color w:val="auto"/>
              </w:rPr>
            </w:pPr>
          </w:p>
        </w:tc>
        <w:tc>
          <w:tcPr>
            <w:tcW w:w="760" w:type="dxa"/>
            <w:vAlign w:val="bottom"/>
            <w:tcBorders>
              <w:top w:val="single" w:sz="8" w:color="auto"/>
              <w:bottom w:val="single" w:sz="8" w:color="auto"/>
            </w:tcBorders>
          </w:tcPr>
          <w:p>
            <w:pPr>
              <w:jc w:val="center"/>
              <w:spacing w:after="0" w:line="136" w:lineRule="exact"/>
              <w:rPr>
                <w:sz w:val="20"/>
                <w:szCs w:val="20"/>
                <w:color w:val="auto"/>
              </w:rPr>
            </w:pPr>
            <w:r>
              <w:rPr>
                <w:rFonts w:ascii="Arial" w:cs="Arial" w:eastAsia="Arial" w:hAnsi="Arial"/>
                <w:sz w:val="14"/>
                <w:szCs w:val="14"/>
                <w:b w:val="1"/>
                <w:bCs w:val="1"/>
                <w:color w:val="auto"/>
                <w:w w:val="91"/>
              </w:rPr>
              <w:t>S/(000)</w:t>
            </w:r>
          </w:p>
        </w:tc>
        <w:tc>
          <w:tcPr>
            <w:tcW w:w="160" w:type="dxa"/>
            <w:vAlign w:val="bottom"/>
          </w:tcPr>
          <w:p>
            <w:pPr>
              <w:spacing w:after="0"/>
              <w:rPr>
                <w:sz w:val="11"/>
                <w:szCs w:val="11"/>
                <w:color w:val="auto"/>
              </w:rPr>
            </w:pPr>
          </w:p>
        </w:tc>
        <w:tc>
          <w:tcPr>
            <w:tcW w:w="740" w:type="dxa"/>
            <w:vAlign w:val="bottom"/>
            <w:tcBorders>
              <w:top w:val="single" w:sz="8" w:color="auto"/>
              <w:bottom w:val="single" w:sz="8" w:color="auto"/>
            </w:tcBorders>
          </w:tcPr>
          <w:p>
            <w:pPr>
              <w:jc w:val="center"/>
              <w:spacing w:after="0" w:line="136" w:lineRule="exact"/>
              <w:rPr>
                <w:sz w:val="20"/>
                <w:szCs w:val="20"/>
                <w:color w:val="auto"/>
              </w:rPr>
            </w:pPr>
            <w:r>
              <w:rPr>
                <w:rFonts w:ascii="Arial" w:cs="Arial" w:eastAsia="Arial" w:hAnsi="Arial"/>
                <w:sz w:val="14"/>
                <w:szCs w:val="14"/>
                <w:b w:val="1"/>
                <w:bCs w:val="1"/>
                <w:color w:val="auto"/>
                <w:w w:val="91"/>
              </w:rPr>
              <w:t>S/(000)</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Borders>
              <w:top w:val="single" w:sz="8" w:color="auto"/>
              <w:bottom w:val="single" w:sz="8" w:color="auto"/>
            </w:tcBorders>
          </w:tcPr>
          <w:p>
            <w:pPr>
              <w:jc w:val="center"/>
              <w:spacing w:after="0" w:line="136" w:lineRule="exact"/>
              <w:rPr>
                <w:sz w:val="20"/>
                <w:szCs w:val="20"/>
                <w:color w:val="auto"/>
              </w:rPr>
            </w:pPr>
            <w:r>
              <w:rPr>
                <w:rFonts w:ascii="Arial" w:cs="Arial" w:eastAsia="Arial" w:hAnsi="Arial"/>
                <w:sz w:val="14"/>
                <w:szCs w:val="14"/>
                <w:b w:val="1"/>
                <w:bCs w:val="1"/>
                <w:color w:val="auto"/>
                <w:w w:val="91"/>
              </w:rPr>
              <w:t>S/(000)</w:t>
            </w:r>
          </w:p>
        </w:tc>
        <w:tc>
          <w:tcPr>
            <w:tcW w:w="160" w:type="dxa"/>
            <w:vAlign w:val="bottom"/>
          </w:tcPr>
          <w:p>
            <w:pPr>
              <w:spacing w:after="0"/>
              <w:rPr>
                <w:sz w:val="11"/>
                <w:szCs w:val="11"/>
                <w:color w:val="auto"/>
              </w:rPr>
            </w:pPr>
          </w:p>
        </w:tc>
        <w:tc>
          <w:tcPr>
            <w:tcW w:w="700" w:type="dxa"/>
            <w:vAlign w:val="bottom"/>
            <w:tcBorders>
              <w:top w:val="single" w:sz="8" w:color="auto"/>
              <w:bottom w:val="single" w:sz="8" w:color="auto"/>
            </w:tcBorders>
          </w:tcPr>
          <w:p>
            <w:pPr>
              <w:jc w:val="center"/>
              <w:spacing w:after="0" w:line="136" w:lineRule="exact"/>
              <w:rPr>
                <w:sz w:val="20"/>
                <w:szCs w:val="20"/>
                <w:color w:val="auto"/>
              </w:rPr>
            </w:pPr>
            <w:r>
              <w:rPr>
                <w:rFonts w:ascii="Arial" w:cs="Arial" w:eastAsia="Arial" w:hAnsi="Arial"/>
                <w:sz w:val="14"/>
                <w:szCs w:val="14"/>
                <w:b w:val="1"/>
                <w:bCs w:val="1"/>
                <w:color w:val="auto"/>
                <w:w w:val="91"/>
              </w:rPr>
              <w:t>S/(000)</w:t>
            </w:r>
          </w:p>
        </w:tc>
        <w:tc>
          <w:tcPr>
            <w:tcW w:w="160" w:type="dxa"/>
            <w:vAlign w:val="bottom"/>
          </w:tcPr>
          <w:p>
            <w:pPr>
              <w:spacing w:after="0"/>
              <w:rPr>
                <w:sz w:val="11"/>
                <w:szCs w:val="11"/>
                <w:color w:val="auto"/>
              </w:rPr>
            </w:pPr>
          </w:p>
        </w:tc>
        <w:tc>
          <w:tcPr>
            <w:tcW w:w="700" w:type="dxa"/>
            <w:vAlign w:val="bottom"/>
            <w:tcBorders>
              <w:top w:val="single" w:sz="8" w:color="auto"/>
              <w:bottom w:val="single" w:sz="8" w:color="auto"/>
            </w:tcBorders>
          </w:tcPr>
          <w:p>
            <w:pPr>
              <w:jc w:val="right"/>
              <w:ind w:right="71"/>
              <w:spacing w:after="0" w:line="136" w:lineRule="exact"/>
              <w:rPr>
                <w:sz w:val="20"/>
                <w:szCs w:val="20"/>
                <w:color w:val="auto"/>
              </w:rPr>
            </w:pPr>
            <w:r>
              <w:rPr>
                <w:rFonts w:ascii="Arial" w:cs="Arial" w:eastAsia="Arial" w:hAnsi="Arial"/>
                <w:sz w:val="14"/>
                <w:szCs w:val="14"/>
                <w:b w:val="1"/>
                <w:bCs w:val="1"/>
                <w:color w:val="auto"/>
              </w:rPr>
              <w:t>S/(000)</w:t>
            </w:r>
          </w:p>
        </w:tc>
        <w:tc>
          <w:tcPr>
            <w:tcW w:w="160" w:type="dxa"/>
            <w:vAlign w:val="bottom"/>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Borders>
              <w:top w:val="single" w:sz="8" w:color="auto"/>
              <w:bottom w:val="single" w:sz="8" w:color="auto"/>
            </w:tcBorders>
          </w:tcPr>
          <w:p>
            <w:pPr>
              <w:jc w:val="center"/>
              <w:spacing w:after="0" w:line="136" w:lineRule="exact"/>
              <w:rPr>
                <w:sz w:val="20"/>
                <w:szCs w:val="20"/>
                <w:color w:val="auto"/>
              </w:rPr>
            </w:pPr>
            <w:r>
              <w:rPr>
                <w:rFonts w:ascii="Arial" w:cs="Arial" w:eastAsia="Arial" w:hAnsi="Arial"/>
                <w:sz w:val="14"/>
                <w:szCs w:val="14"/>
                <w:b w:val="1"/>
                <w:bCs w:val="1"/>
                <w:color w:val="auto"/>
                <w:w w:val="87"/>
              </w:rPr>
              <w:t>S/(000)</w:t>
            </w:r>
          </w:p>
        </w:tc>
        <w:tc>
          <w:tcPr>
            <w:tcW w:w="160" w:type="dxa"/>
            <w:vAlign w:val="bottom"/>
          </w:tcPr>
          <w:p>
            <w:pPr>
              <w:spacing w:after="0"/>
              <w:rPr>
                <w:sz w:val="11"/>
                <w:szCs w:val="11"/>
                <w:color w:val="auto"/>
              </w:rPr>
            </w:pPr>
          </w:p>
        </w:tc>
        <w:tc>
          <w:tcPr>
            <w:tcW w:w="760" w:type="dxa"/>
            <w:vAlign w:val="bottom"/>
            <w:tcBorders>
              <w:top w:val="single" w:sz="8" w:color="auto"/>
              <w:bottom w:val="single" w:sz="8" w:color="auto"/>
            </w:tcBorders>
          </w:tcPr>
          <w:p>
            <w:pPr>
              <w:jc w:val="center"/>
              <w:spacing w:after="0" w:line="136" w:lineRule="exact"/>
              <w:rPr>
                <w:sz w:val="20"/>
                <w:szCs w:val="20"/>
                <w:color w:val="auto"/>
              </w:rPr>
            </w:pPr>
            <w:r>
              <w:rPr>
                <w:rFonts w:ascii="Arial" w:cs="Arial" w:eastAsia="Arial" w:hAnsi="Arial"/>
                <w:sz w:val="14"/>
                <w:szCs w:val="14"/>
                <w:b w:val="1"/>
                <w:bCs w:val="1"/>
                <w:color w:val="auto"/>
                <w:w w:val="91"/>
              </w:rPr>
              <w:t>S/(000)</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Borders>
              <w:top w:val="single" w:sz="8" w:color="auto"/>
              <w:bottom w:val="single" w:sz="8" w:color="auto"/>
            </w:tcBorders>
          </w:tcPr>
          <w:p>
            <w:pPr>
              <w:jc w:val="center"/>
              <w:spacing w:after="0" w:line="136" w:lineRule="exact"/>
              <w:rPr>
                <w:sz w:val="20"/>
                <w:szCs w:val="20"/>
                <w:color w:val="auto"/>
              </w:rPr>
            </w:pPr>
            <w:r>
              <w:rPr>
                <w:rFonts w:ascii="Arial" w:cs="Arial" w:eastAsia="Arial" w:hAnsi="Arial"/>
                <w:sz w:val="14"/>
                <w:szCs w:val="14"/>
                <w:b w:val="1"/>
                <w:bCs w:val="1"/>
                <w:color w:val="auto"/>
                <w:w w:val="87"/>
              </w:rPr>
              <w:t>S/(000)</w:t>
            </w:r>
          </w:p>
        </w:tc>
        <w:tc>
          <w:tcPr>
            <w:tcW w:w="160" w:type="dxa"/>
            <w:vAlign w:val="bottom"/>
          </w:tcPr>
          <w:p>
            <w:pPr>
              <w:spacing w:after="0"/>
              <w:rPr>
                <w:sz w:val="11"/>
                <w:szCs w:val="11"/>
                <w:color w:val="auto"/>
              </w:rPr>
            </w:pPr>
          </w:p>
        </w:tc>
        <w:tc>
          <w:tcPr>
            <w:tcW w:w="700" w:type="dxa"/>
            <w:vAlign w:val="bottom"/>
            <w:tcBorders>
              <w:top w:val="single" w:sz="8" w:color="auto"/>
              <w:bottom w:val="single" w:sz="8" w:color="auto"/>
            </w:tcBorders>
          </w:tcPr>
          <w:p>
            <w:pPr>
              <w:jc w:val="center"/>
              <w:spacing w:after="0" w:line="136" w:lineRule="exact"/>
              <w:rPr>
                <w:sz w:val="20"/>
                <w:szCs w:val="20"/>
                <w:color w:val="auto"/>
              </w:rPr>
            </w:pPr>
            <w:r>
              <w:rPr>
                <w:rFonts w:ascii="Arial" w:cs="Arial" w:eastAsia="Arial" w:hAnsi="Arial"/>
                <w:sz w:val="14"/>
                <w:szCs w:val="14"/>
                <w:b w:val="1"/>
                <w:bCs w:val="1"/>
                <w:color w:val="auto"/>
                <w:w w:val="91"/>
              </w:rPr>
              <w:t>S/(000)</w:t>
            </w:r>
          </w:p>
        </w:tc>
        <w:tc>
          <w:tcPr>
            <w:tcW w:w="160" w:type="dxa"/>
            <w:vAlign w:val="bottom"/>
          </w:tcPr>
          <w:p>
            <w:pPr>
              <w:spacing w:after="0"/>
              <w:rPr>
                <w:sz w:val="11"/>
                <w:szCs w:val="11"/>
                <w:color w:val="auto"/>
              </w:rPr>
            </w:pPr>
          </w:p>
        </w:tc>
        <w:tc>
          <w:tcPr>
            <w:tcW w:w="700" w:type="dxa"/>
            <w:vAlign w:val="bottom"/>
            <w:tcBorders>
              <w:top w:val="single" w:sz="8" w:color="auto"/>
              <w:bottom w:val="single" w:sz="8" w:color="auto"/>
            </w:tcBorders>
          </w:tcPr>
          <w:p>
            <w:pPr>
              <w:jc w:val="right"/>
              <w:ind w:right="71"/>
              <w:spacing w:after="0" w:line="136" w:lineRule="exact"/>
              <w:rPr>
                <w:sz w:val="20"/>
                <w:szCs w:val="20"/>
                <w:color w:val="auto"/>
              </w:rPr>
            </w:pPr>
            <w:r>
              <w:rPr>
                <w:rFonts w:ascii="Arial" w:cs="Arial" w:eastAsia="Arial" w:hAnsi="Arial"/>
                <w:sz w:val="14"/>
                <w:szCs w:val="14"/>
                <w:b w:val="1"/>
                <w:bCs w:val="1"/>
                <w:color w:val="auto"/>
              </w:rPr>
              <w:t>S/(000)</w:t>
            </w:r>
          </w:p>
        </w:tc>
        <w:tc>
          <w:tcPr>
            <w:tcW w:w="160" w:type="dxa"/>
            <w:vAlign w:val="bottom"/>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13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1300" w:type="dxa"/>
            <w:vAlign w:val="bottom"/>
            <w:shd w:val="clear" w:color="auto" w:fill="CCEEFF"/>
          </w:tcPr>
          <w:p>
            <w:pPr>
              <w:spacing w:after="0" w:line="121" w:lineRule="exact"/>
              <w:rPr>
                <w:sz w:val="20"/>
                <w:szCs w:val="20"/>
                <w:color w:val="auto"/>
              </w:rPr>
            </w:pPr>
            <w:r>
              <w:rPr>
                <w:rFonts w:ascii="Arial" w:cs="Arial" w:eastAsia="Arial" w:hAnsi="Arial"/>
                <w:sz w:val="13"/>
                <w:szCs w:val="13"/>
                <w:b w:val="1"/>
                <w:bCs w:val="1"/>
                <w:color w:val="auto"/>
              </w:rPr>
              <w:t>Neither past due</w:t>
            </w:r>
          </w:p>
        </w:tc>
        <w:tc>
          <w:tcPr>
            <w:tcW w:w="7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1300" w:type="dxa"/>
            <w:vAlign w:val="bottom"/>
            <w:shd w:val="clear" w:color="auto" w:fill="CCEEFF"/>
          </w:tcPr>
          <w:p>
            <w:pPr>
              <w:spacing w:after="0" w:line="143" w:lineRule="exact"/>
              <w:rPr>
                <w:sz w:val="20"/>
                <w:szCs w:val="20"/>
                <w:color w:val="auto"/>
              </w:rPr>
            </w:pPr>
            <w:r>
              <w:rPr>
                <w:rFonts w:ascii="Arial" w:cs="Arial" w:eastAsia="Arial" w:hAnsi="Arial"/>
                <w:sz w:val="14"/>
                <w:szCs w:val="14"/>
                <w:b w:val="1"/>
                <w:bCs w:val="1"/>
                <w:color w:val="auto"/>
              </w:rPr>
              <w:t>nor impaired</w:t>
            </w:r>
          </w:p>
        </w:tc>
        <w:tc>
          <w:tcPr>
            <w:tcW w:w="7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130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impaired</w:t>
            </w:r>
          </w:p>
        </w:tc>
        <w:tc>
          <w:tcPr>
            <w:tcW w:w="7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1300" w:type="dxa"/>
            <w:vAlign w:val="bottom"/>
          </w:tcPr>
          <w:p>
            <w:pPr>
              <w:spacing w:after="0" w:line="143" w:lineRule="exact"/>
              <w:rPr>
                <w:sz w:val="20"/>
                <w:szCs w:val="20"/>
                <w:color w:val="auto"/>
              </w:rPr>
            </w:pPr>
            <w:r>
              <w:rPr>
                <w:rFonts w:ascii="Arial" w:cs="Arial" w:eastAsia="Arial" w:hAnsi="Arial"/>
                <w:sz w:val="14"/>
                <w:szCs w:val="14"/>
                <w:color w:val="auto"/>
              </w:rPr>
              <w:t>Normal</w:t>
            </w:r>
          </w:p>
        </w:tc>
        <w:tc>
          <w:tcPr>
            <w:tcW w:w="920" w:type="dxa"/>
            <w:vAlign w:val="bottom"/>
            <w:gridSpan w:val="2"/>
          </w:tcPr>
          <w:p>
            <w:pPr>
              <w:jc w:val="right"/>
              <w:ind w:right="160"/>
              <w:spacing w:after="0" w:line="143" w:lineRule="exact"/>
              <w:rPr>
                <w:sz w:val="20"/>
                <w:szCs w:val="20"/>
                <w:color w:val="auto"/>
              </w:rPr>
            </w:pPr>
            <w:r>
              <w:rPr>
                <w:rFonts w:ascii="Arial" w:cs="Arial" w:eastAsia="Arial" w:hAnsi="Arial"/>
                <w:sz w:val="14"/>
                <w:szCs w:val="14"/>
                <w:color w:val="auto"/>
              </w:rPr>
              <w:t>55,043,920</w:t>
            </w:r>
          </w:p>
        </w:tc>
        <w:tc>
          <w:tcPr>
            <w:tcW w:w="820" w:type="dxa"/>
            <w:vAlign w:val="bottom"/>
            <w:gridSpan w:val="2"/>
          </w:tcPr>
          <w:p>
            <w:pPr>
              <w:jc w:val="right"/>
              <w:ind w:right="80"/>
              <w:spacing w:after="0" w:line="143" w:lineRule="exact"/>
              <w:rPr>
                <w:sz w:val="20"/>
                <w:szCs w:val="20"/>
                <w:color w:val="auto"/>
              </w:rPr>
            </w:pPr>
            <w:r>
              <w:rPr>
                <w:rFonts w:ascii="Arial" w:cs="Arial" w:eastAsia="Arial" w:hAnsi="Arial"/>
                <w:sz w:val="14"/>
                <w:szCs w:val="14"/>
                <w:color w:val="auto"/>
              </w:rPr>
              <w:t>14,003,445</w:t>
            </w:r>
          </w:p>
        </w:tc>
        <w:tc>
          <w:tcPr>
            <w:tcW w:w="780" w:type="dxa"/>
            <w:vAlign w:val="bottom"/>
            <w:gridSpan w:val="2"/>
          </w:tcPr>
          <w:p>
            <w:pPr>
              <w:jc w:val="right"/>
              <w:spacing w:after="0" w:line="143" w:lineRule="exact"/>
              <w:rPr>
                <w:sz w:val="20"/>
                <w:szCs w:val="20"/>
                <w:color w:val="auto"/>
              </w:rPr>
            </w:pPr>
            <w:r>
              <w:rPr>
                <w:rFonts w:ascii="Arial" w:cs="Arial" w:eastAsia="Arial" w:hAnsi="Arial"/>
                <w:sz w:val="14"/>
                <w:szCs w:val="14"/>
                <w:color w:val="auto"/>
              </w:rPr>
              <w:t>12,048,576</w:t>
            </w:r>
          </w:p>
        </w:tc>
        <w:tc>
          <w:tcPr>
            <w:tcW w:w="160" w:type="dxa"/>
            <w:vAlign w:val="bottom"/>
          </w:tcPr>
          <w:p>
            <w:pPr>
              <w:spacing w:after="0"/>
              <w:rPr>
                <w:sz w:val="12"/>
                <w:szCs w:val="12"/>
                <w:color w:val="auto"/>
              </w:rPr>
            </w:pPr>
          </w:p>
        </w:tc>
        <w:tc>
          <w:tcPr>
            <w:tcW w:w="860" w:type="dxa"/>
            <w:vAlign w:val="bottom"/>
            <w:gridSpan w:val="2"/>
          </w:tcPr>
          <w:p>
            <w:pPr>
              <w:jc w:val="right"/>
              <w:ind w:right="160"/>
              <w:spacing w:after="0" w:line="143" w:lineRule="exact"/>
              <w:rPr>
                <w:sz w:val="20"/>
                <w:szCs w:val="20"/>
                <w:color w:val="auto"/>
              </w:rPr>
            </w:pPr>
            <w:r>
              <w:rPr>
                <w:rFonts w:ascii="Arial" w:cs="Arial" w:eastAsia="Arial" w:hAnsi="Arial"/>
                <w:sz w:val="14"/>
                <w:szCs w:val="14"/>
                <w:color w:val="auto"/>
                <w:w w:val="96"/>
              </w:rPr>
              <w:t>10,685,098</w:t>
            </w:r>
          </w:p>
        </w:tc>
        <w:tc>
          <w:tcPr>
            <w:tcW w:w="700" w:type="dxa"/>
            <w:vAlign w:val="bottom"/>
          </w:tcPr>
          <w:p>
            <w:pPr>
              <w:jc w:val="right"/>
              <w:spacing w:after="0" w:line="143" w:lineRule="exact"/>
              <w:rPr>
                <w:sz w:val="20"/>
                <w:szCs w:val="20"/>
                <w:color w:val="auto"/>
              </w:rPr>
            </w:pPr>
            <w:r>
              <w:rPr>
                <w:rFonts w:ascii="Arial" w:cs="Arial" w:eastAsia="Arial" w:hAnsi="Arial"/>
                <w:sz w:val="14"/>
                <w:szCs w:val="14"/>
                <w:color w:val="auto"/>
                <w:w w:val="96"/>
              </w:rPr>
              <w:t>91,781,039</w:t>
            </w:r>
          </w:p>
        </w:tc>
        <w:tc>
          <w:tcPr>
            <w:tcW w:w="160" w:type="dxa"/>
            <w:vAlign w:val="bottom"/>
          </w:tcPr>
          <w:p>
            <w:pPr>
              <w:spacing w:after="0"/>
              <w:rPr>
                <w:sz w:val="12"/>
                <w:szCs w:val="12"/>
                <w:color w:val="auto"/>
              </w:rPr>
            </w:pPr>
          </w:p>
        </w:tc>
        <w:tc>
          <w:tcPr>
            <w:tcW w:w="700" w:type="dxa"/>
            <w:vAlign w:val="bottom"/>
            <w:gridSpan w:val="2"/>
          </w:tcPr>
          <w:p>
            <w:pPr>
              <w:jc w:val="right"/>
              <w:ind w:right="11"/>
              <w:spacing w:after="0" w:line="143" w:lineRule="exact"/>
              <w:rPr>
                <w:sz w:val="20"/>
                <w:szCs w:val="20"/>
                <w:color w:val="auto"/>
              </w:rPr>
            </w:pPr>
            <w:r>
              <w:rPr>
                <w:rFonts w:ascii="Arial" w:cs="Arial" w:eastAsia="Arial" w:hAnsi="Arial"/>
                <w:sz w:val="14"/>
                <w:szCs w:val="14"/>
                <w:color w:val="auto"/>
              </w:rPr>
              <w:t>96.34%</w:t>
            </w:r>
          </w:p>
        </w:tc>
        <w:tc>
          <w:tcPr>
            <w:tcW w:w="760" w:type="dxa"/>
            <w:vAlign w:val="bottom"/>
          </w:tcPr>
          <w:p>
            <w:pPr>
              <w:jc w:val="right"/>
              <w:spacing w:after="0" w:line="143" w:lineRule="exact"/>
              <w:rPr>
                <w:sz w:val="20"/>
                <w:szCs w:val="20"/>
                <w:color w:val="auto"/>
              </w:rPr>
            </w:pPr>
            <w:r>
              <w:rPr>
                <w:rFonts w:ascii="Arial" w:cs="Arial" w:eastAsia="Arial" w:hAnsi="Arial"/>
                <w:sz w:val="14"/>
                <w:szCs w:val="14"/>
                <w:color w:val="auto"/>
              </w:rPr>
              <w:t>50,984,455</w:t>
            </w:r>
          </w:p>
        </w:tc>
        <w:tc>
          <w:tcPr>
            <w:tcW w:w="160" w:type="dxa"/>
            <w:vAlign w:val="bottom"/>
          </w:tcPr>
          <w:p>
            <w:pPr>
              <w:spacing w:after="0"/>
              <w:rPr>
                <w:sz w:val="12"/>
                <w:szCs w:val="12"/>
                <w:color w:val="auto"/>
              </w:rPr>
            </w:pPr>
          </w:p>
        </w:tc>
        <w:tc>
          <w:tcPr>
            <w:tcW w:w="820" w:type="dxa"/>
            <w:vAlign w:val="bottom"/>
            <w:gridSpan w:val="2"/>
          </w:tcPr>
          <w:p>
            <w:pPr>
              <w:jc w:val="right"/>
              <w:ind w:right="60"/>
              <w:spacing w:after="0" w:line="143" w:lineRule="exact"/>
              <w:rPr>
                <w:sz w:val="20"/>
                <w:szCs w:val="20"/>
                <w:color w:val="auto"/>
              </w:rPr>
            </w:pPr>
            <w:r>
              <w:rPr>
                <w:rFonts w:ascii="Arial" w:cs="Arial" w:eastAsia="Arial" w:hAnsi="Arial"/>
                <w:sz w:val="14"/>
                <w:szCs w:val="14"/>
                <w:color w:val="auto"/>
              </w:rPr>
              <w:t>13,052,249</w:t>
            </w:r>
          </w:p>
        </w:tc>
        <w:tc>
          <w:tcPr>
            <w:tcW w:w="940" w:type="dxa"/>
            <w:vAlign w:val="bottom"/>
            <w:gridSpan w:val="3"/>
          </w:tcPr>
          <w:p>
            <w:pPr>
              <w:jc w:val="right"/>
              <w:ind w:right="160"/>
              <w:spacing w:after="0" w:line="143" w:lineRule="exact"/>
              <w:rPr>
                <w:sz w:val="20"/>
                <w:szCs w:val="20"/>
                <w:color w:val="auto"/>
              </w:rPr>
            </w:pPr>
            <w:r>
              <w:rPr>
                <w:rFonts w:ascii="Arial" w:cs="Arial" w:eastAsia="Arial" w:hAnsi="Arial"/>
                <w:sz w:val="14"/>
                <w:szCs w:val="14"/>
                <w:color w:val="auto"/>
              </w:rPr>
              <w:t>11,292,194</w:t>
            </w:r>
          </w:p>
        </w:tc>
        <w:tc>
          <w:tcPr>
            <w:tcW w:w="860" w:type="dxa"/>
            <w:vAlign w:val="bottom"/>
            <w:gridSpan w:val="2"/>
          </w:tcPr>
          <w:p>
            <w:pPr>
              <w:jc w:val="right"/>
              <w:ind w:right="160"/>
              <w:spacing w:after="0" w:line="143" w:lineRule="exact"/>
              <w:rPr>
                <w:sz w:val="20"/>
                <w:szCs w:val="20"/>
                <w:color w:val="auto"/>
              </w:rPr>
            </w:pPr>
            <w:r>
              <w:rPr>
                <w:rFonts w:ascii="Arial" w:cs="Arial" w:eastAsia="Arial" w:hAnsi="Arial"/>
                <w:sz w:val="14"/>
                <w:szCs w:val="14"/>
                <w:color w:val="auto"/>
                <w:w w:val="96"/>
              </w:rPr>
              <w:t>11,105,796</w:t>
            </w:r>
          </w:p>
        </w:tc>
        <w:tc>
          <w:tcPr>
            <w:tcW w:w="860" w:type="dxa"/>
            <w:vAlign w:val="bottom"/>
            <w:gridSpan w:val="2"/>
          </w:tcPr>
          <w:p>
            <w:pPr>
              <w:jc w:val="right"/>
              <w:ind w:right="160"/>
              <w:spacing w:after="0" w:line="143" w:lineRule="exact"/>
              <w:rPr>
                <w:sz w:val="20"/>
                <w:szCs w:val="20"/>
                <w:color w:val="auto"/>
              </w:rPr>
            </w:pPr>
            <w:r>
              <w:rPr>
                <w:rFonts w:ascii="Arial" w:cs="Arial" w:eastAsia="Arial" w:hAnsi="Arial"/>
                <w:sz w:val="14"/>
                <w:szCs w:val="14"/>
                <w:color w:val="auto"/>
                <w:w w:val="96"/>
              </w:rPr>
              <w:t>86,434,694</w:t>
            </w:r>
          </w:p>
        </w:tc>
        <w:tc>
          <w:tcPr>
            <w:tcW w:w="620" w:type="dxa"/>
            <w:vAlign w:val="bottom"/>
            <w:gridSpan w:val="2"/>
          </w:tcPr>
          <w:p>
            <w:pPr>
              <w:jc w:val="right"/>
              <w:spacing w:after="0" w:line="143" w:lineRule="exact"/>
              <w:rPr>
                <w:sz w:val="20"/>
                <w:szCs w:val="20"/>
                <w:color w:val="auto"/>
              </w:rPr>
            </w:pPr>
            <w:r>
              <w:rPr>
                <w:rFonts w:ascii="Arial" w:cs="Arial" w:eastAsia="Arial" w:hAnsi="Arial"/>
                <w:sz w:val="14"/>
                <w:szCs w:val="14"/>
                <w:color w:val="auto"/>
              </w:rPr>
              <w:t>96.15%</w:t>
            </w:r>
          </w:p>
        </w:tc>
        <w:tc>
          <w:tcPr>
            <w:tcW w:w="0" w:type="dxa"/>
            <w:vAlign w:val="bottom"/>
          </w:tcPr>
          <w:p>
            <w:pPr>
              <w:spacing w:after="0"/>
              <w:rPr>
                <w:sz w:val="1"/>
                <w:szCs w:val="1"/>
                <w:color w:val="auto"/>
              </w:rPr>
            </w:pPr>
          </w:p>
        </w:tc>
      </w:tr>
      <w:tr>
        <w:trPr>
          <w:trHeight w:val="143"/>
        </w:trPr>
        <w:tc>
          <w:tcPr>
            <w:tcW w:w="130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rPr>
              <w:t>Potential problem</w:t>
            </w:r>
          </w:p>
        </w:tc>
        <w:tc>
          <w:tcPr>
            <w:tcW w:w="920" w:type="dxa"/>
            <w:vAlign w:val="bottom"/>
            <w:gridSpan w:val="2"/>
            <w:shd w:val="clear" w:color="auto" w:fill="CCEEFF"/>
          </w:tcPr>
          <w:p>
            <w:pPr>
              <w:jc w:val="right"/>
              <w:ind w:right="160"/>
              <w:spacing w:after="0" w:line="143" w:lineRule="exact"/>
              <w:rPr>
                <w:sz w:val="20"/>
                <w:szCs w:val="20"/>
                <w:color w:val="auto"/>
              </w:rPr>
            </w:pPr>
            <w:r>
              <w:rPr>
                <w:rFonts w:ascii="Arial" w:cs="Arial" w:eastAsia="Arial" w:hAnsi="Arial"/>
                <w:sz w:val="14"/>
                <w:szCs w:val="14"/>
                <w:color w:val="auto"/>
              </w:rPr>
              <w:t>1,081,497</w:t>
            </w:r>
          </w:p>
        </w:tc>
        <w:tc>
          <w:tcPr>
            <w:tcW w:w="820" w:type="dxa"/>
            <w:vAlign w:val="bottom"/>
            <w:gridSpan w:val="2"/>
            <w:shd w:val="clear" w:color="auto" w:fill="CCEEFF"/>
          </w:tcPr>
          <w:p>
            <w:pPr>
              <w:jc w:val="right"/>
              <w:ind w:right="80"/>
              <w:spacing w:after="0" w:line="143" w:lineRule="exact"/>
              <w:rPr>
                <w:sz w:val="20"/>
                <w:szCs w:val="20"/>
                <w:color w:val="auto"/>
              </w:rPr>
            </w:pPr>
            <w:r>
              <w:rPr>
                <w:rFonts w:ascii="Arial" w:cs="Arial" w:eastAsia="Arial" w:hAnsi="Arial"/>
                <w:sz w:val="14"/>
                <w:szCs w:val="14"/>
                <w:color w:val="auto"/>
              </w:rPr>
              <w:t>61,482</w:t>
            </w:r>
          </w:p>
        </w:tc>
        <w:tc>
          <w:tcPr>
            <w:tcW w:w="940" w:type="dxa"/>
            <w:vAlign w:val="bottom"/>
            <w:gridSpan w:val="3"/>
            <w:shd w:val="clear" w:color="auto" w:fill="CCEEFF"/>
          </w:tcPr>
          <w:p>
            <w:pPr>
              <w:jc w:val="right"/>
              <w:ind w:right="160"/>
              <w:spacing w:after="0" w:line="143" w:lineRule="exact"/>
              <w:rPr>
                <w:sz w:val="20"/>
                <w:szCs w:val="20"/>
                <w:color w:val="auto"/>
              </w:rPr>
            </w:pPr>
            <w:r>
              <w:rPr>
                <w:rFonts w:ascii="Arial" w:cs="Arial" w:eastAsia="Arial" w:hAnsi="Arial"/>
                <w:sz w:val="14"/>
                <w:szCs w:val="14"/>
                <w:color w:val="auto"/>
              </w:rPr>
              <w:t>240,063</w:t>
            </w:r>
          </w:p>
        </w:tc>
        <w:tc>
          <w:tcPr>
            <w:tcW w:w="860" w:type="dxa"/>
            <w:vAlign w:val="bottom"/>
            <w:gridSpan w:val="2"/>
            <w:shd w:val="clear" w:color="auto" w:fill="CCEEFF"/>
          </w:tcPr>
          <w:p>
            <w:pPr>
              <w:jc w:val="right"/>
              <w:ind w:right="160"/>
              <w:spacing w:after="0" w:line="143" w:lineRule="exact"/>
              <w:rPr>
                <w:sz w:val="20"/>
                <w:szCs w:val="20"/>
                <w:color w:val="auto"/>
              </w:rPr>
            </w:pPr>
            <w:r>
              <w:rPr>
                <w:rFonts w:ascii="Arial" w:cs="Arial" w:eastAsia="Arial" w:hAnsi="Arial"/>
                <w:sz w:val="14"/>
                <w:szCs w:val="14"/>
                <w:color w:val="auto"/>
              </w:rPr>
              <w:t>104,359</w:t>
            </w:r>
          </w:p>
        </w:tc>
        <w:tc>
          <w:tcPr>
            <w:tcW w:w="70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rPr>
              <w:t>1,487,401</w:t>
            </w:r>
          </w:p>
        </w:tc>
        <w:tc>
          <w:tcPr>
            <w:tcW w:w="16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1"/>
              <w:spacing w:after="0" w:line="143" w:lineRule="exact"/>
              <w:rPr>
                <w:sz w:val="20"/>
                <w:szCs w:val="20"/>
                <w:color w:val="auto"/>
              </w:rPr>
            </w:pPr>
            <w:r>
              <w:rPr>
                <w:rFonts w:ascii="Arial" w:cs="Arial" w:eastAsia="Arial" w:hAnsi="Arial"/>
                <w:sz w:val="14"/>
                <w:szCs w:val="14"/>
                <w:color w:val="auto"/>
              </w:rPr>
              <w:t>1.56%</w:t>
            </w:r>
          </w:p>
        </w:tc>
        <w:tc>
          <w:tcPr>
            <w:tcW w:w="76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rPr>
              <w:t>1,367,997</w:t>
            </w:r>
          </w:p>
        </w:tc>
        <w:tc>
          <w:tcPr>
            <w:tcW w:w="1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60"/>
              <w:spacing w:after="0" w:line="143" w:lineRule="exact"/>
              <w:rPr>
                <w:sz w:val="20"/>
                <w:szCs w:val="20"/>
                <w:color w:val="auto"/>
              </w:rPr>
            </w:pPr>
            <w:r>
              <w:rPr>
                <w:rFonts w:ascii="Arial" w:cs="Arial" w:eastAsia="Arial" w:hAnsi="Arial"/>
                <w:sz w:val="14"/>
                <w:szCs w:val="14"/>
                <w:color w:val="auto"/>
              </w:rPr>
              <w:t>76,585</w:t>
            </w:r>
          </w:p>
        </w:tc>
        <w:tc>
          <w:tcPr>
            <w:tcW w:w="940" w:type="dxa"/>
            <w:vAlign w:val="bottom"/>
            <w:gridSpan w:val="3"/>
            <w:shd w:val="clear" w:color="auto" w:fill="CCEEFF"/>
          </w:tcPr>
          <w:p>
            <w:pPr>
              <w:jc w:val="right"/>
              <w:ind w:right="160"/>
              <w:spacing w:after="0" w:line="143" w:lineRule="exact"/>
              <w:rPr>
                <w:sz w:val="20"/>
                <w:szCs w:val="20"/>
                <w:color w:val="auto"/>
              </w:rPr>
            </w:pPr>
            <w:r>
              <w:rPr>
                <w:rFonts w:ascii="Arial" w:cs="Arial" w:eastAsia="Arial" w:hAnsi="Arial"/>
                <w:sz w:val="14"/>
                <w:szCs w:val="14"/>
                <w:color w:val="auto"/>
              </w:rPr>
              <w:t>182,425</w:t>
            </w:r>
          </w:p>
        </w:tc>
        <w:tc>
          <w:tcPr>
            <w:tcW w:w="860" w:type="dxa"/>
            <w:vAlign w:val="bottom"/>
            <w:gridSpan w:val="2"/>
            <w:shd w:val="clear" w:color="auto" w:fill="CCEEFF"/>
          </w:tcPr>
          <w:p>
            <w:pPr>
              <w:jc w:val="right"/>
              <w:ind w:right="160"/>
              <w:spacing w:after="0" w:line="143" w:lineRule="exact"/>
              <w:rPr>
                <w:sz w:val="20"/>
                <w:szCs w:val="20"/>
                <w:color w:val="auto"/>
              </w:rPr>
            </w:pPr>
            <w:r>
              <w:rPr>
                <w:rFonts w:ascii="Arial" w:cs="Arial" w:eastAsia="Arial" w:hAnsi="Arial"/>
                <w:sz w:val="14"/>
                <w:szCs w:val="14"/>
                <w:color w:val="auto"/>
              </w:rPr>
              <w:t>90,498</w:t>
            </w:r>
          </w:p>
        </w:tc>
        <w:tc>
          <w:tcPr>
            <w:tcW w:w="860" w:type="dxa"/>
            <w:vAlign w:val="bottom"/>
            <w:gridSpan w:val="2"/>
            <w:shd w:val="clear" w:color="auto" w:fill="CCEEFF"/>
          </w:tcPr>
          <w:p>
            <w:pPr>
              <w:jc w:val="right"/>
              <w:ind w:right="160"/>
              <w:spacing w:after="0" w:line="143" w:lineRule="exact"/>
              <w:rPr>
                <w:sz w:val="20"/>
                <w:szCs w:val="20"/>
                <w:color w:val="auto"/>
              </w:rPr>
            </w:pPr>
            <w:r>
              <w:rPr>
                <w:rFonts w:ascii="Arial" w:cs="Arial" w:eastAsia="Arial" w:hAnsi="Arial"/>
                <w:sz w:val="14"/>
                <w:szCs w:val="14"/>
                <w:color w:val="auto"/>
              </w:rPr>
              <w:t>1,717,505</w:t>
            </w:r>
          </w:p>
        </w:tc>
        <w:tc>
          <w:tcPr>
            <w:tcW w:w="620" w:type="dxa"/>
            <w:vAlign w:val="bottom"/>
            <w:gridSpan w:val="2"/>
            <w:shd w:val="clear" w:color="auto" w:fill="CCEEFF"/>
          </w:tcPr>
          <w:p>
            <w:pPr>
              <w:jc w:val="right"/>
              <w:spacing w:after="0" w:line="143" w:lineRule="exact"/>
              <w:rPr>
                <w:sz w:val="20"/>
                <w:szCs w:val="20"/>
                <w:color w:val="auto"/>
              </w:rPr>
            </w:pPr>
            <w:r>
              <w:rPr>
                <w:rFonts w:ascii="Arial" w:cs="Arial" w:eastAsia="Arial" w:hAnsi="Arial"/>
                <w:sz w:val="14"/>
                <w:szCs w:val="14"/>
                <w:color w:val="auto"/>
              </w:rPr>
              <w:t>1.91%</w:t>
            </w:r>
          </w:p>
        </w:tc>
        <w:tc>
          <w:tcPr>
            <w:tcW w:w="0" w:type="dxa"/>
            <w:vAlign w:val="bottom"/>
          </w:tcPr>
          <w:p>
            <w:pPr>
              <w:spacing w:after="0"/>
              <w:rPr>
                <w:sz w:val="1"/>
                <w:szCs w:val="1"/>
                <w:color w:val="auto"/>
              </w:rPr>
            </w:pPr>
          </w:p>
        </w:tc>
      </w:tr>
      <w:tr>
        <w:trPr>
          <w:trHeight w:val="143"/>
        </w:trPr>
        <w:tc>
          <w:tcPr>
            <w:tcW w:w="13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0"/>
        </w:trPr>
        <w:tc>
          <w:tcPr>
            <w:tcW w:w="1300" w:type="dxa"/>
            <w:vAlign w:val="bottom"/>
            <w:shd w:val="clear" w:color="auto" w:fill="CCEEFF"/>
          </w:tcPr>
          <w:p>
            <w:pPr>
              <w:spacing w:after="0" w:line="121" w:lineRule="exact"/>
              <w:rPr>
                <w:sz w:val="20"/>
                <w:szCs w:val="20"/>
                <w:color w:val="auto"/>
              </w:rPr>
            </w:pPr>
            <w:r>
              <w:rPr>
                <w:rFonts w:ascii="Arial" w:cs="Arial" w:eastAsia="Arial" w:hAnsi="Arial"/>
                <w:sz w:val="13"/>
                <w:szCs w:val="13"/>
                <w:b w:val="1"/>
                <w:bCs w:val="1"/>
                <w:color w:val="auto"/>
              </w:rPr>
              <w:t>Past due but not</w:t>
            </w:r>
          </w:p>
        </w:tc>
        <w:tc>
          <w:tcPr>
            <w:tcW w:w="7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30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impaired</w:t>
            </w:r>
          </w:p>
        </w:tc>
        <w:tc>
          <w:tcPr>
            <w:tcW w:w="7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1300" w:type="dxa"/>
            <w:vAlign w:val="bottom"/>
          </w:tcPr>
          <w:p>
            <w:pPr>
              <w:spacing w:after="0" w:line="143" w:lineRule="exact"/>
              <w:rPr>
                <w:sz w:val="20"/>
                <w:szCs w:val="20"/>
                <w:color w:val="auto"/>
              </w:rPr>
            </w:pPr>
            <w:r>
              <w:rPr>
                <w:rFonts w:ascii="Arial" w:cs="Arial" w:eastAsia="Arial" w:hAnsi="Arial"/>
                <w:sz w:val="14"/>
                <w:szCs w:val="14"/>
                <w:color w:val="auto"/>
              </w:rPr>
              <w:t>Normal</w:t>
            </w:r>
          </w:p>
        </w:tc>
        <w:tc>
          <w:tcPr>
            <w:tcW w:w="920" w:type="dxa"/>
            <w:vAlign w:val="bottom"/>
            <w:gridSpan w:val="2"/>
          </w:tcPr>
          <w:p>
            <w:pPr>
              <w:jc w:val="right"/>
              <w:ind w:right="160"/>
              <w:spacing w:after="0" w:line="143" w:lineRule="exact"/>
              <w:rPr>
                <w:sz w:val="20"/>
                <w:szCs w:val="20"/>
                <w:color w:val="auto"/>
              </w:rPr>
            </w:pPr>
            <w:r>
              <w:rPr>
                <w:rFonts w:ascii="Arial" w:cs="Arial" w:eastAsia="Arial" w:hAnsi="Arial"/>
                <w:sz w:val="14"/>
                <w:szCs w:val="14"/>
                <w:color w:val="auto"/>
              </w:rPr>
              <w:t>714,511</w:t>
            </w:r>
          </w:p>
        </w:tc>
        <w:tc>
          <w:tcPr>
            <w:tcW w:w="820" w:type="dxa"/>
            <w:vAlign w:val="bottom"/>
            <w:gridSpan w:val="2"/>
          </w:tcPr>
          <w:p>
            <w:pPr>
              <w:jc w:val="right"/>
              <w:ind w:right="80"/>
              <w:spacing w:after="0" w:line="143" w:lineRule="exact"/>
              <w:rPr>
                <w:sz w:val="20"/>
                <w:szCs w:val="20"/>
                <w:color w:val="auto"/>
              </w:rPr>
            </w:pPr>
            <w:r>
              <w:rPr>
                <w:rFonts w:ascii="Arial" w:cs="Arial" w:eastAsia="Arial" w:hAnsi="Arial"/>
                <w:sz w:val="14"/>
                <w:szCs w:val="14"/>
                <w:color w:val="auto"/>
              </w:rPr>
              <w:t>411,309</w:t>
            </w:r>
          </w:p>
        </w:tc>
        <w:tc>
          <w:tcPr>
            <w:tcW w:w="940" w:type="dxa"/>
            <w:vAlign w:val="bottom"/>
            <w:gridSpan w:val="3"/>
          </w:tcPr>
          <w:p>
            <w:pPr>
              <w:jc w:val="right"/>
              <w:ind w:right="160"/>
              <w:spacing w:after="0" w:line="143" w:lineRule="exact"/>
              <w:rPr>
                <w:sz w:val="20"/>
                <w:szCs w:val="20"/>
                <w:color w:val="auto"/>
              </w:rPr>
            </w:pPr>
            <w:r>
              <w:rPr>
                <w:rFonts w:ascii="Arial" w:cs="Arial" w:eastAsia="Arial" w:hAnsi="Arial"/>
                <w:sz w:val="14"/>
                <w:szCs w:val="14"/>
                <w:color w:val="auto"/>
              </w:rPr>
              <w:t>341,422</w:t>
            </w:r>
          </w:p>
        </w:tc>
        <w:tc>
          <w:tcPr>
            <w:tcW w:w="860" w:type="dxa"/>
            <w:vAlign w:val="bottom"/>
            <w:gridSpan w:val="2"/>
          </w:tcPr>
          <w:p>
            <w:pPr>
              <w:jc w:val="right"/>
              <w:ind w:right="160"/>
              <w:spacing w:after="0" w:line="143" w:lineRule="exact"/>
              <w:rPr>
                <w:sz w:val="20"/>
                <w:szCs w:val="20"/>
                <w:color w:val="auto"/>
              </w:rPr>
            </w:pPr>
            <w:r>
              <w:rPr>
                <w:rFonts w:ascii="Arial" w:cs="Arial" w:eastAsia="Arial" w:hAnsi="Arial"/>
                <w:sz w:val="14"/>
                <w:szCs w:val="14"/>
                <w:color w:val="auto"/>
              </w:rPr>
              <w:t>235,324</w:t>
            </w:r>
          </w:p>
        </w:tc>
        <w:tc>
          <w:tcPr>
            <w:tcW w:w="700" w:type="dxa"/>
            <w:vAlign w:val="bottom"/>
          </w:tcPr>
          <w:p>
            <w:pPr>
              <w:jc w:val="right"/>
              <w:spacing w:after="0" w:line="143" w:lineRule="exact"/>
              <w:rPr>
                <w:sz w:val="20"/>
                <w:szCs w:val="20"/>
                <w:color w:val="auto"/>
              </w:rPr>
            </w:pPr>
            <w:r>
              <w:rPr>
                <w:rFonts w:ascii="Arial" w:cs="Arial" w:eastAsia="Arial" w:hAnsi="Arial"/>
                <w:sz w:val="14"/>
                <w:szCs w:val="14"/>
                <w:color w:val="auto"/>
              </w:rPr>
              <w:t>1,702,566</w:t>
            </w:r>
          </w:p>
        </w:tc>
        <w:tc>
          <w:tcPr>
            <w:tcW w:w="160" w:type="dxa"/>
            <w:vAlign w:val="bottom"/>
          </w:tcPr>
          <w:p>
            <w:pPr>
              <w:spacing w:after="0"/>
              <w:rPr>
                <w:sz w:val="12"/>
                <w:szCs w:val="12"/>
                <w:color w:val="auto"/>
              </w:rPr>
            </w:pPr>
          </w:p>
        </w:tc>
        <w:tc>
          <w:tcPr>
            <w:tcW w:w="700" w:type="dxa"/>
            <w:vAlign w:val="bottom"/>
            <w:gridSpan w:val="2"/>
          </w:tcPr>
          <w:p>
            <w:pPr>
              <w:jc w:val="right"/>
              <w:ind w:right="11"/>
              <w:spacing w:after="0" w:line="143" w:lineRule="exact"/>
              <w:rPr>
                <w:sz w:val="20"/>
                <w:szCs w:val="20"/>
                <w:color w:val="auto"/>
              </w:rPr>
            </w:pPr>
            <w:r>
              <w:rPr>
                <w:rFonts w:ascii="Arial" w:cs="Arial" w:eastAsia="Arial" w:hAnsi="Arial"/>
                <w:sz w:val="14"/>
                <w:szCs w:val="14"/>
                <w:color w:val="auto"/>
              </w:rPr>
              <w:t>1.79%</w:t>
            </w:r>
          </w:p>
        </w:tc>
        <w:tc>
          <w:tcPr>
            <w:tcW w:w="920" w:type="dxa"/>
            <w:vAlign w:val="bottom"/>
            <w:gridSpan w:val="2"/>
          </w:tcPr>
          <w:p>
            <w:pPr>
              <w:jc w:val="right"/>
              <w:ind w:right="160"/>
              <w:spacing w:after="0" w:line="143" w:lineRule="exact"/>
              <w:rPr>
                <w:sz w:val="20"/>
                <w:szCs w:val="20"/>
                <w:color w:val="auto"/>
              </w:rPr>
            </w:pPr>
            <w:r>
              <w:rPr>
                <w:rFonts w:ascii="Arial" w:cs="Arial" w:eastAsia="Arial" w:hAnsi="Arial"/>
                <w:sz w:val="14"/>
                <w:szCs w:val="14"/>
                <w:color w:val="auto"/>
              </w:rPr>
              <w:t>329,448</w:t>
            </w:r>
          </w:p>
        </w:tc>
        <w:tc>
          <w:tcPr>
            <w:tcW w:w="820" w:type="dxa"/>
            <w:vAlign w:val="bottom"/>
            <w:gridSpan w:val="2"/>
          </w:tcPr>
          <w:p>
            <w:pPr>
              <w:jc w:val="right"/>
              <w:ind w:right="60"/>
              <w:spacing w:after="0" w:line="143" w:lineRule="exact"/>
              <w:rPr>
                <w:sz w:val="20"/>
                <w:szCs w:val="20"/>
                <w:color w:val="auto"/>
              </w:rPr>
            </w:pPr>
            <w:r>
              <w:rPr>
                <w:rFonts w:ascii="Arial" w:cs="Arial" w:eastAsia="Arial" w:hAnsi="Arial"/>
                <w:sz w:val="14"/>
                <w:szCs w:val="14"/>
                <w:color w:val="auto"/>
              </w:rPr>
              <w:t>503,168</w:t>
            </w:r>
          </w:p>
        </w:tc>
        <w:tc>
          <w:tcPr>
            <w:tcW w:w="940" w:type="dxa"/>
            <w:vAlign w:val="bottom"/>
            <w:gridSpan w:val="3"/>
          </w:tcPr>
          <w:p>
            <w:pPr>
              <w:jc w:val="right"/>
              <w:ind w:right="160"/>
              <w:spacing w:after="0" w:line="143" w:lineRule="exact"/>
              <w:rPr>
                <w:sz w:val="20"/>
                <w:szCs w:val="20"/>
                <w:color w:val="auto"/>
              </w:rPr>
            </w:pPr>
            <w:r>
              <w:rPr>
                <w:rFonts w:ascii="Arial" w:cs="Arial" w:eastAsia="Arial" w:hAnsi="Arial"/>
                <w:sz w:val="14"/>
                <w:szCs w:val="14"/>
                <w:color w:val="auto"/>
              </w:rPr>
              <w:t>274,003</w:t>
            </w:r>
          </w:p>
        </w:tc>
        <w:tc>
          <w:tcPr>
            <w:tcW w:w="860" w:type="dxa"/>
            <w:vAlign w:val="bottom"/>
            <w:gridSpan w:val="2"/>
          </w:tcPr>
          <w:p>
            <w:pPr>
              <w:jc w:val="right"/>
              <w:ind w:right="160"/>
              <w:spacing w:after="0" w:line="143" w:lineRule="exact"/>
              <w:rPr>
                <w:sz w:val="20"/>
                <w:szCs w:val="20"/>
                <w:color w:val="auto"/>
              </w:rPr>
            </w:pPr>
            <w:r>
              <w:rPr>
                <w:rFonts w:ascii="Arial" w:cs="Arial" w:eastAsia="Arial" w:hAnsi="Arial"/>
                <w:sz w:val="14"/>
                <w:szCs w:val="14"/>
                <w:color w:val="auto"/>
              </w:rPr>
              <w:t>430,932</w:t>
            </w:r>
          </w:p>
        </w:tc>
        <w:tc>
          <w:tcPr>
            <w:tcW w:w="860" w:type="dxa"/>
            <w:vAlign w:val="bottom"/>
            <w:gridSpan w:val="2"/>
          </w:tcPr>
          <w:p>
            <w:pPr>
              <w:jc w:val="right"/>
              <w:ind w:right="160"/>
              <w:spacing w:after="0" w:line="143" w:lineRule="exact"/>
              <w:rPr>
                <w:sz w:val="20"/>
                <w:szCs w:val="20"/>
                <w:color w:val="auto"/>
              </w:rPr>
            </w:pPr>
            <w:r>
              <w:rPr>
                <w:rFonts w:ascii="Arial" w:cs="Arial" w:eastAsia="Arial" w:hAnsi="Arial"/>
                <w:sz w:val="14"/>
                <w:szCs w:val="14"/>
                <w:color w:val="auto"/>
              </w:rPr>
              <w:t>1,537,551</w:t>
            </w:r>
          </w:p>
        </w:tc>
        <w:tc>
          <w:tcPr>
            <w:tcW w:w="620" w:type="dxa"/>
            <w:vAlign w:val="bottom"/>
            <w:gridSpan w:val="2"/>
          </w:tcPr>
          <w:p>
            <w:pPr>
              <w:jc w:val="right"/>
              <w:spacing w:after="0" w:line="143" w:lineRule="exact"/>
              <w:rPr>
                <w:sz w:val="20"/>
                <w:szCs w:val="20"/>
                <w:color w:val="auto"/>
              </w:rPr>
            </w:pPr>
            <w:r>
              <w:rPr>
                <w:rFonts w:ascii="Arial" w:cs="Arial" w:eastAsia="Arial" w:hAnsi="Arial"/>
                <w:sz w:val="14"/>
                <w:szCs w:val="14"/>
                <w:color w:val="auto"/>
              </w:rPr>
              <w:t>1.71%</w:t>
            </w:r>
          </w:p>
        </w:tc>
        <w:tc>
          <w:tcPr>
            <w:tcW w:w="0" w:type="dxa"/>
            <w:vAlign w:val="bottom"/>
          </w:tcPr>
          <w:p>
            <w:pPr>
              <w:spacing w:after="0"/>
              <w:rPr>
                <w:sz w:val="1"/>
                <w:szCs w:val="1"/>
                <w:color w:val="auto"/>
              </w:rPr>
            </w:pPr>
          </w:p>
        </w:tc>
      </w:tr>
      <w:tr>
        <w:trPr>
          <w:trHeight w:val="143"/>
        </w:trPr>
        <w:tc>
          <w:tcPr>
            <w:tcW w:w="130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rPr>
              <w:t>Potential problem</w:t>
            </w:r>
          </w:p>
        </w:tc>
        <w:tc>
          <w:tcPr>
            <w:tcW w:w="920" w:type="dxa"/>
            <w:vAlign w:val="bottom"/>
            <w:gridSpan w:val="2"/>
            <w:shd w:val="clear" w:color="auto" w:fill="CCEEFF"/>
          </w:tcPr>
          <w:p>
            <w:pPr>
              <w:jc w:val="right"/>
              <w:ind w:right="160"/>
              <w:spacing w:after="0" w:line="143" w:lineRule="exact"/>
              <w:rPr>
                <w:sz w:val="20"/>
                <w:szCs w:val="20"/>
                <w:color w:val="auto"/>
              </w:rPr>
            </w:pPr>
            <w:r>
              <w:rPr>
                <w:rFonts w:ascii="Arial" w:cs="Arial" w:eastAsia="Arial" w:hAnsi="Arial"/>
                <w:sz w:val="14"/>
                <w:szCs w:val="14"/>
                <w:color w:val="auto"/>
              </w:rPr>
              <w:t>43,041</w:t>
            </w:r>
          </w:p>
        </w:tc>
        <w:tc>
          <w:tcPr>
            <w:tcW w:w="820" w:type="dxa"/>
            <w:vAlign w:val="bottom"/>
            <w:gridSpan w:val="2"/>
            <w:shd w:val="clear" w:color="auto" w:fill="CCEEFF"/>
          </w:tcPr>
          <w:p>
            <w:pPr>
              <w:jc w:val="right"/>
              <w:ind w:right="80"/>
              <w:spacing w:after="0" w:line="143" w:lineRule="exact"/>
              <w:rPr>
                <w:sz w:val="20"/>
                <w:szCs w:val="20"/>
                <w:color w:val="auto"/>
              </w:rPr>
            </w:pPr>
            <w:r>
              <w:rPr>
                <w:rFonts w:ascii="Arial" w:cs="Arial" w:eastAsia="Arial" w:hAnsi="Arial"/>
                <w:sz w:val="14"/>
                <w:szCs w:val="14"/>
                <w:color w:val="auto"/>
              </w:rPr>
              <w:t>110,241</w:t>
            </w:r>
          </w:p>
        </w:tc>
        <w:tc>
          <w:tcPr>
            <w:tcW w:w="940" w:type="dxa"/>
            <w:vAlign w:val="bottom"/>
            <w:gridSpan w:val="3"/>
            <w:shd w:val="clear" w:color="auto" w:fill="CCEEFF"/>
          </w:tcPr>
          <w:p>
            <w:pPr>
              <w:jc w:val="right"/>
              <w:ind w:right="160"/>
              <w:spacing w:after="0" w:line="143" w:lineRule="exact"/>
              <w:rPr>
                <w:sz w:val="20"/>
                <w:szCs w:val="20"/>
                <w:color w:val="auto"/>
              </w:rPr>
            </w:pPr>
            <w:r>
              <w:rPr>
                <w:rFonts w:ascii="Arial" w:cs="Arial" w:eastAsia="Arial" w:hAnsi="Arial"/>
                <w:sz w:val="14"/>
                <w:szCs w:val="14"/>
                <w:color w:val="auto"/>
              </w:rPr>
              <w:t>37,861</w:t>
            </w:r>
          </w:p>
        </w:tc>
        <w:tc>
          <w:tcPr>
            <w:tcW w:w="860" w:type="dxa"/>
            <w:vAlign w:val="bottom"/>
            <w:gridSpan w:val="2"/>
            <w:shd w:val="clear" w:color="auto" w:fill="CCEEFF"/>
          </w:tcPr>
          <w:p>
            <w:pPr>
              <w:jc w:val="right"/>
              <w:ind w:right="160"/>
              <w:spacing w:after="0" w:line="143" w:lineRule="exact"/>
              <w:rPr>
                <w:sz w:val="20"/>
                <w:szCs w:val="20"/>
                <w:color w:val="auto"/>
              </w:rPr>
            </w:pPr>
            <w:r>
              <w:rPr>
                <w:rFonts w:ascii="Arial" w:cs="Arial" w:eastAsia="Arial" w:hAnsi="Arial"/>
                <w:sz w:val="14"/>
                <w:szCs w:val="14"/>
                <w:color w:val="auto"/>
              </w:rPr>
              <w:t>27,119</w:t>
            </w:r>
          </w:p>
        </w:tc>
        <w:tc>
          <w:tcPr>
            <w:tcW w:w="860" w:type="dxa"/>
            <w:vAlign w:val="bottom"/>
            <w:gridSpan w:val="2"/>
            <w:shd w:val="clear" w:color="auto" w:fill="CCEEFF"/>
          </w:tcPr>
          <w:p>
            <w:pPr>
              <w:jc w:val="right"/>
              <w:ind w:right="160"/>
              <w:spacing w:after="0" w:line="143" w:lineRule="exact"/>
              <w:rPr>
                <w:sz w:val="20"/>
                <w:szCs w:val="20"/>
                <w:color w:val="auto"/>
              </w:rPr>
            </w:pPr>
            <w:r>
              <w:rPr>
                <w:rFonts w:ascii="Arial" w:cs="Arial" w:eastAsia="Arial" w:hAnsi="Arial"/>
                <w:sz w:val="14"/>
                <w:szCs w:val="14"/>
                <w:color w:val="auto"/>
              </w:rPr>
              <w:t>218,262</w:t>
            </w:r>
          </w:p>
        </w:tc>
        <w:tc>
          <w:tcPr>
            <w:tcW w:w="700" w:type="dxa"/>
            <w:vAlign w:val="bottom"/>
            <w:gridSpan w:val="2"/>
            <w:shd w:val="clear" w:color="auto" w:fill="CCEEFF"/>
          </w:tcPr>
          <w:p>
            <w:pPr>
              <w:jc w:val="right"/>
              <w:ind w:right="11"/>
              <w:spacing w:after="0" w:line="143" w:lineRule="exact"/>
              <w:rPr>
                <w:sz w:val="20"/>
                <w:szCs w:val="20"/>
                <w:color w:val="auto"/>
              </w:rPr>
            </w:pPr>
            <w:r>
              <w:rPr>
                <w:rFonts w:ascii="Arial" w:cs="Arial" w:eastAsia="Arial" w:hAnsi="Arial"/>
                <w:sz w:val="14"/>
                <w:szCs w:val="14"/>
                <w:color w:val="auto"/>
              </w:rPr>
              <w:t>0.23%</w:t>
            </w:r>
          </w:p>
        </w:tc>
        <w:tc>
          <w:tcPr>
            <w:tcW w:w="920" w:type="dxa"/>
            <w:vAlign w:val="bottom"/>
            <w:gridSpan w:val="2"/>
            <w:shd w:val="clear" w:color="auto" w:fill="CCEEFF"/>
          </w:tcPr>
          <w:p>
            <w:pPr>
              <w:jc w:val="right"/>
              <w:ind w:right="160"/>
              <w:spacing w:after="0" w:line="143" w:lineRule="exact"/>
              <w:rPr>
                <w:sz w:val="20"/>
                <w:szCs w:val="20"/>
                <w:color w:val="auto"/>
              </w:rPr>
            </w:pPr>
            <w:r>
              <w:rPr>
                <w:rFonts w:ascii="Arial" w:cs="Arial" w:eastAsia="Arial" w:hAnsi="Arial"/>
                <w:sz w:val="14"/>
                <w:szCs w:val="14"/>
                <w:color w:val="auto"/>
              </w:rPr>
              <w:t>38,703</w:t>
            </w:r>
          </w:p>
        </w:tc>
        <w:tc>
          <w:tcPr>
            <w:tcW w:w="820" w:type="dxa"/>
            <w:vAlign w:val="bottom"/>
            <w:gridSpan w:val="2"/>
            <w:shd w:val="clear" w:color="auto" w:fill="CCEEFF"/>
          </w:tcPr>
          <w:p>
            <w:pPr>
              <w:jc w:val="right"/>
              <w:ind w:right="60"/>
              <w:spacing w:after="0" w:line="143" w:lineRule="exact"/>
              <w:rPr>
                <w:sz w:val="20"/>
                <w:szCs w:val="20"/>
                <w:color w:val="auto"/>
              </w:rPr>
            </w:pPr>
            <w:r>
              <w:rPr>
                <w:rFonts w:ascii="Arial" w:cs="Arial" w:eastAsia="Arial" w:hAnsi="Arial"/>
                <w:sz w:val="14"/>
                <w:szCs w:val="14"/>
                <w:color w:val="auto"/>
              </w:rPr>
              <w:t>101,805</w:t>
            </w:r>
          </w:p>
        </w:tc>
        <w:tc>
          <w:tcPr>
            <w:tcW w:w="940" w:type="dxa"/>
            <w:vAlign w:val="bottom"/>
            <w:gridSpan w:val="3"/>
            <w:shd w:val="clear" w:color="auto" w:fill="CCEEFF"/>
          </w:tcPr>
          <w:p>
            <w:pPr>
              <w:jc w:val="right"/>
              <w:ind w:right="160"/>
              <w:spacing w:after="0" w:line="143" w:lineRule="exact"/>
              <w:rPr>
                <w:sz w:val="20"/>
                <w:szCs w:val="20"/>
                <w:color w:val="auto"/>
              </w:rPr>
            </w:pPr>
            <w:r>
              <w:rPr>
                <w:rFonts w:ascii="Arial" w:cs="Arial" w:eastAsia="Arial" w:hAnsi="Arial"/>
                <w:sz w:val="14"/>
                <w:szCs w:val="14"/>
                <w:color w:val="auto"/>
              </w:rPr>
              <w:t>40,711</w:t>
            </w:r>
          </w:p>
        </w:tc>
        <w:tc>
          <w:tcPr>
            <w:tcW w:w="860" w:type="dxa"/>
            <w:vAlign w:val="bottom"/>
            <w:gridSpan w:val="2"/>
            <w:shd w:val="clear" w:color="auto" w:fill="CCEEFF"/>
          </w:tcPr>
          <w:p>
            <w:pPr>
              <w:jc w:val="right"/>
              <w:ind w:right="160"/>
              <w:spacing w:after="0" w:line="143" w:lineRule="exact"/>
              <w:rPr>
                <w:sz w:val="20"/>
                <w:szCs w:val="20"/>
                <w:color w:val="auto"/>
              </w:rPr>
            </w:pPr>
            <w:r>
              <w:rPr>
                <w:rFonts w:ascii="Arial" w:cs="Arial" w:eastAsia="Arial" w:hAnsi="Arial"/>
                <w:sz w:val="14"/>
                <w:szCs w:val="14"/>
                <w:color w:val="auto"/>
              </w:rPr>
              <w:t>17,014</w:t>
            </w:r>
          </w:p>
        </w:tc>
        <w:tc>
          <w:tcPr>
            <w:tcW w:w="860" w:type="dxa"/>
            <w:vAlign w:val="bottom"/>
            <w:gridSpan w:val="2"/>
            <w:shd w:val="clear" w:color="auto" w:fill="CCEEFF"/>
          </w:tcPr>
          <w:p>
            <w:pPr>
              <w:jc w:val="right"/>
              <w:ind w:right="160"/>
              <w:spacing w:after="0" w:line="143" w:lineRule="exact"/>
              <w:rPr>
                <w:sz w:val="20"/>
                <w:szCs w:val="20"/>
                <w:color w:val="auto"/>
              </w:rPr>
            </w:pPr>
            <w:r>
              <w:rPr>
                <w:rFonts w:ascii="Arial" w:cs="Arial" w:eastAsia="Arial" w:hAnsi="Arial"/>
                <w:sz w:val="14"/>
                <w:szCs w:val="14"/>
                <w:color w:val="auto"/>
              </w:rPr>
              <w:t>198,233</w:t>
            </w:r>
          </w:p>
        </w:tc>
        <w:tc>
          <w:tcPr>
            <w:tcW w:w="620" w:type="dxa"/>
            <w:vAlign w:val="bottom"/>
            <w:gridSpan w:val="2"/>
            <w:shd w:val="clear" w:color="auto" w:fill="CCEEFF"/>
          </w:tcPr>
          <w:p>
            <w:pPr>
              <w:jc w:val="right"/>
              <w:spacing w:after="0" w:line="143" w:lineRule="exact"/>
              <w:rPr>
                <w:sz w:val="20"/>
                <w:szCs w:val="20"/>
                <w:color w:val="auto"/>
              </w:rPr>
            </w:pPr>
            <w:r>
              <w:rPr>
                <w:rFonts w:ascii="Arial" w:cs="Arial" w:eastAsia="Arial" w:hAnsi="Arial"/>
                <w:sz w:val="14"/>
                <w:szCs w:val="14"/>
                <w:color w:val="auto"/>
              </w:rPr>
              <w:t>0.22%</w:t>
            </w:r>
          </w:p>
        </w:tc>
        <w:tc>
          <w:tcPr>
            <w:tcW w:w="0" w:type="dxa"/>
            <w:vAlign w:val="bottom"/>
          </w:tcPr>
          <w:p>
            <w:pPr>
              <w:spacing w:after="0"/>
              <w:rPr>
                <w:sz w:val="1"/>
                <w:szCs w:val="1"/>
                <w:color w:val="auto"/>
              </w:rPr>
            </w:pPr>
          </w:p>
        </w:tc>
      </w:tr>
      <w:tr>
        <w:trPr>
          <w:trHeight w:val="143"/>
        </w:trPr>
        <w:tc>
          <w:tcPr>
            <w:tcW w:w="13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1300" w:type="dxa"/>
            <w:vAlign w:val="bottom"/>
            <w:shd w:val="clear" w:color="auto" w:fill="CCEEFF"/>
          </w:tcPr>
          <w:p>
            <w:pPr>
              <w:spacing w:after="0" w:line="143" w:lineRule="exact"/>
              <w:rPr>
                <w:sz w:val="20"/>
                <w:szCs w:val="20"/>
                <w:color w:val="auto"/>
              </w:rPr>
            </w:pPr>
            <w:r>
              <w:rPr>
                <w:rFonts w:ascii="Arial" w:cs="Arial" w:eastAsia="Arial" w:hAnsi="Arial"/>
                <w:sz w:val="14"/>
                <w:szCs w:val="14"/>
                <w:b w:val="1"/>
                <w:bCs w:val="1"/>
                <w:color w:val="auto"/>
              </w:rPr>
              <w:t>Impaired</w:t>
            </w:r>
          </w:p>
        </w:tc>
        <w:tc>
          <w:tcPr>
            <w:tcW w:w="7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1300" w:type="dxa"/>
            <w:vAlign w:val="bottom"/>
          </w:tcPr>
          <w:p>
            <w:pPr>
              <w:spacing w:after="0" w:line="143" w:lineRule="exact"/>
              <w:rPr>
                <w:sz w:val="20"/>
                <w:szCs w:val="20"/>
                <w:color w:val="auto"/>
              </w:rPr>
            </w:pPr>
            <w:r>
              <w:rPr>
                <w:rFonts w:ascii="Arial" w:cs="Arial" w:eastAsia="Arial" w:hAnsi="Arial"/>
                <w:sz w:val="14"/>
                <w:szCs w:val="14"/>
                <w:color w:val="auto"/>
              </w:rPr>
              <w:t>Substandard</w:t>
            </w:r>
          </w:p>
        </w:tc>
        <w:tc>
          <w:tcPr>
            <w:tcW w:w="920" w:type="dxa"/>
            <w:vAlign w:val="bottom"/>
            <w:gridSpan w:val="2"/>
          </w:tcPr>
          <w:p>
            <w:pPr>
              <w:jc w:val="right"/>
              <w:ind w:right="160"/>
              <w:spacing w:after="0" w:line="143" w:lineRule="exact"/>
              <w:rPr>
                <w:sz w:val="20"/>
                <w:szCs w:val="20"/>
                <w:color w:val="auto"/>
              </w:rPr>
            </w:pPr>
            <w:r>
              <w:rPr>
                <w:rFonts w:ascii="Arial" w:cs="Arial" w:eastAsia="Arial" w:hAnsi="Arial"/>
                <w:sz w:val="14"/>
                <w:szCs w:val="14"/>
                <w:color w:val="auto"/>
              </w:rPr>
              <w:t>586,112</w:t>
            </w:r>
          </w:p>
        </w:tc>
        <w:tc>
          <w:tcPr>
            <w:tcW w:w="820" w:type="dxa"/>
            <w:vAlign w:val="bottom"/>
            <w:gridSpan w:val="2"/>
          </w:tcPr>
          <w:p>
            <w:pPr>
              <w:jc w:val="right"/>
              <w:ind w:right="80"/>
              <w:spacing w:after="0" w:line="143" w:lineRule="exact"/>
              <w:rPr>
                <w:sz w:val="20"/>
                <w:szCs w:val="20"/>
                <w:color w:val="auto"/>
              </w:rPr>
            </w:pPr>
            <w:r>
              <w:rPr>
                <w:rFonts w:ascii="Arial" w:cs="Arial" w:eastAsia="Arial" w:hAnsi="Arial"/>
                <w:sz w:val="14"/>
                <w:szCs w:val="14"/>
                <w:color w:val="auto"/>
              </w:rPr>
              <w:t>143,241</w:t>
            </w:r>
          </w:p>
        </w:tc>
        <w:tc>
          <w:tcPr>
            <w:tcW w:w="940" w:type="dxa"/>
            <w:vAlign w:val="bottom"/>
            <w:gridSpan w:val="3"/>
          </w:tcPr>
          <w:p>
            <w:pPr>
              <w:jc w:val="right"/>
              <w:ind w:right="160"/>
              <w:spacing w:after="0" w:line="143" w:lineRule="exact"/>
              <w:rPr>
                <w:sz w:val="20"/>
                <w:szCs w:val="20"/>
                <w:color w:val="auto"/>
              </w:rPr>
            </w:pPr>
            <w:r>
              <w:rPr>
                <w:rFonts w:ascii="Arial" w:cs="Arial" w:eastAsia="Arial" w:hAnsi="Arial"/>
                <w:sz w:val="14"/>
                <w:szCs w:val="14"/>
                <w:color w:val="auto"/>
              </w:rPr>
              <w:t>239,035</w:t>
            </w:r>
          </w:p>
        </w:tc>
        <w:tc>
          <w:tcPr>
            <w:tcW w:w="860" w:type="dxa"/>
            <w:vAlign w:val="bottom"/>
            <w:gridSpan w:val="2"/>
          </w:tcPr>
          <w:p>
            <w:pPr>
              <w:jc w:val="right"/>
              <w:ind w:right="160"/>
              <w:spacing w:after="0" w:line="143" w:lineRule="exact"/>
              <w:rPr>
                <w:sz w:val="20"/>
                <w:szCs w:val="20"/>
                <w:color w:val="auto"/>
              </w:rPr>
            </w:pPr>
            <w:r>
              <w:rPr>
                <w:rFonts w:ascii="Arial" w:cs="Arial" w:eastAsia="Arial" w:hAnsi="Arial"/>
                <w:sz w:val="14"/>
                <w:szCs w:val="14"/>
                <w:color w:val="auto"/>
              </w:rPr>
              <w:t>196,930</w:t>
            </w:r>
          </w:p>
        </w:tc>
        <w:tc>
          <w:tcPr>
            <w:tcW w:w="700" w:type="dxa"/>
            <w:vAlign w:val="bottom"/>
          </w:tcPr>
          <w:p>
            <w:pPr>
              <w:jc w:val="right"/>
              <w:spacing w:after="0" w:line="143" w:lineRule="exact"/>
              <w:rPr>
                <w:sz w:val="20"/>
                <w:szCs w:val="20"/>
                <w:color w:val="auto"/>
              </w:rPr>
            </w:pPr>
            <w:r>
              <w:rPr>
                <w:rFonts w:ascii="Arial" w:cs="Arial" w:eastAsia="Arial" w:hAnsi="Arial"/>
                <w:sz w:val="14"/>
                <w:szCs w:val="14"/>
                <w:color w:val="auto"/>
              </w:rPr>
              <w:t>1,165,318</w:t>
            </w:r>
          </w:p>
        </w:tc>
        <w:tc>
          <w:tcPr>
            <w:tcW w:w="160" w:type="dxa"/>
            <w:vAlign w:val="bottom"/>
          </w:tcPr>
          <w:p>
            <w:pPr>
              <w:spacing w:after="0"/>
              <w:rPr>
                <w:sz w:val="12"/>
                <w:szCs w:val="12"/>
                <w:color w:val="auto"/>
              </w:rPr>
            </w:pPr>
          </w:p>
        </w:tc>
        <w:tc>
          <w:tcPr>
            <w:tcW w:w="700" w:type="dxa"/>
            <w:vAlign w:val="bottom"/>
            <w:gridSpan w:val="2"/>
          </w:tcPr>
          <w:p>
            <w:pPr>
              <w:jc w:val="right"/>
              <w:ind w:right="11"/>
              <w:spacing w:after="0" w:line="143" w:lineRule="exact"/>
              <w:rPr>
                <w:sz w:val="20"/>
                <w:szCs w:val="20"/>
                <w:color w:val="auto"/>
              </w:rPr>
            </w:pPr>
            <w:r>
              <w:rPr>
                <w:rFonts w:ascii="Arial" w:cs="Arial" w:eastAsia="Arial" w:hAnsi="Arial"/>
                <w:sz w:val="14"/>
                <w:szCs w:val="14"/>
                <w:color w:val="auto"/>
              </w:rPr>
              <w:t>1.22%</w:t>
            </w:r>
          </w:p>
        </w:tc>
        <w:tc>
          <w:tcPr>
            <w:tcW w:w="920" w:type="dxa"/>
            <w:vAlign w:val="bottom"/>
            <w:gridSpan w:val="2"/>
          </w:tcPr>
          <w:p>
            <w:pPr>
              <w:jc w:val="right"/>
              <w:ind w:right="160"/>
              <w:spacing w:after="0" w:line="143" w:lineRule="exact"/>
              <w:rPr>
                <w:sz w:val="20"/>
                <w:szCs w:val="20"/>
                <w:color w:val="auto"/>
              </w:rPr>
            </w:pPr>
            <w:r>
              <w:rPr>
                <w:rFonts w:ascii="Arial" w:cs="Arial" w:eastAsia="Arial" w:hAnsi="Arial"/>
                <w:sz w:val="14"/>
                <w:szCs w:val="14"/>
                <w:color w:val="auto"/>
              </w:rPr>
              <w:t>468,745</w:t>
            </w:r>
          </w:p>
        </w:tc>
        <w:tc>
          <w:tcPr>
            <w:tcW w:w="820" w:type="dxa"/>
            <w:vAlign w:val="bottom"/>
            <w:gridSpan w:val="2"/>
          </w:tcPr>
          <w:p>
            <w:pPr>
              <w:jc w:val="right"/>
              <w:ind w:right="60"/>
              <w:spacing w:after="0" w:line="143" w:lineRule="exact"/>
              <w:rPr>
                <w:sz w:val="20"/>
                <w:szCs w:val="20"/>
                <w:color w:val="auto"/>
              </w:rPr>
            </w:pPr>
            <w:r>
              <w:rPr>
                <w:rFonts w:ascii="Arial" w:cs="Arial" w:eastAsia="Arial" w:hAnsi="Arial"/>
                <w:sz w:val="14"/>
                <w:szCs w:val="14"/>
                <w:color w:val="auto"/>
              </w:rPr>
              <w:t>143,610</w:t>
            </w:r>
          </w:p>
        </w:tc>
        <w:tc>
          <w:tcPr>
            <w:tcW w:w="940" w:type="dxa"/>
            <w:vAlign w:val="bottom"/>
            <w:gridSpan w:val="3"/>
          </w:tcPr>
          <w:p>
            <w:pPr>
              <w:jc w:val="right"/>
              <w:ind w:right="160"/>
              <w:spacing w:after="0" w:line="143" w:lineRule="exact"/>
              <w:rPr>
                <w:sz w:val="20"/>
                <w:szCs w:val="20"/>
                <w:color w:val="auto"/>
              </w:rPr>
            </w:pPr>
            <w:r>
              <w:rPr>
                <w:rFonts w:ascii="Arial" w:cs="Arial" w:eastAsia="Arial" w:hAnsi="Arial"/>
                <w:sz w:val="14"/>
                <w:szCs w:val="14"/>
                <w:color w:val="auto"/>
              </w:rPr>
              <w:t>224,559</w:t>
            </w:r>
          </w:p>
        </w:tc>
        <w:tc>
          <w:tcPr>
            <w:tcW w:w="860" w:type="dxa"/>
            <w:vAlign w:val="bottom"/>
            <w:gridSpan w:val="2"/>
          </w:tcPr>
          <w:p>
            <w:pPr>
              <w:jc w:val="right"/>
              <w:ind w:right="160"/>
              <w:spacing w:after="0" w:line="143" w:lineRule="exact"/>
              <w:rPr>
                <w:sz w:val="20"/>
                <w:szCs w:val="20"/>
                <w:color w:val="auto"/>
              </w:rPr>
            </w:pPr>
            <w:r>
              <w:rPr>
                <w:rFonts w:ascii="Arial" w:cs="Arial" w:eastAsia="Arial" w:hAnsi="Arial"/>
                <w:sz w:val="14"/>
                <w:szCs w:val="14"/>
                <w:color w:val="auto"/>
              </w:rPr>
              <w:t>222,401</w:t>
            </w:r>
          </w:p>
        </w:tc>
        <w:tc>
          <w:tcPr>
            <w:tcW w:w="860" w:type="dxa"/>
            <w:vAlign w:val="bottom"/>
            <w:gridSpan w:val="2"/>
          </w:tcPr>
          <w:p>
            <w:pPr>
              <w:jc w:val="right"/>
              <w:ind w:right="160"/>
              <w:spacing w:after="0" w:line="143" w:lineRule="exact"/>
              <w:rPr>
                <w:sz w:val="20"/>
                <w:szCs w:val="20"/>
                <w:color w:val="auto"/>
              </w:rPr>
            </w:pPr>
            <w:r>
              <w:rPr>
                <w:rFonts w:ascii="Arial" w:cs="Arial" w:eastAsia="Arial" w:hAnsi="Arial"/>
                <w:sz w:val="14"/>
                <w:szCs w:val="14"/>
                <w:color w:val="auto"/>
              </w:rPr>
              <w:t>1,059,315</w:t>
            </w:r>
          </w:p>
        </w:tc>
        <w:tc>
          <w:tcPr>
            <w:tcW w:w="620" w:type="dxa"/>
            <w:vAlign w:val="bottom"/>
            <w:gridSpan w:val="2"/>
          </w:tcPr>
          <w:p>
            <w:pPr>
              <w:jc w:val="right"/>
              <w:spacing w:after="0" w:line="143" w:lineRule="exact"/>
              <w:rPr>
                <w:sz w:val="20"/>
                <w:szCs w:val="20"/>
                <w:color w:val="auto"/>
              </w:rPr>
            </w:pPr>
            <w:r>
              <w:rPr>
                <w:rFonts w:ascii="Arial" w:cs="Arial" w:eastAsia="Arial" w:hAnsi="Arial"/>
                <w:sz w:val="14"/>
                <w:szCs w:val="14"/>
                <w:color w:val="auto"/>
              </w:rPr>
              <w:t>1.18%</w:t>
            </w:r>
          </w:p>
        </w:tc>
        <w:tc>
          <w:tcPr>
            <w:tcW w:w="0" w:type="dxa"/>
            <w:vAlign w:val="bottom"/>
          </w:tcPr>
          <w:p>
            <w:pPr>
              <w:spacing w:after="0"/>
              <w:rPr>
                <w:sz w:val="1"/>
                <w:szCs w:val="1"/>
                <w:color w:val="auto"/>
              </w:rPr>
            </w:pPr>
          </w:p>
        </w:tc>
      </w:tr>
      <w:tr>
        <w:trPr>
          <w:trHeight w:val="143"/>
        </w:trPr>
        <w:tc>
          <w:tcPr>
            <w:tcW w:w="130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rPr>
              <w:t>Doubtful</w:t>
            </w:r>
          </w:p>
        </w:tc>
        <w:tc>
          <w:tcPr>
            <w:tcW w:w="920" w:type="dxa"/>
            <w:vAlign w:val="bottom"/>
            <w:gridSpan w:val="2"/>
            <w:shd w:val="clear" w:color="auto" w:fill="CCEEFF"/>
          </w:tcPr>
          <w:p>
            <w:pPr>
              <w:jc w:val="right"/>
              <w:ind w:right="160"/>
              <w:spacing w:after="0" w:line="143" w:lineRule="exact"/>
              <w:rPr>
                <w:sz w:val="20"/>
                <w:szCs w:val="20"/>
                <w:color w:val="auto"/>
              </w:rPr>
            </w:pPr>
            <w:r>
              <w:rPr>
                <w:rFonts w:ascii="Arial" w:cs="Arial" w:eastAsia="Arial" w:hAnsi="Arial"/>
                <w:sz w:val="14"/>
                <w:szCs w:val="14"/>
                <w:color w:val="auto"/>
              </w:rPr>
              <w:t>297,712</w:t>
            </w:r>
          </w:p>
        </w:tc>
        <w:tc>
          <w:tcPr>
            <w:tcW w:w="820" w:type="dxa"/>
            <w:vAlign w:val="bottom"/>
            <w:gridSpan w:val="2"/>
            <w:shd w:val="clear" w:color="auto" w:fill="CCEEFF"/>
          </w:tcPr>
          <w:p>
            <w:pPr>
              <w:jc w:val="right"/>
              <w:ind w:right="80"/>
              <w:spacing w:after="0" w:line="143" w:lineRule="exact"/>
              <w:rPr>
                <w:sz w:val="20"/>
                <w:szCs w:val="20"/>
                <w:color w:val="auto"/>
              </w:rPr>
            </w:pPr>
            <w:r>
              <w:rPr>
                <w:rFonts w:ascii="Arial" w:cs="Arial" w:eastAsia="Arial" w:hAnsi="Arial"/>
                <w:sz w:val="14"/>
                <w:szCs w:val="14"/>
                <w:color w:val="auto"/>
              </w:rPr>
              <w:t>248,215</w:t>
            </w:r>
          </w:p>
        </w:tc>
        <w:tc>
          <w:tcPr>
            <w:tcW w:w="940" w:type="dxa"/>
            <w:vAlign w:val="bottom"/>
            <w:gridSpan w:val="3"/>
            <w:shd w:val="clear" w:color="auto" w:fill="CCEEFF"/>
          </w:tcPr>
          <w:p>
            <w:pPr>
              <w:jc w:val="right"/>
              <w:ind w:right="160"/>
              <w:spacing w:after="0" w:line="143" w:lineRule="exact"/>
              <w:rPr>
                <w:sz w:val="20"/>
                <w:szCs w:val="20"/>
                <w:color w:val="auto"/>
              </w:rPr>
            </w:pPr>
            <w:r>
              <w:rPr>
                <w:rFonts w:ascii="Arial" w:cs="Arial" w:eastAsia="Arial" w:hAnsi="Arial"/>
                <w:sz w:val="14"/>
                <w:szCs w:val="14"/>
                <w:color w:val="auto"/>
              </w:rPr>
              <w:t>345,397</w:t>
            </w:r>
          </w:p>
        </w:tc>
        <w:tc>
          <w:tcPr>
            <w:tcW w:w="860" w:type="dxa"/>
            <w:vAlign w:val="bottom"/>
            <w:gridSpan w:val="2"/>
            <w:shd w:val="clear" w:color="auto" w:fill="CCEEFF"/>
          </w:tcPr>
          <w:p>
            <w:pPr>
              <w:jc w:val="right"/>
              <w:ind w:right="160"/>
              <w:spacing w:after="0" w:line="143" w:lineRule="exact"/>
              <w:rPr>
                <w:sz w:val="20"/>
                <w:szCs w:val="20"/>
                <w:color w:val="auto"/>
              </w:rPr>
            </w:pPr>
            <w:r>
              <w:rPr>
                <w:rFonts w:ascii="Arial" w:cs="Arial" w:eastAsia="Arial" w:hAnsi="Arial"/>
                <w:sz w:val="14"/>
                <w:szCs w:val="14"/>
                <w:color w:val="auto"/>
              </w:rPr>
              <w:t>387,220</w:t>
            </w:r>
          </w:p>
        </w:tc>
        <w:tc>
          <w:tcPr>
            <w:tcW w:w="70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rPr>
              <w:t>1,278,544</w:t>
            </w:r>
          </w:p>
        </w:tc>
        <w:tc>
          <w:tcPr>
            <w:tcW w:w="16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1"/>
              <w:spacing w:after="0" w:line="143" w:lineRule="exact"/>
              <w:rPr>
                <w:sz w:val="20"/>
                <w:szCs w:val="20"/>
                <w:color w:val="auto"/>
              </w:rPr>
            </w:pPr>
            <w:r>
              <w:rPr>
                <w:rFonts w:ascii="Arial" w:cs="Arial" w:eastAsia="Arial" w:hAnsi="Arial"/>
                <w:sz w:val="14"/>
                <w:szCs w:val="14"/>
                <w:color w:val="auto"/>
              </w:rPr>
              <w:t>1.34%</w:t>
            </w:r>
          </w:p>
        </w:tc>
        <w:tc>
          <w:tcPr>
            <w:tcW w:w="920" w:type="dxa"/>
            <w:vAlign w:val="bottom"/>
            <w:gridSpan w:val="2"/>
            <w:shd w:val="clear" w:color="auto" w:fill="CCEEFF"/>
          </w:tcPr>
          <w:p>
            <w:pPr>
              <w:jc w:val="right"/>
              <w:ind w:right="160"/>
              <w:spacing w:after="0" w:line="143" w:lineRule="exact"/>
              <w:rPr>
                <w:sz w:val="20"/>
                <w:szCs w:val="20"/>
                <w:color w:val="auto"/>
              </w:rPr>
            </w:pPr>
            <w:r>
              <w:rPr>
                <w:rFonts w:ascii="Arial" w:cs="Arial" w:eastAsia="Arial" w:hAnsi="Arial"/>
                <w:sz w:val="14"/>
                <w:szCs w:val="14"/>
                <w:color w:val="auto"/>
              </w:rPr>
              <w:t>355,146</w:t>
            </w:r>
          </w:p>
        </w:tc>
        <w:tc>
          <w:tcPr>
            <w:tcW w:w="820" w:type="dxa"/>
            <w:vAlign w:val="bottom"/>
            <w:gridSpan w:val="2"/>
            <w:shd w:val="clear" w:color="auto" w:fill="CCEEFF"/>
          </w:tcPr>
          <w:p>
            <w:pPr>
              <w:jc w:val="right"/>
              <w:ind w:right="60"/>
              <w:spacing w:after="0" w:line="143" w:lineRule="exact"/>
              <w:rPr>
                <w:sz w:val="20"/>
                <w:szCs w:val="20"/>
                <w:color w:val="auto"/>
              </w:rPr>
            </w:pPr>
            <w:r>
              <w:rPr>
                <w:rFonts w:ascii="Arial" w:cs="Arial" w:eastAsia="Arial" w:hAnsi="Arial"/>
                <w:sz w:val="14"/>
                <w:szCs w:val="14"/>
                <w:color w:val="auto"/>
              </w:rPr>
              <w:t>231,872</w:t>
            </w:r>
          </w:p>
        </w:tc>
        <w:tc>
          <w:tcPr>
            <w:tcW w:w="940" w:type="dxa"/>
            <w:vAlign w:val="bottom"/>
            <w:gridSpan w:val="3"/>
            <w:shd w:val="clear" w:color="auto" w:fill="CCEEFF"/>
          </w:tcPr>
          <w:p>
            <w:pPr>
              <w:jc w:val="right"/>
              <w:ind w:right="160"/>
              <w:spacing w:after="0" w:line="143" w:lineRule="exact"/>
              <w:rPr>
                <w:sz w:val="20"/>
                <w:szCs w:val="20"/>
                <w:color w:val="auto"/>
              </w:rPr>
            </w:pPr>
            <w:r>
              <w:rPr>
                <w:rFonts w:ascii="Arial" w:cs="Arial" w:eastAsia="Arial" w:hAnsi="Arial"/>
                <w:sz w:val="14"/>
                <w:szCs w:val="14"/>
                <w:color w:val="auto"/>
              </w:rPr>
              <w:t>309,523</w:t>
            </w:r>
          </w:p>
        </w:tc>
        <w:tc>
          <w:tcPr>
            <w:tcW w:w="860" w:type="dxa"/>
            <w:vAlign w:val="bottom"/>
            <w:gridSpan w:val="2"/>
            <w:shd w:val="clear" w:color="auto" w:fill="CCEEFF"/>
          </w:tcPr>
          <w:p>
            <w:pPr>
              <w:jc w:val="right"/>
              <w:ind w:right="160"/>
              <w:spacing w:after="0" w:line="143" w:lineRule="exact"/>
              <w:rPr>
                <w:sz w:val="20"/>
                <w:szCs w:val="20"/>
                <w:color w:val="auto"/>
              </w:rPr>
            </w:pPr>
            <w:r>
              <w:rPr>
                <w:rFonts w:ascii="Arial" w:cs="Arial" w:eastAsia="Arial" w:hAnsi="Arial"/>
                <w:sz w:val="14"/>
                <w:szCs w:val="14"/>
                <w:color w:val="auto"/>
              </w:rPr>
              <w:t>379,923</w:t>
            </w:r>
          </w:p>
        </w:tc>
        <w:tc>
          <w:tcPr>
            <w:tcW w:w="860" w:type="dxa"/>
            <w:vAlign w:val="bottom"/>
            <w:gridSpan w:val="2"/>
            <w:shd w:val="clear" w:color="auto" w:fill="CCEEFF"/>
          </w:tcPr>
          <w:p>
            <w:pPr>
              <w:jc w:val="right"/>
              <w:ind w:right="160"/>
              <w:spacing w:after="0" w:line="143" w:lineRule="exact"/>
              <w:rPr>
                <w:sz w:val="20"/>
                <w:szCs w:val="20"/>
                <w:color w:val="auto"/>
              </w:rPr>
            </w:pPr>
            <w:r>
              <w:rPr>
                <w:rFonts w:ascii="Arial" w:cs="Arial" w:eastAsia="Arial" w:hAnsi="Arial"/>
                <w:sz w:val="14"/>
                <w:szCs w:val="14"/>
                <w:color w:val="auto"/>
              </w:rPr>
              <w:t>1,276,464</w:t>
            </w:r>
          </w:p>
        </w:tc>
        <w:tc>
          <w:tcPr>
            <w:tcW w:w="620" w:type="dxa"/>
            <w:vAlign w:val="bottom"/>
            <w:gridSpan w:val="2"/>
            <w:shd w:val="clear" w:color="auto" w:fill="CCEEFF"/>
          </w:tcPr>
          <w:p>
            <w:pPr>
              <w:jc w:val="right"/>
              <w:spacing w:after="0" w:line="143" w:lineRule="exact"/>
              <w:rPr>
                <w:sz w:val="20"/>
                <w:szCs w:val="20"/>
                <w:color w:val="auto"/>
              </w:rPr>
            </w:pPr>
            <w:r>
              <w:rPr>
                <w:rFonts w:ascii="Arial" w:cs="Arial" w:eastAsia="Arial" w:hAnsi="Arial"/>
                <w:sz w:val="14"/>
                <w:szCs w:val="14"/>
                <w:color w:val="auto"/>
              </w:rPr>
              <w:t>1.42%</w:t>
            </w:r>
          </w:p>
        </w:tc>
        <w:tc>
          <w:tcPr>
            <w:tcW w:w="0" w:type="dxa"/>
            <w:vAlign w:val="bottom"/>
          </w:tcPr>
          <w:p>
            <w:pPr>
              <w:spacing w:after="0"/>
              <w:rPr>
                <w:sz w:val="1"/>
                <w:szCs w:val="1"/>
                <w:color w:val="auto"/>
              </w:rPr>
            </w:pPr>
          </w:p>
        </w:tc>
      </w:tr>
      <w:tr>
        <w:trPr>
          <w:trHeight w:val="156"/>
        </w:trPr>
        <w:tc>
          <w:tcPr>
            <w:tcW w:w="1300" w:type="dxa"/>
            <w:vAlign w:val="bottom"/>
          </w:tcPr>
          <w:p>
            <w:pPr>
              <w:spacing w:after="0" w:line="156" w:lineRule="exact"/>
              <w:rPr>
                <w:sz w:val="20"/>
                <w:szCs w:val="20"/>
                <w:color w:val="auto"/>
              </w:rPr>
            </w:pPr>
            <w:r>
              <w:rPr>
                <w:rFonts w:ascii="Arial" w:cs="Arial" w:eastAsia="Arial" w:hAnsi="Arial"/>
                <w:sz w:val="14"/>
                <w:szCs w:val="14"/>
                <w:color w:val="auto"/>
              </w:rPr>
              <w:t>Loss</w:t>
            </w:r>
          </w:p>
        </w:tc>
        <w:tc>
          <w:tcPr>
            <w:tcW w:w="920" w:type="dxa"/>
            <w:vAlign w:val="bottom"/>
            <w:gridSpan w:val="2"/>
          </w:tcPr>
          <w:p>
            <w:pPr>
              <w:jc w:val="right"/>
              <w:ind w:right="160"/>
              <w:spacing w:after="0" w:line="156" w:lineRule="exact"/>
              <w:rPr>
                <w:sz w:val="20"/>
                <w:szCs w:val="20"/>
                <w:color w:val="auto"/>
              </w:rPr>
            </w:pPr>
            <w:r>
              <w:rPr>
                <w:rFonts w:ascii="Arial" w:cs="Arial" w:eastAsia="Arial" w:hAnsi="Arial"/>
                <w:sz w:val="14"/>
                <w:szCs w:val="14"/>
                <w:color w:val="auto"/>
              </w:rPr>
              <w:t>688,755</w:t>
            </w:r>
          </w:p>
        </w:tc>
        <w:tc>
          <w:tcPr>
            <w:tcW w:w="820" w:type="dxa"/>
            <w:vAlign w:val="bottom"/>
            <w:gridSpan w:val="2"/>
          </w:tcPr>
          <w:p>
            <w:pPr>
              <w:jc w:val="right"/>
              <w:ind w:right="80"/>
              <w:spacing w:after="0" w:line="156" w:lineRule="exact"/>
              <w:rPr>
                <w:sz w:val="20"/>
                <w:szCs w:val="20"/>
                <w:color w:val="auto"/>
              </w:rPr>
            </w:pPr>
            <w:r>
              <w:rPr>
                <w:rFonts w:ascii="Arial" w:cs="Arial" w:eastAsia="Arial" w:hAnsi="Arial"/>
                <w:sz w:val="14"/>
                <w:szCs w:val="14"/>
                <w:color w:val="auto"/>
              </w:rPr>
              <w:t>474,154</w:t>
            </w:r>
          </w:p>
        </w:tc>
        <w:tc>
          <w:tcPr>
            <w:tcW w:w="940" w:type="dxa"/>
            <w:vAlign w:val="bottom"/>
            <w:gridSpan w:val="3"/>
          </w:tcPr>
          <w:p>
            <w:pPr>
              <w:jc w:val="right"/>
              <w:ind w:right="160"/>
              <w:spacing w:after="0" w:line="156" w:lineRule="exact"/>
              <w:rPr>
                <w:sz w:val="20"/>
                <w:szCs w:val="20"/>
                <w:color w:val="auto"/>
              </w:rPr>
            </w:pPr>
            <w:r>
              <w:rPr>
                <w:rFonts w:ascii="Arial" w:cs="Arial" w:eastAsia="Arial" w:hAnsi="Arial"/>
                <w:sz w:val="14"/>
                <w:szCs w:val="14"/>
                <w:color w:val="auto"/>
              </w:rPr>
              <w:t>675,203</w:t>
            </w:r>
          </w:p>
        </w:tc>
        <w:tc>
          <w:tcPr>
            <w:tcW w:w="860" w:type="dxa"/>
            <w:vAlign w:val="bottom"/>
            <w:gridSpan w:val="2"/>
          </w:tcPr>
          <w:p>
            <w:pPr>
              <w:jc w:val="right"/>
              <w:ind w:right="160"/>
              <w:spacing w:after="0" w:line="156" w:lineRule="exact"/>
              <w:rPr>
                <w:sz w:val="20"/>
                <w:szCs w:val="20"/>
                <w:color w:val="auto"/>
              </w:rPr>
            </w:pPr>
            <w:r>
              <w:rPr>
                <w:rFonts w:ascii="Arial" w:cs="Arial" w:eastAsia="Arial" w:hAnsi="Arial"/>
                <w:sz w:val="14"/>
                <w:szCs w:val="14"/>
                <w:color w:val="auto"/>
              </w:rPr>
              <w:t>293,672</w:t>
            </w:r>
          </w:p>
        </w:tc>
        <w:tc>
          <w:tcPr>
            <w:tcW w:w="700" w:type="dxa"/>
            <w:vAlign w:val="bottom"/>
          </w:tcPr>
          <w:p>
            <w:pPr>
              <w:jc w:val="right"/>
              <w:spacing w:after="0" w:line="156" w:lineRule="exact"/>
              <w:rPr>
                <w:sz w:val="20"/>
                <w:szCs w:val="20"/>
                <w:color w:val="auto"/>
              </w:rPr>
            </w:pPr>
            <w:r>
              <w:rPr>
                <w:rFonts w:ascii="Arial" w:cs="Arial" w:eastAsia="Arial" w:hAnsi="Arial"/>
                <w:sz w:val="14"/>
                <w:szCs w:val="14"/>
                <w:color w:val="auto"/>
              </w:rPr>
              <w:t>2,131,784</w:t>
            </w:r>
          </w:p>
        </w:tc>
        <w:tc>
          <w:tcPr>
            <w:tcW w:w="160" w:type="dxa"/>
            <w:vAlign w:val="bottom"/>
          </w:tcPr>
          <w:p>
            <w:pPr>
              <w:spacing w:after="0"/>
              <w:rPr>
                <w:sz w:val="13"/>
                <w:szCs w:val="13"/>
                <w:color w:val="auto"/>
              </w:rPr>
            </w:pPr>
          </w:p>
        </w:tc>
        <w:tc>
          <w:tcPr>
            <w:tcW w:w="700" w:type="dxa"/>
            <w:vAlign w:val="bottom"/>
            <w:gridSpan w:val="2"/>
          </w:tcPr>
          <w:p>
            <w:pPr>
              <w:jc w:val="right"/>
              <w:ind w:right="11"/>
              <w:spacing w:after="0" w:line="156" w:lineRule="exact"/>
              <w:rPr>
                <w:sz w:val="20"/>
                <w:szCs w:val="20"/>
                <w:color w:val="auto"/>
              </w:rPr>
            </w:pPr>
            <w:r>
              <w:rPr>
                <w:rFonts w:ascii="Arial" w:cs="Arial" w:eastAsia="Arial" w:hAnsi="Arial"/>
                <w:sz w:val="14"/>
                <w:szCs w:val="14"/>
                <w:color w:val="auto"/>
              </w:rPr>
              <w:t>2.24%</w:t>
            </w:r>
          </w:p>
        </w:tc>
        <w:tc>
          <w:tcPr>
            <w:tcW w:w="920" w:type="dxa"/>
            <w:vAlign w:val="bottom"/>
            <w:gridSpan w:val="2"/>
          </w:tcPr>
          <w:p>
            <w:pPr>
              <w:jc w:val="right"/>
              <w:ind w:right="160"/>
              <w:spacing w:after="0" w:line="156" w:lineRule="exact"/>
              <w:rPr>
                <w:sz w:val="20"/>
                <w:szCs w:val="20"/>
                <w:color w:val="auto"/>
              </w:rPr>
            </w:pPr>
            <w:r>
              <w:rPr>
                <w:rFonts w:ascii="Arial" w:cs="Arial" w:eastAsia="Arial" w:hAnsi="Arial"/>
                <w:sz w:val="14"/>
                <w:szCs w:val="14"/>
                <w:color w:val="auto"/>
              </w:rPr>
              <w:t>589,377</w:t>
            </w:r>
          </w:p>
        </w:tc>
        <w:tc>
          <w:tcPr>
            <w:tcW w:w="820" w:type="dxa"/>
            <w:vAlign w:val="bottom"/>
            <w:gridSpan w:val="2"/>
          </w:tcPr>
          <w:p>
            <w:pPr>
              <w:jc w:val="right"/>
              <w:ind w:right="60"/>
              <w:spacing w:after="0" w:line="156" w:lineRule="exact"/>
              <w:rPr>
                <w:sz w:val="20"/>
                <w:szCs w:val="20"/>
                <w:color w:val="auto"/>
              </w:rPr>
            </w:pPr>
            <w:r>
              <w:rPr>
                <w:rFonts w:ascii="Arial" w:cs="Arial" w:eastAsia="Arial" w:hAnsi="Arial"/>
                <w:sz w:val="14"/>
                <w:szCs w:val="14"/>
                <w:color w:val="auto"/>
              </w:rPr>
              <w:t>386,165</w:t>
            </w:r>
          </w:p>
        </w:tc>
        <w:tc>
          <w:tcPr>
            <w:tcW w:w="940" w:type="dxa"/>
            <w:vAlign w:val="bottom"/>
            <w:gridSpan w:val="3"/>
          </w:tcPr>
          <w:p>
            <w:pPr>
              <w:jc w:val="right"/>
              <w:ind w:right="160"/>
              <w:spacing w:after="0" w:line="156" w:lineRule="exact"/>
              <w:rPr>
                <w:sz w:val="20"/>
                <w:szCs w:val="20"/>
                <w:color w:val="auto"/>
              </w:rPr>
            </w:pPr>
            <w:r>
              <w:rPr>
                <w:rFonts w:ascii="Arial" w:cs="Arial" w:eastAsia="Arial" w:hAnsi="Arial"/>
                <w:sz w:val="14"/>
                <w:szCs w:val="14"/>
                <w:color w:val="auto"/>
              </w:rPr>
              <w:t>628,213</w:t>
            </w:r>
          </w:p>
        </w:tc>
        <w:tc>
          <w:tcPr>
            <w:tcW w:w="860" w:type="dxa"/>
            <w:vAlign w:val="bottom"/>
            <w:gridSpan w:val="2"/>
          </w:tcPr>
          <w:p>
            <w:pPr>
              <w:jc w:val="right"/>
              <w:ind w:right="160"/>
              <w:spacing w:after="0" w:line="156" w:lineRule="exact"/>
              <w:rPr>
                <w:sz w:val="20"/>
                <w:szCs w:val="20"/>
                <w:color w:val="auto"/>
              </w:rPr>
            </w:pPr>
            <w:r>
              <w:rPr>
                <w:rFonts w:ascii="Arial" w:cs="Arial" w:eastAsia="Arial" w:hAnsi="Arial"/>
                <w:sz w:val="14"/>
                <w:szCs w:val="14"/>
                <w:color w:val="auto"/>
              </w:rPr>
              <w:t>271,872</w:t>
            </w:r>
          </w:p>
        </w:tc>
        <w:tc>
          <w:tcPr>
            <w:tcW w:w="860" w:type="dxa"/>
            <w:vAlign w:val="bottom"/>
            <w:gridSpan w:val="2"/>
          </w:tcPr>
          <w:p>
            <w:pPr>
              <w:jc w:val="right"/>
              <w:ind w:right="160"/>
              <w:spacing w:after="0" w:line="156" w:lineRule="exact"/>
              <w:rPr>
                <w:sz w:val="20"/>
                <w:szCs w:val="20"/>
                <w:color w:val="auto"/>
              </w:rPr>
            </w:pPr>
            <w:r>
              <w:rPr>
                <w:rFonts w:ascii="Arial" w:cs="Arial" w:eastAsia="Arial" w:hAnsi="Arial"/>
                <w:sz w:val="14"/>
                <w:szCs w:val="14"/>
                <w:color w:val="auto"/>
              </w:rPr>
              <w:t>1,875,627</w:t>
            </w:r>
          </w:p>
        </w:tc>
        <w:tc>
          <w:tcPr>
            <w:tcW w:w="620" w:type="dxa"/>
            <w:vAlign w:val="bottom"/>
            <w:gridSpan w:val="2"/>
          </w:tcPr>
          <w:p>
            <w:pPr>
              <w:jc w:val="right"/>
              <w:spacing w:after="0" w:line="156" w:lineRule="exact"/>
              <w:rPr>
                <w:sz w:val="20"/>
                <w:szCs w:val="20"/>
                <w:color w:val="auto"/>
              </w:rPr>
            </w:pPr>
            <w:r>
              <w:rPr>
                <w:rFonts w:ascii="Arial" w:cs="Arial" w:eastAsia="Arial" w:hAnsi="Arial"/>
                <w:sz w:val="14"/>
                <w:szCs w:val="14"/>
                <w:color w:val="auto"/>
              </w:rPr>
              <w:t>2.09%</w:t>
            </w:r>
          </w:p>
        </w:tc>
        <w:tc>
          <w:tcPr>
            <w:tcW w:w="0" w:type="dxa"/>
            <w:vAlign w:val="bottom"/>
          </w:tcPr>
          <w:p>
            <w:pPr>
              <w:spacing w:after="0"/>
              <w:rPr>
                <w:sz w:val="1"/>
                <w:szCs w:val="1"/>
                <w:color w:val="auto"/>
              </w:rPr>
            </w:pPr>
          </w:p>
        </w:tc>
      </w:tr>
      <w:tr>
        <w:trPr>
          <w:trHeight w:val="136"/>
        </w:trPr>
        <w:tc>
          <w:tcPr>
            <w:tcW w:w="1300" w:type="dxa"/>
            <w:vAlign w:val="bottom"/>
            <w:tcBorders>
              <w:top w:val="single" w:sz="8" w:color="CCEEFF"/>
            </w:tcBorders>
            <w:shd w:val="clear" w:color="auto" w:fill="CCEEFF"/>
          </w:tcPr>
          <w:p>
            <w:pPr>
              <w:spacing w:after="0" w:line="136" w:lineRule="exact"/>
              <w:rPr>
                <w:sz w:val="20"/>
                <w:szCs w:val="20"/>
                <w:color w:val="auto"/>
              </w:rPr>
            </w:pPr>
            <w:r>
              <w:rPr>
                <w:rFonts w:ascii="Arial" w:cs="Arial" w:eastAsia="Arial" w:hAnsi="Arial"/>
                <w:sz w:val="14"/>
                <w:szCs w:val="14"/>
                <w:b w:val="1"/>
                <w:bCs w:val="1"/>
                <w:color w:val="auto"/>
              </w:rPr>
              <w:t>Gross</w:t>
            </w:r>
          </w:p>
        </w:tc>
        <w:tc>
          <w:tcPr>
            <w:tcW w:w="760" w:type="dxa"/>
            <w:vAlign w:val="bottom"/>
            <w:tcBorders>
              <w:top w:val="single" w:sz="8" w:color="auto"/>
              <w:bottom w:val="single" w:sz="8" w:color="auto"/>
            </w:tcBorders>
            <w:shd w:val="clear" w:color="auto" w:fill="CCEEFF"/>
          </w:tcPr>
          <w:p>
            <w:pPr>
              <w:jc w:val="right"/>
              <w:spacing w:after="0" w:line="136" w:lineRule="exact"/>
              <w:rPr>
                <w:sz w:val="20"/>
                <w:szCs w:val="20"/>
                <w:color w:val="auto"/>
              </w:rPr>
            </w:pPr>
            <w:r>
              <w:rPr>
                <w:rFonts w:ascii="Arial" w:cs="Arial" w:eastAsia="Arial" w:hAnsi="Arial"/>
                <w:sz w:val="14"/>
                <w:szCs w:val="14"/>
                <w:color w:val="auto"/>
              </w:rPr>
              <w:t>58,455,548</w:t>
            </w:r>
          </w:p>
        </w:tc>
        <w:tc>
          <w:tcPr>
            <w:tcW w:w="160" w:type="dxa"/>
            <w:vAlign w:val="bottom"/>
            <w:tcBorders>
              <w:top w:val="single" w:sz="8" w:color="CCEEFF"/>
            </w:tcBorders>
            <w:shd w:val="clear" w:color="auto" w:fill="CCEEFF"/>
          </w:tcPr>
          <w:p>
            <w:pPr>
              <w:spacing w:after="0"/>
              <w:rPr>
                <w:sz w:val="11"/>
                <w:szCs w:val="11"/>
                <w:color w:val="auto"/>
              </w:rPr>
            </w:pPr>
          </w:p>
        </w:tc>
        <w:tc>
          <w:tcPr>
            <w:tcW w:w="740" w:type="dxa"/>
            <w:vAlign w:val="bottom"/>
            <w:tcBorders>
              <w:top w:val="single" w:sz="8" w:color="auto"/>
              <w:bottom w:val="single" w:sz="8" w:color="auto"/>
            </w:tcBorders>
            <w:shd w:val="clear" w:color="auto" w:fill="CCEEFF"/>
          </w:tcPr>
          <w:p>
            <w:pPr>
              <w:jc w:val="right"/>
              <w:spacing w:after="0" w:line="136" w:lineRule="exact"/>
              <w:rPr>
                <w:sz w:val="20"/>
                <w:szCs w:val="20"/>
                <w:color w:val="auto"/>
              </w:rPr>
            </w:pPr>
            <w:r>
              <w:rPr>
                <w:rFonts w:ascii="Arial" w:cs="Arial" w:eastAsia="Arial" w:hAnsi="Arial"/>
                <w:sz w:val="14"/>
                <w:szCs w:val="14"/>
                <w:color w:val="auto"/>
              </w:rPr>
              <w:t>15,452,087</w:t>
            </w:r>
          </w:p>
        </w:tc>
        <w:tc>
          <w:tcPr>
            <w:tcW w:w="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700" w:type="dxa"/>
            <w:vAlign w:val="bottom"/>
            <w:tcBorders>
              <w:top w:val="single" w:sz="8" w:color="auto"/>
              <w:bottom w:val="single" w:sz="8" w:color="auto"/>
            </w:tcBorders>
            <w:shd w:val="clear" w:color="auto" w:fill="CCEEFF"/>
          </w:tcPr>
          <w:p>
            <w:pPr>
              <w:jc w:val="right"/>
              <w:spacing w:after="0" w:line="136" w:lineRule="exact"/>
              <w:rPr>
                <w:sz w:val="20"/>
                <w:szCs w:val="20"/>
                <w:color w:val="auto"/>
              </w:rPr>
            </w:pPr>
            <w:r>
              <w:rPr>
                <w:rFonts w:ascii="Arial" w:cs="Arial" w:eastAsia="Arial" w:hAnsi="Arial"/>
                <w:sz w:val="14"/>
                <w:szCs w:val="14"/>
                <w:color w:val="auto"/>
                <w:w w:val="96"/>
              </w:rPr>
              <w:t>13,927,557</w:t>
            </w:r>
          </w:p>
        </w:tc>
        <w:tc>
          <w:tcPr>
            <w:tcW w:w="160" w:type="dxa"/>
            <w:vAlign w:val="bottom"/>
            <w:tcBorders>
              <w:top w:val="single" w:sz="8" w:color="CCEEFF"/>
            </w:tcBorders>
            <w:shd w:val="clear" w:color="auto" w:fill="CCEEFF"/>
          </w:tcPr>
          <w:p>
            <w:pPr>
              <w:spacing w:after="0"/>
              <w:rPr>
                <w:sz w:val="11"/>
                <w:szCs w:val="11"/>
                <w:color w:val="auto"/>
              </w:rPr>
            </w:pPr>
          </w:p>
        </w:tc>
        <w:tc>
          <w:tcPr>
            <w:tcW w:w="700" w:type="dxa"/>
            <w:vAlign w:val="bottom"/>
            <w:tcBorders>
              <w:top w:val="single" w:sz="8" w:color="auto"/>
              <w:bottom w:val="single" w:sz="8" w:color="auto"/>
            </w:tcBorders>
            <w:shd w:val="clear" w:color="auto" w:fill="CCEEFF"/>
          </w:tcPr>
          <w:p>
            <w:pPr>
              <w:jc w:val="right"/>
              <w:spacing w:after="0" w:line="136" w:lineRule="exact"/>
              <w:rPr>
                <w:sz w:val="20"/>
                <w:szCs w:val="20"/>
                <w:color w:val="auto"/>
              </w:rPr>
            </w:pPr>
            <w:r>
              <w:rPr>
                <w:rFonts w:ascii="Arial" w:cs="Arial" w:eastAsia="Arial" w:hAnsi="Arial"/>
                <w:sz w:val="14"/>
                <w:szCs w:val="14"/>
                <w:color w:val="auto"/>
                <w:w w:val="96"/>
              </w:rPr>
              <w:t>11,929,722</w:t>
            </w:r>
          </w:p>
        </w:tc>
        <w:tc>
          <w:tcPr>
            <w:tcW w:w="160" w:type="dxa"/>
            <w:vAlign w:val="bottom"/>
            <w:tcBorders>
              <w:top w:val="single" w:sz="8" w:color="CCEEFF"/>
            </w:tcBorders>
            <w:shd w:val="clear" w:color="auto" w:fill="CCEEFF"/>
          </w:tcPr>
          <w:p>
            <w:pPr>
              <w:spacing w:after="0"/>
              <w:rPr>
                <w:sz w:val="11"/>
                <w:szCs w:val="11"/>
                <w:color w:val="auto"/>
              </w:rPr>
            </w:pPr>
          </w:p>
        </w:tc>
        <w:tc>
          <w:tcPr>
            <w:tcW w:w="700" w:type="dxa"/>
            <w:vAlign w:val="bottom"/>
            <w:tcBorders>
              <w:top w:val="single" w:sz="8" w:color="auto"/>
              <w:bottom w:val="single" w:sz="8" w:color="auto"/>
            </w:tcBorders>
            <w:shd w:val="clear" w:color="auto" w:fill="CCEEFF"/>
          </w:tcPr>
          <w:p>
            <w:pPr>
              <w:jc w:val="right"/>
              <w:spacing w:after="0" w:line="136" w:lineRule="exact"/>
              <w:rPr>
                <w:sz w:val="20"/>
                <w:szCs w:val="20"/>
                <w:color w:val="auto"/>
              </w:rPr>
            </w:pPr>
            <w:r>
              <w:rPr>
                <w:rFonts w:ascii="Arial" w:cs="Arial" w:eastAsia="Arial" w:hAnsi="Arial"/>
                <w:sz w:val="14"/>
                <w:szCs w:val="14"/>
                <w:color w:val="auto"/>
                <w:w w:val="96"/>
              </w:rPr>
              <w:t>99,764,914</w:t>
            </w:r>
          </w:p>
        </w:tc>
        <w:tc>
          <w:tcPr>
            <w:tcW w:w="160" w:type="dxa"/>
            <w:vAlign w:val="bottom"/>
            <w:tcBorders>
              <w:top w:val="single" w:sz="8" w:color="CCEEFF"/>
            </w:tcBorders>
            <w:shd w:val="clear" w:color="auto" w:fill="CCEEFF"/>
          </w:tcPr>
          <w:p>
            <w:pPr>
              <w:spacing w:after="0"/>
              <w:rPr>
                <w:sz w:val="11"/>
                <w:szCs w:val="11"/>
                <w:color w:val="auto"/>
              </w:rPr>
            </w:pPr>
          </w:p>
        </w:tc>
        <w:tc>
          <w:tcPr>
            <w:tcW w:w="500" w:type="dxa"/>
            <w:vAlign w:val="bottom"/>
            <w:tcBorders>
              <w:top w:val="single" w:sz="8" w:color="auto"/>
              <w:bottom w:val="single" w:sz="8" w:color="auto"/>
            </w:tcBorders>
            <w:shd w:val="clear" w:color="auto" w:fill="CCEEFF"/>
          </w:tcPr>
          <w:p>
            <w:pPr>
              <w:jc w:val="right"/>
              <w:spacing w:after="0" w:line="136" w:lineRule="exact"/>
              <w:rPr>
                <w:sz w:val="20"/>
                <w:szCs w:val="20"/>
                <w:color w:val="auto"/>
              </w:rPr>
            </w:pPr>
            <w:r>
              <w:rPr>
                <w:rFonts w:ascii="Arial" w:cs="Arial" w:eastAsia="Arial" w:hAnsi="Arial"/>
                <w:sz w:val="14"/>
                <w:szCs w:val="14"/>
                <w:color w:val="auto"/>
              </w:rPr>
              <w:t>104.72</w:t>
            </w:r>
          </w:p>
        </w:tc>
        <w:tc>
          <w:tcPr>
            <w:tcW w:w="200" w:type="dxa"/>
            <w:vAlign w:val="bottom"/>
            <w:tcBorders>
              <w:top w:val="single" w:sz="8" w:color="CCEEFF"/>
            </w:tcBorders>
            <w:shd w:val="clear" w:color="auto" w:fill="CCEEFF"/>
          </w:tcPr>
          <w:p>
            <w:pPr>
              <w:jc w:val="right"/>
              <w:ind w:right="11"/>
              <w:spacing w:after="0" w:line="136" w:lineRule="exact"/>
              <w:rPr>
                <w:sz w:val="20"/>
                <w:szCs w:val="20"/>
                <w:color w:val="auto"/>
              </w:rPr>
            </w:pPr>
            <w:r>
              <w:rPr>
                <w:rFonts w:ascii="Arial" w:cs="Arial" w:eastAsia="Arial" w:hAnsi="Arial"/>
                <w:sz w:val="14"/>
                <w:szCs w:val="14"/>
                <w:color w:val="auto"/>
                <w:w w:val="79"/>
              </w:rPr>
              <w:t>%</w:t>
            </w:r>
          </w:p>
        </w:tc>
        <w:tc>
          <w:tcPr>
            <w:tcW w:w="760" w:type="dxa"/>
            <w:vAlign w:val="bottom"/>
            <w:tcBorders>
              <w:top w:val="single" w:sz="8" w:color="auto"/>
              <w:bottom w:val="single" w:sz="8" w:color="auto"/>
            </w:tcBorders>
            <w:shd w:val="clear" w:color="auto" w:fill="CCEEFF"/>
          </w:tcPr>
          <w:p>
            <w:pPr>
              <w:jc w:val="right"/>
              <w:spacing w:after="0" w:line="136" w:lineRule="exact"/>
              <w:rPr>
                <w:sz w:val="20"/>
                <w:szCs w:val="20"/>
                <w:color w:val="auto"/>
              </w:rPr>
            </w:pPr>
            <w:r>
              <w:rPr>
                <w:rFonts w:ascii="Arial" w:cs="Arial" w:eastAsia="Arial" w:hAnsi="Arial"/>
                <w:sz w:val="14"/>
                <w:szCs w:val="14"/>
                <w:color w:val="auto"/>
              </w:rPr>
              <w:t>54,133,871</w:t>
            </w:r>
          </w:p>
        </w:tc>
        <w:tc>
          <w:tcPr>
            <w:tcW w:w="160" w:type="dxa"/>
            <w:vAlign w:val="bottom"/>
            <w:tcBorders>
              <w:top w:val="single" w:sz="8" w:color="CCEEFF"/>
            </w:tcBorders>
            <w:shd w:val="clear" w:color="auto" w:fill="CCEEFF"/>
          </w:tcPr>
          <w:p>
            <w:pPr>
              <w:spacing w:after="0"/>
              <w:rPr>
                <w:sz w:val="11"/>
                <w:szCs w:val="11"/>
                <w:color w:val="auto"/>
              </w:rPr>
            </w:pPr>
          </w:p>
        </w:tc>
        <w:tc>
          <w:tcPr>
            <w:tcW w:w="760" w:type="dxa"/>
            <w:vAlign w:val="bottom"/>
            <w:tcBorders>
              <w:top w:val="single" w:sz="8" w:color="auto"/>
              <w:bottom w:val="single" w:sz="8" w:color="auto"/>
            </w:tcBorders>
            <w:shd w:val="clear" w:color="auto" w:fill="CCEEFF"/>
          </w:tcPr>
          <w:p>
            <w:pPr>
              <w:jc w:val="right"/>
              <w:spacing w:after="0" w:line="136" w:lineRule="exact"/>
              <w:rPr>
                <w:sz w:val="20"/>
                <w:szCs w:val="20"/>
                <w:color w:val="auto"/>
              </w:rPr>
            </w:pPr>
            <w:r>
              <w:rPr>
                <w:rFonts w:ascii="Arial" w:cs="Arial" w:eastAsia="Arial" w:hAnsi="Arial"/>
                <w:sz w:val="14"/>
                <w:szCs w:val="14"/>
                <w:color w:val="auto"/>
              </w:rPr>
              <w:t>14,495,454</w:t>
            </w:r>
          </w:p>
        </w:tc>
        <w:tc>
          <w:tcPr>
            <w:tcW w:w="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700" w:type="dxa"/>
            <w:vAlign w:val="bottom"/>
            <w:tcBorders>
              <w:top w:val="single" w:sz="8" w:color="auto"/>
              <w:bottom w:val="single" w:sz="8" w:color="auto"/>
            </w:tcBorders>
            <w:shd w:val="clear" w:color="auto" w:fill="CCEEFF"/>
          </w:tcPr>
          <w:p>
            <w:pPr>
              <w:jc w:val="right"/>
              <w:spacing w:after="0" w:line="136" w:lineRule="exact"/>
              <w:rPr>
                <w:sz w:val="20"/>
                <w:szCs w:val="20"/>
                <w:color w:val="auto"/>
              </w:rPr>
            </w:pPr>
            <w:r>
              <w:rPr>
                <w:rFonts w:ascii="Arial" w:cs="Arial" w:eastAsia="Arial" w:hAnsi="Arial"/>
                <w:sz w:val="14"/>
                <w:szCs w:val="14"/>
                <w:color w:val="auto"/>
                <w:w w:val="96"/>
              </w:rPr>
              <w:t>12,951,628</w:t>
            </w:r>
          </w:p>
        </w:tc>
        <w:tc>
          <w:tcPr>
            <w:tcW w:w="160" w:type="dxa"/>
            <w:vAlign w:val="bottom"/>
            <w:tcBorders>
              <w:top w:val="single" w:sz="8" w:color="CCEEFF"/>
            </w:tcBorders>
            <w:shd w:val="clear" w:color="auto" w:fill="CCEEFF"/>
          </w:tcPr>
          <w:p>
            <w:pPr>
              <w:spacing w:after="0"/>
              <w:rPr>
                <w:sz w:val="11"/>
                <w:szCs w:val="11"/>
                <w:color w:val="auto"/>
              </w:rPr>
            </w:pPr>
          </w:p>
        </w:tc>
        <w:tc>
          <w:tcPr>
            <w:tcW w:w="700" w:type="dxa"/>
            <w:vAlign w:val="bottom"/>
            <w:tcBorders>
              <w:top w:val="single" w:sz="8" w:color="auto"/>
              <w:bottom w:val="single" w:sz="8" w:color="auto"/>
            </w:tcBorders>
            <w:shd w:val="clear" w:color="auto" w:fill="CCEEFF"/>
          </w:tcPr>
          <w:p>
            <w:pPr>
              <w:jc w:val="right"/>
              <w:spacing w:after="0" w:line="136" w:lineRule="exact"/>
              <w:rPr>
                <w:sz w:val="20"/>
                <w:szCs w:val="20"/>
                <w:color w:val="auto"/>
              </w:rPr>
            </w:pPr>
            <w:r>
              <w:rPr>
                <w:rFonts w:ascii="Arial" w:cs="Arial" w:eastAsia="Arial" w:hAnsi="Arial"/>
                <w:sz w:val="14"/>
                <w:szCs w:val="14"/>
                <w:color w:val="auto"/>
                <w:w w:val="96"/>
              </w:rPr>
              <w:t>12,518,436</w:t>
            </w:r>
          </w:p>
        </w:tc>
        <w:tc>
          <w:tcPr>
            <w:tcW w:w="160" w:type="dxa"/>
            <w:vAlign w:val="bottom"/>
            <w:tcBorders>
              <w:top w:val="single" w:sz="8" w:color="CCEEFF"/>
            </w:tcBorders>
            <w:shd w:val="clear" w:color="auto" w:fill="CCEEFF"/>
          </w:tcPr>
          <w:p>
            <w:pPr>
              <w:spacing w:after="0"/>
              <w:rPr>
                <w:sz w:val="11"/>
                <w:szCs w:val="11"/>
                <w:color w:val="auto"/>
              </w:rPr>
            </w:pPr>
          </w:p>
        </w:tc>
        <w:tc>
          <w:tcPr>
            <w:tcW w:w="700" w:type="dxa"/>
            <w:vAlign w:val="bottom"/>
            <w:tcBorders>
              <w:top w:val="single" w:sz="8" w:color="auto"/>
              <w:bottom w:val="single" w:sz="8" w:color="auto"/>
            </w:tcBorders>
            <w:shd w:val="clear" w:color="auto" w:fill="CCEEFF"/>
          </w:tcPr>
          <w:p>
            <w:pPr>
              <w:jc w:val="right"/>
              <w:spacing w:after="0" w:line="136" w:lineRule="exact"/>
              <w:rPr>
                <w:sz w:val="20"/>
                <w:szCs w:val="20"/>
                <w:color w:val="auto"/>
              </w:rPr>
            </w:pPr>
            <w:r>
              <w:rPr>
                <w:rFonts w:ascii="Arial" w:cs="Arial" w:eastAsia="Arial" w:hAnsi="Arial"/>
                <w:sz w:val="14"/>
                <w:szCs w:val="14"/>
                <w:color w:val="auto"/>
                <w:w w:val="96"/>
              </w:rPr>
              <w:t>94,099,389</w:t>
            </w:r>
          </w:p>
        </w:tc>
        <w:tc>
          <w:tcPr>
            <w:tcW w:w="160" w:type="dxa"/>
            <w:vAlign w:val="bottom"/>
            <w:tcBorders>
              <w:top w:val="single" w:sz="8" w:color="CCEEFF"/>
            </w:tcBorders>
            <w:shd w:val="clear" w:color="auto" w:fill="CCEEFF"/>
          </w:tcPr>
          <w:p>
            <w:pPr>
              <w:spacing w:after="0"/>
              <w:rPr>
                <w:sz w:val="11"/>
                <w:szCs w:val="11"/>
                <w:color w:val="auto"/>
              </w:rPr>
            </w:pPr>
          </w:p>
        </w:tc>
        <w:tc>
          <w:tcPr>
            <w:tcW w:w="500" w:type="dxa"/>
            <w:vAlign w:val="bottom"/>
            <w:tcBorders>
              <w:top w:val="single" w:sz="8" w:color="auto"/>
              <w:bottom w:val="single" w:sz="8" w:color="auto"/>
            </w:tcBorders>
            <w:shd w:val="clear" w:color="auto" w:fill="CCEEFF"/>
          </w:tcPr>
          <w:p>
            <w:pPr>
              <w:jc w:val="right"/>
              <w:spacing w:after="0" w:line="136" w:lineRule="exact"/>
              <w:rPr>
                <w:sz w:val="20"/>
                <w:szCs w:val="20"/>
                <w:color w:val="auto"/>
              </w:rPr>
            </w:pPr>
            <w:r>
              <w:rPr>
                <w:rFonts w:ascii="Arial" w:cs="Arial" w:eastAsia="Arial" w:hAnsi="Arial"/>
                <w:sz w:val="14"/>
                <w:szCs w:val="14"/>
                <w:color w:val="auto"/>
              </w:rPr>
              <w:t>104.68</w:t>
            </w:r>
          </w:p>
        </w:tc>
        <w:tc>
          <w:tcPr>
            <w:tcW w:w="120" w:type="dxa"/>
            <w:vAlign w:val="bottom"/>
            <w:tcBorders>
              <w:top w:val="single" w:sz="8" w:color="CCEEFF"/>
            </w:tcBorders>
            <w:shd w:val="clear" w:color="auto" w:fill="CCEEFF"/>
          </w:tcPr>
          <w:p>
            <w:pPr>
              <w:jc w:val="right"/>
              <w:spacing w:after="0" w:line="136"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36"/>
        </w:trPr>
        <w:tc>
          <w:tcPr>
            <w:tcW w:w="13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1300" w:type="dxa"/>
            <w:vAlign w:val="bottom"/>
            <w:shd w:val="clear" w:color="auto" w:fill="CCEEFF"/>
          </w:tcPr>
          <w:p>
            <w:pPr>
              <w:spacing w:after="0" w:line="143" w:lineRule="exact"/>
              <w:rPr>
                <w:sz w:val="20"/>
                <w:szCs w:val="20"/>
                <w:color w:val="auto"/>
              </w:rPr>
            </w:pPr>
            <w:r>
              <w:rPr>
                <w:rFonts w:ascii="Arial" w:cs="Arial" w:eastAsia="Arial" w:hAnsi="Arial"/>
                <w:sz w:val="14"/>
                <w:szCs w:val="14"/>
                <w:b w:val="1"/>
                <w:bCs w:val="1"/>
                <w:color w:val="auto"/>
              </w:rPr>
              <w:t>Less</w:t>
            </w:r>
          </w:p>
        </w:tc>
        <w:tc>
          <w:tcPr>
            <w:tcW w:w="7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4"/>
        </w:trPr>
        <w:tc>
          <w:tcPr>
            <w:tcW w:w="1300" w:type="dxa"/>
            <w:vAlign w:val="bottom"/>
          </w:tcPr>
          <w:p>
            <w:pPr>
              <w:spacing w:after="0" w:line="125" w:lineRule="exact"/>
              <w:rPr>
                <w:sz w:val="20"/>
                <w:szCs w:val="20"/>
                <w:color w:val="auto"/>
              </w:rPr>
            </w:pPr>
            <w:r>
              <w:rPr>
                <w:rFonts w:ascii="Arial" w:cs="Arial" w:eastAsia="Arial" w:hAnsi="Arial"/>
                <w:sz w:val="14"/>
                <w:szCs w:val="14"/>
                <w:color w:val="auto"/>
              </w:rPr>
              <w:t>Allowance for loan</w:t>
            </w:r>
          </w:p>
        </w:tc>
        <w:tc>
          <w:tcPr>
            <w:tcW w:w="7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4"/>
        </w:trPr>
        <w:tc>
          <w:tcPr>
            <w:tcW w:w="1300" w:type="dxa"/>
            <w:vAlign w:val="bottom"/>
          </w:tcPr>
          <w:p>
            <w:pPr>
              <w:spacing w:after="0"/>
              <w:rPr>
                <w:sz w:val="20"/>
                <w:szCs w:val="20"/>
                <w:color w:val="auto"/>
              </w:rPr>
            </w:pPr>
            <w:r>
              <w:rPr>
                <w:rFonts w:ascii="Arial" w:cs="Arial" w:eastAsia="Arial" w:hAnsi="Arial"/>
                <w:sz w:val="14"/>
                <w:szCs w:val="14"/>
                <w:color w:val="auto"/>
              </w:rPr>
              <w:t>losses</w:t>
            </w: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1,237,616</w:t>
            </w:r>
          </w:p>
        </w:tc>
        <w:tc>
          <w:tcPr>
            <w:tcW w:w="820" w:type="dxa"/>
            <w:vAlign w:val="bottom"/>
            <w:gridSpan w:val="2"/>
          </w:tcPr>
          <w:p>
            <w:pPr>
              <w:jc w:val="right"/>
              <w:ind w:right="80"/>
              <w:spacing w:after="0"/>
              <w:rPr>
                <w:sz w:val="20"/>
                <w:szCs w:val="20"/>
                <w:color w:val="auto"/>
              </w:rPr>
            </w:pPr>
            <w:r>
              <w:rPr>
                <w:rFonts w:ascii="Arial" w:cs="Arial" w:eastAsia="Arial" w:hAnsi="Arial"/>
                <w:sz w:val="14"/>
                <w:szCs w:val="14"/>
                <w:color w:val="auto"/>
              </w:rPr>
              <w:t>228,287</w:t>
            </w: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1,476,578</w:t>
            </w:r>
          </w:p>
        </w:tc>
        <w:tc>
          <w:tcPr>
            <w:tcW w:w="160" w:type="dxa"/>
            <w:vAlign w:val="bottom"/>
          </w:tcPr>
          <w:p>
            <w:pPr>
              <w:spacing w:after="0"/>
              <w:rPr>
                <w:sz w:val="15"/>
                <w:szCs w:val="15"/>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1,558,017</w:t>
            </w:r>
          </w:p>
        </w:tc>
        <w:tc>
          <w:tcPr>
            <w:tcW w:w="700" w:type="dxa"/>
            <w:vAlign w:val="bottom"/>
          </w:tcPr>
          <w:p>
            <w:pPr>
              <w:jc w:val="right"/>
              <w:spacing w:after="0"/>
              <w:rPr>
                <w:sz w:val="20"/>
                <w:szCs w:val="20"/>
                <w:color w:val="auto"/>
              </w:rPr>
            </w:pPr>
            <w:r>
              <w:rPr>
                <w:rFonts w:ascii="Arial" w:cs="Arial" w:eastAsia="Arial" w:hAnsi="Arial"/>
                <w:sz w:val="14"/>
                <w:szCs w:val="14"/>
                <w:color w:val="auto"/>
              </w:rPr>
              <w:t>4,500,498</w:t>
            </w:r>
          </w:p>
        </w:tc>
        <w:tc>
          <w:tcPr>
            <w:tcW w:w="160" w:type="dxa"/>
            <w:vAlign w:val="bottom"/>
          </w:tcPr>
          <w:p>
            <w:pPr>
              <w:spacing w:after="0"/>
              <w:rPr>
                <w:sz w:val="15"/>
                <w:szCs w:val="15"/>
                <w:color w:val="auto"/>
              </w:rPr>
            </w:pPr>
          </w:p>
        </w:tc>
        <w:tc>
          <w:tcPr>
            <w:tcW w:w="700" w:type="dxa"/>
            <w:vAlign w:val="bottom"/>
            <w:gridSpan w:val="2"/>
          </w:tcPr>
          <w:p>
            <w:pPr>
              <w:jc w:val="right"/>
              <w:ind w:right="11"/>
              <w:spacing w:after="0"/>
              <w:rPr>
                <w:sz w:val="20"/>
                <w:szCs w:val="20"/>
                <w:color w:val="auto"/>
              </w:rPr>
            </w:pPr>
            <w:r>
              <w:rPr>
                <w:rFonts w:ascii="Arial" w:cs="Arial" w:eastAsia="Arial" w:hAnsi="Arial"/>
                <w:sz w:val="14"/>
                <w:szCs w:val="14"/>
                <w:color w:val="auto"/>
              </w:rPr>
              <w:t>4.72%</w:t>
            </w: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1,026,411</w:t>
            </w:r>
          </w:p>
        </w:tc>
        <w:tc>
          <w:tcPr>
            <w:tcW w:w="820" w:type="dxa"/>
            <w:vAlign w:val="bottom"/>
            <w:gridSpan w:val="2"/>
          </w:tcPr>
          <w:p>
            <w:pPr>
              <w:jc w:val="right"/>
              <w:ind w:right="60"/>
              <w:spacing w:after="0"/>
              <w:rPr>
                <w:sz w:val="20"/>
                <w:szCs w:val="20"/>
                <w:color w:val="auto"/>
              </w:rPr>
            </w:pPr>
            <w:r>
              <w:rPr>
                <w:rFonts w:ascii="Arial" w:cs="Arial" w:eastAsia="Arial" w:hAnsi="Arial"/>
                <w:sz w:val="14"/>
                <w:szCs w:val="14"/>
                <w:color w:val="auto"/>
              </w:rPr>
              <w:t>193,385</w:t>
            </w:r>
          </w:p>
        </w:tc>
        <w:tc>
          <w:tcPr>
            <w:tcW w:w="940" w:type="dxa"/>
            <w:vAlign w:val="bottom"/>
            <w:gridSpan w:val="3"/>
          </w:tcPr>
          <w:p>
            <w:pPr>
              <w:jc w:val="right"/>
              <w:ind w:right="160"/>
              <w:spacing w:after="0"/>
              <w:rPr>
                <w:sz w:val="20"/>
                <w:szCs w:val="20"/>
                <w:color w:val="auto"/>
              </w:rPr>
            </w:pPr>
            <w:r>
              <w:rPr>
                <w:rFonts w:ascii="Arial" w:cs="Arial" w:eastAsia="Arial" w:hAnsi="Arial"/>
                <w:sz w:val="14"/>
                <w:szCs w:val="14"/>
                <w:color w:val="auto"/>
              </w:rPr>
              <w:t>1,353,168</w:t>
            </w:r>
          </w:p>
        </w:tc>
        <w:tc>
          <w:tcPr>
            <w:tcW w:w="700" w:type="dxa"/>
            <w:vAlign w:val="bottom"/>
          </w:tcPr>
          <w:p>
            <w:pPr>
              <w:jc w:val="right"/>
              <w:spacing w:after="0"/>
              <w:rPr>
                <w:sz w:val="20"/>
                <w:szCs w:val="20"/>
                <w:color w:val="auto"/>
              </w:rPr>
            </w:pPr>
            <w:r>
              <w:rPr>
                <w:rFonts w:ascii="Arial" w:cs="Arial" w:eastAsia="Arial" w:hAnsi="Arial"/>
                <w:sz w:val="14"/>
                <w:szCs w:val="14"/>
                <w:color w:val="auto"/>
              </w:rPr>
              <w:t>1,634,169</w:t>
            </w:r>
          </w:p>
        </w:tc>
        <w:tc>
          <w:tcPr>
            <w:tcW w:w="160" w:type="dxa"/>
            <w:vAlign w:val="bottom"/>
          </w:tcPr>
          <w:p>
            <w:pPr>
              <w:spacing w:after="0"/>
              <w:rPr>
                <w:sz w:val="15"/>
                <w:szCs w:val="15"/>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4,207,133</w:t>
            </w:r>
          </w:p>
        </w:tc>
        <w:tc>
          <w:tcPr>
            <w:tcW w:w="620" w:type="dxa"/>
            <w:vAlign w:val="bottom"/>
            <w:gridSpan w:val="2"/>
          </w:tcPr>
          <w:p>
            <w:pPr>
              <w:jc w:val="right"/>
              <w:spacing w:after="0"/>
              <w:rPr>
                <w:sz w:val="20"/>
                <w:szCs w:val="20"/>
                <w:color w:val="auto"/>
              </w:rPr>
            </w:pPr>
            <w:r>
              <w:rPr>
                <w:rFonts w:ascii="Arial" w:cs="Arial" w:eastAsia="Arial" w:hAnsi="Arial"/>
                <w:sz w:val="14"/>
                <w:szCs w:val="14"/>
                <w:color w:val="auto"/>
              </w:rPr>
              <w:t>4.68%</w:t>
            </w:r>
          </w:p>
        </w:tc>
        <w:tc>
          <w:tcPr>
            <w:tcW w:w="0" w:type="dxa"/>
            <w:vAlign w:val="bottom"/>
          </w:tcPr>
          <w:p>
            <w:pPr>
              <w:spacing w:after="0"/>
              <w:rPr>
                <w:sz w:val="1"/>
                <w:szCs w:val="1"/>
                <w:color w:val="auto"/>
              </w:rPr>
            </w:pPr>
          </w:p>
        </w:tc>
      </w:tr>
      <w:tr>
        <w:trPr>
          <w:trHeight w:val="149"/>
        </w:trPr>
        <w:tc>
          <w:tcPr>
            <w:tcW w:w="1300" w:type="dxa"/>
            <w:vAlign w:val="bottom"/>
            <w:tcBorders>
              <w:top w:val="single" w:sz="8" w:color="CCEEFF"/>
              <w:bottom w:val="single" w:sz="8" w:color="CCEEFF"/>
            </w:tcBorders>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net</w:t>
            </w:r>
          </w:p>
        </w:tc>
        <w:tc>
          <w:tcPr>
            <w:tcW w:w="76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57,217,932</w:t>
            </w: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74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15,223,800</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70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12,450,979</w:t>
            </w: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70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10,371,705</w:t>
            </w: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70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95,264,416</w:t>
            </w: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50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100.00</w:t>
            </w:r>
          </w:p>
        </w:tc>
        <w:tc>
          <w:tcPr>
            <w:tcW w:w="200" w:type="dxa"/>
            <w:vAlign w:val="bottom"/>
            <w:tcBorders>
              <w:top w:val="single" w:sz="8" w:color="CCEEFF"/>
              <w:bottom w:val="single" w:sz="8" w:color="CCEEFF"/>
            </w:tcBorders>
            <w:shd w:val="clear" w:color="auto" w:fill="CCEEFF"/>
          </w:tcPr>
          <w:p>
            <w:pPr>
              <w:jc w:val="right"/>
              <w:ind w:right="11"/>
              <w:spacing w:after="0" w:line="149" w:lineRule="exact"/>
              <w:rPr>
                <w:sz w:val="20"/>
                <w:szCs w:val="20"/>
                <w:color w:val="auto"/>
              </w:rPr>
            </w:pPr>
            <w:r>
              <w:rPr>
                <w:rFonts w:ascii="Arial" w:cs="Arial" w:eastAsia="Arial" w:hAnsi="Arial"/>
                <w:sz w:val="14"/>
                <w:szCs w:val="14"/>
                <w:color w:val="auto"/>
                <w:w w:val="79"/>
              </w:rPr>
              <w:t>%</w:t>
            </w:r>
          </w:p>
        </w:tc>
        <w:tc>
          <w:tcPr>
            <w:tcW w:w="76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53,107,460</w:t>
            </w: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76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14,302,069</w:t>
            </w: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70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11,598,460</w:t>
            </w: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70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10,884,267</w:t>
            </w: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70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89,892,256</w:t>
            </w: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50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100.00</w:t>
            </w:r>
          </w:p>
        </w:tc>
        <w:tc>
          <w:tcPr>
            <w:tcW w:w="120" w:type="dxa"/>
            <w:vAlign w:val="bottom"/>
            <w:tcBorders>
              <w:top w:val="single" w:sz="8" w:color="CCEEFF"/>
              <w:bottom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5" w:lineRule="exact"/>
        <w:rPr>
          <w:sz w:val="20"/>
          <w:szCs w:val="20"/>
          <w:color w:val="auto"/>
        </w:rPr>
      </w:pPr>
    </w:p>
    <w:p>
      <w:pPr>
        <w:spacing w:after="0"/>
        <w:rPr>
          <w:sz w:val="20"/>
          <w:szCs w:val="20"/>
          <w:color w:val="auto"/>
        </w:rPr>
      </w:pPr>
      <w:r>
        <w:rPr>
          <w:rFonts w:ascii="Arial" w:cs="Arial" w:eastAsia="Arial" w:hAnsi="Arial"/>
          <w:sz w:val="17"/>
          <w:szCs w:val="17"/>
          <w:color w:val="auto"/>
        </w:rPr>
        <w:t>In accordance with IFRS 7, the entire loan balance is considered past due when debtors have failed to make a payment when contractually due.</w:t>
      </w:r>
    </w:p>
    <w:p>
      <w:pPr>
        <w:spacing w:after="0" w:line="220" w:lineRule="exact"/>
        <w:rPr>
          <w:sz w:val="20"/>
          <w:szCs w:val="20"/>
          <w:color w:val="auto"/>
        </w:rPr>
      </w:pPr>
    </w:p>
    <w:p>
      <w:pPr>
        <w:ind w:right="420"/>
        <w:spacing w:after="0" w:line="270" w:lineRule="auto"/>
        <w:rPr>
          <w:sz w:val="20"/>
          <w:szCs w:val="20"/>
          <w:color w:val="auto"/>
        </w:rPr>
      </w:pPr>
      <w:r>
        <w:rPr>
          <w:rFonts w:ascii="Arial" w:cs="Arial" w:eastAsia="Arial" w:hAnsi="Arial"/>
          <w:sz w:val="17"/>
          <w:szCs w:val="17"/>
          <w:color w:val="auto"/>
        </w:rPr>
        <w:t>At December 31, 2017, the renegotiated credits amount to approximately S/915.6 million, of which S/339.6 million are classified as not past due nor impaired, S/165.3 million as past due but not impaired and S/410.7 million as impaired but not past due (S/845.0 million, S/304.5 million, S/201.2 million and S/339.3 million, respectively, at December 31, 2016).</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2700" w:type="dxa"/>
            <w:vAlign w:val="bottom"/>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4"/>
                <w:szCs w:val="14"/>
                <w:b w:val="1"/>
                <w:bCs w:val="1"/>
                <w:color w:val="auto"/>
              </w:rPr>
              <w:t>At December 31, 2017</w:t>
            </w:r>
          </w:p>
        </w:tc>
        <w:tc>
          <w:tcPr>
            <w:tcW w:w="6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520" w:type="dxa"/>
            <w:vAlign w:val="bottom"/>
            <w:tcBorders>
              <w:bottom w:val="single" w:sz="8" w:color="auto"/>
            </w:tcBorders>
            <w:gridSpan w:val="6"/>
          </w:tcPr>
          <w:p>
            <w:pPr>
              <w:jc w:val="right"/>
              <w:ind w:right="760"/>
              <w:spacing w:after="0"/>
              <w:rPr>
                <w:sz w:val="20"/>
                <w:szCs w:val="20"/>
                <w:color w:val="auto"/>
              </w:rPr>
            </w:pPr>
            <w:r>
              <w:rPr>
                <w:rFonts w:ascii="Arial" w:cs="Arial" w:eastAsia="Arial" w:hAnsi="Arial"/>
                <w:sz w:val="14"/>
                <w:szCs w:val="14"/>
                <w:b w:val="1"/>
                <w:bCs w:val="1"/>
                <w:color w:val="auto"/>
              </w:rPr>
              <w:t>At December 31, 2016</w:t>
            </w:r>
          </w:p>
        </w:tc>
        <w:tc>
          <w:tcPr>
            <w:tcW w:w="6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3"/>
        </w:trPr>
        <w:tc>
          <w:tcPr>
            <w:tcW w:w="2700" w:type="dxa"/>
            <w:vAlign w:val="bottom"/>
          </w:tcPr>
          <w:p>
            <w:pPr>
              <w:spacing w:after="0"/>
              <w:rPr>
                <w:sz w:val="9"/>
                <w:szCs w:val="9"/>
                <w:color w:val="auto"/>
              </w:rPr>
            </w:pPr>
          </w:p>
        </w:tc>
        <w:tc>
          <w:tcPr>
            <w:tcW w:w="920" w:type="dxa"/>
            <w:vAlign w:val="bottom"/>
            <w:gridSpan w:val="2"/>
            <w:vMerge w:val="restart"/>
          </w:tcPr>
          <w:p>
            <w:pPr>
              <w:jc w:val="right"/>
              <w:ind w:right="180"/>
              <w:spacing w:after="0"/>
              <w:rPr>
                <w:sz w:val="20"/>
                <w:szCs w:val="20"/>
                <w:color w:val="auto"/>
              </w:rPr>
            </w:pPr>
            <w:r>
              <w:rPr>
                <w:rFonts w:ascii="Arial" w:cs="Arial" w:eastAsia="Arial" w:hAnsi="Arial"/>
                <w:sz w:val="14"/>
                <w:szCs w:val="14"/>
                <w:b w:val="1"/>
                <w:bCs w:val="1"/>
                <w:color w:val="auto"/>
                <w:w w:val="89"/>
              </w:rPr>
              <w:t>Commercial</w:t>
            </w:r>
          </w:p>
        </w:tc>
        <w:tc>
          <w:tcPr>
            <w:tcW w:w="110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Residential</w:t>
            </w:r>
          </w:p>
        </w:tc>
        <w:tc>
          <w:tcPr>
            <w:tcW w:w="840" w:type="dxa"/>
            <w:vAlign w:val="bottom"/>
            <w:gridSpan w:val="2"/>
          </w:tcPr>
          <w:p>
            <w:pPr>
              <w:jc w:val="center"/>
              <w:ind w:right="200"/>
              <w:spacing w:after="0" w:line="114" w:lineRule="exact"/>
              <w:rPr>
                <w:sz w:val="20"/>
                <w:szCs w:val="20"/>
                <w:color w:val="auto"/>
              </w:rPr>
            </w:pPr>
            <w:r>
              <w:rPr>
                <w:rFonts w:ascii="Arial" w:cs="Arial" w:eastAsia="Arial" w:hAnsi="Arial"/>
                <w:sz w:val="13"/>
                <w:szCs w:val="13"/>
                <w:b w:val="1"/>
                <w:bCs w:val="1"/>
                <w:color w:val="auto"/>
              </w:rPr>
              <w:t>Micro-</w:t>
            </w:r>
          </w:p>
        </w:tc>
        <w:tc>
          <w:tcPr>
            <w:tcW w:w="82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89"/>
              </w:rPr>
              <w:t>Consumer</w:t>
            </w: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94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2"/>
              </w:rPr>
              <w:t>Commercial</w:t>
            </w:r>
          </w:p>
        </w:tc>
        <w:tc>
          <w:tcPr>
            <w:tcW w:w="860" w:type="dxa"/>
            <w:vAlign w:val="bottom"/>
            <w:gridSpan w:val="2"/>
          </w:tcPr>
          <w:p>
            <w:pPr>
              <w:jc w:val="center"/>
              <w:ind w:right="200"/>
              <w:spacing w:after="0" w:line="114" w:lineRule="exact"/>
              <w:rPr>
                <w:sz w:val="20"/>
                <w:szCs w:val="20"/>
                <w:color w:val="auto"/>
              </w:rPr>
            </w:pPr>
            <w:r>
              <w:rPr>
                <w:rFonts w:ascii="Arial" w:cs="Arial" w:eastAsia="Arial" w:hAnsi="Arial"/>
                <w:sz w:val="13"/>
                <w:szCs w:val="13"/>
                <w:b w:val="1"/>
                <w:bCs w:val="1"/>
                <w:color w:val="auto"/>
                <w:w w:val="95"/>
              </w:rPr>
              <w:t>Residential</w:t>
            </w:r>
          </w:p>
        </w:tc>
        <w:tc>
          <w:tcPr>
            <w:tcW w:w="840" w:type="dxa"/>
            <w:vAlign w:val="bottom"/>
            <w:gridSpan w:val="2"/>
          </w:tcPr>
          <w:p>
            <w:pPr>
              <w:jc w:val="center"/>
              <w:ind w:right="200"/>
              <w:spacing w:after="0" w:line="114" w:lineRule="exact"/>
              <w:rPr>
                <w:sz w:val="20"/>
                <w:szCs w:val="20"/>
                <w:color w:val="auto"/>
              </w:rPr>
            </w:pPr>
            <w:r>
              <w:rPr>
                <w:rFonts w:ascii="Arial" w:cs="Arial" w:eastAsia="Arial" w:hAnsi="Arial"/>
                <w:sz w:val="13"/>
                <w:szCs w:val="13"/>
                <w:b w:val="1"/>
                <w:bCs w:val="1"/>
                <w:color w:val="auto"/>
              </w:rPr>
              <w:t>Micro-</w:t>
            </w:r>
          </w:p>
        </w:tc>
        <w:tc>
          <w:tcPr>
            <w:tcW w:w="82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89"/>
              </w:rPr>
              <w:t>Consumer</w:t>
            </w: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3"/>
        </w:trPr>
        <w:tc>
          <w:tcPr>
            <w:tcW w:w="270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840" w:type="dxa"/>
            <w:vAlign w:val="bottom"/>
            <w:gridSpan w:val="2"/>
          </w:tcPr>
          <w:p>
            <w:pPr>
              <w:jc w:val="center"/>
              <w:ind w:right="220"/>
              <w:spacing w:after="0" w:line="143" w:lineRule="exact"/>
              <w:rPr>
                <w:sz w:val="20"/>
                <w:szCs w:val="20"/>
                <w:color w:val="auto"/>
              </w:rPr>
            </w:pPr>
            <w:r>
              <w:rPr>
                <w:rFonts w:ascii="Arial" w:cs="Arial" w:eastAsia="Arial" w:hAnsi="Arial"/>
                <w:sz w:val="14"/>
                <w:szCs w:val="14"/>
                <w:b w:val="1"/>
                <w:bCs w:val="1"/>
                <w:color w:val="auto"/>
                <w:w w:val="82"/>
              </w:rPr>
              <w:t>business</w:t>
            </w:r>
          </w:p>
        </w:tc>
        <w:tc>
          <w:tcPr>
            <w:tcW w:w="820" w:type="dxa"/>
            <w:vAlign w:val="bottom"/>
            <w:gridSpan w:val="2"/>
            <w:vMerge w:val="continue"/>
          </w:tcPr>
          <w:p>
            <w:pPr>
              <w:spacing w:after="0"/>
              <w:rPr>
                <w:sz w:val="12"/>
                <w:szCs w:val="12"/>
                <w:color w:val="auto"/>
              </w:rPr>
            </w:pPr>
          </w:p>
        </w:tc>
        <w:tc>
          <w:tcPr>
            <w:tcW w:w="84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Total</w:t>
            </w:r>
          </w:p>
        </w:tc>
        <w:tc>
          <w:tcPr>
            <w:tcW w:w="940" w:type="dxa"/>
            <w:vAlign w:val="bottom"/>
            <w:gridSpan w:val="2"/>
            <w:vMerge w:val="continue"/>
          </w:tcPr>
          <w:p>
            <w:pPr>
              <w:spacing w:after="0"/>
              <w:rPr>
                <w:sz w:val="12"/>
                <w:szCs w:val="12"/>
                <w:color w:val="auto"/>
              </w:rPr>
            </w:pPr>
          </w:p>
        </w:tc>
        <w:tc>
          <w:tcPr>
            <w:tcW w:w="860" w:type="dxa"/>
            <w:vAlign w:val="bottom"/>
            <w:gridSpan w:val="2"/>
          </w:tcPr>
          <w:p>
            <w:pPr>
              <w:jc w:val="center"/>
              <w:ind w:right="220"/>
              <w:spacing w:after="0" w:line="143" w:lineRule="exact"/>
              <w:rPr>
                <w:sz w:val="20"/>
                <w:szCs w:val="20"/>
                <w:color w:val="auto"/>
              </w:rPr>
            </w:pPr>
            <w:r>
              <w:rPr>
                <w:rFonts w:ascii="Arial" w:cs="Arial" w:eastAsia="Arial" w:hAnsi="Arial"/>
                <w:sz w:val="14"/>
                <w:szCs w:val="14"/>
                <w:b w:val="1"/>
                <w:bCs w:val="1"/>
                <w:color w:val="auto"/>
                <w:w w:val="87"/>
              </w:rPr>
              <w:t>mortgage</w:t>
            </w:r>
          </w:p>
        </w:tc>
        <w:tc>
          <w:tcPr>
            <w:tcW w:w="840" w:type="dxa"/>
            <w:vAlign w:val="bottom"/>
            <w:gridSpan w:val="2"/>
          </w:tcPr>
          <w:p>
            <w:pPr>
              <w:jc w:val="center"/>
              <w:ind w:right="220"/>
              <w:spacing w:after="0" w:line="143" w:lineRule="exact"/>
              <w:rPr>
                <w:sz w:val="20"/>
                <w:szCs w:val="20"/>
                <w:color w:val="auto"/>
              </w:rPr>
            </w:pPr>
            <w:r>
              <w:rPr>
                <w:rFonts w:ascii="Arial" w:cs="Arial" w:eastAsia="Arial" w:hAnsi="Arial"/>
                <w:sz w:val="14"/>
                <w:szCs w:val="14"/>
                <w:b w:val="1"/>
                <w:bCs w:val="1"/>
                <w:color w:val="auto"/>
                <w:w w:val="82"/>
              </w:rPr>
              <w:t>business</w:t>
            </w:r>
          </w:p>
        </w:tc>
        <w:tc>
          <w:tcPr>
            <w:tcW w:w="820" w:type="dxa"/>
            <w:vAlign w:val="bottom"/>
            <w:gridSpan w:val="2"/>
            <w:vMerge w:val="continue"/>
          </w:tcPr>
          <w:p>
            <w:pPr>
              <w:spacing w:after="0"/>
              <w:rPr>
                <w:sz w:val="12"/>
                <w:szCs w:val="12"/>
                <w:color w:val="auto"/>
              </w:rPr>
            </w:pPr>
          </w:p>
        </w:tc>
        <w:tc>
          <w:tcPr>
            <w:tcW w:w="74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5"/>
        </w:trPr>
        <w:tc>
          <w:tcPr>
            <w:tcW w:w="2700" w:type="dxa"/>
            <w:vAlign w:val="bottom"/>
          </w:tcPr>
          <w:p>
            <w:pPr>
              <w:spacing w:after="0"/>
              <w:rPr>
                <w:sz w:val="14"/>
                <w:szCs w:val="14"/>
                <w:color w:val="auto"/>
              </w:rPr>
            </w:pPr>
          </w:p>
        </w:tc>
        <w:tc>
          <w:tcPr>
            <w:tcW w:w="92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loans</w:t>
            </w:r>
          </w:p>
        </w:tc>
        <w:tc>
          <w:tcPr>
            <w:tcW w:w="110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86"/>
              </w:rPr>
              <w:t>mortgage loans</w:t>
            </w:r>
          </w:p>
        </w:tc>
        <w:tc>
          <w:tcPr>
            <w:tcW w:w="8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1"/>
              </w:rPr>
              <w:t>loans</w:t>
            </w:r>
          </w:p>
        </w:tc>
        <w:tc>
          <w:tcPr>
            <w:tcW w:w="8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7"/>
              </w:rPr>
              <w:t>loans</w:t>
            </w:r>
          </w:p>
        </w:tc>
        <w:tc>
          <w:tcPr>
            <w:tcW w:w="840" w:type="dxa"/>
            <w:vAlign w:val="bottom"/>
            <w:gridSpan w:val="2"/>
            <w:vMerge w:val="continue"/>
          </w:tcPr>
          <w:p>
            <w:pPr>
              <w:spacing w:after="0"/>
              <w:rPr>
                <w:sz w:val="14"/>
                <w:szCs w:val="14"/>
                <w:color w:val="auto"/>
              </w:rPr>
            </w:pPr>
          </w:p>
        </w:tc>
        <w:tc>
          <w:tcPr>
            <w:tcW w:w="9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1"/>
              </w:rPr>
              <w:t>loans</w:t>
            </w:r>
          </w:p>
        </w:tc>
        <w:tc>
          <w:tcPr>
            <w:tcW w:w="8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1"/>
              </w:rPr>
              <w:t>loans</w:t>
            </w:r>
          </w:p>
        </w:tc>
        <w:tc>
          <w:tcPr>
            <w:tcW w:w="8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1"/>
              </w:rPr>
              <w:t>loans</w:t>
            </w:r>
          </w:p>
        </w:tc>
        <w:tc>
          <w:tcPr>
            <w:tcW w:w="8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7"/>
              </w:rPr>
              <w:t>loans</w:t>
            </w:r>
          </w:p>
        </w:tc>
        <w:tc>
          <w:tcPr>
            <w:tcW w:w="7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700" w:type="dxa"/>
            <w:vAlign w:val="bottom"/>
          </w:tcPr>
          <w:p>
            <w:pPr>
              <w:spacing w:after="0"/>
              <w:rPr>
                <w:sz w:val="14"/>
                <w:szCs w:val="14"/>
                <w:color w:val="auto"/>
              </w:rPr>
            </w:pPr>
          </w:p>
        </w:tc>
        <w:tc>
          <w:tcPr>
            <w:tcW w:w="740" w:type="dxa"/>
            <w:vAlign w:val="bottom"/>
            <w:tcBorders>
              <w:top w:val="single" w:sz="8" w:color="auto"/>
            </w:tcBorders>
          </w:tcPr>
          <w:p>
            <w:pPr>
              <w:jc w:val="right"/>
              <w:ind w:right="91"/>
              <w:spacing w:after="0"/>
              <w:rPr>
                <w:sz w:val="20"/>
                <w:szCs w:val="20"/>
                <w:color w:val="auto"/>
              </w:rPr>
            </w:pPr>
            <w:r>
              <w:rPr>
                <w:rFonts w:ascii="Arial" w:cs="Arial" w:eastAsia="Arial" w:hAnsi="Arial"/>
                <w:sz w:val="14"/>
                <w:szCs w:val="14"/>
                <w:b w:val="1"/>
                <w:bCs w:val="1"/>
                <w:color w:val="auto"/>
              </w:rPr>
              <w:t>S/(000)</w:t>
            </w:r>
          </w:p>
        </w:tc>
        <w:tc>
          <w:tcPr>
            <w:tcW w:w="180" w:type="dxa"/>
            <w:vAlign w:val="bottom"/>
          </w:tcPr>
          <w:p>
            <w:pPr>
              <w:spacing w:after="0"/>
              <w:rPr>
                <w:sz w:val="14"/>
                <w:szCs w:val="14"/>
                <w:color w:val="auto"/>
              </w:rPr>
            </w:pPr>
          </w:p>
        </w:tc>
        <w:tc>
          <w:tcPr>
            <w:tcW w:w="920" w:type="dxa"/>
            <w:vAlign w:val="bottom"/>
            <w:tcBorders>
              <w:top w:val="single" w:sz="8" w:color="auto"/>
            </w:tcBorders>
          </w:tcPr>
          <w:p>
            <w:pPr>
              <w:jc w:val="right"/>
              <w:ind w:right="171"/>
              <w:spacing w:after="0"/>
              <w:rPr>
                <w:sz w:val="20"/>
                <w:szCs w:val="20"/>
                <w:color w:val="auto"/>
              </w:rPr>
            </w:pPr>
            <w:r>
              <w:rPr>
                <w:rFonts w:ascii="Arial" w:cs="Arial" w:eastAsia="Arial" w:hAnsi="Arial"/>
                <w:sz w:val="14"/>
                <w:szCs w:val="14"/>
                <w:b w:val="1"/>
                <w:bCs w:val="1"/>
                <w:color w:val="auto"/>
              </w:rPr>
              <w:t>S/(000)</w:t>
            </w:r>
          </w:p>
        </w:tc>
        <w:tc>
          <w:tcPr>
            <w:tcW w:w="180" w:type="dxa"/>
            <w:vAlign w:val="bottom"/>
          </w:tcPr>
          <w:p>
            <w:pPr>
              <w:spacing w:after="0"/>
              <w:rPr>
                <w:sz w:val="14"/>
                <w:szCs w:val="14"/>
                <w:color w:val="auto"/>
              </w:rPr>
            </w:pPr>
          </w:p>
        </w:tc>
        <w:tc>
          <w:tcPr>
            <w:tcW w:w="64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S/(000)</w:t>
            </w:r>
          </w:p>
        </w:tc>
        <w:tc>
          <w:tcPr>
            <w:tcW w:w="200" w:type="dxa"/>
            <w:vAlign w:val="bottom"/>
          </w:tcPr>
          <w:p>
            <w:pPr>
              <w:spacing w:after="0"/>
              <w:rPr>
                <w:sz w:val="14"/>
                <w:szCs w:val="14"/>
                <w:color w:val="auto"/>
              </w:rPr>
            </w:pPr>
          </w:p>
        </w:tc>
        <w:tc>
          <w:tcPr>
            <w:tcW w:w="64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S/(000)</w:t>
            </w:r>
          </w:p>
        </w:tc>
        <w:tc>
          <w:tcPr>
            <w:tcW w:w="180" w:type="dxa"/>
            <w:vAlign w:val="bottom"/>
          </w:tcPr>
          <w:p>
            <w:pPr>
              <w:spacing w:after="0"/>
              <w:rPr>
                <w:sz w:val="14"/>
                <w:szCs w:val="14"/>
                <w:color w:val="auto"/>
              </w:rPr>
            </w:pPr>
          </w:p>
        </w:tc>
        <w:tc>
          <w:tcPr>
            <w:tcW w:w="660" w:type="dxa"/>
            <w:vAlign w:val="bottom"/>
            <w:tcBorders>
              <w:top w:val="single" w:sz="8" w:color="auto"/>
            </w:tcBorders>
          </w:tcPr>
          <w:p>
            <w:pPr>
              <w:jc w:val="right"/>
              <w:ind w:right="51"/>
              <w:spacing w:after="0"/>
              <w:rPr>
                <w:sz w:val="20"/>
                <w:szCs w:val="20"/>
                <w:color w:val="auto"/>
              </w:rPr>
            </w:pPr>
            <w:r>
              <w:rPr>
                <w:rFonts w:ascii="Arial" w:cs="Arial" w:eastAsia="Arial" w:hAnsi="Arial"/>
                <w:sz w:val="14"/>
                <w:szCs w:val="14"/>
                <w:b w:val="1"/>
                <w:bCs w:val="1"/>
                <w:color w:val="auto"/>
              </w:rPr>
              <w:t>S/(000)</w:t>
            </w:r>
          </w:p>
        </w:tc>
        <w:tc>
          <w:tcPr>
            <w:tcW w:w="180" w:type="dxa"/>
            <w:vAlign w:val="bottom"/>
          </w:tcPr>
          <w:p>
            <w:pPr>
              <w:spacing w:after="0"/>
              <w:rPr>
                <w:sz w:val="14"/>
                <w:szCs w:val="14"/>
                <w:color w:val="auto"/>
              </w:rPr>
            </w:pPr>
          </w:p>
        </w:tc>
        <w:tc>
          <w:tcPr>
            <w:tcW w:w="74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S/(000)</w:t>
            </w:r>
          </w:p>
        </w:tc>
        <w:tc>
          <w:tcPr>
            <w:tcW w:w="200" w:type="dxa"/>
            <w:vAlign w:val="bottom"/>
          </w:tcPr>
          <w:p>
            <w:pPr>
              <w:spacing w:after="0"/>
              <w:rPr>
                <w:sz w:val="14"/>
                <w:szCs w:val="14"/>
                <w:color w:val="auto"/>
              </w:rPr>
            </w:pPr>
          </w:p>
        </w:tc>
        <w:tc>
          <w:tcPr>
            <w:tcW w:w="68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S/(000)</w:t>
            </w:r>
          </w:p>
        </w:tc>
        <w:tc>
          <w:tcPr>
            <w:tcW w:w="180" w:type="dxa"/>
            <w:vAlign w:val="bottom"/>
          </w:tcPr>
          <w:p>
            <w:pPr>
              <w:spacing w:after="0"/>
              <w:rPr>
                <w:sz w:val="14"/>
                <w:szCs w:val="14"/>
                <w:color w:val="auto"/>
              </w:rPr>
            </w:pPr>
          </w:p>
        </w:tc>
        <w:tc>
          <w:tcPr>
            <w:tcW w:w="66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S/(000)</w:t>
            </w:r>
          </w:p>
        </w:tc>
        <w:tc>
          <w:tcPr>
            <w:tcW w:w="180" w:type="dxa"/>
            <w:vAlign w:val="bottom"/>
          </w:tcPr>
          <w:p>
            <w:pPr>
              <w:spacing w:after="0"/>
              <w:rPr>
                <w:sz w:val="14"/>
                <w:szCs w:val="14"/>
                <w:color w:val="auto"/>
              </w:rPr>
            </w:pPr>
          </w:p>
        </w:tc>
        <w:tc>
          <w:tcPr>
            <w:tcW w:w="64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S/(000)</w:t>
            </w:r>
          </w:p>
        </w:tc>
        <w:tc>
          <w:tcPr>
            <w:tcW w:w="180" w:type="dxa"/>
            <w:vAlign w:val="bottom"/>
          </w:tcPr>
          <w:p>
            <w:pPr>
              <w:spacing w:after="0"/>
              <w:rPr>
                <w:sz w:val="14"/>
                <w:szCs w:val="14"/>
                <w:color w:val="auto"/>
              </w:rPr>
            </w:pPr>
          </w:p>
        </w:tc>
        <w:tc>
          <w:tcPr>
            <w:tcW w:w="660" w:type="dxa"/>
            <w:vAlign w:val="bottom"/>
            <w:tcBorders>
              <w:top w:val="single" w:sz="8" w:color="auto"/>
            </w:tcBorders>
          </w:tcPr>
          <w:p>
            <w:pPr>
              <w:jc w:val="right"/>
              <w:ind w:right="51"/>
              <w:spacing w:after="0"/>
              <w:rPr>
                <w:sz w:val="20"/>
                <w:szCs w:val="20"/>
                <w:color w:val="auto"/>
              </w:rPr>
            </w:pPr>
            <w:r>
              <w:rPr>
                <w:rFonts w:ascii="Arial" w:cs="Arial" w:eastAsia="Arial" w:hAnsi="Arial"/>
                <w:sz w:val="14"/>
                <w:szCs w:val="14"/>
                <w:b w:val="1"/>
                <w:bCs w:val="1"/>
                <w:color w:val="auto"/>
              </w:rPr>
              <w:t>S/(000)</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6"/>
        </w:trPr>
        <w:tc>
          <w:tcPr>
            <w:tcW w:w="2700" w:type="dxa"/>
            <w:vAlign w:val="bottom"/>
          </w:tcPr>
          <w:p>
            <w:pPr>
              <w:spacing w:after="0"/>
              <w:rPr>
                <w:sz w:val="9"/>
                <w:szCs w:val="9"/>
                <w:color w:val="auto"/>
              </w:rPr>
            </w:pPr>
          </w:p>
        </w:tc>
        <w:tc>
          <w:tcPr>
            <w:tcW w:w="740" w:type="dxa"/>
            <w:vAlign w:val="bottom"/>
          </w:tcPr>
          <w:p>
            <w:pPr>
              <w:spacing w:after="0"/>
              <w:rPr>
                <w:sz w:val="9"/>
                <w:szCs w:val="9"/>
                <w:color w:val="auto"/>
              </w:rPr>
            </w:pPr>
          </w:p>
        </w:tc>
        <w:tc>
          <w:tcPr>
            <w:tcW w:w="180" w:type="dxa"/>
            <w:vAlign w:val="bottom"/>
          </w:tcPr>
          <w:p>
            <w:pPr>
              <w:spacing w:after="0"/>
              <w:rPr>
                <w:sz w:val="9"/>
                <w:szCs w:val="9"/>
                <w:color w:val="auto"/>
              </w:rPr>
            </w:pPr>
          </w:p>
        </w:tc>
        <w:tc>
          <w:tcPr>
            <w:tcW w:w="9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8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0" w:type="dxa"/>
            <w:vAlign w:val="bottom"/>
          </w:tcPr>
          <w:p>
            <w:pPr>
              <w:spacing w:after="0"/>
              <w:rPr>
                <w:sz w:val="9"/>
                <w:szCs w:val="9"/>
                <w:color w:val="auto"/>
              </w:rPr>
            </w:pPr>
          </w:p>
        </w:tc>
        <w:tc>
          <w:tcPr>
            <w:tcW w:w="680" w:type="dxa"/>
            <w:vAlign w:val="bottom"/>
          </w:tcPr>
          <w:p>
            <w:pPr>
              <w:spacing w:after="0"/>
              <w:rPr>
                <w:sz w:val="9"/>
                <w:szCs w:val="9"/>
                <w:color w:val="auto"/>
              </w:rPr>
            </w:pPr>
          </w:p>
        </w:tc>
        <w:tc>
          <w:tcPr>
            <w:tcW w:w="18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8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3"/>
        </w:trPr>
        <w:tc>
          <w:tcPr>
            <w:tcW w:w="270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rPr>
              <w:t>Impaired loans</w:t>
            </w:r>
          </w:p>
        </w:tc>
        <w:tc>
          <w:tcPr>
            <w:tcW w:w="74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rPr>
              <w:t>1,572,579</w:t>
            </w:r>
          </w:p>
        </w:tc>
        <w:tc>
          <w:tcPr>
            <w:tcW w:w="1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180"/>
              <w:spacing w:after="0" w:line="143" w:lineRule="exact"/>
              <w:rPr>
                <w:sz w:val="20"/>
                <w:szCs w:val="20"/>
                <w:color w:val="auto"/>
              </w:rPr>
            </w:pPr>
            <w:r>
              <w:rPr>
                <w:rFonts w:ascii="Arial" w:cs="Arial" w:eastAsia="Arial" w:hAnsi="Arial"/>
                <w:sz w:val="14"/>
                <w:szCs w:val="14"/>
                <w:color w:val="auto"/>
              </w:rPr>
              <w:t>865,610</w:t>
            </w:r>
          </w:p>
        </w:tc>
        <w:tc>
          <w:tcPr>
            <w:tcW w:w="840" w:type="dxa"/>
            <w:vAlign w:val="bottom"/>
            <w:gridSpan w:val="2"/>
            <w:shd w:val="clear" w:color="auto" w:fill="CCEEFF"/>
          </w:tcPr>
          <w:p>
            <w:pPr>
              <w:jc w:val="right"/>
              <w:ind w:right="200"/>
              <w:spacing w:after="0" w:line="143" w:lineRule="exact"/>
              <w:rPr>
                <w:sz w:val="20"/>
                <w:szCs w:val="20"/>
                <w:color w:val="auto"/>
              </w:rPr>
            </w:pPr>
            <w:r>
              <w:rPr>
                <w:rFonts w:ascii="Arial" w:cs="Arial" w:eastAsia="Arial" w:hAnsi="Arial"/>
                <w:sz w:val="14"/>
                <w:szCs w:val="14"/>
                <w:color w:val="auto"/>
                <w:w w:val="99"/>
              </w:rPr>
              <w:t>1,259,635</w:t>
            </w:r>
          </w:p>
        </w:tc>
        <w:tc>
          <w:tcPr>
            <w:tcW w:w="820" w:type="dxa"/>
            <w:vAlign w:val="bottom"/>
            <w:gridSpan w:val="2"/>
            <w:shd w:val="clear" w:color="auto" w:fill="CCEEFF"/>
          </w:tcPr>
          <w:p>
            <w:pPr>
              <w:jc w:val="right"/>
              <w:ind w:right="180"/>
              <w:spacing w:after="0" w:line="143" w:lineRule="exact"/>
              <w:rPr>
                <w:sz w:val="20"/>
                <w:szCs w:val="20"/>
                <w:color w:val="auto"/>
              </w:rPr>
            </w:pPr>
            <w:r>
              <w:rPr>
                <w:rFonts w:ascii="Arial" w:cs="Arial" w:eastAsia="Arial" w:hAnsi="Arial"/>
                <w:sz w:val="14"/>
                <w:szCs w:val="14"/>
                <w:color w:val="auto"/>
              </w:rPr>
              <w:t>877,822</w:t>
            </w:r>
          </w:p>
        </w:tc>
        <w:tc>
          <w:tcPr>
            <w:tcW w:w="840" w:type="dxa"/>
            <w:vAlign w:val="bottom"/>
            <w:gridSpan w:val="2"/>
            <w:shd w:val="clear" w:color="auto" w:fill="CCEEFF"/>
          </w:tcPr>
          <w:p>
            <w:pPr>
              <w:jc w:val="right"/>
              <w:ind w:right="180"/>
              <w:spacing w:after="0" w:line="143" w:lineRule="exact"/>
              <w:rPr>
                <w:sz w:val="20"/>
                <w:szCs w:val="20"/>
                <w:color w:val="auto"/>
              </w:rPr>
            </w:pPr>
            <w:r>
              <w:rPr>
                <w:rFonts w:ascii="Arial" w:cs="Arial" w:eastAsia="Arial" w:hAnsi="Arial"/>
                <w:sz w:val="14"/>
                <w:szCs w:val="14"/>
                <w:color w:val="auto"/>
              </w:rPr>
              <w:t>4,575,646</w:t>
            </w:r>
          </w:p>
        </w:tc>
        <w:tc>
          <w:tcPr>
            <w:tcW w:w="940" w:type="dxa"/>
            <w:vAlign w:val="bottom"/>
            <w:gridSpan w:val="2"/>
            <w:shd w:val="clear" w:color="auto" w:fill="CCEEFF"/>
          </w:tcPr>
          <w:p>
            <w:pPr>
              <w:jc w:val="right"/>
              <w:ind w:right="200"/>
              <w:spacing w:after="0" w:line="143" w:lineRule="exact"/>
              <w:rPr>
                <w:sz w:val="20"/>
                <w:szCs w:val="20"/>
                <w:color w:val="auto"/>
              </w:rPr>
            </w:pPr>
            <w:r>
              <w:rPr>
                <w:rFonts w:ascii="Arial" w:cs="Arial" w:eastAsia="Arial" w:hAnsi="Arial"/>
                <w:sz w:val="14"/>
                <w:szCs w:val="14"/>
                <w:color w:val="auto"/>
              </w:rPr>
              <w:t>1,413,268</w:t>
            </w:r>
          </w:p>
        </w:tc>
        <w:tc>
          <w:tcPr>
            <w:tcW w:w="860" w:type="dxa"/>
            <w:vAlign w:val="bottom"/>
            <w:gridSpan w:val="2"/>
            <w:shd w:val="clear" w:color="auto" w:fill="CCEEFF"/>
          </w:tcPr>
          <w:p>
            <w:pPr>
              <w:jc w:val="right"/>
              <w:ind w:right="180"/>
              <w:spacing w:after="0" w:line="143" w:lineRule="exact"/>
              <w:rPr>
                <w:sz w:val="20"/>
                <w:szCs w:val="20"/>
                <w:color w:val="auto"/>
              </w:rPr>
            </w:pPr>
            <w:r>
              <w:rPr>
                <w:rFonts w:ascii="Arial" w:cs="Arial" w:eastAsia="Arial" w:hAnsi="Arial"/>
                <w:sz w:val="14"/>
                <w:szCs w:val="14"/>
                <w:color w:val="auto"/>
              </w:rPr>
              <w:t>761,647</w:t>
            </w:r>
          </w:p>
        </w:tc>
        <w:tc>
          <w:tcPr>
            <w:tcW w:w="840" w:type="dxa"/>
            <w:vAlign w:val="bottom"/>
            <w:gridSpan w:val="2"/>
            <w:shd w:val="clear" w:color="auto" w:fill="CCEEFF"/>
          </w:tcPr>
          <w:p>
            <w:pPr>
              <w:jc w:val="right"/>
              <w:ind w:right="180"/>
              <w:spacing w:after="0" w:line="143" w:lineRule="exact"/>
              <w:rPr>
                <w:sz w:val="20"/>
                <w:szCs w:val="20"/>
                <w:color w:val="auto"/>
              </w:rPr>
            </w:pPr>
            <w:r>
              <w:rPr>
                <w:rFonts w:ascii="Arial" w:cs="Arial" w:eastAsia="Arial" w:hAnsi="Arial"/>
                <w:sz w:val="14"/>
                <w:szCs w:val="14"/>
                <w:color w:val="auto"/>
              </w:rPr>
              <w:t>1,162,295</w:t>
            </w:r>
          </w:p>
        </w:tc>
        <w:tc>
          <w:tcPr>
            <w:tcW w:w="820" w:type="dxa"/>
            <w:vAlign w:val="bottom"/>
            <w:gridSpan w:val="2"/>
            <w:shd w:val="clear" w:color="auto" w:fill="CCEEFF"/>
          </w:tcPr>
          <w:p>
            <w:pPr>
              <w:jc w:val="right"/>
              <w:ind w:right="180"/>
              <w:spacing w:after="0" w:line="143" w:lineRule="exact"/>
              <w:rPr>
                <w:sz w:val="20"/>
                <w:szCs w:val="20"/>
                <w:color w:val="auto"/>
              </w:rPr>
            </w:pPr>
            <w:r>
              <w:rPr>
                <w:rFonts w:ascii="Arial" w:cs="Arial" w:eastAsia="Arial" w:hAnsi="Arial"/>
                <w:sz w:val="14"/>
                <w:szCs w:val="14"/>
                <w:color w:val="auto"/>
              </w:rPr>
              <w:t>874,196</w:t>
            </w:r>
          </w:p>
        </w:tc>
        <w:tc>
          <w:tcPr>
            <w:tcW w:w="740" w:type="dxa"/>
            <w:vAlign w:val="bottom"/>
            <w:gridSpan w:val="2"/>
            <w:shd w:val="clear" w:color="auto" w:fill="CCEEFF"/>
          </w:tcPr>
          <w:p>
            <w:pPr>
              <w:jc w:val="right"/>
              <w:ind w:right="80"/>
              <w:spacing w:after="0" w:line="143" w:lineRule="exact"/>
              <w:rPr>
                <w:sz w:val="20"/>
                <w:szCs w:val="20"/>
                <w:color w:val="auto"/>
              </w:rPr>
            </w:pPr>
            <w:r>
              <w:rPr>
                <w:rFonts w:ascii="Arial" w:cs="Arial" w:eastAsia="Arial" w:hAnsi="Arial"/>
                <w:sz w:val="14"/>
                <w:szCs w:val="14"/>
                <w:color w:val="auto"/>
              </w:rPr>
              <w:t>4,211,406</w:t>
            </w:r>
          </w:p>
        </w:tc>
        <w:tc>
          <w:tcPr>
            <w:tcW w:w="0" w:type="dxa"/>
            <w:vAlign w:val="bottom"/>
          </w:tcPr>
          <w:p>
            <w:pPr>
              <w:spacing w:after="0"/>
              <w:rPr>
                <w:sz w:val="1"/>
                <w:szCs w:val="1"/>
                <w:color w:val="auto"/>
              </w:rPr>
            </w:pPr>
          </w:p>
        </w:tc>
      </w:tr>
      <w:tr>
        <w:trPr>
          <w:trHeight w:val="143"/>
        </w:trPr>
        <w:tc>
          <w:tcPr>
            <w:tcW w:w="2700" w:type="dxa"/>
            <w:vAlign w:val="bottom"/>
          </w:tcPr>
          <w:p>
            <w:pPr>
              <w:spacing w:after="0" w:line="143" w:lineRule="exact"/>
              <w:rPr>
                <w:sz w:val="20"/>
                <w:szCs w:val="20"/>
                <w:color w:val="auto"/>
              </w:rPr>
            </w:pPr>
            <w:r>
              <w:rPr>
                <w:rFonts w:ascii="Arial" w:cs="Arial" w:eastAsia="Arial" w:hAnsi="Arial"/>
                <w:sz w:val="14"/>
                <w:szCs w:val="14"/>
                <w:color w:val="auto"/>
              </w:rPr>
              <w:t>Fair value of collateral</w:t>
            </w:r>
          </w:p>
        </w:tc>
        <w:tc>
          <w:tcPr>
            <w:tcW w:w="740" w:type="dxa"/>
            <w:vAlign w:val="bottom"/>
          </w:tcPr>
          <w:p>
            <w:pPr>
              <w:jc w:val="right"/>
              <w:spacing w:after="0" w:line="143" w:lineRule="exact"/>
              <w:rPr>
                <w:sz w:val="20"/>
                <w:szCs w:val="20"/>
                <w:color w:val="auto"/>
              </w:rPr>
            </w:pPr>
            <w:r>
              <w:rPr>
                <w:rFonts w:ascii="Arial" w:cs="Arial" w:eastAsia="Arial" w:hAnsi="Arial"/>
                <w:sz w:val="14"/>
                <w:szCs w:val="14"/>
                <w:color w:val="auto"/>
              </w:rPr>
              <w:t>1,692,544</w:t>
            </w:r>
          </w:p>
        </w:tc>
        <w:tc>
          <w:tcPr>
            <w:tcW w:w="180" w:type="dxa"/>
            <w:vAlign w:val="bottom"/>
          </w:tcPr>
          <w:p>
            <w:pPr>
              <w:spacing w:after="0"/>
              <w:rPr>
                <w:sz w:val="12"/>
                <w:szCs w:val="12"/>
                <w:color w:val="auto"/>
              </w:rPr>
            </w:pPr>
          </w:p>
        </w:tc>
        <w:tc>
          <w:tcPr>
            <w:tcW w:w="1100" w:type="dxa"/>
            <w:vAlign w:val="bottom"/>
            <w:gridSpan w:val="2"/>
          </w:tcPr>
          <w:p>
            <w:pPr>
              <w:jc w:val="right"/>
              <w:ind w:right="180"/>
              <w:spacing w:after="0" w:line="143" w:lineRule="exact"/>
              <w:rPr>
                <w:sz w:val="20"/>
                <w:szCs w:val="20"/>
                <w:color w:val="auto"/>
              </w:rPr>
            </w:pPr>
            <w:r>
              <w:rPr>
                <w:rFonts w:ascii="Arial" w:cs="Arial" w:eastAsia="Arial" w:hAnsi="Arial"/>
                <w:sz w:val="14"/>
                <w:szCs w:val="14"/>
                <w:color w:val="auto"/>
              </w:rPr>
              <w:t>734,397</w:t>
            </w:r>
          </w:p>
        </w:tc>
        <w:tc>
          <w:tcPr>
            <w:tcW w:w="840" w:type="dxa"/>
            <w:vAlign w:val="bottom"/>
            <w:gridSpan w:val="2"/>
          </w:tcPr>
          <w:p>
            <w:pPr>
              <w:jc w:val="right"/>
              <w:ind w:right="200"/>
              <w:spacing w:after="0" w:line="143" w:lineRule="exact"/>
              <w:rPr>
                <w:sz w:val="20"/>
                <w:szCs w:val="20"/>
                <w:color w:val="auto"/>
              </w:rPr>
            </w:pPr>
            <w:r>
              <w:rPr>
                <w:rFonts w:ascii="Arial" w:cs="Arial" w:eastAsia="Arial" w:hAnsi="Arial"/>
                <w:sz w:val="14"/>
                <w:szCs w:val="14"/>
                <w:color w:val="auto"/>
              </w:rPr>
              <w:t>34,702</w:t>
            </w:r>
          </w:p>
        </w:tc>
        <w:tc>
          <w:tcPr>
            <w:tcW w:w="640" w:type="dxa"/>
            <w:vAlign w:val="bottom"/>
          </w:tcPr>
          <w:p>
            <w:pPr>
              <w:jc w:val="right"/>
              <w:spacing w:after="0" w:line="143" w:lineRule="exact"/>
              <w:rPr>
                <w:sz w:val="20"/>
                <w:szCs w:val="20"/>
                <w:color w:val="auto"/>
              </w:rPr>
            </w:pPr>
            <w:r>
              <w:rPr>
                <w:rFonts w:ascii="Arial" w:cs="Arial" w:eastAsia="Arial" w:hAnsi="Arial"/>
                <w:sz w:val="14"/>
                <w:szCs w:val="14"/>
                <w:color w:val="auto"/>
              </w:rPr>
              <w:t>118,472</w:t>
            </w:r>
          </w:p>
        </w:tc>
        <w:tc>
          <w:tcPr>
            <w:tcW w:w="180" w:type="dxa"/>
            <w:vAlign w:val="bottom"/>
          </w:tcPr>
          <w:p>
            <w:pPr>
              <w:spacing w:after="0"/>
              <w:rPr>
                <w:sz w:val="12"/>
                <w:szCs w:val="12"/>
                <w:color w:val="auto"/>
              </w:rPr>
            </w:pPr>
          </w:p>
        </w:tc>
        <w:tc>
          <w:tcPr>
            <w:tcW w:w="840" w:type="dxa"/>
            <w:vAlign w:val="bottom"/>
            <w:gridSpan w:val="2"/>
          </w:tcPr>
          <w:p>
            <w:pPr>
              <w:jc w:val="right"/>
              <w:ind w:right="180"/>
              <w:spacing w:after="0" w:line="143" w:lineRule="exact"/>
              <w:rPr>
                <w:sz w:val="20"/>
                <w:szCs w:val="20"/>
                <w:color w:val="auto"/>
              </w:rPr>
            </w:pPr>
            <w:r>
              <w:rPr>
                <w:rFonts w:ascii="Arial" w:cs="Arial" w:eastAsia="Arial" w:hAnsi="Arial"/>
                <w:sz w:val="14"/>
                <w:szCs w:val="14"/>
                <w:color w:val="auto"/>
              </w:rPr>
              <w:t>2,580,115</w:t>
            </w:r>
          </w:p>
        </w:tc>
        <w:tc>
          <w:tcPr>
            <w:tcW w:w="940" w:type="dxa"/>
            <w:vAlign w:val="bottom"/>
            <w:gridSpan w:val="2"/>
          </w:tcPr>
          <w:p>
            <w:pPr>
              <w:jc w:val="right"/>
              <w:ind w:right="200"/>
              <w:spacing w:after="0" w:line="143" w:lineRule="exact"/>
              <w:rPr>
                <w:sz w:val="20"/>
                <w:szCs w:val="20"/>
                <w:color w:val="auto"/>
              </w:rPr>
            </w:pPr>
            <w:r>
              <w:rPr>
                <w:rFonts w:ascii="Arial" w:cs="Arial" w:eastAsia="Arial" w:hAnsi="Arial"/>
                <w:sz w:val="14"/>
                <w:szCs w:val="14"/>
                <w:color w:val="auto"/>
              </w:rPr>
              <w:t>1,542,874</w:t>
            </w:r>
          </w:p>
        </w:tc>
        <w:tc>
          <w:tcPr>
            <w:tcW w:w="860" w:type="dxa"/>
            <w:vAlign w:val="bottom"/>
            <w:gridSpan w:val="2"/>
          </w:tcPr>
          <w:p>
            <w:pPr>
              <w:jc w:val="right"/>
              <w:ind w:right="180"/>
              <w:spacing w:after="0" w:line="143" w:lineRule="exact"/>
              <w:rPr>
                <w:sz w:val="20"/>
                <w:szCs w:val="20"/>
                <w:color w:val="auto"/>
              </w:rPr>
            </w:pPr>
            <w:r>
              <w:rPr>
                <w:rFonts w:ascii="Arial" w:cs="Arial" w:eastAsia="Arial" w:hAnsi="Arial"/>
                <w:sz w:val="14"/>
                <w:szCs w:val="14"/>
                <w:color w:val="auto"/>
              </w:rPr>
              <w:t>639,186</w:t>
            </w:r>
          </w:p>
        </w:tc>
        <w:tc>
          <w:tcPr>
            <w:tcW w:w="840" w:type="dxa"/>
            <w:vAlign w:val="bottom"/>
            <w:gridSpan w:val="2"/>
          </w:tcPr>
          <w:p>
            <w:pPr>
              <w:jc w:val="right"/>
              <w:ind w:right="180"/>
              <w:spacing w:after="0" w:line="143" w:lineRule="exact"/>
              <w:rPr>
                <w:sz w:val="20"/>
                <w:szCs w:val="20"/>
                <w:color w:val="auto"/>
              </w:rPr>
            </w:pPr>
            <w:r>
              <w:rPr>
                <w:rFonts w:ascii="Arial" w:cs="Arial" w:eastAsia="Arial" w:hAnsi="Arial"/>
                <w:sz w:val="14"/>
                <w:szCs w:val="14"/>
                <w:color w:val="auto"/>
              </w:rPr>
              <w:t>69,503</w:t>
            </w:r>
          </w:p>
        </w:tc>
        <w:tc>
          <w:tcPr>
            <w:tcW w:w="820" w:type="dxa"/>
            <w:vAlign w:val="bottom"/>
            <w:gridSpan w:val="2"/>
          </w:tcPr>
          <w:p>
            <w:pPr>
              <w:jc w:val="right"/>
              <w:ind w:right="180"/>
              <w:spacing w:after="0" w:line="143" w:lineRule="exact"/>
              <w:rPr>
                <w:sz w:val="20"/>
                <w:szCs w:val="20"/>
                <w:color w:val="auto"/>
              </w:rPr>
            </w:pPr>
            <w:r>
              <w:rPr>
                <w:rFonts w:ascii="Arial" w:cs="Arial" w:eastAsia="Arial" w:hAnsi="Arial"/>
                <w:sz w:val="14"/>
                <w:szCs w:val="14"/>
                <w:color w:val="auto"/>
              </w:rPr>
              <w:t>93,232</w:t>
            </w:r>
          </w:p>
        </w:tc>
        <w:tc>
          <w:tcPr>
            <w:tcW w:w="740" w:type="dxa"/>
            <w:vAlign w:val="bottom"/>
            <w:gridSpan w:val="2"/>
          </w:tcPr>
          <w:p>
            <w:pPr>
              <w:jc w:val="right"/>
              <w:ind w:right="80"/>
              <w:spacing w:after="0" w:line="143" w:lineRule="exact"/>
              <w:rPr>
                <w:sz w:val="20"/>
                <w:szCs w:val="20"/>
                <w:color w:val="auto"/>
              </w:rPr>
            </w:pPr>
            <w:r>
              <w:rPr>
                <w:rFonts w:ascii="Arial" w:cs="Arial" w:eastAsia="Arial" w:hAnsi="Arial"/>
                <w:sz w:val="14"/>
                <w:szCs w:val="14"/>
                <w:color w:val="auto"/>
              </w:rPr>
              <w:t>2,344,795</w:t>
            </w:r>
          </w:p>
        </w:tc>
        <w:tc>
          <w:tcPr>
            <w:tcW w:w="0" w:type="dxa"/>
            <w:vAlign w:val="bottom"/>
          </w:tcPr>
          <w:p>
            <w:pPr>
              <w:spacing w:after="0"/>
              <w:rPr>
                <w:sz w:val="1"/>
                <w:szCs w:val="1"/>
                <w:color w:val="auto"/>
              </w:rPr>
            </w:pPr>
          </w:p>
        </w:tc>
      </w:tr>
      <w:tr>
        <w:trPr>
          <w:trHeight w:val="143"/>
        </w:trPr>
        <w:tc>
          <w:tcPr>
            <w:tcW w:w="270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rPr>
              <w:t>Allowance for loan losses</w:t>
            </w:r>
          </w:p>
        </w:tc>
        <w:tc>
          <w:tcPr>
            <w:tcW w:w="920" w:type="dxa"/>
            <w:vAlign w:val="bottom"/>
            <w:gridSpan w:val="2"/>
            <w:shd w:val="clear" w:color="auto" w:fill="CCEEFF"/>
          </w:tcPr>
          <w:p>
            <w:pPr>
              <w:jc w:val="right"/>
              <w:ind w:right="180"/>
              <w:spacing w:after="0" w:line="143" w:lineRule="exact"/>
              <w:rPr>
                <w:sz w:val="20"/>
                <w:szCs w:val="20"/>
                <w:color w:val="auto"/>
              </w:rPr>
            </w:pPr>
            <w:r>
              <w:rPr>
                <w:rFonts w:ascii="Arial" w:cs="Arial" w:eastAsia="Arial" w:hAnsi="Arial"/>
                <w:sz w:val="14"/>
                <w:szCs w:val="14"/>
                <w:color w:val="auto"/>
              </w:rPr>
              <w:t>835,786</w:t>
            </w:r>
          </w:p>
        </w:tc>
        <w:tc>
          <w:tcPr>
            <w:tcW w:w="92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rPr>
              <w:t>119,945</w:t>
            </w:r>
          </w:p>
        </w:tc>
        <w:tc>
          <w:tcPr>
            <w:tcW w:w="1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00"/>
              <w:spacing w:after="0" w:line="143" w:lineRule="exact"/>
              <w:rPr>
                <w:sz w:val="20"/>
                <w:szCs w:val="20"/>
                <w:color w:val="auto"/>
              </w:rPr>
            </w:pPr>
            <w:r>
              <w:rPr>
                <w:rFonts w:ascii="Arial" w:cs="Arial" w:eastAsia="Arial" w:hAnsi="Arial"/>
                <w:sz w:val="14"/>
                <w:szCs w:val="14"/>
                <w:color w:val="auto"/>
                <w:w w:val="99"/>
              </w:rPr>
              <w:t>1,045,694</w:t>
            </w:r>
          </w:p>
        </w:tc>
        <w:tc>
          <w:tcPr>
            <w:tcW w:w="820" w:type="dxa"/>
            <w:vAlign w:val="bottom"/>
            <w:gridSpan w:val="2"/>
            <w:shd w:val="clear" w:color="auto" w:fill="CCEEFF"/>
          </w:tcPr>
          <w:p>
            <w:pPr>
              <w:jc w:val="right"/>
              <w:ind w:right="180"/>
              <w:spacing w:after="0" w:line="143" w:lineRule="exact"/>
              <w:rPr>
                <w:sz w:val="20"/>
                <w:szCs w:val="20"/>
                <w:color w:val="auto"/>
              </w:rPr>
            </w:pPr>
            <w:r>
              <w:rPr>
                <w:rFonts w:ascii="Arial" w:cs="Arial" w:eastAsia="Arial" w:hAnsi="Arial"/>
                <w:sz w:val="14"/>
                <w:szCs w:val="14"/>
                <w:color w:val="auto"/>
              </w:rPr>
              <w:t>468,342</w:t>
            </w:r>
          </w:p>
        </w:tc>
        <w:tc>
          <w:tcPr>
            <w:tcW w:w="840" w:type="dxa"/>
            <w:vAlign w:val="bottom"/>
            <w:gridSpan w:val="2"/>
            <w:shd w:val="clear" w:color="auto" w:fill="CCEEFF"/>
          </w:tcPr>
          <w:p>
            <w:pPr>
              <w:jc w:val="right"/>
              <w:ind w:right="180"/>
              <w:spacing w:after="0" w:line="143" w:lineRule="exact"/>
              <w:rPr>
                <w:sz w:val="20"/>
                <w:szCs w:val="20"/>
                <w:color w:val="auto"/>
              </w:rPr>
            </w:pPr>
            <w:r>
              <w:rPr>
                <w:rFonts w:ascii="Arial" w:cs="Arial" w:eastAsia="Arial" w:hAnsi="Arial"/>
                <w:sz w:val="14"/>
                <w:szCs w:val="14"/>
                <w:color w:val="auto"/>
              </w:rPr>
              <w:t>2,469,767</w:t>
            </w:r>
          </w:p>
        </w:tc>
        <w:tc>
          <w:tcPr>
            <w:tcW w:w="940" w:type="dxa"/>
            <w:vAlign w:val="bottom"/>
            <w:gridSpan w:val="2"/>
            <w:shd w:val="clear" w:color="auto" w:fill="CCEEFF"/>
          </w:tcPr>
          <w:p>
            <w:pPr>
              <w:jc w:val="right"/>
              <w:ind w:right="200"/>
              <w:spacing w:after="0" w:line="143" w:lineRule="exact"/>
              <w:rPr>
                <w:sz w:val="20"/>
                <w:szCs w:val="20"/>
                <w:color w:val="auto"/>
              </w:rPr>
            </w:pPr>
            <w:r>
              <w:rPr>
                <w:rFonts w:ascii="Arial" w:cs="Arial" w:eastAsia="Arial" w:hAnsi="Arial"/>
                <w:sz w:val="14"/>
                <w:szCs w:val="14"/>
                <w:color w:val="auto"/>
              </w:rPr>
              <w:t>813,844</w:t>
            </w:r>
          </w:p>
        </w:tc>
        <w:tc>
          <w:tcPr>
            <w:tcW w:w="68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rPr>
              <w:t>116,796</w:t>
            </w:r>
          </w:p>
        </w:tc>
        <w:tc>
          <w:tcPr>
            <w:tcW w:w="1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80"/>
              <w:spacing w:after="0" w:line="143" w:lineRule="exact"/>
              <w:rPr>
                <w:sz w:val="20"/>
                <w:szCs w:val="20"/>
                <w:color w:val="auto"/>
              </w:rPr>
            </w:pPr>
            <w:r>
              <w:rPr>
                <w:rFonts w:ascii="Arial" w:cs="Arial" w:eastAsia="Arial" w:hAnsi="Arial"/>
                <w:sz w:val="14"/>
                <w:szCs w:val="14"/>
                <w:color w:val="auto"/>
              </w:rPr>
              <w:t>1,018,242</w:t>
            </w:r>
          </w:p>
        </w:tc>
        <w:tc>
          <w:tcPr>
            <w:tcW w:w="820" w:type="dxa"/>
            <w:vAlign w:val="bottom"/>
            <w:gridSpan w:val="2"/>
            <w:shd w:val="clear" w:color="auto" w:fill="CCEEFF"/>
          </w:tcPr>
          <w:p>
            <w:pPr>
              <w:jc w:val="right"/>
              <w:ind w:right="180"/>
              <w:spacing w:after="0" w:line="143" w:lineRule="exact"/>
              <w:rPr>
                <w:sz w:val="20"/>
                <w:szCs w:val="20"/>
                <w:color w:val="auto"/>
              </w:rPr>
            </w:pPr>
            <w:r>
              <w:rPr>
                <w:rFonts w:ascii="Arial" w:cs="Arial" w:eastAsia="Arial" w:hAnsi="Arial"/>
                <w:sz w:val="14"/>
                <w:szCs w:val="14"/>
                <w:color w:val="auto"/>
              </w:rPr>
              <w:t>456,047</w:t>
            </w:r>
          </w:p>
        </w:tc>
        <w:tc>
          <w:tcPr>
            <w:tcW w:w="740" w:type="dxa"/>
            <w:vAlign w:val="bottom"/>
            <w:gridSpan w:val="2"/>
            <w:shd w:val="clear" w:color="auto" w:fill="CCEEFF"/>
          </w:tcPr>
          <w:p>
            <w:pPr>
              <w:jc w:val="right"/>
              <w:ind w:right="80"/>
              <w:spacing w:after="0" w:line="143" w:lineRule="exact"/>
              <w:rPr>
                <w:sz w:val="20"/>
                <w:szCs w:val="20"/>
                <w:color w:val="auto"/>
              </w:rPr>
            </w:pPr>
            <w:r>
              <w:rPr>
                <w:rFonts w:ascii="Arial" w:cs="Arial" w:eastAsia="Arial" w:hAnsi="Arial"/>
                <w:sz w:val="14"/>
                <w:szCs w:val="14"/>
                <w:color w:val="auto"/>
              </w:rPr>
              <w:t>2,404,929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- 118 -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15875</wp:posOffset>
            </wp:positionV>
            <wp:extent cx="725170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51700" cy="8255"/>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124" w:name="page125"/>
    <w:bookmarkEnd w:id="124"/>
    <w:p>
      <w:pPr>
        <w:spacing w:after="0"/>
        <w:rPr>
          <w:sz w:val="20"/>
          <w:szCs w:val="20"/>
          <w:color w:val="auto"/>
        </w:rPr>
      </w:pPr>
      <w:r>
        <w:rPr>
          <w:rFonts w:ascii="Arial" w:cs="Arial" w:eastAsia="Arial" w:hAnsi="Arial"/>
          <w:sz w:val="17"/>
          <w:szCs w:val="17"/>
          <w:color w:val="auto"/>
        </w:rPr>
        <w:t>On the other hand, the breakdown of loans classified by maturity is shown below, according to the following criteria:</w:t>
      </w:r>
    </w:p>
    <w:p>
      <w:pPr>
        <w:spacing w:after="0" w:line="220" w:lineRule="exact"/>
        <w:rPr>
          <w:sz w:val="20"/>
          <w:szCs w:val="20"/>
          <w:color w:val="auto"/>
        </w:rPr>
      </w:pPr>
    </w:p>
    <w:p>
      <w:pPr>
        <w:ind w:left="420" w:hanging="416"/>
        <w:spacing w:after="0"/>
        <w:tabs>
          <w:tab w:leader="none" w:pos="420" w:val="left"/>
        </w:tabs>
        <w:numPr>
          <w:ilvl w:val="0"/>
          <w:numId w:val="143"/>
        </w:numPr>
        <w:rPr>
          <w:rFonts w:ascii="Arial" w:cs="Arial" w:eastAsia="Arial" w:hAnsi="Arial"/>
          <w:sz w:val="16"/>
          <w:szCs w:val="16"/>
          <w:color w:val="auto"/>
        </w:rPr>
      </w:pPr>
      <w:r>
        <w:rPr>
          <w:rFonts w:ascii="Arial" w:cs="Arial" w:eastAsia="Arial" w:hAnsi="Arial"/>
          <w:sz w:val="16"/>
          <w:szCs w:val="16"/>
          <w:color w:val="auto"/>
        </w:rPr>
        <w:t>Current loans comprise those loans with no current indicators of delinquency and related to customers ranked as normal and with potential problems.</w:t>
      </w:r>
    </w:p>
    <w:p>
      <w:pPr>
        <w:spacing w:after="0" w:line="36" w:lineRule="exact"/>
        <w:rPr>
          <w:rFonts w:ascii="Arial" w:cs="Arial" w:eastAsia="Arial" w:hAnsi="Arial"/>
          <w:sz w:val="16"/>
          <w:szCs w:val="16"/>
          <w:color w:val="auto"/>
        </w:rPr>
      </w:pPr>
    </w:p>
    <w:p>
      <w:pPr>
        <w:ind w:left="420" w:right="140" w:hanging="416"/>
        <w:spacing w:after="0" w:line="255" w:lineRule="auto"/>
        <w:tabs>
          <w:tab w:leader="none" w:pos="420" w:val="left"/>
        </w:tabs>
        <w:numPr>
          <w:ilvl w:val="0"/>
          <w:numId w:val="143"/>
        </w:numPr>
        <w:rPr>
          <w:rFonts w:ascii="Arial" w:cs="Arial" w:eastAsia="Arial" w:hAnsi="Arial"/>
          <w:sz w:val="17"/>
          <w:szCs w:val="17"/>
          <w:color w:val="auto"/>
        </w:rPr>
      </w:pPr>
      <w:r>
        <w:rPr>
          <w:rFonts w:ascii="Arial" w:cs="Arial" w:eastAsia="Arial" w:hAnsi="Arial"/>
          <w:sz w:val="17"/>
          <w:szCs w:val="17"/>
          <w:color w:val="auto"/>
        </w:rPr>
        <w:t>Loans current but impaired, comprising those direct loans with no current indicators of delinquency but related to customers ranked as substandard, doubtful or loss.</w:t>
      </w:r>
    </w:p>
    <w:p>
      <w:pPr>
        <w:ind w:left="420" w:right="280" w:hanging="416"/>
        <w:spacing w:after="0" w:line="255" w:lineRule="auto"/>
        <w:tabs>
          <w:tab w:leader="none" w:pos="420" w:val="left"/>
        </w:tabs>
        <w:numPr>
          <w:ilvl w:val="0"/>
          <w:numId w:val="143"/>
        </w:numPr>
        <w:rPr>
          <w:rFonts w:ascii="Arial" w:cs="Arial" w:eastAsia="Arial" w:hAnsi="Arial"/>
          <w:sz w:val="17"/>
          <w:szCs w:val="17"/>
          <w:color w:val="auto"/>
        </w:rPr>
      </w:pPr>
      <w:r>
        <w:rPr>
          <w:rFonts w:ascii="Arial" w:cs="Arial" w:eastAsia="Arial" w:hAnsi="Arial"/>
          <w:sz w:val="17"/>
          <w:szCs w:val="17"/>
          <w:color w:val="auto"/>
        </w:rPr>
        <w:t>Loans with delays in payment of one day or more but which are not past due under our internal policies, comprising those direct loans related to customers ranked as normal, with potential problems, substandard, doubtful or loss.</w:t>
      </w:r>
    </w:p>
    <w:p>
      <w:pPr>
        <w:ind w:left="420" w:right="100" w:hanging="416"/>
        <w:spacing w:after="0" w:line="255" w:lineRule="auto"/>
        <w:tabs>
          <w:tab w:leader="none" w:pos="420" w:val="left"/>
        </w:tabs>
        <w:numPr>
          <w:ilvl w:val="0"/>
          <w:numId w:val="143"/>
        </w:numPr>
        <w:rPr>
          <w:rFonts w:ascii="Arial" w:cs="Arial" w:eastAsia="Arial" w:hAnsi="Arial"/>
          <w:sz w:val="17"/>
          <w:szCs w:val="17"/>
          <w:color w:val="auto"/>
        </w:rPr>
      </w:pPr>
      <w:r>
        <w:rPr>
          <w:rFonts w:ascii="Arial" w:cs="Arial" w:eastAsia="Arial" w:hAnsi="Arial"/>
          <w:sz w:val="17"/>
          <w:szCs w:val="17"/>
          <w:color w:val="auto"/>
        </w:rPr>
        <w:t>Internally overdue loans that are past due under our internal policies related to customers ranked as normal, with potential problems, substandard, doubtful or loss</w:t>
      </w:r>
    </w:p>
    <w:p>
      <w:pPr>
        <w:ind w:left="420" w:right="80" w:hanging="416"/>
        <w:spacing w:after="0" w:line="270" w:lineRule="auto"/>
        <w:tabs>
          <w:tab w:leader="none" w:pos="420" w:val="left"/>
        </w:tabs>
        <w:numPr>
          <w:ilvl w:val="0"/>
          <w:numId w:val="143"/>
        </w:numPr>
        <w:rPr>
          <w:rFonts w:ascii="Arial" w:cs="Arial" w:eastAsia="Arial" w:hAnsi="Arial"/>
          <w:sz w:val="17"/>
          <w:szCs w:val="17"/>
          <w:color w:val="auto"/>
        </w:rPr>
      </w:pPr>
      <w:r>
        <w:rPr>
          <w:rFonts w:ascii="Arial" w:cs="Arial" w:eastAsia="Arial" w:hAnsi="Arial"/>
          <w:sz w:val="17"/>
          <w:szCs w:val="17"/>
          <w:color w:val="auto"/>
        </w:rPr>
        <w:t>The sum of items: loans with delays in payment form first day and the internal past due loans reflect the entire amount of “past due” loans in accordance with IFRS 7.</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96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4"/>
          </w:tcPr>
          <w:p>
            <w:pPr>
              <w:jc w:val="right"/>
              <w:ind w:right="360"/>
              <w:spacing w:after="0"/>
              <w:rPr>
                <w:sz w:val="20"/>
                <w:szCs w:val="20"/>
                <w:color w:val="auto"/>
              </w:rPr>
            </w:pPr>
            <w:r>
              <w:rPr>
                <w:rFonts w:ascii="Arial" w:cs="Arial" w:eastAsia="Arial" w:hAnsi="Arial"/>
                <w:sz w:val="14"/>
                <w:szCs w:val="14"/>
                <w:b w:val="1"/>
                <w:bCs w:val="1"/>
                <w:color w:val="auto"/>
                <w:w w:val="90"/>
              </w:rPr>
              <w:t>As of December 31, 2017</w:t>
            </w:r>
          </w:p>
        </w:tc>
        <w:tc>
          <w:tcPr>
            <w:tcW w:w="6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4"/>
          </w:tcPr>
          <w:p>
            <w:pPr>
              <w:jc w:val="right"/>
              <w:ind w:right="300"/>
              <w:spacing w:after="0"/>
              <w:rPr>
                <w:sz w:val="20"/>
                <w:szCs w:val="20"/>
                <w:color w:val="auto"/>
              </w:rPr>
            </w:pPr>
            <w:r>
              <w:rPr>
                <w:rFonts w:ascii="Arial" w:cs="Arial" w:eastAsia="Arial" w:hAnsi="Arial"/>
                <w:sz w:val="14"/>
                <w:szCs w:val="14"/>
                <w:b w:val="1"/>
                <w:bCs w:val="1"/>
                <w:color w:val="auto"/>
                <w:w w:val="94"/>
              </w:rPr>
              <w:t>As of December 31, 2016</w:t>
            </w:r>
          </w:p>
        </w:tc>
        <w:tc>
          <w:tcPr>
            <w:tcW w:w="6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3"/>
        </w:trPr>
        <w:tc>
          <w:tcPr>
            <w:tcW w:w="9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40" w:type="dxa"/>
            <w:vAlign w:val="bottom"/>
          </w:tcPr>
          <w:p>
            <w:pPr>
              <w:spacing w:after="0"/>
              <w:rPr>
                <w:sz w:val="9"/>
                <w:szCs w:val="9"/>
                <w:color w:val="auto"/>
              </w:rPr>
            </w:pPr>
          </w:p>
        </w:tc>
        <w:tc>
          <w:tcPr>
            <w:tcW w:w="7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20" w:type="dxa"/>
            <w:vAlign w:val="bottom"/>
            <w:gridSpan w:val="2"/>
          </w:tcPr>
          <w:p>
            <w:pPr>
              <w:jc w:val="center"/>
              <w:ind w:right="160"/>
              <w:spacing w:after="0" w:line="114" w:lineRule="exact"/>
              <w:rPr>
                <w:sz w:val="20"/>
                <w:szCs w:val="20"/>
                <w:color w:val="auto"/>
              </w:rPr>
            </w:pPr>
            <w:r>
              <w:rPr>
                <w:rFonts w:ascii="Arial" w:cs="Arial" w:eastAsia="Arial" w:hAnsi="Arial"/>
                <w:sz w:val="13"/>
                <w:szCs w:val="13"/>
                <w:b w:val="1"/>
                <w:bCs w:val="1"/>
                <w:color w:val="auto"/>
                <w:w w:val="94"/>
              </w:rPr>
              <w:t>Loans with</w:t>
            </w:r>
          </w:p>
        </w:tc>
        <w:tc>
          <w:tcPr>
            <w:tcW w:w="6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140" w:type="dxa"/>
            <w:vAlign w:val="bottom"/>
          </w:tcPr>
          <w:p>
            <w:pPr>
              <w:spacing w:after="0"/>
              <w:rPr>
                <w:sz w:val="9"/>
                <w:szCs w:val="9"/>
                <w:color w:val="auto"/>
              </w:rPr>
            </w:pPr>
          </w:p>
        </w:tc>
        <w:tc>
          <w:tcPr>
            <w:tcW w:w="7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20" w:type="dxa"/>
            <w:vAlign w:val="bottom"/>
            <w:gridSpan w:val="2"/>
          </w:tcPr>
          <w:p>
            <w:pPr>
              <w:jc w:val="center"/>
              <w:ind w:right="180"/>
              <w:spacing w:after="0" w:line="114" w:lineRule="exact"/>
              <w:rPr>
                <w:sz w:val="20"/>
                <w:szCs w:val="20"/>
                <w:color w:val="auto"/>
              </w:rPr>
            </w:pPr>
            <w:r>
              <w:rPr>
                <w:rFonts w:ascii="Arial" w:cs="Arial" w:eastAsia="Arial" w:hAnsi="Arial"/>
                <w:sz w:val="13"/>
                <w:szCs w:val="13"/>
                <w:b w:val="1"/>
                <w:bCs w:val="1"/>
                <w:color w:val="auto"/>
                <w:w w:val="97"/>
              </w:rPr>
              <w:t>Loans with</w:t>
            </w:r>
          </w:p>
        </w:tc>
        <w:tc>
          <w:tcPr>
            <w:tcW w:w="6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3"/>
        </w:trPr>
        <w:tc>
          <w:tcPr>
            <w:tcW w:w="9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center"/>
              <w:ind w:right="160"/>
              <w:spacing w:after="0" w:line="143" w:lineRule="exact"/>
              <w:rPr>
                <w:sz w:val="20"/>
                <w:szCs w:val="20"/>
                <w:color w:val="auto"/>
              </w:rPr>
            </w:pPr>
            <w:r>
              <w:rPr>
                <w:rFonts w:ascii="Arial" w:cs="Arial" w:eastAsia="Arial" w:hAnsi="Arial"/>
                <w:sz w:val="14"/>
                <w:szCs w:val="14"/>
                <w:b w:val="1"/>
                <w:bCs w:val="1"/>
                <w:color w:val="auto"/>
                <w:w w:val="86"/>
              </w:rPr>
              <w:t>delays in</w:t>
            </w: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center"/>
              <w:ind w:right="160"/>
              <w:spacing w:after="0" w:line="143" w:lineRule="exact"/>
              <w:rPr>
                <w:sz w:val="20"/>
                <w:szCs w:val="20"/>
                <w:color w:val="auto"/>
              </w:rPr>
            </w:pPr>
            <w:r>
              <w:rPr>
                <w:rFonts w:ascii="Arial" w:cs="Arial" w:eastAsia="Arial" w:hAnsi="Arial"/>
                <w:sz w:val="14"/>
                <w:szCs w:val="14"/>
                <w:b w:val="1"/>
                <w:bCs w:val="1"/>
                <w:color w:val="auto"/>
                <w:w w:val="86"/>
              </w:rPr>
              <w:t>delays in</w:t>
            </w: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9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center"/>
              <w:ind w:right="120"/>
              <w:spacing w:after="0" w:line="143" w:lineRule="exact"/>
              <w:rPr>
                <w:sz w:val="20"/>
                <w:szCs w:val="20"/>
                <w:color w:val="auto"/>
              </w:rPr>
            </w:pPr>
            <w:r>
              <w:rPr>
                <w:rFonts w:ascii="Arial" w:cs="Arial" w:eastAsia="Arial" w:hAnsi="Arial"/>
                <w:sz w:val="14"/>
                <w:szCs w:val="14"/>
                <w:b w:val="1"/>
                <w:bCs w:val="1"/>
                <w:color w:val="auto"/>
                <w:w w:val="86"/>
              </w:rPr>
              <w:t>payments of one</w:t>
            </w:r>
          </w:p>
        </w:tc>
        <w:tc>
          <w:tcPr>
            <w:tcW w:w="76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4"/>
              </w:rPr>
              <w:t>Internal</w:t>
            </w: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0"/>
              </w:rPr>
              <w:t>Total past</w:t>
            </w: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center"/>
              <w:ind w:right="120"/>
              <w:spacing w:after="0" w:line="143" w:lineRule="exact"/>
              <w:rPr>
                <w:sz w:val="20"/>
                <w:szCs w:val="20"/>
                <w:color w:val="auto"/>
              </w:rPr>
            </w:pPr>
            <w:r>
              <w:rPr>
                <w:rFonts w:ascii="Arial" w:cs="Arial" w:eastAsia="Arial" w:hAnsi="Arial"/>
                <w:sz w:val="14"/>
                <w:szCs w:val="14"/>
                <w:b w:val="1"/>
                <w:bCs w:val="1"/>
                <w:color w:val="auto"/>
                <w:w w:val="86"/>
              </w:rPr>
              <w:t>payments of one</w:t>
            </w:r>
          </w:p>
        </w:tc>
        <w:tc>
          <w:tcPr>
            <w:tcW w:w="76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rPr>
              <w:t>Internal</w:t>
            </w: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87"/>
              </w:rPr>
              <w:t>Total past</w:t>
            </w:r>
          </w:p>
        </w:tc>
        <w:tc>
          <w:tcPr>
            <w:tcW w:w="0" w:type="dxa"/>
            <w:vAlign w:val="bottom"/>
          </w:tcPr>
          <w:p>
            <w:pPr>
              <w:spacing w:after="0"/>
              <w:rPr>
                <w:sz w:val="1"/>
                <w:szCs w:val="1"/>
                <w:color w:val="auto"/>
              </w:rPr>
            </w:pPr>
          </w:p>
        </w:tc>
      </w:tr>
      <w:tr>
        <w:trPr>
          <w:trHeight w:val="143"/>
        </w:trPr>
        <w:tc>
          <w:tcPr>
            <w:tcW w:w="9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4"/>
              </w:rPr>
              <w:t>Current but</w:t>
            </w:r>
          </w:p>
        </w:tc>
        <w:tc>
          <w:tcPr>
            <w:tcW w:w="1120" w:type="dxa"/>
            <w:vAlign w:val="bottom"/>
            <w:gridSpan w:val="2"/>
          </w:tcPr>
          <w:p>
            <w:pPr>
              <w:ind w:left="20"/>
              <w:spacing w:after="0" w:line="143" w:lineRule="exact"/>
              <w:rPr>
                <w:sz w:val="20"/>
                <w:szCs w:val="20"/>
                <w:color w:val="auto"/>
              </w:rPr>
            </w:pPr>
            <w:r>
              <w:rPr>
                <w:rFonts w:ascii="Arial" w:cs="Arial" w:eastAsia="Arial" w:hAnsi="Arial"/>
                <w:sz w:val="14"/>
                <w:szCs w:val="14"/>
                <w:b w:val="1"/>
                <w:bCs w:val="1"/>
                <w:color w:val="auto"/>
              </w:rPr>
              <w:t>day or more but</w:t>
            </w:r>
          </w:p>
        </w:tc>
        <w:tc>
          <w:tcPr>
            <w:tcW w:w="760" w:type="dxa"/>
            <w:vAlign w:val="bottom"/>
            <w:gridSpan w:val="2"/>
            <w:vMerge w:val="continue"/>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82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4"/>
              </w:rPr>
              <w:t>Current</w:t>
            </w:r>
          </w:p>
        </w:tc>
        <w:tc>
          <w:tcPr>
            <w:tcW w:w="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4"/>
              </w:rPr>
              <w:t>Current but</w:t>
            </w:r>
          </w:p>
        </w:tc>
        <w:tc>
          <w:tcPr>
            <w:tcW w:w="1120" w:type="dxa"/>
            <w:vAlign w:val="bottom"/>
            <w:gridSpan w:val="2"/>
          </w:tcPr>
          <w:p>
            <w:pPr>
              <w:jc w:val="center"/>
              <w:ind w:right="120"/>
              <w:spacing w:after="0" w:line="143" w:lineRule="exact"/>
              <w:rPr>
                <w:sz w:val="20"/>
                <w:szCs w:val="20"/>
                <w:color w:val="auto"/>
              </w:rPr>
            </w:pPr>
            <w:r>
              <w:rPr>
                <w:rFonts w:ascii="Arial" w:cs="Arial" w:eastAsia="Arial" w:hAnsi="Arial"/>
                <w:sz w:val="14"/>
                <w:szCs w:val="14"/>
                <w:b w:val="1"/>
                <w:bCs w:val="1"/>
                <w:color w:val="auto"/>
                <w:w w:val="90"/>
              </w:rPr>
              <w:t>day or more but</w:t>
            </w:r>
          </w:p>
        </w:tc>
        <w:tc>
          <w:tcPr>
            <w:tcW w:w="760" w:type="dxa"/>
            <w:vAlign w:val="bottom"/>
            <w:gridSpan w:val="2"/>
            <w:vMerge w:val="continue"/>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960" w:type="dxa"/>
            <w:vAlign w:val="bottom"/>
          </w:tcPr>
          <w:p>
            <w:pPr>
              <w:spacing w:after="0"/>
              <w:rPr>
                <w:sz w:val="12"/>
                <w:szCs w:val="12"/>
                <w:color w:val="auto"/>
              </w:rPr>
            </w:pPr>
          </w:p>
        </w:tc>
        <w:tc>
          <w:tcPr>
            <w:tcW w:w="960" w:type="dxa"/>
            <w:vAlign w:val="bottom"/>
            <w:gridSpan w:val="2"/>
            <w:vMerge w:val="restart"/>
          </w:tcPr>
          <w:p>
            <w:pPr>
              <w:jc w:val="right"/>
              <w:ind w:right="140"/>
              <w:spacing w:after="0"/>
              <w:rPr>
                <w:sz w:val="20"/>
                <w:szCs w:val="20"/>
                <w:color w:val="auto"/>
              </w:rPr>
            </w:pPr>
            <w:r>
              <w:rPr>
                <w:rFonts w:ascii="Arial" w:cs="Arial" w:eastAsia="Arial" w:hAnsi="Arial"/>
                <w:sz w:val="14"/>
                <w:szCs w:val="14"/>
                <w:b w:val="1"/>
                <w:bCs w:val="1"/>
                <w:color w:val="auto"/>
                <w:w w:val="87"/>
              </w:rPr>
              <w:t>Current loans</w:t>
            </w:r>
          </w:p>
        </w:tc>
        <w:tc>
          <w:tcPr>
            <w:tcW w:w="860" w:type="dxa"/>
            <w:vAlign w:val="bottom"/>
            <w:gridSpan w:val="2"/>
            <w:vMerge w:val="continue"/>
          </w:tcPr>
          <w:p>
            <w:pPr>
              <w:spacing w:after="0"/>
              <w:rPr>
                <w:sz w:val="12"/>
                <w:szCs w:val="12"/>
                <w:color w:val="auto"/>
              </w:rPr>
            </w:pPr>
          </w:p>
        </w:tc>
        <w:tc>
          <w:tcPr>
            <w:tcW w:w="1120" w:type="dxa"/>
            <w:vAlign w:val="bottom"/>
            <w:gridSpan w:val="2"/>
          </w:tcPr>
          <w:p>
            <w:pPr>
              <w:jc w:val="center"/>
              <w:ind w:right="160"/>
              <w:spacing w:after="0" w:line="143" w:lineRule="exact"/>
              <w:rPr>
                <w:sz w:val="20"/>
                <w:szCs w:val="20"/>
                <w:color w:val="auto"/>
              </w:rPr>
            </w:pPr>
            <w:r>
              <w:rPr>
                <w:rFonts w:ascii="Arial" w:cs="Arial" w:eastAsia="Arial" w:hAnsi="Arial"/>
                <w:sz w:val="14"/>
                <w:szCs w:val="14"/>
                <w:b w:val="1"/>
                <w:bCs w:val="1"/>
                <w:color w:val="auto"/>
                <w:w w:val="89"/>
              </w:rPr>
              <w:t>not internal</w:t>
            </w:r>
          </w:p>
        </w:tc>
        <w:tc>
          <w:tcPr>
            <w:tcW w:w="760" w:type="dxa"/>
            <w:vAlign w:val="bottom"/>
            <w:gridSpan w:val="2"/>
          </w:tcPr>
          <w:p>
            <w:pPr>
              <w:jc w:val="center"/>
              <w:ind w:right="160"/>
              <w:spacing w:after="0" w:line="143" w:lineRule="exact"/>
              <w:rPr>
                <w:sz w:val="20"/>
                <w:szCs w:val="20"/>
                <w:color w:val="auto"/>
              </w:rPr>
            </w:pPr>
            <w:r>
              <w:rPr>
                <w:rFonts w:ascii="Arial" w:cs="Arial" w:eastAsia="Arial" w:hAnsi="Arial"/>
                <w:sz w:val="14"/>
                <w:szCs w:val="14"/>
                <w:b w:val="1"/>
                <w:bCs w:val="1"/>
                <w:color w:val="auto"/>
                <w:w w:val="88"/>
              </w:rPr>
              <w:t>overdue</w:t>
            </w:r>
          </w:p>
        </w:tc>
        <w:tc>
          <w:tcPr>
            <w:tcW w:w="82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rPr>
              <w:t>Total</w:t>
            </w:r>
          </w:p>
        </w:tc>
        <w:tc>
          <w:tcPr>
            <w:tcW w:w="820" w:type="dxa"/>
            <w:vAlign w:val="bottom"/>
            <w:gridSpan w:val="2"/>
          </w:tcPr>
          <w:p>
            <w:pPr>
              <w:jc w:val="center"/>
              <w:ind w:right="180"/>
              <w:spacing w:after="0" w:line="143" w:lineRule="exact"/>
              <w:rPr>
                <w:sz w:val="20"/>
                <w:szCs w:val="20"/>
                <w:color w:val="auto"/>
              </w:rPr>
            </w:pPr>
            <w:r>
              <w:rPr>
                <w:rFonts w:ascii="Arial" w:cs="Arial" w:eastAsia="Arial" w:hAnsi="Arial"/>
                <w:sz w:val="14"/>
                <w:szCs w:val="14"/>
                <w:b w:val="1"/>
                <w:bCs w:val="1"/>
                <w:color w:val="auto"/>
                <w:w w:val="88"/>
              </w:rPr>
              <w:t>due under</w:t>
            </w:r>
          </w:p>
        </w:tc>
        <w:tc>
          <w:tcPr>
            <w:tcW w:w="820" w:type="dxa"/>
            <w:vAlign w:val="bottom"/>
            <w:gridSpan w:val="2"/>
            <w:vMerge w:val="continue"/>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1120" w:type="dxa"/>
            <w:vAlign w:val="bottom"/>
            <w:gridSpan w:val="2"/>
          </w:tcPr>
          <w:p>
            <w:pPr>
              <w:jc w:val="center"/>
              <w:ind w:right="180"/>
              <w:spacing w:after="0" w:line="143" w:lineRule="exact"/>
              <w:rPr>
                <w:sz w:val="20"/>
                <w:szCs w:val="20"/>
                <w:color w:val="auto"/>
              </w:rPr>
            </w:pPr>
            <w:r>
              <w:rPr>
                <w:rFonts w:ascii="Arial" w:cs="Arial" w:eastAsia="Arial" w:hAnsi="Arial"/>
                <w:sz w:val="14"/>
                <w:szCs w:val="14"/>
                <w:b w:val="1"/>
                <w:bCs w:val="1"/>
                <w:color w:val="auto"/>
                <w:w w:val="91"/>
              </w:rPr>
              <w:t>not internal</w:t>
            </w:r>
          </w:p>
        </w:tc>
        <w:tc>
          <w:tcPr>
            <w:tcW w:w="760" w:type="dxa"/>
            <w:vAlign w:val="bottom"/>
            <w:gridSpan w:val="2"/>
          </w:tcPr>
          <w:p>
            <w:pPr>
              <w:jc w:val="right"/>
              <w:ind w:right="220"/>
              <w:spacing w:after="0" w:line="143" w:lineRule="exact"/>
              <w:rPr>
                <w:sz w:val="20"/>
                <w:szCs w:val="20"/>
                <w:color w:val="auto"/>
              </w:rPr>
            </w:pPr>
            <w:r>
              <w:rPr>
                <w:rFonts w:ascii="Arial" w:cs="Arial" w:eastAsia="Arial" w:hAnsi="Arial"/>
                <w:sz w:val="14"/>
                <w:szCs w:val="14"/>
                <w:b w:val="1"/>
                <w:bCs w:val="1"/>
                <w:color w:val="auto"/>
                <w:w w:val="95"/>
              </w:rPr>
              <w:t>overdue</w:t>
            </w:r>
          </w:p>
        </w:tc>
        <w:tc>
          <w:tcPr>
            <w:tcW w:w="82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rPr>
              <w:t>Total</w:t>
            </w:r>
          </w:p>
        </w:tc>
        <w:tc>
          <w:tcPr>
            <w:tcW w:w="740" w:type="dxa"/>
            <w:vAlign w:val="bottom"/>
            <w:gridSpan w:val="2"/>
          </w:tcPr>
          <w:p>
            <w:pPr>
              <w:jc w:val="center"/>
              <w:ind w:right="100"/>
              <w:spacing w:after="0" w:line="143" w:lineRule="exact"/>
              <w:rPr>
                <w:sz w:val="20"/>
                <w:szCs w:val="20"/>
                <w:color w:val="auto"/>
              </w:rPr>
            </w:pPr>
            <w:r>
              <w:rPr>
                <w:rFonts w:ascii="Arial" w:cs="Arial" w:eastAsia="Arial" w:hAnsi="Arial"/>
                <w:sz w:val="14"/>
                <w:szCs w:val="14"/>
                <w:b w:val="1"/>
                <w:bCs w:val="1"/>
                <w:color w:val="auto"/>
                <w:w w:val="88"/>
              </w:rPr>
              <w:t>due under</w:t>
            </w:r>
          </w:p>
        </w:tc>
        <w:tc>
          <w:tcPr>
            <w:tcW w:w="0" w:type="dxa"/>
            <w:vAlign w:val="bottom"/>
          </w:tcPr>
          <w:p>
            <w:pPr>
              <w:spacing w:after="0"/>
              <w:rPr>
                <w:sz w:val="1"/>
                <w:szCs w:val="1"/>
                <w:color w:val="auto"/>
              </w:rPr>
            </w:pPr>
          </w:p>
        </w:tc>
      </w:tr>
      <w:tr>
        <w:trPr>
          <w:trHeight w:val="165"/>
        </w:trPr>
        <w:tc>
          <w:tcPr>
            <w:tcW w:w="96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8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impaired</w:t>
            </w:r>
          </w:p>
        </w:tc>
        <w:tc>
          <w:tcPr>
            <w:tcW w:w="11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6"/>
              </w:rPr>
              <w:t>overdue loans</w:t>
            </w:r>
          </w:p>
        </w:tc>
        <w:tc>
          <w:tcPr>
            <w:tcW w:w="76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loans</w:t>
            </w:r>
          </w:p>
        </w:tc>
        <w:tc>
          <w:tcPr>
            <w:tcW w:w="820" w:type="dxa"/>
            <w:vAlign w:val="bottom"/>
            <w:gridSpan w:val="2"/>
            <w:vMerge w:val="continue"/>
          </w:tcPr>
          <w:p>
            <w:pPr>
              <w:spacing w:after="0"/>
              <w:rPr>
                <w:sz w:val="14"/>
                <w:szCs w:val="14"/>
                <w:color w:val="auto"/>
              </w:rPr>
            </w:pPr>
          </w:p>
        </w:tc>
        <w:tc>
          <w:tcPr>
            <w:tcW w:w="8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6"/>
              </w:rPr>
              <w:t>IFRS 7</w:t>
            </w:r>
          </w:p>
        </w:tc>
        <w:tc>
          <w:tcPr>
            <w:tcW w:w="8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7"/>
              </w:rPr>
              <w:t>loans</w:t>
            </w:r>
          </w:p>
        </w:tc>
        <w:tc>
          <w:tcPr>
            <w:tcW w:w="8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9"/>
              </w:rPr>
              <w:t>impaired</w:t>
            </w:r>
          </w:p>
        </w:tc>
        <w:tc>
          <w:tcPr>
            <w:tcW w:w="11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6"/>
              </w:rPr>
              <w:t>overdue loans</w:t>
            </w:r>
          </w:p>
        </w:tc>
        <w:tc>
          <w:tcPr>
            <w:tcW w:w="76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loans</w:t>
            </w:r>
          </w:p>
        </w:tc>
        <w:tc>
          <w:tcPr>
            <w:tcW w:w="820" w:type="dxa"/>
            <w:vAlign w:val="bottom"/>
            <w:gridSpan w:val="2"/>
            <w:vMerge w:val="continue"/>
          </w:tcPr>
          <w:p>
            <w:pPr>
              <w:spacing w:after="0"/>
              <w:rPr>
                <w:sz w:val="14"/>
                <w:szCs w:val="14"/>
                <w:color w:val="auto"/>
              </w:rPr>
            </w:pPr>
          </w:p>
        </w:tc>
        <w:tc>
          <w:tcPr>
            <w:tcW w:w="7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6"/>
              </w:rPr>
              <w:t>IFRS 7</w:t>
            </w:r>
          </w:p>
        </w:tc>
        <w:tc>
          <w:tcPr>
            <w:tcW w:w="0" w:type="dxa"/>
            <w:vAlign w:val="bottom"/>
          </w:tcPr>
          <w:p>
            <w:pPr>
              <w:spacing w:after="0"/>
              <w:rPr>
                <w:sz w:val="1"/>
                <w:szCs w:val="1"/>
                <w:color w:val="auto"/>
              </w:rPr>
            </w:pPr>
          </w:p>
        </w:tc>
      </w:tr>
      <w:tr>
        <w:trPr>
          <w:trHeight w:val="172"/>
        </w:trPr>
        <w:tc>
          <w:tcPr>
            <w:tcW w:w="960" w:type="dxa"/>
            <w:vAlign w:val="bottom"/>
          </w:tcPr>
          <w:p>
            <w:pPr>
              <w:spacing w:after="0"/>
              <w:rPr>
                <w:sz w:val="14"/>
                <w:szCs w:val="14"/>
                <w:color w:val="auto"/>
              </w:rPr>
            </w:pPr>
          </w:p>
        </w:tc>
        <w:tc>
          <w:tcPr>
            <w:tcW w:w="820" w:type="dxa"/>
            <w:vAlign w:val="bottom"/>
            <w:tcBorders>
              <w:top w:val="single" w:sz="8" w:color="auto"/>
            </w:tcBorders>
          </w:tcPr>
          <w:p>
            <w:pPr>
              <w:jc w:val="right"/>
              <w:ind w:right="131"/>
              <w:spacing w:after="0"/>
              <w:rPr>
                <w:sz w:val="20"/>
                <w:szCs w:val="20"/>
                <w:color w:val="auto"/>
              </w:rPr>
            </w:pPr>
            <w:r>
              <w:rPr>
                <w:rFonts w:ascii="Arial" w:cs="Arial" w:eastAsia="Arial" w:hAnsi="Arial"/>
                <w:sz w:val="14"/>
                <w:szCs w:val="14"/>
                <w:b w:val="1"/>
                <w:bCs w:val="1"/>
                <w:color w:val="auto"/>
              </w:rPr>
              <w:t>S/(000)</w:t>
            </w:r>
          </w:p>
        </w:tc>
        <w:tc>
          <w:tcPr>
            <w:tcW w:w="140" w:type="dxa"/>
            <w:vAlign w:val="bottom"/>
          </w:tcPr>
          <w:p>
            <w:pPr>
              <w:spacing w:after="0"/>
              <w:rPr>
                <w:sz w:val="14"/>
                <w:szCs w:val="14"/>
                <w:color w:val="auto"/>
              </w:rPr>
            </w:pPr>
          </w:p>
        </w:tc>
        <w:tc>
          <w:tcPr>
            <w:tcW w:w="74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S/(000)</w:t>
            </w:r>
          </w:p>
        </w:tc>
        <w:tc>
          <w:tcPr>
            <w:tcW w:w="120" w:type="dxa"/>
            <w:vAlign w:val="bottom"/>
          </w:tcPr>
          <w:p>
            <w:pPr>
              <w:spacing w:after="0"/>
              <w:rPr>
                <w:sz w:val="14"/>
                <w:szCs w:val="14"/>
                <w:color w:val="auto"/>
              </w:rPr>
            </w:pPr>
          </w:p>
        </w:tc>
        <w:tc>
          <w:tcPr>
            <w:tcW w:w="100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S/(000)</w:t>
            </w:r>
          </w:p>
        </w:tc>
        <w:tc>
          <w:tcPr>
            <w:tcW w:w="120" w:type="dxa"/>
            <w:vAlign w:val="bottom"/>
          </w:tcPr>
          <w:p>
            <w:pPr>
              <w:spacing w:after="0"/>
              <w:rPr>
                <w:sz w:val="14"/>
                <w:szCs w:val="14"/>
                <w:color w:val="auto"/>
              </w:rPr>
            </w:pPr>
          </w:p>
        </w:tc>
        <w:tc>
          <w:tcPr>
            <w:tcW w:w="62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S/(000)</w:t>
            </w:r>
          </w:p>
        </w:tc>
        <w:tc>
          <w:tcPr>
            <w:tcW w:w="140" w:type="dxa"/>
            <w:vAlign w:val="bottom"/>
          </w:tcPr>
          <w:p>
            <w:pPr>
              <w:spacing w:after="0"/>
              <w:rPr>
                <w:sz w:val="14"/>
                <w:szCs w:val="14"/>
                <w:color w:val="auto"/>
              </w:rPr>
            </w:pPr>
          </w:p>
        </w:tc>
        <w:tc>
          <w:tcPr>
            <w:tcW w:w="680" w:type="dxa"/>
            <w:vAlign w:val="bottom"/>
            <w:tcBorders>
              <w:top w:val="single" w:sz="8" w:color="auto"/>
            </w:tcBorders>
          </w:tcPr>
          <w:p>
            <w:pPr>
              <w:jc w:val="right"/>
              <w:ind w:right="71"/>
              <w:spacing w:after="0"/>
              <w:rPr>
                <w:sz w:val="20"/>
                <w:szCs w:val="20"/>
                <w:color w:val="auto"/>
              </w:rPr>
            </w:pPr>
            <w:r>
              <w:rPr>
                <w:rFonts w:ascii="Arial" w:cs="Arial" w:eastAsia="Arial" w:hAnsi="Arial"/>
                <w:sz w:val="14"/>
                <w:szCs w:val="14"/>
                <w:b w:val="1"/>
                <w:bCs w:val="1"/>
                <w:color w:val="auto"/>
              </w:rPr>
              <w:t>S/(000)</w:t>
            </w:r>
          </w:p>
        </w:tc>
        <w:tc>
          <w:tcPr>
            <w:tcW w:w="140" w:type="dxa"/>
            <w:vAlign w:val="bottom"/>
          </w:tcPr>
          <w:p>
            <w:pPr>
              <w:spacing w:after="0"/>
              <w:rPr>
                <w:sz w:val="14"/>
                <w:szCs w:val="14"/>
                <w:color w:val="auto"/>
              </w:rPr>
            </w:pPr>
          </w:p>
        </w:tc>
        <w:tc>
          <w:tcPr>
            <w:tcW w:w="68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S/(000)</w:t>
            </w:r>
          </w:p>
        </w:tc>
        <w:tc>
          <w:tcPr>
            <w:tcW w:w="140" w:type="dxa"/>
            <w:vAlign w:val="bottom"/>
          </w:tcPr>
          <w:p>
            <w:pPr>
              <w:spacing w:after="0"/>
              <w:rPr>
                <w:sz w:val="14"/>
                <w:szCs w:val="14"/>
                <w:color w:val="auto"/>
              </w:rPr>
            </w:pPr>
          </w:p>
        </w:tc>
        <w:tc>
          <w:tcPr>
            <w:tcW w:w="68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S/(000)</w:t>
            </w:r>
          </w:p>
        </w:tc>
        <w:tc>
          <w:tcPr>
            <w:tcW w:w="140" w:type="dxa"/>
            <w:vAlign w:val="bottom"/>
          </w:tcPr>
          <w:p>
            <w:pPr>
              <w:spacing w:after="0"/>
              <w:rPr>
                <w:sz w:val="14"/>
                <w:szCs w:val="14"/>
                <w:color w:val="auto"/>
              </w:rPr>
            </w:pPr>
          </w:p>
        </w:tc>
        <w:tc>
          <w:tcPr>
            <w:tcW w:w="74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S/(000)</w:t>
            </w:r>
          </w:p>
        </w:tc>
        <w:tc>
          <w:tcPr>
            <w:tcW w:w="120" w:type="dxa"/>
            <w:vAlign w:val="bottom"/>
          </w:tcPr>
          <w:p>
            <w:pPr>
              <w:spacing w:after="0"/>
              <w:rPr>
                <w:sz w:val="14"/>
                <w:szCs w:val="14"/>
                <w:color w:val="auto"/>
              </w:rPr>
            </w:pPr>
          </w:p>
        </w:tc>
        <w:tc>
          <w:tcPr>
            <w:tcW w:w="98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S/(000)</w:t>
            </w:r>
          </w:p>
        </w:tc>
        <w:tc>
          <w:tcPr>
            <w:tcW w:w="140" w:type="dxa"/>
            <w:vAlign w:val="bottom"/>
          </w:tcPr>
          <w:p>
            <w:pPr>
              <w:spacing w:after="0"/>
              <w:rPr>
                <w:sz w:val="14"/>
                <w:szCs w:val="14"/>
                <w:color w:val="auto"/>
              </w:rPr>
            </w:pPr>
          </w:p>
        </w:tc>
        <w:tc>
          <w:tcPr>
            <w:tcW w:w="620" w:type="dxa"/>
            <w:vAlign w:val="bottom"/>
            <w:tcBorders>
              <w:top w:val="single" w:sz="8" w:color="auto"/>
            </w:tcBorders>
          </w:tcPr>
          <w:p>
            <w:pPr>
              <w:jc w:val="right"/>
              <w:ind w:right="31"/>
              <w:spacing w:after="0"/>
              <w:rPr>
                <w:sz w:val="20"/>
                <w:szCs w:val="20"/>
                <w:color w:val="auto"/>
              </w:rPr>
            </w:pPr>
            <w:r>
              <w:rPr>
                <w:rFonts w:ascii="Arial" w:cs="Arial" w:eastAsia="Arial" w:hAnsi="Arial"/>
                <w:sz w:val="14"/>
                <w:szCs w:val="14"/>
                <w:b w:val="1"/>
                <w:bCs w:val="1"/>
                <w:color w:val="auto"/>
              </w:rPr>
              <w:t>S/(000)</w:t>
            </w:r>
          </w:p>
        </w:tc>
        <w:tc>
          <w:tcPr>
            <w:tcW w:w="140" w:type="dxa"/>
            <w:vAlign w:val="bottom"/>
          </w:tcPr>
          <w:p>
            <w:pPr>
              <w:spacing w:after="0"/>
              <w:rPr>
                <w:sz w:val="14"/>
                <w:szCs w:val="14"/>
                <w:color w:val="auto"/>
              </w:rPr>
            </w:pPr>
          </w:p>
        </w:tc>
        <w:tc>
          <w:tcPr>
            <w:tcW w:w="680" w:type="dxa"/>
            <w:vAlign w:val="bottom"/>
            <w:tcBorders>
              <w:top w:val="single" w:sz="8" w:color="auto"/>
            </w:tcBorders>
          </w:tcPr>
          <w:p>
            <w:pPr>
              <w:jc w:val="right"/>
              <w:ind w:right="71"/>
              <w:spacing w:after="0"/>
              <w:rPr>
                <w:sz w:val="20"/>
                <w:szCs w:val="20"/>
                <w:color w:val="auto"/>
              </w:rPr>
            </w:pPr>
            <w:r>
              <w:rPr>
                <w:rFonts w:ascii="Arial" w:cs="Arial" w:eastAsia="Arial" w:hAnsi="Arial"/>
                <w:sz w:val="14"/>
                <w:szCs w:val="14"/>
                <w:b w:val="1"/>
                <w:bCs w:val="1"/>
                <w:color w:val="auto"/>
              </w:rPr>
              <w:t>S/(000)</w:t>
            </w:r>
          </w:p>
        </w:tc>
        <w:tc>
          <w:tcPr>
            <w:tcW w:w="140" w:type="dxa"/>
            <w:vAlign w:val="bottom"/>
          </w:tcPr>
          <w:p>
            <w:pPr>
              <w:spacing w:after="0"/>
              <w:rPr>
                <w:sz w:val="14"/>
                <w:szCs w:val="14"/>
                <w:color w:val="auto"/>
              </w:rPr>
            </w:pPr>
          </w:p>
        </w:tc>
        <w:tc>
          <w:tcPr>
            <w:tcW w:w="68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S/(000)</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6"/>
        </w:trPr>
        <w:tc>
          <w:tcPr>
            <w:tcW w:w="9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40" w:type="dxa"/>
            <w:vAlign w:val="bottom"/>
          </w:tcPr>
          <w:p>
            <w:pPr>
              <w:spacing w:after="0"/>
              <w:rPr>
                <w:sz w:val="9"/>
                <w:szCs w:val="9"/>
                <w:color w:val="auto"/>
              </w:rPr>
            </w:pPr>
          </w:p>
        </w:tc>
        <w:tc>
          <w:tcPr>
            <w:tcW w:w="7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140" w:type="dxa"/>
            <w:vAlign w:val="bottom"/>
          </w:tcPr>
          <w:p>
            <w:pPr>
              <w:spacing w:after="0"/>
              <w:rPr>
                <w:sz w:val="9"/>
                <w:szCs w:val="9"/>
                <w:color w:val="auto"/>
              </w:rPr>
            </w:pPr>
          </w:p>
        </w:tc>
        <w:tc>
          <w:tcPr>
            <w:tcW w:w="740" w:type="dxa"/>
            <w:vAlign w:val="bottom"/>
          </w:tcPr>
          <w:p>
            <w:pPr>
              <w:spacing w:after="0"/>
              <w:rPr>
                <w:sz w:val="9"/>
                <w:szCs w:val="9"/>
                <w:color w:val="auto"/>
              </w:rPr>
            </w:pPr>
          </w:p>
        </w:tc>
        <w:tc>
          <w:tcPr>
            <w:tcW w:w="120" w:type="dxa"/>
            <w:vAlign w:val="bottom"/>
          </w:tcPr>
          <w:p>
            <w:pPr>
              <w:spacing w:after="0"/>
              <w:rPr>
                <w:sz w:val="9"/>
                <w:szCs w:val="9"/>
                <w:color w:val="auto"/>
              </w:rPr>
            </w:pPr>
          </w:p>
        </w:tc>
        <w:tc>
          <w:tcPr>
            <w:tcW w:w="9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0"/>
        </w:trPr>
        <w:tc>
          <w:tcPr>
            <w:tcW w:w="960" w:type="dxa"/>
            <w:vAlign w:val="bottom"/>
            <w:shd w:val="clear" w:color="auto" w:fill="CCEEFF"/>
          </w:tcPr>
          <w:p>
            <w:pPr>
              <w:spacing w:after="0" w:line="121" w:lineRule="exact"/>
              <w:rPr>
                <w:sz w:val="20"/>
                <w:szCs w:val="20"/>
                <w:color w:val="auto"/>
              </w:rPr>
            </w:pPr>
            <w:r>
              <w:rPr>
                <w:rFonts w:ascii="Arial" w:cs="Arial" w:eastAsia="Arial" w:hAnsi="Arial"/>
                <w:sz w:val="13"/>
                <w:szCs w:val="13"/>
                <w:b w:val="1"/>
                <w:bCs w:val="1"/>
                <w:color w:val="auto"/>
              </w:rPr>
              <w:t>Neither past</w:t>
            </w:r>
          </w:p>
        </w:tc>
        <w:tc>
          <w:tcPr>
            <w:tcW w:w="8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960" w:type="dxa"/>
            <w:vAlign w:val="bottom"/>
            <w:shd w:val="clear" w:color="auto" w:fill="CCEEFF"/>
          </w:tcPr>
          <w:p>
            <w:pPr>
              <w:spacing w:after="0" w:line="143" w:lineRule="exact"/>
              <w:rPr>
                <w:sz w:val="20"/>
                <w:szCs w:val="20"/>
                <w:color w:val="auto"/>
              </w:rPr>
            </w:pPr>
            <w:r>
              <w:rPr>
                <w:rFonts w:ascii="Arial" w:cs="Arial" w:eastAsia="Arial" w:hAnsi="Arial"/>
                <w:sz w:val="14"/>
                <w:szCs w:val="14"/>
                <w:b w:val="1"/>
                <w:bCs w:val="1"/>
                <w:color w:val="auto"/>
              </w:rPr>
              <w:t>due nor</w:t>
            </w:r>
          </w:p>
        </w:tc>
        <w:tc>
          <w:tcPr>
            <w:tcW w:w="8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96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impaired</w:t>
            </w:r>
          </w:p>
        </w:tc>
        <w:tc>
          <w:tcPr>
            <w:tcW w:w="8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960" w:type="dxa"/>
            <w:vAlign w:val="bottom"/>
          </w:tcPr>
          <w:p>
            <w:pPr>
              <w:spacing w:after="0" w:line="143" w:lineRule="exact"/>
              <w:rPr>
                <w:sz w:val="20"/>
                <w:szCs w:val="20"/>
                <w:color w:val="auto"/>
              </w:rPr>
            </w:pPr>
            <w:r>
              <w:rPr>
                <w:rFonts w:ascii="Arial" w:cs="Arial" w:eastAsia="Arial" w:hAnsi="Arial"/>
                <w:sz w:val="14"/>
                <w:szCs w:val="14"/>
                <w:color w:val="auto"/>
              </w:rPr>
              <w:t>Normal</w:t>
            </w:r>
          </w:p>
        </w:tc>
        <w:tc>
          <w:tcPr>
            <w:tcW w:w="820" w:type="dxa"/>
            <w:vAlign w:val="bottom"/>
          </w:tcPr>
          <w:p>
            <w:pPr>
              <w:jc w:val="right"/>
              <w:spacing w:after="0" w:line="143" w:lineRule="exact"/>
              <w:rPr>
                <w:sz w:val="20"/>
                <w:szCs w:val="20"/>
                <w:color w:val="auto"/>
              </w:rPr>
            </w:pPr>
            <w:r>
              <w:rPr>
                <w:rFonts w:ascii="Arial" w:cs="Arial" w:eastAsia="Arial" w:hAnsi="Arial"/>
                <w:sz w:val="14"/>
                <w:szCs w:val="14"/>
                <w:color w:val="auto"/>
              </w:rPr>
              <w:t>91,781,038</w:t>
            </w:r>
          </w:p>
        </w:tc>
        <w:tc>
          <w:tcPr>
            <w:tcW w:w="140" w:type="dxa"/>
            <w:vAlign w:val="bottom"/>
          </w:tcPr>
          <w:p>
            <w:pPr>
              <w:spacing w:after="0"/>
              <w:rPr>
                <w:sz w:val="12"/>
                <w:szCs w:val="12"/>
                <w:color w:val="auto"/>
              </w:rPr>
            </w:pPr>
          </w:p>
        </w:tc>
        <w:tc>
          <w:tcPr>
            <w:tcW w:w="860" w:type="dxa"/>
            <w:vAlign w:val="bottom"/>
            <w:gridSpan w:val="2"/>
          </w:tcPr>
          <w:p>
            <w:pPr>
              <w:jc w:val="right"/>
              <w:ind w:right="120"/>
              <w:spacing w:after="0" w:line="143" w:lineRule="exact"/>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120"/>
              <w:spacing w:after="0" w:line="143" w:lineRule="exact"/>
              <w:rPr>
                <w:sz w:val="20"/>
                <w:szCs w:val="20"/>
                <w:color w:val="auto"/>
              </w:rPr>
            </w:pPr>
            <w:r>
              <w:rPr>
                <w:rFonts w:ascii="Arial" w:cs="Arial" w:eastAsia="Arial" w:hAnsi="Arial"/>
                <w:sz w:val="14"/>
                <w:szCs w:val="14"/>
                <w:color w:val="auto"/>
              </w:rPr>
              <w:t>-</w:t>
            </w:r>
          </w:p>
        </w:tc>
        <w:tc>
          <w:tcPr>
            <w:tcW w:w="620" w:type="dxa"/>
            <w:vAlign w:val="bottom"/>
          </w:tcPr>
          <w:p>
            <w:pPr>
              <w:jc w:val="right"/>
              <w:spacing w:after="0" w:line="143"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20" w:type="dxa"/>
            <w:vAlign w:val="bottom"/>
            <w:gridSpan w:val="2"/>
          </w:tcPr>
          <w:p>
            <w:pPr>
              <w:jc w:val="right"/>
              <w:ind w:right="140"/>
              <w:spacing w:after="0" w:line="143" w:lineRule="exact"/>
              <w:rPr>
                <w:sz w:val="20"/>
                <w:szCs w:val="20"/>
                <w:color w:val="auto"/>
              </w:rPr>
            </w:pPr>
            <w:r>
              <w:rPr>
                <w:rFonts w:ascii="Arial" w:cs="Arial" w:eastAsia="Arial" w:hAnsi="Arial"/>
                <w:sz w:val="14"/>
                <w:szCs w:val="14"/>
                <w:color w:val="auto"/>
                <w:w w:val="94"/>
              </w:rPr>
              <w:t>91,781,038</w:t>
            </w:r>
          </w:p>
        </w:tc>
        <w:tc>
          <w:tcPr>
            <w:tcW w:w="680" w:type="dxa"/>
            <w:vAlign w:val="bottom"/>
          </w:tcPr>
          <w:p>
            <w:pPr>
              <w:jc w:val="right"/>
              <w:spacing w:after="0" w:line="143"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20" w:type="dxa"/>
            <w:vAlign w:val="bottom"/>
            <w:gridSpan w:val="2"/>
          </w:tcPr>
          <w:p>
            <w:pPr>
              <w:jc w:val="right"/>
              <w:ind w:right="140"/>
              <w:spacing w:after="0" w:line="143" w:lineRule="exact"/>
              <w:rPr>
                <w:sz w:val="20"/>
                <w:szCs w:val="20"/>
                <w:color w:val="auto"/>
              </w:rPr>
            </w:pPr>
            <w:r>
              <w:rPr>
                <w:rFonts w:ascii="Arial" w:cs="Arial" w:eastAsia="Arial" w:hAnsi="Arial"/>
                <w:sz w:val="14"/>
                <w:szCs w:val="14"/>
                <w:color w:val="auto"/>
                <w:w w:val="94"/>
              </w:rPr>
              <w:t>86,434,694</w:t>
            </w:r>
          </w:p>
        </w:tc>
        <w:tc>
          <w:tcPr>
            <w:tcW w:w="740" w:type="dxa"/>
            <w:vAlign w:val="bottom"/>
          </w:tcPr>
          <w:p>
            <w:pPr>
              <w:jc w:val="right"/>
              <w:spacing w:after="0" w:line="143"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120" w:type="dxa"/>
            <w:vAlign w:val="bottom"/>
            <w:gridSpan w:val="2"/>
          </w:tcPr>
          <w:p>
            <w:pPr>
              <w:jc w:val="right"/>
              <w:ind w:right="140"/>
              <w:spacing w:after="0" w:line="143"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40"/>
              <w:spacing w:after="0" w:line="143"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40"/>
              <w:spacing w:after="0" w:line="143" w:lineRule="exact"/>
              <w:rPr>
                <w:sz w:val="20"/>
                <w:szCs w:val="20"/>
                <w:color w:val="auto"/>
              </w:rPr>
            </w:pPr>
            <w:r>
              <w:rPr>
                <w:rFonts w:ascii="Arial" w:cs="Arial" w:eastAsia="Arial" w:hAnsi="Arial"/>
                <w:sz w:val="14"/>
                <w:szCs w:val="14"/>
                <w:color w:val="auto"/>
                <w:w w:val="94"/>
              </w:rPr>
              <w:t>86,434,694</w:t>
            </w:r>
          </w:p>
        </w:tc>
        <w:tc>
          <w:tcPr>
            <w:tcW w:w="740" w:type="dxa"/>
            <w:vAlign w:val="bottom"/>
            <w:gridSpan w:val="2"/>
          </w:tcPr>
          <w:p>
            <w:pPr>
              <w:jc w:val="right"/>
              <w:ind w:right="60"/>
              <w:spacing w:after="0" w:line="143"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24"/>
        </w:trPr>
        <w:tc>
          <w:tcPr>
            <w:tcW w:w="960" w:type="dxa"/>
            <w:vAlign w:val="bottom"/>
            <w:shd w:val="clear" w:color="auto" w:fill="CCEEFF"/>
          </w:tcPr>
          <w:p>
            <w:pPr>
              <w:spacing w:after="0" w:line="125" w:lineRule="exact"/>
              <w:rPr>
                <w:sz w:val="20"/>
                <w:szCs w:val="20"/>
                <w:color w:val="auto"/>
              </w:rPr>
            </w:pPr>
            <w:r>
              <w:rPr>
                <w:rFonts w:ascii="Arial" w:cs="Arial" w:eastAsia="Arial" w:hAnsi="Arial"/>
                <w:sz w:val="14"/>
                <w:szCs w:val="14"/>
                <w:color w:val="auto"/>
              </w:rPr>
              <w:t>Potential</w:t>
            </w:r>
          </w:p>
        </w:tc>
        <w:tc>
          <w:tcPr>
            <w:tcW w:w="8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1"/>
        </w:trPr>
        <w:tc>
          <w:tcPr>
            <w:tcW w:w="960" w:type="dxa"/>
            <w:vAlign w:val="bottom"/>
            <w:shd w:val="clear" w:color="auto" w:fill="CCEEFF"/>
          </w:tcPr>
          <w:p>
            <w:pPr>
              <w:spacing w:after="0"/>
              <w:rPr>
                <w:sz w:val="20"/>
                <w:szCs w:val="20"/>
                <w:color w:val="auto"/>
              </w:rPr>
            </w:pPr>
            <w:r>
              <w:rPr>
                <w:rFonts w:ascii="Arial" w:cs="Arial" w:eastAsia="Arial" w:hAnsi="Arial"/>
                <w:sz w:val="14"/>
                <w:szCs w:val="14"/>
                <w:color w:val="auto"/>
              </w:rPr>
              <w:t>problems</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1,487,402</w:t>
            </w:r>
          </w:p>
        </w:tc>
        <w:tc>
          <w:tcPr>
            <w:tcW w:w="14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1,487,402</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1,717,505</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1,717,505</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3"/>
        </w:trPr>
        <w:tc>
          <w:tcPr>
            <w:tcW w:w="9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0"/>
        </w:trPr>
        <w:tc>
          <w:tcPr>
            <w:tcW w:w="960" w:type="dxa"/>
            <w:vAlign w:val="bottom"/>
            <w:shd w:val="clear" w:color="auto" w:fill="CCEEFF"/>
          </w:tcPr>
          <w:p>
            <w:pPr>
              <w:spacing w:after="0" w:line="121" w:lineRule="exact"/>
              <w:rPr>
                <w:sz w:val="20"/>
                <w:szCs w:val="20"/>
                <w:color w:val="auto"/>
              </w:rPr>
            </w:pPr>
            <w:r>
              <w:rPr>
                <w:rFonts w:ascii="Arial" w:cs="Arial" w:eastAsia="Arial" w:hAnsi="Arial"/>
                <w:sz w:val="13"/>
                <w:szCs w:val="13"/>
                <w:b w:val="1"/>
                <w:bCs w:val="1"/>
                <w:color w:val="auto"/>
              </w:rPr>
              <w:t>Past due but</w:t>
            </w:r>
          </w:p>
        </w:tc>
        <w:tc>
          <w:tcPr>
            <w:tcW w:w="8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96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not impaired</w:t>
            </w:r>
          </w:p>
        </w:tc>
        <w:tc>
          <w:tcPr>
            <w:tcW w:w="8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960" w:type="dxa"/>
            <w:vAlign w:val="bottom"/>
          </w:tcPr>
          <w:p>
            <w:pPr>
              <w:spacing w:after="0" w:line="143" w:lineRule="exact"/>
              <w:rPr>
                <w:sz w:val="20"/>
                <w:szCs w:val="20"/>
                <w:color w:val="auto"/>
              </w:rPr>
            </w:pPr>
            <w:r>
              <w:rPr>
                <w:rFonts w:ascii="Arial" w:cs="Arial" w:eastAsia="Arial" w:hAnsi="Arial"/>
                <w:sz w:val="14"/>
                <w:szCs w:val="14"/>
                <w:color w:val="auto"/>
              </w:rPr>
              <w:t>Normal</w:t>
            </w:r>
          </w:p>
        </w:tc>
        <w:tc>
          <w:tcPr>
            <w:tcW w:w="960" w:type="dxa"/>
            <w:vAlign w:val="bottom"/>
            <w:gridSpan w:val="2"/>
          </w:tcPr>
          <w:p>
            <w:pPr>
              <w:jc w:val="right"/>
              <w:ind w:right="140"/>
              <w:spacing w:after="0" w:line="143" w:lineRule="exact"/>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120"/>
              <w:spacing w:after="0" w:line="143" w:lineRule="exact"/>
              <w:rPr>
                <w:sz w:val="20"/>
                <w:szCs w:val="20"/>
                <w:color w:val="auto"/>
              </w:rPr>
            </w:pPr>
            <w:r>
              <w:rPr>
                <w:rFonts w:ascii="Arial" w:cs="Arial" w:eastAsia="Arial" w:hAnsi="Arial"/>
                <w:sz w:val="14"/>
                <w:szCs w:val="14"/>
                <w:color w:val="auto"/>
              </w:rPr>
              <w:t>-</w:t>
            </w:r>
          </w:p>
        </w:tc>
        <w:tc>
          <w:tcPr>
            <w:tcW w:w="1000" w:type="dxa"/>
            <w:vAlign w:val="bottom"/>
          </w:tcPr>
          <w:p>
            <w:pPr>
              <w:jc w:val="right"/>
              <w:spacing w:after="0" w:line="143" w:lineRule="exact"/>
              <w:rPr>
                <w:sz w:val="20"/>
                <w:szCs w:val="20"/>
                <w:color w:val="auto"/>
              </w:rPr>
            </w:pPr>
            <w:r>
              <w:rPr>
                <w:rFonts w:ascii="Arial" w:cs="Arial" w:eastAsia="Arial" w:hAnsi="Arial"/>
                <w:sz w:val="14"/>
                <w:szCs w:val="14"/>
                <w:color w:val="auto"/>
              </w:rPr>
              <w:t>1,662,913</w:t>
            </w:r>
          </w:p>
        </w:tc>
        <w:tc>
          <w:tcPr>
            <w:tcW w:w="120" w:type="dxa"/>
            <w:vAlign w:val="bottom"/>
          </w:tcPr>
          <w:p>
            <w:pPr>
              <w:spacing w:after="0"/>
              <w:rPr>
                <w:sz w:val="12"/>
                <w:szCs w:val="12"/>
                <w:color w:val="auto"/>
              </w:rPr>
            </w:pPr>
          </w:p>
        </w:tc>
        <w:tc>
          <w:tcPr>
            <w:tcW w:w="760" w:type="dxa"/>
            <w:vAlign w:val="bottom"/>
            <w:gridSpan w:val="2"/>
          </w:tcPr>
          <w:p>
            <w:pPr>
              <w:jc w:val="right"/>
              <w:ind w:right="140"/>
              <w:spacing w:after="0" w:line="143" w:lineRule="exact"/>
              <w:rPr>
                <w:sz w:val="20"/>
                <w:szCs w:val="20"/>
                <w:color w:val="auto"/>
              </w:rPr>
            </w:pPr>
            <w:r>
              <w:rPr>
                <w:rFonts w:ascii="Arial" w:cs="Arial" w:eastAsia="Arial" w:hAnsi="Arial"/>
                <w:sz w:val="14"/>
                <w:szCs w:val="14"/>
                <w:color w:val="auto"/>
              </w:rPr>
              <w:t>39,653</w:t>
            </w:r>
          </w:p>
        </w:tc>
        <w:tc>
          <w:tcPr>
            <w:tcW w:w="820" w:type="dxa"/>
            <w:vAlign w:val="bottom"/>
            <w:gridSpan w:val="2"/>
          </w:tcPr>
          <w:p>
            <w:pPr>
              <w:jc w:val="right"/>
              <w:ind w:right="140"/>
              <w:spacing w:after="0" w:line="143" w:lineRule="exact"/>
              <w:rPr>
                <w:sz w:val="20"/>
                <w:szCs w:val="20"/>
                <w:color w:val="auto"/>
              </w:rPr>
            </w:pPr>
            <w:r>
              <w:rPr>
                <w:rFonts w:ascii="Arial" w:cs="Arial" w:eastAsia="Arial" w:hAnsi="Arial"/>
                <w:sz w:val="14"/>
                <w:szCs w:val="14"/>
                <w:color w:val="auto"/>
              </w:rPr>
              <w:t>1,702,566</w:t>
            </w:r>
          </w:p>
        </w:tc>
        <w:tc>
          <w:tcPr>
            <w:tcW w:w="680" w:type="dxa"/>
            <w:vAlign w:val="bottom"/>
          </w:tcPr>
          <w:p>
            <w:pPr>
              <w:jc w:val="right"/>
              <w:spacing w:after="0" w:line="143" w:lineRule="exact"/>
              <w:rPr>
                <w:sz w:val="20"/>
                <w:szCs w:val="20"/>
                <w:color w:val="auto"/>
              </w:rPr>
            </w:pPr>
            <w:r>
              <w:rPr>
                <w:rFonts w:ascii="Arial" w:cs="Arial" w:eastAsia="Arial" w:hAnsi="Arial"/>
                <w:sz w:val="14"/>
                <w:szCs w:val="14"/>
                <w:color w:val="auto"/>
              </w:rPr>
              <w:t>1,702,566</w:t>
            </w:r>
          </w:p>
        </w:tc>
        <w:tc>
          <w:tcPr>
            <w:tcW w:w="140" w:type="dxa"/>
            <w:vAlign w:val="bottom"/>
          </w:tcPr>
          <w:p>
            <w:pPr>
              <w:spacing w:after="0"/>
              <w:rPr>
                <w:sz w:val="12"/>
                <w:szCs w:val="12"/>
                <w:color w:val="auto"/>
              </w:rPr>
            </w:pPr>
          </w:p>
        </w:tc>
        <w:tc>
          <w:tcPr>
            <w:tcW w:w="820" w:type="dxa"/>
            <w:vAlign w:val="bottom"/>
            <w:gridSpan w:val="2"/>
          </w:tcPr>
          <w:p>
            <w:pPr>
              <w:jc w:val="right"/>
              <w:ind w:right="140"/>
              <w:spacing w:after="0" w:line="143" w:lineRule="exact"/>
              <w:rPr>
                <w:sz w:val="20"/>
                <w:szCs w:val="20"/>
                <w:color w:val="auto"/>
              </w:rPr>
            </w:pPr>
            <w:r>
              <w:rPr>
                <w:rFonts w:ascii="Arial" w:cs="Arial" w:eastAsia="Arial" w:hAnsi="Arial"/>
                <w:sz w:val="14"/>
                <w:szCs w:val="14"/>
                <w:color w:val="auto"/>
              </w:rPr>
              <w:t>-</w:t>
            </w:r>
          </w:p>
        </w:tc>
        <w:tc>
          <w:tcPr>
            <w:tcW w:w="740" w:type="dxa"/>
            <w:vAlign w:val="bottom"/>
          </w:tcPr>
          <w:p>
            <w:pPr>
              <w:jc w:val="right"/>
              <w:spacing w:after="0" w:line="143"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120" w:type="dxa"/>
            <w:vAlign w:val="bottom"/>
            <w:gridSpan w:val="2"/>
          </w:tcPr>
          <w:p>
            <w:pPr>
              <w:jc w:val="right"/>
              <w:ind w:right="140"/>
              <w:spacing w:after="0" w:line="143" w:lineRule="exact"/>
              <w:rPr>
                <w:sz w:val="20"/>
                <w:szCs w:val="20"/>
                <w:color w:val="auto"/>
              </w:rPr>
            </w:pPr>
            <w:r>
              <w:rPr>
                <w:rFonts w:ascii="Arial" w:cs="Arial" w:eastAsia="Arial" w:hAnsi="Arial"/>
                <w:sz w:val="14"/>
                <w:szCs w:val="14"/>
                <w:color w:val="auto"/>
              </w:rPr>
              <w:t>1,512,321</w:t>
            </w:r>
          </w:p>
        </w:tc>
        <w:tc>
          <w:tcPr>
            <w:tcW w:w="760" w:type="dxa"/>
            <w:vAlign w:val="bottom"/>
            <w:gridSpan w:val="2"/>
          </w:tcPr>
          <w:p>
            <w:pPr>
              <w:jc w:val="right"/>
              <w:ind w:right="140"/>
              <w:spacing w:after="0" w:line="143" w:lineRule="exact"/>
              <w:rPr>
                <w:sz w:val="20"/>
                <w:szCs w:val="20"/>
                <w:color w:val="auto"/>
              </w:rPr>
            </w:pPr>
            <w:r>
              <w:rPr>
                <w:rFonts w:ascii="Arial" w:cs="Arial" w:eastAsia="Arial" w:hAnsi="Arial"/>
                <w:sz w:val="14"/>
                <w:szCs w:val="14"/>
                <w:color w:val="auto"/>
              </w:rPr>
              <w:t>25,230</w:t>
            </w:r>
          </w:p>
        </w:tc>
        <w:tc>
          <w:tcPr>
            <w:tcW w:w="820" w:type="dxa"/>
            <w:vAlign w:val="bottom"/>
            <w:gridSpan w:val="2"/>
          </w:tcPr>
          <w:p>
            <w:pPr>
              <w:jc w:val="right"/>
              <w:ind w:right="140"/>
              <w:spacing w:after="0" w:line="143" w:lineRule="exact"/>
              <w:rPr>
                <w:sz w:val="20"/>
                <w:szCs w:val="20"/>
                <w:color w:val="auto"/>
              </w:rPr>
            </w:pPr>
            <w:r>
              <w:rPr>
                <w:rFonts w:ascii="Arial" w:cs="Arial" w:eastAsia="Arial" w:hAnsi="Arial"/>
                <w:sz w:val="14"/>
                <w:szCs w:val="14"/>
                <w:color w:val="auto"/>
              </w:rPr>
              <w:t>1,537,551</w:t>
            </w:r>
          </w:p>
        </w:tc>
        <w:tc>
          <w:tcPr>
            <w:tcW w:w="740" w:type="dxa"/>
            <w:vAlign w:val="bottom"/>
            <w:gridSpan w:val="2"/>
          </w:tcPr>
          <w:p>
            <w:pPr>
              <w:jc w:val="right"/>
              <w:ind w:right="60"/>
              <w:spacing w:after="0" w:line="143" w:lineRule="exact"/>
              <w:rPr>
                <w:sz w:val="20"/>
                <w:szCs w:val="20"/>
                <w:color w:val="auto"/>
              </w:rPr>
            </w:pPr>
            <w:r>
              <w:rPr>
                <w:rFonts w:ascii="Arial" w:cs="Arial" w:eastAsia="Arial" w:hAnsi="Arial"/>
                <w:sz w:val="14"/>
                <w:szCs w:val="14"/>
                <w:color w:val="auto"/>
              </w:rPr>
              <w:t>1,537,551</w:t>
            </w:r>
          </w:p>
        </w:tc>
        <w:tc>
          <w:tcPr>
            <w:tcW w:w="0" w:type="dxa"/>
            <w:vAlign w:val="bottom"/>
          </w:tcPr>
          <w:p>
            <w:pPr>
              <w:spacing w:after="0"/>
              <w:rPr>
                <w:sz w:val="1"/>
                <w:szCs w:val="1"/>
                <w:color w:val="auto"/>
              </w:rPr>
            </w:pPr>
          </w:p>
        </w:tc>
      </w:tr>
      <w:tr>
        <w:trPr>
          <w:trHeight w:val="124"/>
        </w:trPr>
        <w:tc>
          <w:tcPr>
            <w:tcW w:w="960" w:type="dxa"/>
            <w:vAlign w:val="bottom"/>
            <w:shd w:val="clear" w:color="auto" w:fill="CCEEFF"/>
          </w:tcPr>
          <w:p>
            <w:pPr>
              <w:spacing w:after="0" w:line="125" w:lineRule="exact"/>
              <w:rPr>
                <w:sz w:val="20"/>
                <w:szCs w:val="20"/>
                <w:color w:val="auto"/>
              </w:rPr>
            </w:pPr>
            <w:r>
              <w:rPr>
                <w:rFonts w:ascii="Arial" w:cs="Arial" w:eastAsia="Arial" w:hAnsi="Arial"/>
                <w:sz w:val="14"/>
                <w:szCs w:val="14"/>
                <w:color w:val="auto"/>
              </w:rPr>
              <w:t>Potential</w:t>
            </w:r>
          </w:p>
        </w:tc>
        <w:tc>
          <w:tcPr>
            <w:tcW w:w="8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1"/>
        </w:trPr>
        <w:tc>
          <w:tcPr>
            <w:tcW w:w="960" w:type="dxa"/>
            <w:vAlign w:val="bottom"/>
            <w:shd w:val="clear" w:color="auto" w:fill="CCEEFF"/>
          </w:tcPr>
          <w:p>
            <w:pPr>
              <w:spacing w:after="0"/>
              <w:rPr>
                <w:sz w:val="20"/>
                <w:szCs w:val="20"/>
                <w:color w:val="auto"/>
              </w:rPr>
            </w:pPr>
            <w:r>
              <w:rPr>
                <w:rFonts w:ascii="Arial" w:cs="Arial" w:eastAsia="Arial" w:hAnsi="Arial"/>
                <w:sz w:val="14"/>
                <w:szCs w:val="14"/>
                <w:color w:val="auto"/>
              </w:rPr>
              <w:t>problems</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176,861</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41,401</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218,262</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218,262</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162,730</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35,503</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198,233</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198,233</w:t>
            </w:r>
          </w:p>
        </w:tc>
        <w:tc>
          <w:tcPr>
            <w:tcW w:w="0" w:type="dxa"/>
            <w:vAlign w:val="bottom"/>
          </w:tcPr>
          <w:p>
            <w:pPr>
              <w:spacing w:after="0"/>
              <w:rPr>
                <w:sz w:val="1"/>
                <w:szCs w:val="1"/>
                <w:color w:val="auto"/>
              </w:rPr>
            </w:pPr>
          </w:p>
        </w:tc>
      </w:tr>
      <w:tr>
        <w:trPr>
          <w:trHeight w:val="143"/>
        </w:trPr>
        <w:tc>
          <w:tcPr>
            <w:tcW w:w="9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960" w:type="dxa"/>
            <w:vAlign w:val="bottom"/>
            <w:shd w:val="clear" w:color="auto" w:fill="CCEEFF"/>
          </w:tcPr>
          <w:p>
            <w:pPr>
              <w:spacing w:after="0" w:line="143" w:lineRule="exact"/>
              <w:rPr>
                <w:sz w:val="20"/>
                <w:szCs w:val="20"/>
                <w:color w:val="auto"/>
              </w:rPr>
            </w:pPr>
            <w:r>
              <w:rPr>
                <w:rFonts w:ascii="Arial" w:cs="Arial" w:eastAsia="Arial" w:hAnsi="Arial"/>
                <w:sz w:val="14"/>
                <w:szCs w:val="14"/>
                <w:b w:val="1"/>
                <w:bCs w:val="1"/>
                <w:color w:val="auto"/>
              </w:rPr>
              <w:t>Impaired debt</w:t>
            </w:r>
          </w:p>
        </w:tc>
        <w:tc>
          <w:tcPr>
            <w:tcW w:w="8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960" w:type="dxa"/>
            <w:vAlign w:val="bottom"/>
          </w:tcPr>
          <w:p>
            <w:pPr>
              <w:spacing w:after="0" w:line="143" w:lineRule="exact"/>
              <w:rPr>
                <w:sz w:val="20"/>
                <w:szCs w:val="20"/>
                <w:color w:val="auto"/>
              </w:rPr>
            </w:pPr>
            <w:r>
              <w:rPr>
                <w:rFonts w:ascii="Arial" w:cs="Arial" w:eastAsia="Arial" w:hAnsi="Arial"/>
                <w:sz w:val="14"/>
                <w:szCs w:val="14"/>
                <w:color w:val="auto"/>
              </w:rPr>
              <w:t>Substandard</w:t>
            </w:r>
          </w:p>
        </w:tc>
        <w:tc>
          <w:tcPr>
            <w:tcW w:w="960" w:type="dxa"/>
            <w:vAlign w:val="bottom"/>
            <w:gridSpan w:val="2"/>
          </w:tcPr>
          <w:p>
            <w:pPr>
              <w:jc w:val="right"/>
              <w:ind w:right="140"/>
              <w:spacing w:after="0" w:line="143" w:lineRule="exact"/>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120"/>
              <w:spacing w:after="0" w:line="143" w:lineRule="exact"/>
              <w:rPr>
                <w:sz w:val="20"/>
                <w:szCs w:val="20"/>
                <w:color w:val="auto"/>
              </w:rPr>
            </w:pPr>
            <w:r>
              <w:rPr>
                <w:rFonts w:ascii="Arial" w:cs="Arial" w:eastAsia="Arial" w:hAnsi="Arial"/>
                <w:sz w:val="14"/>
                <w:szCs w:val="14"/>
                <w:color w:val="auto"/>
              </w:rPr>
              <w:t>412,582</w:t>
            </w:r>
          </w:p>
        </w:tc>
        <w:tc>
          <w:tcPr>
            <w:tcW w:w="1120" w:type="dxa"/>
            <w:vAlign w:val="bottom"/>
            <w:gridSpan w:val="2"/>
          </w:tcPr>
          <w:p>
            <w:pPr>
              <w:jc w:val="right"/>
              <w:ind w:right="120"/>
              <w:spacing w:after="0" w:line="143" w:lineRule="exact"/>
              <w:rPr>
                <w:sz w:val="20"/>
                <w:szCs w:val="20"/>
                <w:color w:val="auto"/>
              </w:rPr>
            </w:pPr>
            <w:r>
              <w:rPr>
                <w:rFonts w:ascii="Arial" w:cs="Arial" w:eastAsia="Arial" w:hAnsi="Arial"/>
                <w:sz w:val="14"/>
                <w:szCs w:val="14"/>
                <w:color w:val="auto"/>
              </w:rPr>
              <w:t>386,177</w:t>
            </w:r>
          </w:p>
        </w:tc>
        <w:tc>
          <w:tcPr>
            <w:tcW w:w="760" w:type="dxa"/>
            <w:vAlign w:val="bottom"/>
            <w:gridSpan w:val="2"/>
          </w:tcPr>
          <w:p>
            <w:pPr>
              <w:jc w:val="right"/>
              <w:ind w:right="140"/>
              <w:spacing w:after="0" w:line="143" w:lineRule="exact"/>
              <w:rPr>
                <w:sz w:val="20"/>
                <w:szCs w:val="20"/>
                <w:color w:val="auto"/>
              </w:rPr>
            </w:pPr>
            <w:r>
              <w:rPr>
                <w:rFonts w:ascii="Arial" w:cs="Arial" w:eastAsia="Arial" w:hAnsi="Arial"/>
                <w:sz w:val="14"/>
                <w:szCs w:val="14"/>
                <w:color w:val="auto"/>
              </w:rPr>
              <w:t>366,560</w:t>
            </w:r>
          </w:p>
        </w:tc>
        <w:tc>
          <w:tcPr>
            <w:tcW w:w="820" w:type="dxa"/>
            <w:vAlign w:val="bottom"/>
            <w:gridSpan w:val="2"/>
          </w:tcPr>
          <w:p>
            <w:pPr>
              <w:jc w:val="right"/>
              <w:ind w:right="140"/>
              <w:spacing w:after="0" w:line="143" w:lineRule="exact"/>
              <w:rPr>
                <w:sz w:val="20"/>
                <w:szCs w:val="20"/>
                <w:color w:val="auto"/>
              </w:rPr>
            </w:pPr>
            <w:r>
              <w:rPr>
                <w:rFonts w:ascii="Arial" w:cs="Arial" w:eastAsia="Arial" w:hAnsi="Arial"/>
                <w:sz w:val="14"/>
                <w:szCs w:val="14"/>
                <w:color w:val="auto"/>
              </w:rPr>
              <w:t>1,165,319</w:t>
            </w:r>
          </w:p>
        </w:tc>
        <w:tc>
          <w:tcPr>
            <w:tcW w:w="820" w:type="dxa"/>
            <w:vAlign w:val="bottom"/>
            <w:gridSpan w:val="2"/>
          </w:tcPr>
          <w:p>
            <w:pPr>
              <w:jc w:val="right"/>
              <w:ind w:right="140"/>
              <w:spacing w:after="0" w:line="143" w:lineRule="exact"/>
              <w:rPr>
                <w:sz w:val="20"/>
                <w:szCs w:val="20"/>
                <w:color w:val="auto"/>
              </w:rPr>
            </w:pPr>
            <w:r>
              <w:rPr>
                <w:rFonts w:ascii="Arial" w:cs="Arial" w:eastAsia="Arial" w:hAnsi="Arial"/>
                <w:sz w:val="14"/>
                <w:szCs w:val="14"/>
                <w:color w:val="auto"/>
              </w:rPr>
              <w:t>752,737</w:t>
            </w:r>
          </w:p>
        </w:tc>
        <w:tc>
          <w:tcPr>
            <w:tcW w:w="820" w:type="dxa"/>
            <w:vAlign w:val="bottom"/>
            <w:gridSpan w:val="2"/>
          </w:tcPr>
          <w:p>
            <w:pPr>
              <w:jc w:val="right"/>
              <w:ind w:right="140"/>
              <w:spacing w:after="0" w:line="143" w:lineRule="exact"/>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120"/>
              <w:spacing w:after="0" w:line="143" w:lineRule="exact"/>
              <w:rPr>
                <w:sz w:val="20"/>
                <w:szCs w:val="20"/>
                <w:color w:val="auto"/>
              </w:rPr>
            </w:pPr>
            <w:r>
              <w:rPr>
                <w:rFonts w:ascii="Arial" w:cs="Arial" w:eastAsia="Arial" w:hAnsi="Arial"/>
                <w:sz w:val="14"/>
                <w:szCs w:val="14"/>
                <w:color w:val="auto"/>
              </w:rPr>
              <w:t>349,529</w:t>
            </w:r>
          </w:p>
        </w:tc>
        <w:tc>
          <w:tcPr>
            <w:tcW w:w="1120" w:type="dxa"/>
            <w:vAlign w:val="bottom"/>
            <w:gridSpan w:val="2"/>
          </w:tcPr>
          <w:p>
            <w:pPr>
              <w:jc w:val="right"/>
              <w:ind w:right="140"/>
              <w:spacing w:after="0" w:line="143" w:lineRule="exact"/>
              <w:rPr>
                <w:sz w:val="20"/>
                <w:szCs w:val="20"/>
                <w:color w:val="auto"/>
              </w:rPr>
            </w:pPr>
            <w:r>
              <w:rPr>
                <w:rFonts w:ascii="Arial" w:cs="Arial" w:eastAsia="Arial" w:hAnsi="Arial"/>
                <w:sz w:val="14"/>
                <w:szCs w:val="14"/>
                <w:color w:val="auto"/>
              </w:rPr>
              <w:t>495,719</w:t>
            </w:r>
          </w:p>
        </w:tc>
        <w:tc>
          <w:tcPr>
            <w:tcW w:w="760" w:type="dxa"/>
            <w:vAlign w:val="bottom"/>
            <w:gridSpan w:val="2"/>
          </w:tcPr>
          <w:p>
            <w:pPr>
              <w:jc w:val="right"/>
              <w:ind w:right="140"/>
              <w:spacing w:after="0" w:line="143" w:lineRule="exact"/>
              <w:rPr>
                <w:sz w:val="20"/>
                <w:szCs w:val="20"/>
                <w:color w:val="auto"/>
              </w:rPr>
            </w:pPr>
            <w:r>
              <w:rPr>
                <w:rFonts w:ascii="Arial" w:cs="Arial" w:eastAsia="Arial" w:hAnsi="Arial"/>
                <w:sz w:val="14"/>
                <w:szCs w:val="14"/>
                <w:color w:val="auto"/>
              </w:rPr>
              <w:t>214,067</w:t>
            </w:r>
          </w:p>
        </w:tc>
        <w:tc>
          <w:tcPr>
            <w:tcW w:w="820" w:type="dxa"/>
            <w:vAlign w:val="bottom"/>
            <w:gridSpan w:val="2"/>
          </w:tcPr>
          <w:p>
            <w:pPr>
              <w:jc w:val="right"/>
              <w:ind w:right="140"/>
              <w:spacing w:after="0" w:line="143" w:lineRule="exact"/>
              <w:rPr>
                <w:sz w:val="20"/>
                <w:szCs w:val="20"/>
                <w:color w:val="auto"/>
              </w:rPr>
            </w:pPr>
            <w:r>
              <w:rPr>
                <w:rFonts w:ascii="Arial" w:cs="Arial" w:eastAsia="Arial" w:hAnsi="Arial"/>
                <w:sz w:val="14"/>
                <w:szCs w:val="14"/>
                <w:color w:val="auto"/>
              </w:rPr>
              <w:t>1,059,315</w:t>
            </w:r>
          </w:p>
        </w:tc>
        <w:tc>
          <w:tcPr>
            <w:tcW w:w="740" w:type="dxa"/>
            <w:vAlign w:val="bottom"/>
            <w:gridSpan w:val="2"/>
          </w:tcPr>
          <w:p>
            <w:pPr>
              <w:jc w:val="right"/>
              <w:ind w:right="60"/>
              <w:spacing w:after="0" w:line="143" w:lineRule="exact"/>
              <w:rPr>
                <w:sz w:val="20"/>
                <w:szCs w:val="20"/>
                <w:color w:val="auto"/>
              </w:rPr>
            </w:pPr>
            <w:r>
              <w:rPr>
                <w:rFonts w:ascii="Arial" w:cs="Arial" w:eastAsia="Arial" w:hAnsi="Arial"/>
                <w:sz w:val="14"/>
                <w:szCs w:val="14"/>
                <w:color w:val="auto"/>
              </w:rPr>
              <w:t>709,786</w:t>
            </w:r>
          </w:p>
        </w:tc>
        <w:tc>
          <w:tcPr>
            <w:tcW w:w="0" w:type="dxa"/>
            <w:vAlign w:val="bottom"/>
          </w:tcPr>
          <w:p>
            <w:pPr>
              <w:spacing w:after="0"/>
              <w:rPr>
                <w:sz w:val="1"/>
                <w:szCs w:val="1"/>
                <w:color w:val="auto"/>
              </w:rPr>
            </w:pPr>
          </w:p>
        </w:tc>
      </w:tr>
      <w:tr>
        <w:trPr>
          <w:trHeight w:val="143"/>
        </w:trPr>
        <w:tc>
          <w:tcPr>
            <w:tcW w:w="96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rPr>
              <w:t>Doubtful</w:t>
            </w:r>
          </w:p>
        </w:tc>
        <w:tc>
          <w:tcPr>
            <w:tcW w:w="960" w:type="dxa"/>
            <w:vAlign w:val="bottom"/>
            <w:gridSpan w:val="2"/>
            <w:shd w:val="clear" w:color="auto" w:fill="CCEEFF"/>
          </w:tcPr>
          <w:p>
            <w:pPr>
              <w:jc w:val="right"/>
              <w:ind w:right="140"/>
              <w:spacing w:after="0" w:line="143"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120"/>
              <w:spacing w:after="0" w:line="143" w:lineRule="exact"/>
              <w:rPr>
                <w:sz w:val="20"/>
                <w:szCs w:val="20"/>
                <w:color w:val="auto"/>
              </w:rPr>
            </w:pPr>
            <w:r>
              <w:rPr>
                <w:rFonts w:ascii="Arial" w:cs="Arial" w:eastAsia="Arial" w:hAnsi="Arial"/>
                <w:sz w:val="14"/>
                <w:szCs w:val="14"/>
                <w:color w:val="auto"/>
              </w:rPr>
              <w:t>203,952</w:t>
            </w:r>
          </w:p>
        </w:tc>
        <w:tc>
          <w:tcPr>
            <w:tcW w:w="1120" w:type="dxa"/>
            <w:vAlign w:val="bottom"/>
            <w:gridSpan w:val="2"/>
            <w:shd w:val="clear" w:color="auto" w:fill="CCEEFF"/>
          </w:tcPr>
          <w:p>
            <w:pPr>
              <w:jc w:val="right"/>
              <w:ind w:right="120"/>
              <w:spacing w:after="0" w:line="143" w:lineRule="exact"/>
              <w:rPr>
                <w:sz w:val="20"/>
                <w:szCs w:val="20"/>
                <w:color w:val="auto"/>
              </w:rPr>
            </w:pPr>
            <w:r>
              <w:rPr>
                <w:rFonts w:ascii="Arial" w:cs="Arial" w:eastAsia="Arial" w:hAnsi="Arial"/>
                <w:sz w:val="14"/>
                <w:szCs w:val="14"/>
                <w:color w:val="auto"/>
              </w:rPr>
              <w:t>393,463</w:t>
            </w:r>
          </w:p>
        </w:tc>
        <w:tc>
          <w:tcPr>
            <w:tcW w:w="760" w:type="dxa"/>
            <w:vAlign w:val="bottom"/>
            <w:gridSpan w:val="2"/>
            <w:shd w:val="clear" w:color="auto" w:fill="CCEEFF"/>
          </w:tcPr>
          <w:p>
            <w:pPr>
              <w:jc w:val="right"/>
              <w:ind w:right="140"/>
              <w:spacing w:after="0" w:line="143" w:lineRule="exact"/>
              <w:rPr>
                <w:sz w:val="20"/>
                <w:szCs w:val="20"/>
                <w:color w:val="auto"/>
              </w:rPr>
            </w:pPr>
            <w:r>
              <w:rPr>
                <w:rFonts w:ascii="Arial" w:cs="Arial" w:eastAsia="Arial" w:hAnsi="Arial"/>
                <w:sz w:val="14"/>
                <w:szCs w:val="14"/>
                <w:color w:val="auto"/>
              </w:rPr>
              <w:t>681,128</w:t>
            </w:r>
          </w:p>
        </w:tc>
        <w:tc>
          <w:tcPr>
            <w:tcW w:w="820" w:type="dxa"/>
            <w:vAlign w:val="bottom"/>
            <w:gridSpan w:val="2"/>
            <w:shd w:val="clear" w:color="auto" w:fill="CCEEFF"/>
          </w:tcPr>
          <w:p>
            <w:pPr>
              <w:jc w:val="right"/>
              <w:ind w:right="140"/>
              <w:spacing w:after="0" w:line="143" w:lineRule="exact"/>
              <w:rPr>
                <w:sz w:val="20"/>
                <w:szCs w:val="20"/>
                <w:color w:val="auto"/>
              </w:rPr>
            </w:pPr>
            <w:r>
              <w:rPr>
                <w:rFonts w:ascii="Arial" w:cs="Arial" w:eastAsia="Arial" w:hAnsi="Arial"/>
                <w:sz w:val="14"/>
                <w:szCs w:val="14"/>
                <w:color w:val="auto"/>
              </w:rPr>
              <w:t>1,278,543</w:t>
            </w:r>
          </w:p>
        </w:tc>
        <w:tc>
          <w:tcPr>
            <w:tcW w:w="68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rPr>
              <w:t>1,074,591</w:t>
            </w:r>
          </w:p>
        </w:tc>
        <w:tc>
          <w:tcPr>
            <w:tcW w:w="1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40"/>
              <w:spacing w:after="0" w:line="143"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120"/>
              <w:spacing w:after="0" w:line="143" w:lineRule="exact"/>
              <w:rPr>
                <w:sz w:val="20"/>
                <w:szCs w:val="20"/>
                <w:color w:val="auto"/>
              </w:rPr>
            </w:pPr>
            <w:r>
              <w:rPr>
                <w:rFonts w:ascii="Arial" w:cs="Arial" w:eastAsia="Arial" w:hAnsi="Arial"/>
                <w:sz w:val="14"/>
                <w:szCs w:val="14"/>
                <w:color w:val="auto"/>
              </w:rPr>
              <w:t>299,196</w:t>
            </w:r>
          </w:p>
        </w:tc>
        <w:tc>
          <w:tcPr>
            <w:tcW w:w="1120" w:type="dxa"/>
            <w:vAlign w:val="bottom"/>
            <w:gridSpan w:val="2"/>
            <w:shd w:val="clear" w:color="auto" w:fill="CCEEFF"/>
          </w:tcPr>
          <w:p>
            <w:pPr>
              <w:jc w:val="right"/>
              <w:ind w:right="140"/>
              <w:spacing w:after="0" w:line="143" w:lineRule="exact"/>
              <w:rPr>
                <w:sz w:val="20"/>
                <w:szCs w:val="20"/>
                <w:color w:val="auto"/>
              </w:rPr>
            </w:pPr>
            <w:r>
              <w:rPr>
                <w:rFonts w:ascii="Arial" w:cs="Arial" w:eastAsia="Arial" w:hAnsi="Arial"/>
                <w:sz w:val="14"/>
                <w:szCs w:val="14"/>
                <w:color w:val="auto"/>
              </w:rPr>
              <w:t>294,905</w:t>
            </w:r>
          </w:p>
        </w:tc>
        <w:tc>
          <w:tcPr>
            <w:tcW w:w="760" w:type="dxa"/>
            <w:vAlign w:val="bottom"/>
            <w:gridSpan w:val="2"/>
            <w:shd w:val="clear" w:color="auto" w:fill="CCEEFF"/>
          </w:tcPr>
          <w:p>
            <w:pPr>
              <w:jc w:val="right"/>
              <w:ind w:right="140"/>
              <w:spacing w:after="0" w:line="143" w:lineRule="exact"/>
              <w:rPr>
                <w:sz w:val="20"/>
                <w:szCs w:val="20"/>
                <w:color w:val="auto"/>
              </w:rPr>
            </w:pPr>
            <w:r>
              <w:rPr>
                <w:rFonts w:ascii="Arial" w:cs="Arial" w:eastAsia="Arial" w:hAnsi="Arial"/>
                <w:sz w:val="14"/>
                <w:szCs w:val="14"/>
                <w:color w:val="auto"/>
              </w:rPr>
              <w:t>682,363</w:t>
            </w:r>
          </w:p>
        </w:tc>
        <w:tc>
          <w:tcPr>
            <w:tcW w:w="820" w:type="dxa"/>
            <w:vAlign w:val="bottom"/>
            <w:gridSpan w:val="2"/>
            <w:shd w:val="clear" w:color="auto" w:fill="CCEEFF"/>
          </w:tcPr>
          <w:p>
            <w:pPr>
              <w:jc w:val="right"/>
              <w:ind w:right="140"/>
              <w:spacing w:after="0" w:line="143" w:lineRule="exact"/>
              <w:rPr>
                <w:sz w:val="20"/>
                <w:szCs w:val="20"/>
                <w:color w:val="auto"/>
              </w:rPr>
            </w:pPr>
            <w:r>
              <w:rPr>
                <w:rFonts w:ascii="Arial" w:cs="Arial" w:eastAsia="Arial" w:hAnsi="Arial"/>
                <w:sz w:val="14"/>
                <w:szCs w:val="14"/>
                <w:color w:val="auto"/>
              </w:rPr>
              <w:t>1,276,464</w:t>
            </w:r>
          </w:p>
        </w:tc>
        <w:tc>
          <w:tcPr>
            <w:tcW w:w="740" w:type="dxa"/>
            <w:vAlign w:val="bottom"/>
            <w:gridSpan w:val="2"/>
            <w:shd w:val="clear" w:color="auto" w:fill="CCEEFF"/>
          </w:tcPr>
          <w:p>
            <w:pPr>
              <w:jc w:val="right"/>
              <w:ind w:right="60"/>
              <w:spacing w:after="0" w:line="143" w:lineRule="exact"/>
              <w:rPr>
                <w:sz w:val="20"/>
                <w:szCs w:val="20"/>
                <w:color w:val="auto"/>
              </w:rPr>
            </w:pPr>
            <w:r>
              <w:rPr>
                <w:rFonts w:ascii="Arial" w:cs="Arial" w:eastAsia="Arial" w:hAnsi="Arial"/>
                <w:sz w:val="14"/>
                <w:szCs w:val="14"/>
                <w:color w:val="auto"/>
              </w:rPr>
              <w:t>977,268</w:t>
            </w:r>
          </w:p>
        </w:tc>
        <w:tc>
          <w:tcPr>
            <w:tcW w:w="0" w:type="dxa"/>
            <w:vAlign w:val="bottom"/>
          </w:tcPr>
          <w:p>
            <w:pPr>
              <w:spacing w:after="0"/>
              <w:rPr>
                <w:sz w:val="1"/>
                <w:szCs w:val="1"/>
                <w:color w:val="auto"/>
              </w:rPr>
            </w:pPr>
          </w:p>
        </w:tc>
      </w:tr>
      <w:tr>
        <w:trPr>
          <w:trHeight w:val="156"/>
        </w:trPr>
        <w:tc>
          <w:tcPr>
            <w:tcW w:w="960" w:type="dxa"/>
            <w:vAlign w:val="bottom"/>
          </w:tcPr>
          <w:p>
            <w:pPr>
              <w:spacing w:after="0" w:line="156" w:lineRule="exact"/>
              <w:rPr>
                <w:sz w:val="20"/>
                <w:szCs w:val="20"/>
                <w:color w:val="auto"/>
              </w:rPr>
            </w:pPr>
            <w:r>
              <w:rPr>
                <w:rFonts w:ascii="Arial" w:cs="Arial" w:eastAsia="Arial" w:hAnsi="Arial"/>
                <w:sz w:val="14"/>
                <w:szCs w:val="14"/>
                <w:color w:val="auto"/>
              </w:rPr>
              <w:t>Loss</w:t>
            </w:r>
          </w:p>
        </w:tc>
        <w:tc>
          <w:tcPr>
            <w:tcW w:w="960" w:type="dxa"/>
            <w:vAlign w:val="bottom"/>
            <w:gridSpan w:val="2"/>
          </w:tcPr>
          <w:p>
            <w:pPr>
              <w:jc w:val="right"/>
              <w:ind w:right="140"/>
              <w:spacing w:after="0" w:line="156" w:lineRule="exact"/>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120"/>
              <w:spacing w:after="0" w:line="156" w:lineRule="exact"/>
              <w:rPr>
                <w:sz w:val="20"/>
                <w:szCs w:val="20"/>
                <w:color w:val="auto"/>
              </w:rPr>
            </w:pPr>
            <w:r>
              <w:rPr>
                <w:rFonts w:ascii="Arial" w:cs="Arial" w:eastAsia="Arial" w:hAnsi="Arial"/>
                <w:sz w:val="14"/>
                <w:szCs w:val="14"/>
                <w:color w:val="auto"/>
              </w:rPr>
              <w:t>118,048</w:t>
            </w:r>
          </w:p>
        </w:tc>
        <w:tc>
          <w:tcPr>
            <w:tcW w:w="1120" w:type="dxa"/>
            <w:vAlign w:val="bottom"/>
            <w:gridSpan w:val="2"/>
          </w:tcPr>
          <w:p>
            <w:pPr>
              <w:jc w:val="right"/>
              <w:ind w:right="120"/>
              <w:spacing w:after="0" w:line="156" w:lineRule="exact"/>
              <w:rPr>
                <w:sz w:val="20"/>
                <w:szCs w:val="20"/>
                <w:color w:val="auto"/>
              </w:rPr>
            </w:pPr>
            <w:r>
              <w:rPr>
                <w:rFonts w:ascii="Arial" w:cs="Arial" w:eastAsia="Arial" w:hAnsi="Arial"/>
                <w:sz w:val="14"/>
                <w:szCs w:val="14"/>
                <w:color w:val="auto"/>
              </w:rPr>
              <w:t>121,564</w:t>
            </w:r>
          </w:p>
        </w:tc>
        <w:tc>
          <w:tcPr>
            <w:tcW w:w="620" w:type="dxa"/>
            <w:vAlign w:val="bottom"/>
          </w:tcPr>
          <w:p>
            <w:pPr>
              <w:jc w:val="right"/>
              <w:spacing w:after="0" w:line="156" w:lineRule="exact"/>
              <w:rPr>
                <w:sz w:val="20"/>
                <w:szCs w:val="20"/>
                <w:color w:val="auto"/>
              </w:rPr>
            </w:pPr>
            <w:r>
              <w:rPr>
                <w:rFonts w:ascii="Arial" w:cs="Arial" w:eastAsia="Arial" w:hAnsi="Arial"/>
                <w:sz w:val="14"/>
                <w:szCs w:val="14"/>
                <w:color w:val="auto"/>
                <w:w w:val="96"/>
              </w:rPr>
              <w:t>1,892,172</w:t>
            </w:r>
          </w:p>
        </w:tc>
        <w:tc>
          <w:tcPr>
            <w:tcW w:w="140" w:type="dxa"/>
            <w:vAlign w:val="bottom"/>
          </w:tcPr>
          <w:p>
            <w:pPr>
              <w:spacing w:after="0"/>
              <w:rPr>
                <w:sz w:val="13"/>
                <w:szCs w:val="13"/>
                <w:color w:val="auto"/>
              </w:rPr>
            </w:pPr>
          </w:p>
        </w:tc>
        <w:tc>
          <w:tcPr>
            <w:tcW w:w="820" w:type="dxa"/>
            <w:vAlign w:val="bottom"/>
            <w:gridSpan w:val="2"/>
          </w:tcPr>
          <w:p>
            <w:pPr>
              <w:jc w:val="right"/>
              <w:ind w:right="140"/>
              <w:spacing w:after="0" w:line="156" w:lineRule="exact"/>
              <w:rPr>
                <w:sz w:val="20"/>
                <w:szCs w:val="20"/>
                <w:color w:val="auto"/>
              </w:rPr>
            </w:pPr>
            <w:r>
              <w:rPr>
                <w:rFonts w:ascii="Arial" w:cs="Arial" w:eastAsia="Arial" w:hAnsi="Arial"/>
                <w:sz w:val="14"/>
                <w:szCs w:val="14"/>
                <w:color w:val="auto"/>
              </w:rPr>
              <w:t>2,131,784</w:t>
            </w:r>
          </w:p>
        </w:tc>
        <w:tc>
          <w:tcPr>
            <w:tcW w:w="680" w:type="dxa"/>
            <w:vAlign w:val="bottom"/>
          </w:tcPr>
          <w:p>
            <w:pPr>
              <w:jc w:val="right"/>
              <w:spacing w:after="0" w:line="156" w:lineRule="exact"/>
              <w:rPr>
                <w:sz w:val="20"/>
                <w:szCs w:val="20"/>
                <w:color w:val="auto"/>
              </w:rPr>
            </w:pPr>
            <w:r>
              <w:rPr>
                <w:rFonts w:ascii="Arial" w:cs="Arial" w:eastAsia="Arial" w:hAnsi="Arial"/>
                <w:sz w:val="14"/>
                <w:szCs w:val="14"/>
                <w:color w:val="auto"/>
              </w:rPr>
              <w:t>2,013,736</w:t>
            </w:r>
          </w:p>
        </w:tc>
        <w:tc>
          <w:tcPr>
            <w:tcW w:w="140" w:type="dxa"/>
            <w:vAlign w:val="bottom"/>
          </w:tcPr>
          <w:p>
            <w:pPr>
              <w:spacing w:after="0"/>
              <w:rPr>
                <w:sz w:val="13"/>
                <w:szCs w:val="13"/>
                <w:color w:val="auto"/>
              </w:rPr>
            </w:pPr>
          </w:p>
        </w:tc>
        <w:tc>
          <w:tcPr>
            <w:tcW w:w="820" w:type="dxa"/>
            <w:vAlign w:val="bottom"/>
            <w:gridSpan w:val="2"/>
          </w:tcPr>
          <w:p>
            <w:pPr>
              <w:jc w:val="right"/>
              <w:ind w:right="140"/>
              <w:spacing w:after="0" w:line="156" w:lineRule="exact"/>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120"/>
              <w:spacing w:after="0" w:line="156" w:lineRule="exact"/>
              <w:rPr>
                <w:sz w:val="20"/>
                <w:szCs w:val="20"/>
                <w:color w:val="auto"/>
              </w:rPr>
            </w:pPr>
            <w:r>
              <w:rPr>
                <w:rFonts w:ascii="Arial" w:cs="Arial" w:eastAsia="Arial" w:hAnsi="Arial"/>
                <w:sz w:val="14"/>
                <w:szCs w:val="14"/>
                <w:color w:val="auto"/>
              </w:rPr>
              <w:t>30,927</w:t>
            </w:r>
          </w:p>
        </w:tc>
        <w:tc>
          <w:tcPr>
            <w:tcW w:w="1120" w:type="dxa"/>
            <w:vAlign w:val="bottom"/>
            <w:gridSpan w:val="2"/>
          </w:tcPr>
          <w:p>
            <w:pPr>
              <w:jc w:val="right"/>
              <w:ind w:right="140"/>
              <w:spacing w:after="0" w:line="156" w:lineRule="exact"/>
              <w:rPr>
                <w:sz w:val="20"/>
                <w:szCs w:val="20"/>
                <w:color w:val="auto"/>
              </w:rPr>
            </w:pPr>
            <w:r>
              <w:rPr>
                <w:rFonts w:ascii="Arial" w:cs="Arial" w:eastAsia="Arial" w:hAnsi="Arial"/>
                <w:sz w:val="14"/>
                <w:szCs w:val="14"/>
                <w:color w:val="auto"/>
              </w:rPr>
              <w:t>181,452</w:t>
            </w:r>
          </w:p>
        </w:tc>
        <w:tc>
          <w:tcPr>
            <w:tcW w:w="760" w:type="dxa"/>
            <w:vAlign w:val="bottom"/>
            <w:gridSpan w:val="2"/>
          </w:tcPr>
          <w:p>
            <w:pPr>
              <w:jc w:val="right"/>
              <w:ind w:right="140"/>
              <w:spacing w:after="0" w:line="156" w:lineRule="exact"/>
              <w:rPr>
                <w:sz w:val="20"/>
                <w:szCs w:val="20"/>
                <w:color w:val="auto"/>
              </w:rPr>
            </w:pPr>
            <w:r>
              <w:rPr>
                <w:rFonts w:ascii="Arial" w:cs="Arial" w:eastAsia="Arial" w:hAnsi="Arial"/>
                <w:sz w:val="14"/>
                <w:szCs w:val="14"/>
                <w:color w:val="auto"/>
                <w:w w:val="96"/>
              </w:rPr>
              <w:t>1,663,248</w:t>
            </w:r>
          </w:p>
        </w:tc>
        <w:tc>
          <w:tcPr>
            <w:tcW w:w="820" w:type="dxa"/>
            <w:vAlign w:val="bottom"/>
            <w:gridSpan w:val="2"/>
          </w:tcPr>
          <w:p>
            <w:pPr>
              <w:jc w:val="right"/>
              <w:ind w:right="140"/>
              <w:spacing w:after="0" w:line="156" w:lineRule="exact"/>
              <w:rPr>
                <w:sz w:val="20"/>
                <w:szCs w:val="20"/>
                <w:color w:val="auto"/>
              </w:rPr>
            </w:pPr>
            <w:r>
              <w:rPr>
                <w:rFonts w:ascii="Arial" w:cs="Arial" w:eastAsia="Arial" w:hAnsi="Arial"/>
                <w:sz w:val="14"/>
                <w:szCs w:val="14"/>
                <w:color w:val="auto"/>
              </w:rPr>
              <w:t>1,875,627</w:t>
            </w:r>
          </w:p>
        </w:tc>
        <w:tc>
          <w:tcPr>
            <w:tcW w:w="740" w:type="dxa"/>
            <w:vAlign w:val="bottom"/>
            <w:gridSpan w:val="2"/>
          </w:tcPr>
          <w:p>
            <w:pPr>
              <w:jc w:val="right"/>
              <w:ind w:right="60"/>
              <w:spacing w:after="0" w:line="156" w:lineRule="exact"/>
              <w:rPr>
                <w:sz w:val="20"/>
                <w:szCs w:val="20"/>
                <w:color w:val="auto"/>
              </w:rPr>
            </w:pPr>
            <w:r>
              <w:rPr>
                <w:rFonts w:ascii="Arial" w:cs="Arial" w:eastAsia="Arial" w:hAnsi="Arial"/>
                <w:sz w:val="14"/>
                <w:szCs w:val="14"/>
                <w:color w:val="auto"/>
              </w:rPr>
              <w:t>1,844,700</w:t>
            </w:r>
          </w:p>
        </w:tc>
        <w:tc>
          <w:tcPr>
            <w:tcW w:w="0" w:type="dxa"/>
            <w:vAlign w:val="bottom"/>
          </w:tcPr>
          <w:p>
            <w:pPr>
              <w:spacing w:after="0"/>
              <w:rPr>
                <w:sz w:val="1"/>
                <w:szCs w:val="1"/>
                <w:color w:val="auto"/>
              </w:rPr>
            </w:pPr>
          </w:p>
        </w:tc>
      </w:tr>
      <w:tr>
        <w:trPr>
          <w:trHeight w:val="149"/>
        </w:trPr>
        <w:tc>
          <w:tcPr>
            <w:tcW w:w="960" w:type="dxa"/>
            <w:vAlign w:val="bottom"/>
            <w:tcBorders>
              <w:top w:val="single" w:sz="8" w:color="CCEEFF"/>
              <w:bottom w:val="single" w:sz="8" w:color="CCEEFF"/>
            </w:tcBorders>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w:t>
            </w:r>
          </w:p>
        </w:tc>
        <w:tc>
          <w:tcPr>
            <w:tcW w:w="82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93,268,440</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74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734,582</w:t>
            </w:r>
          </w:p>
        </w:tc>
        <w:tc>
          <w:tcPr>
            <w:tcW w:w="120" w:type="dxa"/>
            <w:vAlign w:val="bottom"/>
            <w:tcBorders>
              <w:top w:val="single" w:sz="8" w:color="CCEEFF"/>
              <w:bottom w:val="single" w:sz="8" w:color="CCEEFF"/>
            </w:tcBorders>
            <w:shd w:val="clear" w:color="auto" w:fill="CCEEFF"/>
          </w:tcPr>
          <w:p>
            <w:pPr>
              <w:spacing w:after="0"/>
              <w:rPr>
                <w:sz w:val="12"/>
                <w:szCs w:val="12"/>
                <w:color w:val="auto"/>
              </w:rPr>
            </w:pPr>
          </w:p>
        </w:tc>
        <w:tc>
          <w:tcPr>
            <w:tcW w:w="100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2,740,978</w:t>
            </w:r>
          </w:p>
        </w:tc>
        <w:tc>
          <w:tcPr>
            <w:tcW w:w="120" w:type="dxa"/>
            <w:vAlign w:val="bottom"/>
            <w:tcBorders>
              <w:top w:val="single" w:sz="8" w:color="CCEEFF"/>
              <w:bottom w:val="single" w:sz="8" w:color="CCEEFF"/>
            </w:tcBorders>
            <w:shd w:val="clear" w:color="auto" w:fill="CCEEFF"/>
          </w:tcPr>
          <w:p>
            <w:pPr>
              <w:spacing w:after="0"/>
              <w:rPr>
                <w:sz w:val="12"/>
                <w:szCs w:val="12"/>
                <w:color w:val="auto"/>
              </w:rPr>
            </w:pPr>
          </w:p>
        </w:tc>
        <w:tc>
          <w:tcPr>
            <w:tcW w:w="62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3,020,914</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68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99,764,914</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68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5,761,892</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68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88,152,199</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74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679,652</w:t>
            </w:r>
          </w:p>
        </w:tc>
        <w:tc>
          <w:tcPr>
            <w:tcW w:w="120" w:type="dxa"/>
            <w:vAlign w:val="bottom"/>
            <w:tcBorders>
              <w:top w:val="single" w:sz="8" w:color="CCEEFF"/>
              <w:bottom w:val="single" w:sz="8" w:color="CCEEFF"/>
            </w:tcBorders>
            <w:shd w:val="clear" w:color="auto" w:fill="CCEEFF"/>
          </w:tcPr>
          <w:p>
            <w:pPr>
              <w:spacing w:after="0"/>
              <w:rPr>
                <w:sz w:val="12"/>
                <w:szCs w:val="12"/>
                <w:color w:val="auto"/>
              </w:rPr>
            </w:pPr>
          </w:p>
        </w:tc>
        <w:tc>
          <w:tcPr>
            <w:tcW w:w="98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2,647,127</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62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2,620,411</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68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94,099,389</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68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5,267,538</w:t>
            </w: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5" w:lineRule="exact"/>
        <w:rPr>
          <w:sz w:val="20"/>
          <w:szCs w:val="20"/>
          <w:color w:val="auto"/>
        </w:rPr>
      </w:pPr>
    </w:p>
    <w:p>
      <w:pPr>
        <w:spacing w:after="0"/>
        <w:rPr>
          <w:sz w:val="20"/>
          <w:szCs w:val="20"/>
          <w:color w:val="auto"/>
        </w:rPr>
      </w:pPr>
      <w:r>
        <w:rPr>
          <w:rFonts w:ascii="Arial" w:cs="Arial" w:eastAsia="Arial" w:hAnsi="Arial"/>
          <w:sz w:val="17"/>
          <w:szCs w:val="17"/>
          <w:color w:val="auto"/>
        </w:rPr>
        <w:t>The classification of loans by type of banking and maturity is as follows: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1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4"/>
                <w:szCs w:val="14"/>
                <w:b w:val="1"/>
                <w:bCs w:val="1"/>
                <w:color w:val="auto"/>
                <w:w w:val="87"/>
              </w:rPr>
              <w:t>As of December 31, 2017</w:t>
            </w:r>
          </w:p>
        </w:tc>
        <w:tc>
          <w:tcPr>
            <w:tcW w:w="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460" w:type="dxa"/>
            <w:vAlign w:val="bottom"/>
            <w:tcBorders>
              <w:bottom w:val="single" w:sz="8" w:color="auto"/>
            </w:tcBorders>
            <w:gridSpan w:val="5"/>
          </w:tcPr>
          <w:p>
            <w:pPr>
              <w:jc w:val="right"/>
              <w:ind w:right="960"/>
              <w:spacing w:after="0"/>
              <w:rPr>
                <w:sz w:val="20"/>
                <w:szCs w:val="20"/>
                <w:color w:val="auto"/>
              </w:rPr>
            </w:pPr>
            <w:r>
              <w:rPr>
                <w:rFonts w:ascii="Arial" w:cs="Arial" w:eastAsia="Arial" w:hAnsi="Arial"/>
                <w:sz w:val="14"/>
                <w:szCs w:val="14"/>
                <w:b w:val="1"/>
                <w:bCs w:val="1"/>
                <w:color w:val="auto"/>
                <w:w w:val="89"/>
              </w:rPr>
              <w:t>As of December 31, 2016</w:t>
            </w:r>
          </w:p>
        </w:tc>
        <w:tc>
          <w:tcPr>
            <w:tcW w:w="7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3"/>
        </w:trPr>
        <w:tc>
          <w:tcPr>
            <w:tcW w:w="1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820" w:type="dxa"/>
            <w:vAlign w:val="bottom"/>
          </w:tcPr>
          <w:p>
            <w:pPr>
              <w:spacing w:after="0"/>
              <w:rPr>
                <w:sz w:val="9"/>
                <w:szCs w:val="9"/>
                <w:color w:val="auto"/>
              </w:rPr>
            </w:pPr>
          </w:p>
        </w:tc>
        <w:tc>
          <w:tcPr>
            <w:tcW w:w="160" w:type="dxa"/>
            <w:vAlign w:val="bottom"/>
          </w:tcPr>
          <w:p>
            <w:pPr>
              <w:spacing w:after="0"/>
              <w:rPr>
                <w:sz w:val="9"/>
                <w:szCs w:val="9"/>
                <w:color w:val="auto"/>
              </w:rPr>
            </w:pPr>
          </w:p>
        </w:tc>
        <w:tc>
          <w:tcPr>
            <w:tcW w:w="7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340" w:type="dxa"/>
            <w:vAlign w:val="bottom"/>
            <w:gridSpan w:val="2"/>
          </w:tcPr>
          <w:p>
            <w:pPr>
              <w:jc w:val="center"/>
              <w:ind w:right="180"/>
              <w:spacing w:after="0" w:line="114" w:lineRule="exact"/>
              <w:rPr>
                <w:sz w:val="20"/>
                <w:szCs w:val="20"/>
                <w:color w:val="auto"/>
              </w:rPr>
            </w:pPr>
            <w:r>
              <w:rPr>
                <w:rFonts w:ascii="Arial" w:cs="Arial" w:eastAsia="Arial" w:hAnsi="Arial"/>
                <w:sz w:val="13"/>
                <w:szCs w:val="13"/>
                <w:b w:val="1"/>
                <w:bCs w:val="1"/>
                <w:color w:val="auto"/>
                <w:w w:val="96"/>
              </w:rPr>
              <w:t>Loans with delay in</w:t>
            </w:r>
          </w:p>
        </w:tc>
        <w:tc>
          <w:tcPr>
            <w:tcW w:w="20" w:type="dxa"/>
            <w:vAlign w:val="bottom"/>
          </w:tcPr>
          <w:p>
            <w:pPr>
              <w:spacing w:after="0"/>
              <w:rPr>
                <w:sz w:val="9"/>
                <w:szCs w:val="9"/>
                <w:color w:val="auto"/>
              </w:rPr>
            </w:pPr>
          </w:p>
        </w:tc>
        <w:tc>
          <w:tcPr>
            <w:tcW w:w="820" w:type="dxa"/>
            <w:vAlign w:val="bottom"/>
          </w:tcPr>
          <w:p>
            <w:pPr>
              <w:spacing w:after="0"/>
              <w:rPr>
                <w:sz w:val="9"/>
                <w:szCs w:val="9"/>
                <w:color w:val="auto"/>
              </w:rPr>
            </w:pPr>
          </w:p>
        </w:tc>
        <w:tc>
          <w:tcPr>
            <w:tcW w:w="160" w:type="dxa"/>
            <w:vAlign w:val="bottom"/>
          </w:tcPr>
          <w:p>
            <w:pPr>
              <w:spacing w:after="0"/>
              <w:rPr>
                <w:sz w:val="9"/>
                <w:szCs w:val="9"/>
                <w:color w:val="auto"/>
              </w:rPr>
            </w:pPr>
          </w:p>
        </w:tc>
        <w:tc>
          <w:tcPr>
            <w:tcW w:w="700" w:type="dxa"/>
            <w:vAlign w:val="bottom"/>
          </w:tcPr>
          <w:p>
            <w:pPr>
              <w:spacing w:after="0"/>
              <w:rPr>
                <w:sz w:val="9"/>
                <w:szCs w:val="9"/>
                <w:color w:val="auto"/>
              </w:rPr>
            </w:pPr>
          </w:p>
        </w:tc>
        <w:tc>
          <w:tcPr>
            <w:tcW w:w="160" w:type="dxa"/>
            <w:vAlign w:val="bottom"/>
          </w:tcPr>
          <w:p>
            <w:pPr>
              <w:spacing w:after="0"/>
              <w:rPr>
                <w:sz w:val="9"/>
                <w:szCs w:val="9"/>
                <w:color w:val="auto"/>
              </w:rPr>
            </w:pPr>
          </w:p>
        </w:tc>
        <w:tc>
          <w:tcPr>
            <w:tcW w:w="700" w:type="dxa"/>
            <w:vAlign w:val="bottom"/>
          </w:tcPr>
          <w:p>
            <w:pPr>
              <w:spacing w:after="0"/>
              <w:rPr>
                <w:sz w:val="9"/>
                <w:szCs w:val="9"/>
                <w:color w:val="auto"/>
              </w:rPr>
            </w:pPr>
          </w:p>
        </w:tc>
        <w:tc>
          <w:tcPr>
            <w:tcW w:w="14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380" w:type="dxa"/>
            <w:vAlign w:val="bottom"/>
            <w:gridSpan w:val="2"/>
          </w:tcPr>
          <w:p>
            <w:pPr>
              <w:jc w:val="right"/>
              <w:ind w:right="200"/>
              <w:spacing w:after="0" w:line="114" w:lineRule="exact"/>
              <w:rPr>
                <w:sz w:val="20"/>
                <w:szCs w:val="20"/>
                <w:color w:val="auto"/>
              </w:rPr>
            </w:pPr>
            <w:r>
              <w:rPr>
                <w:rFonts w:ascii="Arial" w:cs="Arial" w:eastAsia="Arial" w:hAnsi="Arial"/>
                <w:sz w:val="13"/>
                <w:szCs w:val="13"/>
                <w:b w:val="1"/>
                <w:bCs w:val="1"/>
                <w:color w:val="auto"/>
                <w:w w:val="96"/>
              </w:rPr>
              <w:t>Loans with delay in</w:t>
            </w:r>
          </w:p>
        </w:tc>
        <w:tc>
          <w:tcPr>
            <w:tcW w:w="800" w:type="dxa"/>
            <w:vAlign w:val="bottom"/>
          </w:tcPr>
          <w:p>
            <w:pPr>
              <w:spacing w:after="0"/>
              <w:rPr>
                <w:sz w:val="9"/>
                <w:szCs w:val="9"/>
                <w:color w:val="auto"/>
              </w:rPr>
            </w:pPr>
          </w:p>
        </w:tc>
        <w:tc>
          <w:tcPr>
            <w:tcW w:w="16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3"/>
        </w:trPr>
        <w:tc>
          <w:tcPr>
            <w:tcW w:w="1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40" w:type="dxa"/>
            <w:vAlign w:val="bottom"/>
            <w:gridSpan w:val="2"/>
          </w:tcPr>
          <w:p>
            <w:pPr>
              <w:jc w:val="center"/>
              <w:ind w:right="180"/>
              <w:spacing w:after="0" w:line="143" w:lineRule="exact"/>
              <w:rPr>
                <w:sz w:val="20"/>
                <w:szCs w:val="20"/>
                <w:color w:val="auto"/>
              </w:rPr>
            </w:pPr>
            <w:r>
              <w:rPr>
                <w:rFonts w:ascii="Arial" w:cs="Arial" w:eastAsia="Arial" w:hAnsi="Arial"/>
                <w:sz w:val="14"/>
                <w:szCs w:val="14"/>
                <w:b w:val="1"/>
                <w:bCs w:val="1"/>
                <w:color w:val="auto"/>
                <w:w w:val="86"/>
              </w:rPr>
              <w:t>payments of one</w:t>
            </w:r>
          </w:p>
        </w:tc>
        <w:tc>
          <w:tcPr>
            <w:tcW w:w="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gridSpan w:val="2"/>
          </w:tcPr>
          <w:p>
            <w:pPr>
              <w:jc w:val="center"/>
              <w:ind w:right="180"/>
              <w:spacing w:after="0" w:line="143" w:lineRule="exact"/>
              <w:rPr>
                <w:sz w:val="20"/>
                <w:szCs w:val="20"/>
                <w:color w:val="auto"/>
              </w:rPr>
            </w:pPr>
            <w:r>
              <w:rPr>
                <w:rFonts w:ascii="Arial" w:cs="Arial" w:eastAsia="Arial" w:hAnsi="Arial"/>
                <w:sz w:val="14"/>
                <w:szCs w:val="14"/>
                <w:b w:val="1"/>
                <w:bCs w:val="1"/>
                <w:color w:val="auto"/>
                <w:w w:val="86"/>
              </w:rPr>
              <w:t>payments of one</w:t>
            </w: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1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Current but</w:t>
            </w:r>
          </w:p>
        </w:tc>
        <w:tc>
          <w:tcPr>
            <w:tcW w:w="160" w:type="dxa"/>
            <w:vAlign w:val="bottom"/>
          </w:tcPr>
          <w:p>
            <w:pPr>
              <w:spacing w:after="0"/>
              <w:rPr>
                <w:sz w:val="12"/>
                <w:szCs w:val="12"/>
                <w:color w:val="auto"/>
              </w:rPr>
            </w:pPr>
          </w:p>
        </w:tc>
        <w:tc>
          <w:tcPr>
            <w:tcW w:w="1340" w:type="dxa"/>
            <w:vAlign w:val="bottom"/>
            <w:gridSpan w:val="2"/>
          </w:tcPr>
          <w:p>
            <w:pPr>
              <w:jc w:val="center"/>
              <w:ind w:right="140"/>
              <w:spacing w:after="0" w:line="143" w:lineRule="exact"/>
              <w:rPr>
                <w:sz w:val="20"/>
                <w:szCs w:val="20"/>
                <w:color w:val="auto"/>
              </w:rPr>
            </w:pPr>
            <w:r>
              <w:rPr>
                <w:rFonts w:ascii="Arial" w:cs="Arial" w:eastAsia="Arial" w:hAnsi="Arial"/>
                <w:sz w:val="14"/>
                <w:szCs w:val="14"/>
                <w:b w:val="1"/>
                <w:bCs w:val="1"/>
                <w:color w:val="auto"/>
                <w:w w:val="91"/>
              </w:rPr>
              <w:t>day or more but not</w:t>
            </w:r>
          </w:p>
        </w:tc>
        <w:tc>
          <w:tcPr>
            <w:tcW w:w="20" w:type="dxa"/>
            <w:vAlign w:val="bottom"/>
          </w:tcPr>
          <w:p>
            <w:pPr>
              <w:spacing w:after="0"/>
              <w:rPr>
                <w:sz w:val="12"/>
                <w:szCs w:val="12"/>
                <w:color w:val="auto"/>
              </w:rPr>
            </w:pPr>
          </w:p>
        </w:tc>
        <w:tc>
          <w:tcPr>
            <w:tcW w:w="98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Internal</w:t>
            </w: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Current</w:t>
            </w:r>
          </w:p>
        </w:tc>
        <w:tc>
          <w:tcPr>
            <w:tcW w:w="780" w:type="dxa"/>
            <w:vAlign w:val="bottom"/>
            <w:gridSpan w:val="2"/>
            <w:vMerge w:val="restart"/>
          </w:tcPr>
          <w:p>
            <w:pPr>
              <w:jc w:val="center"/>
              <w:ind w:right="20"/>
              <w:spacing w:after="0"/>
              <w:rPr>
                <w:sz w:val="20"/>
                <w:szCs w:val="20"/>
                <w:color w:val="auto"/>
              </w:rPr>
            </w:pPr>
            <w:r>
              <w:rPr>
                <w:rFonts w:ascii="Arial" w:cs="Arial" w:eastAsia="Arial" w:hAnsi="Arial"/>
                <w:sz w:val="14"/>
                <w:szCs w:val="14"/>
                <w:b w:val="1"/>
                <w:bCs w:val="1"/>
                <w:color w:val="auto"/>
                <w:w w:val="94"/>
              </w:rPr>
              <w:t>Current but</w:t>
            </w:r>
          </w:p>
        </w:tc>
        <w:tc>
          <w:tcPr>
            <w:tcW w:w="120" w:type="dxa"/>
            <w:vAlign w:val="bottom"/>
          </w:tcPr>
          <w:p>
            <w:pPr>
              <w:spacing w:after="0"/>
              <w:rPr>
                <w:sz w:val="12"/>
                <w:szCs w:val="12"/>
                <w:color w:val="auto"/>
              </w:rPr>
            </w:pPr>
          </w:p>
        </w:tc>
        <w:tc>
          <w:tcPr>
            <w:tcW w:w="1380" w:type="dxa"/>
            <w:vAlign w:val="bottom"/>
            <w:gridSpan w:val="2"/>
          </w:tcPr>
          <w:p>
            <w:pPr>
              <w:jc w:val="center"/>
              <w:ind w:right="160"/>
              <w:spacing w:after="0" w:line="143" w:lineRule="exact"/>
              <w:rPr>
                <w:sz w:val="20"/>
                <w:szCs w:val="20"/>
                <w:color w:val="auto"/>
              </w:rPr>
            </w:pPr>
            <w:r>
              <w:rPr>
                <w:rFonts w:ascii="Arial" w:cs="Arial" w:eastAsia="Arial" w:hAnsi="Arial"/>
                <w:sz w:val="14"/>
                <w:szCs w:val="14"/>
                <w:b w:val="1"/>
                <w:bCs w:val="1"/>
                <w:color w:val="auto"/>
                <w:w w:val="89"/>
              </w:rPr>
              <w:t>day or more but not</w:t>
            </w:r>
          </w:p>
        </w:tc>
        <w:tc>
          <w:tcPr>
            <w:tcW w:w="96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rPr>
              <w:t>Internal</w:t>
            </w: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1340" w:type="dxa"/>
            <w:vAlign w:val="bottom"/>
          </w:tcPr>
          <w:p>
            <w:pPr>
              <w:spacing w:after="0"/>
              <w:rPr>
                <w:sz w:val="12"/>
                <w:szCs w:val="12"/>
                <w:color w:val="auto"/>
              </w:rPr>
            </w:pPr>
          </w:p>
        </w:tc>
        <w:tc>
          <w:tcPr>
            <w:tcW w:w="1120" w:type="dxa"/>
            <w:vAlign w:val="bottom"/>
            <w:gridSpan w:val="3"/>
            <w:vMerge w:val="restart"/>
          </w:tcPr>
          <w:p>
            <w:pPr>
              <w:ind w:left="140"/>
              <w:spacing w:after="0"/>
              <w:rPr>
                <w:sz w:val="20"/>
                <w:szCs w:val="20"/>
                <w:color w:val="auto"/>
              </w:rPr>
            </w:pPr>
            <w:r>
              <w:rPr>
                <w:rFonts w:ascii="Arial" w:cs="Arial" w:eastAsia="Arial" w:hAnsi="Arial"/>
                <w:sz w:val="14"/>
                <w:szCs w:val="14"/>
                <w:b w:val="1"/>
                <w:bCs w:val="1"/>
                <w:color w:val="auto"/>
              </w:rPr>
              <w:t>Current loans</w:t>
            </w:r>
          </w:p>
        </w:tc>
        <w:tc>
          <w:tcPr>
            <w:tcW w:w="74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340" w:type="dxa"/>
            <w:vAlign w:val="bottom"/>
            <w:gridSpan w:val="2"/>
          </w:tcPr>
          <w:p>
            <w:pPr>
              <w:jc w:val="center"/>
              <w:ind w:right="160"/>
              <w:spacing w:after="0" w:line="143" w:lineRule="exact"/>
              <w:rPr>
                <w:sz w:val="20"/>
                <w:szCs w:val="20"/>
                <w:color w:val="auto"/>
              </w:rPr>
            </w:pPr>
            <w:r>
              <w:rPr>
                <w:rFonts w:ascii="Arial" w:cs="Arial" w:eastAsia="Arial" w:hAnsi="Arial"/>
                <w:sz w:val="14"/>
                <w:szCs w:val="14"/>
                <w:b w:val="1"/>
                <w:bCs w:val="1"/>
                <w:color w:val="auto"/>
                <w:w w:val="89"/>
              </w:rPr>
              <w:t>internal overdue</w:t>
            </w:r>
          </w:p>
        </w:tc>
        <w:tc>
          <w:tcPr>
            <w:tcW w:w="2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86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Total</w:t>
            </w:r>
          </w:p>
        </w:tc>
        <w:tc>
          <w:tcPr>
            <w:tcW w:w="840" w:type="dxa"/>
            <w:vAlign w:val="bottom"/>
            <w:gridSpan w:val="2"/>
            <w:vMerge w:val="continue"/>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gridSpan w:val="2"/>
          </w:tcPr>
          <w:p>
            <w:pPr>
              <w:jc w:val="center"/>
              <w:ind w:right="200"/>
              <w:spacing w:after="0" w:line="143" w:lineRule="exact"/>
              <w:rPr>
                <w:sz w:val="20"/>
                <w:szCs w:val="20"/>
                <w:color w:val="auto"/>
              </w:rPr>
            </w:pPr>
            <w:r>
              <w:rPr>
                <w:rFonts w:ascii="Arial" w:cs="Arial" w:eastAsia="Arial" w:hAnsi="Arial"/>
                <w:sz w:val="14"/>
                <w:szCs w:val="14"/>
                <w:b w:val="1"/>
                <w:bCs w:val="1"/>
                <w:color w:val="auto"/>
                <w:w w:val="89"/>
              </w:rPr>
              <w:t>internal overdue</w:t>
            </w:r>
          </w:p>
        </w:tc>
        <w:tc>
          <w:tcPr>
            <w:tcW w:w="960" w:type="dxa"/>
            <w:vAlign w:val="bottom"/>
            <w:gridSpan w:val="2"/>
            <w:vMerge w:val="continue"/>
          </w:tcPr>
          <w:p>
            <w:pPr>
              <w:spacing w:after="0"/>
              <w:rPr>
                <w:sz w:val="12"/>
                <w:szCs w:val="12"/>
                <w:color w:val="auto"/>
              </w:rPr>
            </w:pPr>
          </w:p>
        </w:tc>
        <w:tc>
          <w:tcPr>
            <w:tcW w:w="78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5"/>
        </w:trPr>
        <w:tc>
          <w:tcPr>
            <w:tcW w:w="1340" w:type="dxa"/>
            <w:vAlign w:val="bottom"/>
          </w:tcPr>
          <w:p>
            <w:pPr>
              <w:spacing w:after="0"/>
              <w:rPr>
                <w:sz w:val="14"/>
                <w:szCs w:val="14"/>
                <w:color w:val="auto"/>
              </w:rPr>
            </w:pPr>
          </w:p>
        </w:tc>
        <w:tc>
          <w:tcPr>
            <w:tcW w:w="1120" w:type="dxa"/>
            <w:vAlign w:val="bottom"/>
            <w:gridSpan w:val="3"/>
            <w:vMerge w:val="continue"/>
          </w:tcPr>
          <w:p>
            <w:pPr>
              <w:spacing w:after="0"/>
              <w:rPr>
                <w:sz w:val="14"/>
                <w:szCs w:val="14"/>
                <w:color w:val="auto"/>
              </w:rPr>
            </w:pP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92"/>
              </w:rPr>
              <w:t>impaired</w:t>
            </w:r>
          </w:p>
        </w:tc>
        <w:tc>
          <w:tcPr>
            <w:tcW w:w="160" w:type="dxa"/>
            <w:vAlign w:val="bottom"/>
          </w:tcPr>
          <w:p>
            <w:pPr>
              <w:spacing w:after="0"/>
              <w:rPr>
                <w:sz w:val="14"/>
                <w:szCs w:val="14"/>
                <w:color w:val="auto"/>
              </w:rPr>
            </w:pPr>
          </w:p>
        </w:tc>
        <w:tc>
          <w:tcPr>
            <w:tcW w:w="13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7"/>
              </w:rPr>
              <w:t>loans</w:t>
            </w:r>
          </w:p>
        </w:tc>
        <w:tc>
          <w:tcPr>
            <w:tcW w:w="1000" w:type="dxa"/>
            <w:vAlign w:val="bottom"/>
            <w:gridSpan w:val="3"/>
          </w:tcPr>
          <w:p>
            <w:pPr>
              <w:ind w:left="20"/>
              <w:spacing w:after="0"/>
              <w:rPr>
                <w:sz w:val="20"/>
                <w:szCs w:val="20"/>
                <w:color w:val="auto"/>
              </w:rPr>
            </w:pPr>
            <w:r>
              <w:rPr>
                <w:rFonts w:ascii="Arial" w:cs="Arial" w:eastAsia="Arial" w:hAnsi="Arial"/>
                <w:sz w:val="14"/>
                <w:szCs w:val="14"/>
                <w:b w:val="1"/>
                <w:bCs w:val="1"/>
                <w:color w:val="auto"/>
              </w:rPr>
              <w:t>overdue loans</w:t>
            </w:r>
          </w:p>
        </w:tc>
        <w:tc>
          <w:tcPr>
            <w:tcW w:w="860" w:type="dxa"/>
            <w:vAlign w:val="bottom"/>
            <w:gridSpan w:val="2"/>
            <w:vMerge w:val="continue"/>
          </w:tcPr>
          <w:p>
            <w:pPr>
              <w:spacing w:after="0"/>
              <w:rPr>
                <w:sz w:val="14"/>
                <w:szCs w:val="14"/>
                <w:color w:val="auto"/>
              </w:rPr>
            </w:pPr>
          </w:p>
        </w:tc>
        <w:tc>
          <w:tcPr>
            <w:tcW w:w="840" w:type="dxa"/>
            <w:vAlign w:val="bottom"/>
            <w:gridSpan w:val="2"/>
          </w:tcPr>
          <w:p>
            <w:pPr>
              <w:ind w:left="180"/>
              <w:spacing w:after="0"/>
              <w:rPr>
                <w:sz w:val="20"/>
                <w:szCs w:val="20"/>
                <w:color w:val="auto"/>
              </w:rPr>
            </w:pPr>
            <w:r>
              <w:rPr>
                <w:rFonts w:ascii="Arial" w:cs="Arial" w:eastAsia="Arial" w:hAnsi="Arial"/>
                <w:sz w:val="14"/>
                <w:szCs w:val="14"/>
                <w:b w:val="1"/>
                <w:bCs w:val="1"/>
                <w:color w:val="auto"/>
              </w:rPr>
              <w:t>loans</w:t>
            </w:r>
          </w:p>
        </w:tc>
        <w:tc>
          <w:tcPr>
            <w:tcW w:w="78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9"/>
              </w:rPr>
              <w:t>impaired</w:t>
            </w:r>
          </w:p>
        </w:tc>
        <w:tc>
          <w:tcPr>
            <w:tcW w:w="120" w:type="dxa"/>
            <w:vAlign w:val="bottom"/>
          </w:tcPr>
          <w:p>
            <w:pPr>
              <w:spacing w:after="0"/>
              <w:rPr>
                <w:sz w:val="14"/>
                <w:szCs w:val="14"/>
                <w:color w:val="auto"/>
              </w:rPr>
            </w:pPr>
          </w:p>
        </w:tc>
        <w:tc>
          <w:tcPr>
            <w:tcW w:w="13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1"/>
              </w:rPr>
              <w:t>loans</w:t>
            </w:r>
          </w:p>
        </w:tc>
        <w:tc>
          <w:tcPr>
            <w:tcW w:w="96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82"/>
              </w:rPr>
              <w:t>overdue loans</w:t>
            </w:r>
          </w:p>
        </w:tc>
        <w:tc>
          <w:tcPr>
            <w:tcW w:w="7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1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Borders>
              <w:top w:val="single" w:sz="8" w:color="auto"/>
            </w:tcBorders>
          </w:tcPr>
          <w:p>
            <w:pPr>
              <w:ind w:left="200"/>
              <w:spacing w:after="0"/>
              <w:rPr>
                <w:sz w:val="20"/>
                <w:szCs w:val="20"/>
                <w:color w:val="auto"/>
              </w:rPr>
            </w:pPr>
            <w:r>
              <w:rPr>
                <w:rFonts w:ascii="Arial" w:cs="Arial" w:eastAsia="Arial" w:hAnsi="Arial"/>
                <w:sz w:val="14"/>
                <w:szCs w:val="14"/>
                <w:b w:val="1"/>
                <w:bCs w:val="1"/>
                <w:color w:val="auto"/>
              </w:rPr>
              <w:t>S/(000)</w:t>
            </w:r>
          </w:p>
        </w:tc>
        <w:tc>
          <w:tcPr>
            <w:tcW w:w="160" w:type="dxa"/>
            <w:vAlign w:val="bottom"/>
          </w:tcPr>
          <w:p>
            <w:pPr>
              <w:spacing w:after="0"/>
              <w:rPr>
                <w:sz w:val="14"/>
                <w:szCs w:val="14"/>
                <w:color w:val="auto"/>
              </w:rPr>
            </w:pPr>
          </w:p>
        </w:tc>
        <w:tc>
          <w:tcPr>
            <w:tcW w:w="74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S/(000)</w:t>
            </w:r>
          </w:p>
        </w:tc>
        <w:tc>
          <w:tcPr>
            <w:tcW w:w="160" w:type="dxa"/>
            <w:vAlign w:val="bottom"/>
          </w:tcPr>
          <w:p>
            <w:pPr>
              <w:spacing w:after="0"/>
              <w:rPr>
                <w:sz w:val="14"/>
                <w:szCs w:val="14"/>
                <w:color w:val="auto"/>
              </w:rPr>
            </w:pPr>
          </w:p>
        </w:tc>
        <w:tc>
          <w:tcPr>
            <w:tcW w:w="120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S/(000)</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tcBorders>
              <w:top w:val="single" w:sz="8" w:color="auto"/>
            </w:tcBorders>
          </w:tcPr>
          <w:p>
            <w:pPr>
              <w:jc w:val="right"/>
              <w:ind w:right="131"/>
              <w:spacing w:after="0"/>
              <w:rPr>
                <w:sz w:val="20"/>
                <w:szCs w:val="20"/>
                <w:color w:val="auto"/>
              </w:rPr>
            </w:pPr>
            <w:r>
              <w:rPr>
                <w:rFonts w:ascii="Arial" w:cs="Arial" w:eastAsia="Arial" w:hAnsi="Arial"/>
                <w:sz w:val="14"/>
                <w:szCs w:val="14"/>
                <w:b w:val="1"/>
                <w:bCs w:val="1"/>
                <w:color w:val="auto"/>
              </w:rPr>
              <w:t>S/(000)</w:t>
            </w:r>
          </w:p>
        </w:tc>
        <w:tc>
          <w:tcPr>
            <w:tcW w:w="160" w:type="dxa"/>
            <w:vAlign w:val="bottom"/>
          </w:tcPr>
          <w:p>
            <w:pPr>
              <w:spacing w:after="0"/>
              <w:rPr>
                <w:sz w:val="14"/>
                <w:szCs w:val="14"/>
                <w:color w:val="auto"/>
              </w:rPr>
            </w:pPr>
          </w:p>
        </w:tc>
        <w:tc>
          <w:tcPr>
            <w:tcW w:w="700" w:type="dxa"/>
            <w:vAlign w:val="bottom"/>
            <w:tcBorders>
              <w:top w:val="single" w:sz="8" w:color="auto"/>
            </w:tcBorders>
          </w:tcPr>
          <w:p>
            <w:pPr>
              <w:jc w:val="right"/>
              <w:ind w:right="71"/>
              <w:spacing w:after="0"/>
              <w:rPr>
                <w:sz w:val="20"/>
                <w:szCs w:val="20"/>
                <w:color w:val="auto"/>
              </w:rPr>
            </w:pPr>
            <w:r>
              <w:rPr>
                <w:rFonts w:ascii="Arial" w:cs="Arial" w:eastAsia="Arial" w:hAnsi="Arial"/>
                <w:sz w:val="14"/>
                <w:szCs w:val="14"/>
                <w:b w:val="1"/>
                <w:bCs w:val="1"/>
                <w:color w:val="auto"/>
              </w:rPr>
              <w:t>S/(000)</w:t>
            </w:r>
          </w:p>
        </w:tc>
        <w:tc>
          <w:tcPr>
            <w:tcW w:w="160" w:type="dxa"/>
            <w:vAlign w:val="bottom"/>
          </w:tcPr>
          <w:p>
            <w:pPr>
              <w:spacing w:after="0"/>
              <w:rPr>
                <w:sz w:val="14"/>
                <w:szCs w:val="14"/>
                <w:color w:val="auto"/>
              </w:rPr>
            </w:pPr>
          </w:p>
        </w:tc>
        <w:tc>
          <w:tcPr>
            <w:tcW w:w="700" w:type="dxa"/>
            <w:vAlign w:val="bottom"/>
            <w:tcBorders>
              <w:top w:val="single" w:sz="8" w:color="auto"/>
            </w:tcBorders>
          </w:tcPr>
          <w:p>
            <w:pPr>
              <w:ind w:left="140"/>
              <w:spacing w:after="0"/>
              <w:rPr>
                <w:sz w:val="20"/>
                <w:szCs w:val="20"/>
                <w:color w:val="auto"/>
              </w:rPr>
            </w:pPr>
            <w:r>
              <w:rPr>
                <w:rFonts w:ascii="Arial" w:cs="Arial" w:eastAsia="Arial" w:hAnsi="Arial"/>
                <w:sz w:val="14"/>
                <w:szCs w:val="14"/>
                <w:b w:val="1"/>
                <w:bCs w:val="1"/>
                <w:color w:val="auto"/>
              </w:rPr>
              <w:t>S/(000)</w:t>
            </w:r>
          </w:p>
        </w:tc>
        <w:tc>
          <w:tcPr>
            <w:tcW w:w="140" w:type="dxa"/>
            <w:vAlign w:val="bottom"/>
          </w:tcPr>
          <w:p>
            <w:pPr>
              <w:spacing w:after="0"/>
              <w:rPr>
                <w:sz w:val="14"/>
                <w:szCs w:val="14"/>
                <w:color w:val="auto"/>
              </w:rPr>
            </w:pPr>
          </w:p>
        </w:tc>
        <w:tc>
          <w:tcPr>
            <w:tcW w:w="76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S/(000)</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S/(000)</w:t>
            </w:r>
          </w:p>
        </w:tc>
        <w:tc>
          <w:tcPr>
            <w:tcW w:w="160" w:type="dxa"/>
            <w:vAlign w:val="bottom"/>
          </w:tcPr>
          <w:p>
            <w:pPr>
              <w:spacing w:after="0"/>
              <w:rPr>
                <w:sz w:val="14"/>
                <w:szCs w:val="14"/>
                <w:color w:val="auto"/>
              </w:rPr>
            </w:pPr>
          </w:p>
        </w:tc>
        <w:tc>
          <w:tcPr>
            <w:tcW w:w="800" w:type="dxa"/>
            <w:vAlign w:val="bottom"/>
            <w:tcBorders>
              <w:top w:val="single" w:sz="8" w:color="auto"/>
            </w:tcBorders>
          </w:tcPr>
          <w:p>
            <w:pPr>
              <w:jc w:val="right"/>
              <w:ind w:right="131"/>
              <w:spacing w:after="0"/>
              <w:rPr>
                <w:sz w:val="20"/>
                <w:szCs w:val="20"/>
                <w:color w:val="auto"/>
              </w:rPr>
            </w:pPr>
            <w:r>
              <w:rPr>
                <w:rFonts w:ascii="Arial" w:cs="Arial" w:eastAsia="Arial" w:hAnsi="Arial"/>
                <w:sz w:val="14"/>
                <w:szCs w:val="14"/>
                <w:b w:val="1"/>
                <w:bCs w:val="1"/>
                <w:color w:val="auto"/>
              </w:rPr>
              <w:t>S/(000)</w:t>
            </w:r>
          </w:p>
        </w:tc>
        <w:tc>
          <w:tcPr>
            <w:tcW w:w="160" w:type="dxa"/>
            <w:vAlign w:val="bottom"/>
          </w:tcPr>
          <w:p>
            <w:pPr>
              <w:spacing w:after="0"/>
              <w:rPr>
                <w:sz w:val="14"/>
                <w:szCs w:val="14"/>
                <w:color w:val="auto"/>
              </w:rPr>
            </w:pPr>
          </w:p>
        </w:tc>
        <w:tc>
          <w:tcPr>
            <w:tcW w:w="700" w:type="dxa"/>
            <w:vAlign w:val="bottom"/>
            <w:tcBorders>
              <w:top w:val="single" w:sz="8" w:color="auto"/>
            </w:tcBorders>
          </w:tcPr>
          <w:p>
            <w:pPr>
              <w:jc w:val="right"/>
              <w:ind w:right="71"/>
              <w:spacing w:after="0"/>
              <w:rPr>
                <w:sz w:val="20"/>
                <w:szCs w:val="20"/>
                <w:color w:val="auto"/>
              </w:rPr>
            </w:pPr>
            <w:r>
              <w:rPr>
                <w:rFonts w:ascii="Arial" w:cs="Arial" w:eastAsia="Arial" w:hAnsi="Arial"/>
                <w:sz w:val="14"/>
                <w:szCs w:val="14"/>
                <w:b w:val="1"/>
                <w:bCs w:val="1"/>
                <w:color w:val="auto"/>
              </w:rPr>
              <w:t>S/(000)</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6"/>
        </w:trPr>
        <w:tc>
          <w:tcPr>
            <w:tcW w:w="1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820" w:type="dxa"/>
            <w:vAlign w:val="bottom"/>
          </w:tcPr>
          <w:p>
            <w:pPr>
              <w:spacing w:after="0"/>
              <w:rPr>
                <w:sz w:val="9"/>
                <w:szCs w:val="9"/>
                <w:color w:val="auto"/>
              </w:rPr>
            </w:pPr>
          </w:p>
        </w:tc>
        <w:tc>
          <w:tcPr>
            <w:tcW w:w="160" w:type="dxa"/>
            <w:vAlign w:val="bottom"/>
          </w:tcPr>
          <w:p>
            <w:pPr>
              <w:spacing w:after="0"/>
              <w:rPr>
                <w:sz w:val="9"/>
                <w:szCs w:val="9"/>
                <w:color w:val="auto"/>
              </w:rPr>
            </w:pPr>
          </w:p>
        </w:tc>
        <w:tc>
          <w:tcPr>
            <w:tcW w:w="7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 w:type="dxa"/>
            <w:vAlign w:val="bottom"/>
          </w:tcPr>
          <w:p>
            <w:pPr>
              <w:spacing w:after="0"/>
              <w:rPr>
                <w:sz w:val="9"/>
                <w:szCs w:val="9"/>
                <w:color w:val="auto"/>
              </w:rPr>
            </w:pPr>
          </w:p>
        </w:tc>
        <w:tc>
          <w:tcPr>
            <w:tcW w:w="820" w:type="dxa"/>
            <w:vAlign w:val="bottom"/>
          </w:tcPr>
          <w:p>
            <w:pPr>
              <w:spacing w:after="0"/>
              <w:rPr>
                <w:sz w:val="9"/>
                <w:szCs w:val="9"/>
                <w:color w:val="auto"/>
              </w:rPr>
            </w:pPr>
          </w:p>
        </w:tc>
        <w:tc>
          <w:tcPr>
            <w:tcW w:w="160" w:type="dxa"/>
            <w:vAlign w:val="bottom"/>
          </w:tcPr>
          <w:p>
            <w:pPr>
              <w:spacing w:after="0"/>
              <w:rPr>
                <w:sz w:val="9"/>
                <w:szCs w:val="9"/>
                <w:color w:val="auto"/>
              </w:rPr>
            </w:pPr>
          </w:p>
        </w:tc>
        <w:tc>
          <w:tcPr>
            <w:tcW w:w="700" w:type="dxa"/>
            <w:vAlign w:val="bottom"/>
          </w:tcPr>
          <w:p>
            <w:pPr>
              <w:spacing w:after="0"/>
              <w:rPr>
                <w:sz w:val="9"/>
                <w:szCs w:val="9"/>
                <w:color w:val="auto"/>
              </w:rPr>
            </w:pPr>
          </w:p>
        </w:tc>
        <w:tc>
          <w:tcPr>
            <w:tcW w:w="160" w:type="dxa"/>
            <w:vAlign w:val="bottom"/>
          </w:tcPr>
          <w:p>
            <w:pPr>
              <w:spacing w:after="0"/>
              <w:rPr>
                <w:sz w:val="9"/>
                <w:szCs w:val="9"/>
                <w:color w:val="auto"/>
              </w:rPr>
            </w:pPr>
          </w:p>
        </w:tc>
        <w:tc>
          <w:tcPr>
            <w:tcW w:w="700" w:type="dxa"/>
            <w:vAlign w:val="bottom"/>
          </w:tcPr>
          <w:p>
            <w:pPr>
              <w:spacing w:after="0"/>
              <w:rPr>
                <w:sz w:val="9"/>
                <w:szCs w:val="9"/>
                <w:color w:val="auto"/>
              </w:rPr>
            </w:pPr>
          </w:p>
        </w:tc>
        <w:tc>
          <w:tcPr>
            <w:tcW w:w="14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0" w:type="dxa"/>
            <w:vAlign w:val="bottom"/>
          </w:tcPr>
          <w:p>
            <w:pPr>
              <w:spacing w:after="0"/>
              <w:rPr>
                <w:sz w:val="9"/>
                <w:szCs w:val="9"/>
                <w:color w:val="auto"/>
              </w:rPr>
            </w:pPr>
          </w:p>
        </w:tc>
        <w:tc>
          <w:tcPr>
            <w:tcW w:w="16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3"/>
        </w:trPr>
        <w:tc>
          <w:tcPr>
            <w:tcW w:w="134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rPr>
              <w:t>Commercial loans</w:t>
            </w:r>
          </w:p>
        </w:tc>
        <w:tc>
          <w:tcPr>
            <w:tcW w:w="1120" w:type="dxa"/>
            <w:vAlign w:val="bottom"/>
            <w:gridSpan w:val="3"/>
            <w:shd w:val="clear" w:color="auto" w:fill="CCEEFF"/>
          </w:tcPr>
          <w:p>
            <w:pPr>
              <w:ind w:left="340"/>
              <w:spacing w:after="0" w:line="143" w:lineRule="exact"/>
              <w:rPr>
                <w:sz w:val="20"/>
                <w:szCs w:val="20"/>
                <w:color w:val="auto"/>
              </w:rPr>
            </w:pPr>
            <w:r>
              <w:rPr>
                <w:rFonts w:ascii="Arial" w:cs="Arial" w:eastAsia="Arial" w:hAnsi="Arial"/>
                <w:sz w:val="14"/>
                <w:szCs w:val="14"/>
                <w:color w:val="auto"/>
              </w:rPr>
              <w:t>56,125,417</w:t>
            </w:r>
          </w:p>
        </w:tc>
        <w:tc>
          <w:tcPr>
            <w:tcW w:w="74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rPr>
              <w:t>211,918</w:t>
            </w:r>
          </w:p>
        </w:tc>
        <w:tc>
          <w:tcPr>
            <w:tcW w:w="1500" w:type="dxa"/>
            <w:vAlign w:val="bottom"/>
            <w:gridSpan w:val="3"/>
            <w:shd w:val="clear" w:color="auto" w:fill="CCEEFF"/>
          </w:tcPr>
          <w:p>
            <w:pPr>
              <w:jc w:val="right"/>
              <w:ind w:right="140"/>
              <w:spacing w:after="0" w:line="143" w:lineRule="exact"/>
              <w:rPr>
                <w:sz w:val="20"/>
                <w:szCs w:val="20"/>
                <w:color w:val="auto"/>
              </w:rPr>
            </w:pPr>
            <w:r>
              <w:rPr>
                <w:rFonts w:ascii="Arial" w:cs="Arial" w:eastAsia="Arial" w:hAnsi="Arial"/>
                <w:sz w:val="14"/>
                <w:szCs w:val="14"/>
                <w:color w:val="auto"/>
              </w:rPr>
              <w:t>790,739</w:t>
            </w:r>
          </w:p>
        </w:tc>
        <w:tc>
          <w:tcPr>
            <w:tcW w:w="840" w:type="dxa"/>
            <w:vAlign w:val="bottom"/>
            <w:gridSpan w:val="2"/>
            <w:shd w:val="clear" w:color="auto" w:fill="CCEEFF"/>
          </w:tcPr>
          <w:p>
            <w:pPr>
              <w:jc w:val="right"/>
              <w:spacing w:after="0" w:line="143" w:lineRule="exact"/>
              <w:rPr>
                <w:sz w:val="20"/>
                <w:szCs w:val="20"/>
                <w:color w:val="auto"/>
              </w:rPr>
            </w:pPr>
            <w:r>
              <w:rPr>
                <w:rFonts w:ascii="Arial" w:cs="Arial" w:eastAsia="Arial" w:hAnsi="Arial"/>
                <w:sz w:val="14"/>
                <w:szCs w:val="14"/>
                <w:color w:val="auto"/>
              </w:rPr>
              <w:t>1,327,475</w:t>
            </w:r>
          </w:p>
        </w:tc>
        <w:tc>
          <w:tcPr>
            <w:tcW w:w="1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60"/>
              <w:spacing w:after="0" w:line="143" w:lineRule="exact"/>
              <w:rPr>
                <w:sz w:val="20"/>
                <w:szCs w:val="20"/>
                <w:color w:val="auto"/>
              </w:rPr>
            </w:pPr>
            <w:r>
              <w:rPr>
                <w:rFonts w:ascii="Arial" w:cs="Arial" w:eastAsia="Arial" w:hAnsi="Arial"/>
                <w:sz w:val="14"/>
                <w:szCs w:val="14"/>
                <w:color w:val="auto"/>
                <w:w w:val="96"/>
              </w:rPr>
              <w:t>58,455,548</w:t>
            </w:r>
          </w:p>
        </w:tc>
        <w:tc>
          <w:tcPr>
            <w:tcW w:w="840" w:type="dxa"/>
            <w:vAlign w:val="bottom"/>
            <w:gridSpan w:val="2"/>
            <w:shd w:val="clear" w:color="auto" w:fill="CCEEFF"/>
          </w:tcPr>
          <w:p>
            <w:pPr>
              <w:ind w:left="80"/>
              <w:spacing w:after="0" w:line="143" w:lineRule="exact"/>
              <w:rPr>
                <w:sz w:val="20"/>
                <w:szCs w:val="20"/>
                <w:color w:val="auto"/>
              </w:rPr>
            </w:pPr>
            <w:r>
              <w:rPr>
                <w:rFonts w:ascii="Arial" w:cs="Arial" w:eastAsia="Arial" w:hAnsi="Arial"/>
                <w:sz w:val="14"/>
                <w:szCs w:val="14"/>
                <w:color w:val="auto"/>
              </w:rPr>
              <w:t>51,108,503</w:t>
            </w:r>
          </w:p>
        </w:tc>
        <w:tc>
          <w:tcPr>
            <w:tcW w:w="780" w:type="dxa"/>
            <w:vAlign w:val="bottom"/>
            <w:gridSpan w:val="2"/>
            <w:shd w:val="clear" w:color="auto" w:fill="CCEEFF"/>
          </w:tcPr>
          <w:p>
            <w:pPr>
              <w:jc w:val="right"/>
              <w:ind w:right="20"/>
              <w:spacing w:after="0" w:line="143" w:lineRule="exact"/>
              <w:rPr>
                <w:sz w:val="20"/>
                <w:szCs w:val="20"/>
                <w:color w:val="auto"/>
              </w:rPr>
            </w:pPr>
            <w:r>
              <w:rPr>
                <w:rFonts w:ascii="Arial" w:cs="Arial" w:eastAsia="Arial" w:hAnsi="Arial"/>
                <w:sz w:val="14"/>
                <w:szCs w:val="14"/>
                <w:color w:val="auto"/>
              </w:rPr>
              <w:t>230,366</w:t>
            </w:r>
          </w:p>
        </w:tc>
        <w:tc>
          <w:tcPr>
            <w:tcW w:w="1340" w:type="dxa"/>
            <w:vAlign w:val="bottom"/>
            <w:gridSpan w:val="2"/>
            <w:shd w:val="clear" w:color="auto" w:fill="CCEEFF"/>
          </w:tcPr>
          <w:p>
            <w:pPr>
              <w:jc w:val="right"/>
              <w:spacing w:after="0" w:line="143" w:lineRule="exact"/>
              <w:rPr>
                <w:sz w:val="20"/>
                <w:szCs w:val="20"/>
                <w:color w:val="auto"/>
              </w:rPr>
            </w:pPr>
            <w:r>
              <w:rPr>
                <w:rFonts w:ascii="Arial" w:cs="Arial" w:eastAsia="Arial" w:hAnsi="Arial"/>
                <w:sz w:val="14"/>
                <w:szCs w:val="14"/>
                <w:color w:val="auto"/>
              </w:rPr>
              <w:t>1,317,893</w:t>
            </w: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rPr>
              <w:t>1,477,109</w:t>
            </w:r>
          </w:p>
        </w:tc>
        <w:tc>
          <w:tcPr>
            <w:tcW w:w="1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80"/>
              <w:spacing w:after="0" w:line="143" w:lineRule="exact"/>
              <w:rPr>
                <w:sz w:val="20"/>
                <w:szCs w:val="20"/>
                <w:color w:val="auto"/>
              </w:rPr>
            </w:pPr>
            <w:r>
              <w:rPr>
                <w:rFonts w:ascii="Arial" w:cs="Arial" w:eastAsia="Arial" w:hAnsi="Arial"/>
                <w:sz w:val="14"/>
                <w:szCs w:val="14"/>
                <w:color w:val="auto"/>
                <w:w w:val="96"/>
              </w:rPr>
              <w:t>54,133,871</w:t>
            </w:r>
          </w:p>
        </w:tc>
        <w:tc>
          <w:tcPr>
            <w:tcW w:w="0" w:type="dxa"/>
            <w:vAlign w:val="bottom"/>
          </w:tcPr>
          <w:p>
            <w:pPr>
              <w:spacing w:after="0"/>
              <w:rPr>
                <w:sz w:val="1"/>
                <w:szCs w:val="1"/>
                <w:color w:val="auto"/>
              </w:rPr>
            </w:pPr>
          </w:p>
        </w:tc>
      </w:tr>
      <w:tr>
        <w:trPr>
          <w:trHeight w:val="124"/>
        </w:trPr>
        <w:tc>
          <w:tcPr>
            <w:tcW w:w="1340" w:type="dxa"/>
            <w:vAlign w:val="bottom"/>
          </w:tcPr>
          <w:p>
            <w:pPr>
              <w:spacing w:after="0" w:line="125" w:lineRule="exact"/>
              <w:rPr>
                <w:sz w:val="20"/>
                <w:szCs w:val="20"/>
                <w:color w:val="auto"/>
              </w:rPr>
            </w:pPr>
            <w:r>
              <w:rPr>
                <w:rFonts w:ascii="Arial" w:cs="Arial" w:eastAsia="Arial" w:hAnsi="Arial"/>
                <w:sz w:val="14"/>
                <w:szCs w:val="14"/>
                <w:color w:val="auto"/>
                <w:w w:val="99"/>
              </w:rPr>
              <w:t>Residential mortgage</w:t>
            </w:r>
          </w:p>
        </w:tc>
        <w:tc>
          <w:tcPr>
            <w:tcW w:w="1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1"/>
        </w:trPr>
        <w:tc>
          <w:tcPr>
            <w:tcW w:w="1340" w:type="dxa"/>
            <w:vAlign w:val="bottom"/>
          </w:tcPr>
          <w:p>
            <w:pPr>
              <w:spacing w:after="0"/>
              <w:rPr>
                <w:sz w:val="20"/>
                <w:szCs w:val="20"/>
                <w:color w:val="auto"/>
              </w:rPr>
            </w:pPr>
            <w:r>
              <w:rPr>
                <w:rFonts w:ascii="Arial" w:cs="Arial" w:eastAsia="Arial" w:hAnsi="Arial"/>
                <w:sz w:val="14"/>
                <w:szCs w:val="14"/>
                <w:color w:val="auto"/>
              </w:rPr>
              <w:t>loans</w:t>
            </w:r>
          </w:p>
        </w:tc>
        <w:tc>
          <w:tcPr>
            <w:tcW w:w="1120" w:type="dxa"/>
            <w:vAlign w:val="bottom"/>
            <w:gridSpan w:val="3"/>
          </w:tcPr>
          <w:p>
            <w:pPr>
              <w:ind w:left="340"/>
              <w:spacing w:after="0"/>
              <w:rPr>
                <w:sz w:val="20"/>
                <w:szCs w:val="20"/>
                <w:color w:val="auto"/>
              </w:rPr>
            </w:pPr>
            <w:r>
              <w:rPr>
                <w:rFonts w:ascii="Arial" w:cs="Arial" w:eastAsia="Arial" w:hAnsi="Arial"/>
                <w:sz w:val="14"/>
                <w:szCs w:val="14"/>
                <w:color w:val="auto"/>
              </w:rPr>
              <w:t>14,064,927</w:t>
            </w:r>
          </w:p>
        </w:tc>
        <w:tc>
          <w:tcPr>
            <w:tcW w:w="740" w:type="dxa"/>
            <w:vAlign w:val="bottom"/>
          </w:tcPr>
          <w:p>
            <w:pPr>
              <w:jc w:val="right"/>
              <w:spacing w:after="0"/>
              <w:rPr>
                <w:sz w:val="20"/>
                <w:szCs w:val="20"/>
                <w:color w:val="auto"/>
              </w:rPr>
            </w:pPr>
            <w:r>
              <w:rPr>
                <w:rFonts w:ascii="Arial" w:cs="Arial" w:eastAsia="Arial" w:hAnsi="Arial"/>
                <w:sz w:val="14"/>
                <w:szCs w:val="14"/>
                <w:color w:val="auto"/>
              </w:rPr>
              <w:t>185,853</w:t>
            </w:r>
          </w:p>
        </w:tc>
        <w:tc>
          <w:tcPr>
            <w:tcW w:w="1500" w:type="dxa"/>
            <w:vAlign w:val="bottom"/>
            <w:gridSpan w:val="3"/>
          </w:tcPr>
          <w:p>
            <w:pPr>
              <w:jc w:val="right"/>
              <w:ind w:right="140"/>
              <w:spacing w:after="0"/>
              <w:rPr>
                <w:sz w:val="20"/>
                <w:szCs w:val="20"/>
                <w:color w:val="auto"/>
              </w:rPr>
            </w:pPr>
            <w:r>
              <w:rPr>
                <w:rFonts w:ascii="Arial" w:cs="Arial" w:eastAsia="Arial" w:hAnsi="Arial"/>
                <w:sz w:val="14"/>
                <w:szCs w:val="14"/>
                <w:color w:val="auto"/>
              </w:rPr>
              <w:t>693,482</w:t>
            </w:r>
          </w:p>
        </w:tc>
        <w:tc>
          <w:tcPr>
            <w:tcW w:w="1000" w:type="dxa"/>
            <w:vAlign w:val="bottom"/>
            <w:gridSpan w:val="3"/>
          </w:tcPr>
          <w:p>
            <w:pPr>
              <w:jc w:val="right"/>
              <w:ind w:right="160"/>
              <w:spacing w:after="0"/>
              <w:rPr>
                <w:sz w:val="20"/>
                <w:szCs w:val="20"/>
                <w:color w:val="auto"/>
              </w:rPr>
            </w:pPr>
            <w:r>
              <w:rPr>
                <w:rFonts w:ascii="Arial" w:cs="Arial" w:eastAsia="Arial" w:hAnsi="Arial"/>
                <w:sz w:val="14"/>
                <w:szCs w:val="14"/>
                <w:color w:val="auto"/>
              </w:rPr>
              <w:t>507,825</w:t>
            </w: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w w:val="96"/>
              </w:rPr>
              <w:t>15,452,087</w:t>
            </w:r>
          </w:p>
        </w:tc>
        <w:tc>
          <w:tcPr>
            <w:tcW w:w="840" w:type="dxa"/>
            <w:vAlign w:val="bottom"/>
            <w:gridSpan w:val="2"/>
          </w:tcPr>
          <w:p>
            <w:pPr>
              <w:ind w:left="80"/>
              <w:spacing w:after="0"/>
              <w:rPr>
                <w:sz w:val="20"/>
                <w:szCs w:val="20"/>
                <w:color w:val="auto"/>
              </w:rPr>
            </w:pPr>
            <w:r>
              <w:rPr>
                <w:rFonts w:ascii="Arial" w:cs="Arial" w:eastAsia="Arial" w:hAnsi="Arial"/>
                <w:sz w:val="14"/>
                <w:szCs w:val="14"/>
                <w:color w:val="auto"/>
              </w:rPr>
              <w:t>13,266,248</w:t>
            </w:r>
          </w:p>
        </w:tc>
        <w:tc>
          <w:tcPr>
            <w:tcW w:w="780" w:type="dxa"/>
            <w:vAlign w:val="bottom"/>
            <w:gridSpan w:val="2"/>
          </w:tcPr>
          <w:p>
            <w:pPr>
              <w:jc w:val="right"/>
              <w:ind w:right="20"/>
              <w:spacing w:after="0"/>
              <w:rPr>
                <w:sz w:val="20"/>
                <w:szCs w:val="20"/>
                <w:color w:val="auto"/>
              </w:rPr>
            </w:pPr>
            <w:r>
              <w:rPr>
                <w:rFonts w:ascii="Arial" w:cs="Arial" w:eastAsia="Arial" w:hAnsi="Arial"/>
                <w:sz w:val="14"/>
                <w:szCs w:val="14"/>
                <w:color w:val="auto"/>
              </w:rPr>
              <w:t>193,819</w:t>
            </w:r>
          </w:p>
        </w:tc>
        <w:tc>
          <w:tcPr>
            <w:tcW w:w="1500" w:type="dxa"/>
            <w:vAlign w:val="bottom"/>
            <w:gridSpan w:val="3"/>
          </w:tcPr>
          <w:p>
            <w:pPr>
              <w:jc w:val="right"/>
              <w:ind w:right="160"/>
              <w:spacing w:after="0"/>
              <w:rPr>
                <w:sz w:val="20"/>
                <w:szCs w:val="20"/>
                <w:color w:val="auto"/>
              </w:rPr>
            </w:pPr>
            <w:r>
              <w:rPr>
                <w:rFonts w:ascii="Arial" w:cs="Arial" w:eastAsia="Arial" w:hAnsi="Arial"/>
                <w:sz w:val="14"/>
                <w:szCs w:val="14"/>
                <w:color w:val="auto"/>
              </w:rPr>
              <w:t>626,045</w:t>
            </w: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409,342</w:t>
            </w:r>
          </w:p>
        </w:tc>
        <w:tc>
          <w:tcPr>
            <w:tcW w:w="780" w:type="dxa"/>
            <w:vAlign w:val="bottom"/>
            <w:gridSpan w:val="2"/>
          </w:tcPr>
          <w:p>
            <w:pPr>
              <w:jc w:val="right"/>
              <w:ind w:right="80"/>
              <w:spacing w:after="0"/>
              <w:rPr>
                <w:sz w:val="20"/>
                <w:szCs w:val="20"/>
                <w:color w:val="auto"/>
              </w:rPr>
            </w:pPr>
            <w:r>
              <w:rPr>
                <w:rFonts w:ascii="Arial" w:cs="Arial" w:eastAsia="Arial" w:hAnsi="Arial"/>
                <w:sz w:val="14"/>
                <w:szCs w:val="14"/>
                <w:color w:val="auto"/>
                <w:w w:val="96"/>
              </w:rPr>
              <w:t>14,495,454</w:t>
            </w:r>
          </w:p>
        </w:tc>
        <w:tc>
          <w:tcPr>
            <w:tcW w:w="0" w:type="dxa"/>
            <w:vAlign w:val="bottom"/>
          </w:tcPr>
          <w:p>
            <w:pPr>
              <w:spacing w:after="0"/>
              <w:rPr>
                <w:sz w:val="1"/>
                <w:szCs w:val="1"/>
                <w:color w:val="auto"/>
              </w:rPr>
            </w:pPr>
          </w:p>
        </w:tc>
      </w:tr>
      <w:tr>
        <w:trPr>
          <w:trHeight w:val="143"/>
        </w:trPr>
        <w:tc>
          <w:tcPr>
            <w:tcW w:w="134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rPr>
              <w:t>Micro-business loans</w:t>
            </w:r>
          </w:p>
        </w:tc>
        <w:tc>
          <w:tcPr>
            <w:tcW w:w="1120" w:type="dxa"/>
            <w:vAlign w:val="bottom"/>
            <w:gridSpan w:val="3"/>
            <w:shd w:val="clear" w:color="auto" w:fill="CCEEFF"/>
          </w:tcPr>
          <w:p>
            <w:pPr>
              <w:ind w:left="340"/>
              <w:spacing w:after="0" w:line="143" w:lineRule="exact"/>
              <w:rPr>
                <w:sz w:val="20"/>
                <w:szCs w:val="20"/>
                <w:color w:val="auto"/>
              </w:rPr>
            </w:pPr>
            <w:r>
              <w:rPr>
                <w:rFonts w:ascii="Arial" w:cs="Arial" w:eastAsia="Arial" w:hAnsi="Arial"/>
                <w:sz w:val="14"/>
                <w:szCs w:val="14"/>
                <w:color w:val="auto"/>
              </w:rPr>
              <w:t>12,288,639</w:t>
            </w:r>
          </w:p>
        </w:tc>
        <w:tc>
          <w:tcPr>
            <w:tcW w:w="74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rPr>
              <w:t>207,548</w:t>
            </w:r>
          </w:p>
        </w:tc>
        <w:tc>
          <w:tcPr>
            <w:tcW w:w="1500" w:type="dxa"/>
            <w:vAlign w:val="bottom"/>
            <w:gridSpan w:val="3"/>
            <w:shd w:val="clear" w:color="auto" w:fill="CCEEFF"/>
          </w:tcPr>
          <w:p>
            <w:pPr>
              <w:jc w:val="right"/>
              <w:ind w:right="140"/>
              <w:spacing w:after="0" w:line="143" w:lineRule="exact"/>
              <w:rPr>
                <w:sz w:val="20"/>
                <w:szCs w:val="20"/>
                <w:color w:val="auto"/>
              </w:rPr>
            </w:pPr>
            <w:r>
              <w:rPr>
                <w:rFonts w:ascii="Arial" w:cs="Arial" w:eastAsia="Arial" w:hAnsi="Arial"/>
                <w:sz w:val="14"/>
                <w:szCs w:val="14"/>
                <w:color w:val="auto"/>
              </w:rPr>
              <w:t>774,435</w:t>
            </w:r>
          </w:p>
        </w:tc>
        <w:tc>
          <w:tcPr>
            <w:tcW w:w="1000" w:type="dxa"/>
            <w:vAlign w:val="bottom"/>
            <w:gridSpan w:val="3"/>
            <w:shd w:val="clear" w:color="auto" w:fill="CCEEFF"/>
          </w:tcPr>
          <w:p>
            <w:pPr>
              <w:jc w:val="right"/>
              <w:ind w:right="160"/>
              <w:spacing w:after="0" w:line="143" w:lineRule="exact"/>
              <w:rPr>
                <w:sz w:val="20"/>
                <w:szCs w:val="20"/>
                <w:color w:val="auto"/>
              </w:rPr>
            </w:pPr>
            <w:r>
              <w:rPr>
                <w:rFonts w:ascii="Arial" w:cs="Arial" w:eastAsia="Arial" w:hAnsi="Arial"/>
                <w:sz w:val="14"/>
                <w:szCs w:val="14"/>
                <w:color w:val="auto"/>
              </w:rPr>
              <w:t>656,934</w:t>
            </w:r>
          </w:p>
        </w:tc>
        <w:tc>
          <w:tcPr>
            <w:tcW w:w="860" w:type="dxa"/>
            <w:vAlign w:val="bottom"/>
            <w:gridSpan w:val="2"/>
            <w:shd w:val="clear" w:color="auto" w:fill="CCEEFF"/>
          </w:tcPr>
          <w:p>
            <w:pPr>
              <w:jc w:val="right"/>
              <w:ind w:right="160"/>
              <w:spacing w:after="0" w:line="143" w:lineRule="exact"/>
              <w:rPr>
                <w:sz w:val="20"/>
                <w:szCs w:val="20"/>
                <w:color w:val="auto"/>
              </w:rPr>
            </w:pPr>
            <w:r>
              <w:rPr>
                <w:rFonts w:ascii="Arial" w:cs="Arial" w:eastAsia="Arial" w:hAnsi="Arial"/>
                <w:sz w:val="14"/>
                <w:szCs w:val="14"/>
                <w:color w:val="auto"/>
                <w:w w:val="96"/>
              </w:rPr>
              <w:t>13,927,557</w:t>
            </w:r>
          </w:p>
        </w:tc>
        <w:tc>
          <w:tcPr>
            <w:tcW w:w="840" w:type="dxa"/>
            <w:vAlign w:val="bottom"/>
            <w:gridSpan w:val="2"/>
            <w:shd w:val="clear" w:color="auto" w:fill="CCEEFF"/>
          </w:tcPr>
          <w:p>
            <w:pPr>
              <w:ind w:left="80"/>
              <w:spacing w:after="0" w:line="143" w:lineRule="exact"/>
              <w:rPr>
                <w:sz w:val="20"/>
                <w:szCs w:val="20"/>
                <w:color w:val="auto"/>
              </w:rPr>
            </w:pPr>
            <w:r>
              <w:rPr>
                <w:rFonts w:ascii="Arial" w:cs="Arial" w:eastAsia="Arial" w:hAnsi="Arial"/>
                <w:sz w:val="14"/>
                <w:szCs w:val="14"/>
                <w:color w:val="auto"/>
              </w:rPr>
              <w:t>12,451,403</w:t>
            </w:r>
          </w:p>
        </w:tc>
        <w:tc>
          <w:tcPr>
            <w:tcW w:w="780" w:type="dxa"/>
            <w:vAlign w:val="bottom"/>
            <w:gridSpan w:val="2"/>
            <w:shd w:val="clear" w:color="auto" w:fill="CCEEFF"/>
          </w:tcPr>
          <w:p>
            <w:pPr>
              <w:jc w:val="right"/>
              <w:ind w:right="20"/>
              <w:spacing w:after="0" w:line="143" w:lineRule="exact"/>
              <w:rPr>
                <w:sz w:val="20"/>
                <w:szCs w:val="20"/>
                <w:color w:val="auto"/>
              </w:rPr>
            </w:pPr>
            <w:r>
              <w:rPr>
                <w:rFonts w:ascii="Arial" w:cs="Arial" w:eastAsia="Arial" w:hAnsi="Arial"/>
                <w:sz w:val="14"/>
                <w:szCs w:val="14"/>
                <w:color w:val="auto"/>
              </w:rPr>
              <w:t>18,072</w:t>
            </w:r>
          </w:p>
        </w:tc>
        <w:tc>
          <w:tcPr>
            <w:tcW w:w="1500" w:type="dxa"/>
            <w:vAlign w:val="bottom"/>
            <w:gridSpan w:val="3"/>
            <w:shd w:val="clear" w:color="auto" w:fill="CCEEFF"/>
          </w:tcPr>
          <w:p>
            <w:pPr>
              <w:jc w:val="right"/>
              <w:ind w:right="160"/>
              <w:spacing w:after="0" w:line="143" w:lineRule="exact"/>
              <w:rPr>
                <w:sz w:val="20"/>
                <w:szCs w:val="20"/>
                <w:color w:val="auto"/>
              </w:rPr>
            </w:pPr>
            <w:r>
              <w:rPr>
                <w:rFonts w:ascii="Arial" w:cs="Arial" w:eastAsia="Arial" w:hAnsi="Arial"/>
                <w:sz w:val="14"/>
                <w:szCs w:val="14"/>
                <w:color w:val="auto"/>
              </w:rPr>
              <w:t>180,871</w:t>
            </w:r>
          </w:p>
        </w:tc>
        <w:tc>
          <w:tcPr>
            <w:tcW w:w="960" w:type="dxa"/>
            <w:vAlign w:val="bottom"/>
            <w:gridSpan w:val="2"/>
            <w:shd w:val="clear" w:color="auto" w:fill="CCEEFF"/>
          </w:tcPr>
          <w:p>
            <w:pPr>
              <w:jc w:val="right"/>
              <w:ind w:right="160"/>
              <w:spacing w:after="0" w:line="143" w:lineRule="exact"/>
              <w:rPr>
                <w:sz w:val="20"/>
                <w:szCs w:val="20"/>
                <w:color w:val="auto"/>
              </w:rPr>
            </w:pPr>
            <w:r>
              <w:rPr>
                <w:rFonts w:ascii="Arial" w:cs="Arial" w:eastAsia="Arial" w:hAnsi="Arial"/>
                <w:sz w:val="14"/>
                <w:szCs w:val="14"/>
                <w:color w:val="auto"/>
              </w:rPr>
              <w:t>301,282</w:t>
            </w:r>
          </w:p>
        </w:tc>
        <w:tc>
          <w:tcPr>
            <w:tcW w:w="780" w:type="dxa"/>
            <w:vAlign w:val="bottom"/>
            <w:gridSpan w:val="2"/>
            <w:shd w:val="clear" w:color="auto" w:fill="CCEEFF"/>
          </w:tcPr>
          <w:p>
            <w:pPr>
              <w:jc w:val="right"/>
              <w:ind w:right="80"/>
              <w:spacing w:after="0" w:line="143" w:lineRule="exact"/>
              <w:rPr>
                <w:sz w:val="20"/>
                <w:szCs w:val="20"/>
                <w:color w:val="auto"/>
              </w:rPr>
            </w:pPr>
            <w:r>
              <w:rPr>
                <w:rFonts w:ascii="Arial" w:cs="Arial" w:eastAsia="Arial" w:hAnsi="Arial"/>
                <w:sz w:val="14"/>
                <w:szCs w:val="14"/>
                <w:color w:val="auto"/>
                <w:w w:val="96"/>
              </w:rPr>
              <w:t>12,951,628</w:t>
            </w:r>
          </w:p>
        </w:tc>
        <w:tc>
          <w:tcPr>
            <w:tcW w:w="0" w:type="dxa"/>
            <w:vAlign w:val="bottom"/>
          </w:tcPr>
          <w:p>
            <w:pPr>
              <w:spacing w:after="0"/>
              <w:rPr>
                <w:sz w:val="1"/>
                <w:szCs w:val="1"/>
                <w:color w:val="auto"/>
              </w:rPr>
            </w:pPr>
          </w:p>
        </w:tc>
      </w:tr>
      <w:tr>
        <w:trPr>
          <w:trHeight w:val="156"/>
        </w:trPr>
        <w:tc>
          <w:tcPr>
            <w:tcW w:w="1340" w:type="dxa"/>
            <w:vAlign w:val="bottom"/>
          </w:tcPr>
          <w:p>
            <w:pPr>
              <w:spacing w:after="0" w:line="156" w:lineRule="exact"/>
              <w:rPr>
                <w:sz w:val="20"/>
                <w:szCs w:val="20"/>
                <w:color w:val="auto"/>
              </w:rPr>
            </w:pPr>
            <w:r>
              <w:rPr>
                <w:rFonts w:ascii="Arial" w:cs="Arial" w:eastAsia="Arial" w:hAnsi="Arial"/>
                <w:sz w:val="14"/>
                <w:szCs w:val="14"/>
                <w:color w:val="auto"/>
              </w:rPr>
              <w:t>Consumer loans</w:t>
            </w:r>
          </w:p>
        </w:tc>
        <w:tc>
          <w:tcPr>
            <w:tcW w:w="1120" w:type="dxa"/>
            <w:vAlign w:val="bottom"/>
            <w:gridSpan w:val="3"/>
          </w:tcPr>
          <w:p>
            <w:pPr>
              <w:ind w:left="340"/>
              <w:spacing w:after="0" w:line="156" w:lineRule="exact"/>
              <w:rPr>
                <w:sz w:val="20"/>
                <w:szCs w:val="20"/>
                <w:color w:val="auto"/>
              </w:rPr>
            </w:pPr>
            <w:r>
              <w:rPr>
                <w:rFonts w:ascii="Arial" w:cs="Arial" w:eastAsia="Arial" w:hAnsi="Arial"/>
                <w:sz w:val="14"/>
                <w:szCs w:val="14"/>
                <w:color w:val="auto"/>
              </w:rPr>
              <w:t>10,789,457</w:t>
            </w:r>
          </w:p>
        </w:tc>
        <w:tc>
          <w:tcPr>
            <w:tcW w:w="740" w:type="dxa"/>
            <w:vAlign w:val="bottom"/>
          </w:tcPr>
          <w:p>
            <w:pPr>
              <w:jc w:val="right"/>
              <w:spacing w:after="0" w:line="156" w:lineRule="exact"/>
              <w:rPr>
                <w:sz w:val="20"/>
                <w:szCs w:val="20"/>
                <w:color w:val="auto"/>
              </w:rPr>
            </w:pPr>
            <w:r>
              <w:rPr>
                <w:rFonts w:ascii="Arial" w:cs="Arial" w:eastAsia="Arial" w:hAnsi="Arial"/>
                <w:sz w:val="14"/>
                <w:szCs w:val="14"/>
                <w:color w:val="auto"/>
              </w:rPr>
              <w:t>129,262</w:t>
            </w:r>
          </w:p>
        </w:tc>
        <w:tc>
          <w:tcPr>
            <w:tcW w:w="1500" w:type="dxa"/>
            <w:vAlign w:val="bottom"/>
            <w:gridSpan w:val="3"/>
          </w:tcPr>
          <w:p>
            <w:pPr>
              <w:jc w:val="right"/>
              <w:ind w:right="140"/>
              <w:spacing w:after="0" w:line="156" w:lineRule="exact"/>
              <w:rPr>
                <w:sz w:val="20"/>
                <w:szCs w:val="20"/>
                <w:color w:val="auto"/>
              </w:rPr>
            </w:pPr>
            <w:r>
              <w:rPr>
                <w:rFonts w:ascii="Arial" w:cs="Arial" w:eastAsia="Arial" w:hAnsi="Arial"/>
                <w:sz w:val="14"/>
                <w:szCs w:val="14"/>
                <w:color w:val="auto"/>
              </w:rPr>
              <w:t>482,323</w:t>
            </w:r>
          </w:p>
        </w:tc>
        <w:tc>
          <w:tcPr>
            <w:tcW w:w="1000" w:type="dxa"/>
            <w:vAlign w:val="bottom"/>
            <w:gridSpan w:val="3"/>
          </w:tcPr>
          <w:p>
            <w:pPr>
              <w:jc w:val="right"/>
              <w:ind w:right="160"/>
              <w:spacing w:after="0" w:line="156" w:lineRule="exact"/>
              <w:rPr>
                <w:sz w:val="20"/>
                <w:szCs w:val="20"/>
                <w:color w:val="auto"/>
              </w:rPr>
            </w:pPr>
            <w:r>
              <w:rPr>
                <w:rFonts w:ascii="Arial" w:cs="Arial" w:eastAsia="Arial" w:hAnsi="Arial"/>
                <w:sz w:val="14"/>
                <w:szCs w:val="14"/>
                <w:color w:val="auto"/>
              </w:rPr>
              <w:t>528,680</w:t>
            </w:r>
          </w:p>
        </w:tc>
        <w:tc>
          <w:tcPr>
            <w:tcW w:w="860" w:type="dxa"/>
            <w:vAlign w:val="bottom"/>
            <w:gridSpan w:val="2"/>
          </w:tcPr>
          <w:p>
            <w:pPr>
              <w:jc w:val="right"/>
              <w:ind w:right="160"/>
              <w:spacing w:after="0" w:line="156" w:lineRule="exact"/>
              <w:rPr>
                <w:sz w:val="20"/>
                <w:szCs w:val="20"/>
                <w:color w:val="auto"/>
              </w:rPr>
            </w:pPr>
            <w:r>
              <w:rPr>
                <w:rFonts w:ascii="Arial" w:cs="Arial" w:eastAsia="Arial" w:hAnsi="Arial"/>
                <w:sz w:val="14"/>
                <w:szCs w:val="14"/>
                <w:color w:val="auto"/>
                <w:w w:val="96"/>
              </w:rPr>
              <w:t>11,929,722</w:t>
            </w:r>
          </w:p>
        </w:tc>
        <w:tc>
          <w:tcPr>
            <w:tcW w:w="840" w:type="dxa"/>
            <w:vAlign w:val="bottom"/>
            <w:gridSpan w:val="2"/>
          </w:tcPr>
          <w:p>
            <w:pPr>
              <w:ind w:left="80"/>
              <w:spacing w:after="0" w:line="156" w:lineRule="exact"/>
              <w:rPr>
                <w:sz w:val="20"/>
                <w:szCs w:val="20"/>
                <w:color w:val="auto"/>
              </w:rPr>
            </w:pPr>
            <w:r>
              <w:rPr>
                <w:rFonts w:ascii="Arial" w:cs="Arial" w:eastAsia="Arial" w:hAnsi="Arial"/>
                <w:sz w:val="14"/>
                <w:szCs w:val="14"/>
                <w:color w:val="auto"/>
              </w:rPr>
              <w:t>11,326,045</w:t>
            </w:r>
          </w:p>
        </w:tc>
        <w:tc>
          <w:tcPr>
            <w:tcW w:w="780" w:type="dxa"/>
            <w:vAlign w:val="bottom"/>
            <w:gridSpan w:val="2"/>
          </w:tcPr>
          <w:p>
            <w:pPr>
              <w:jc w:val="right"/>
              <w:ind w:right="20"/>
              <w:spacing w:after="0" w:line="156" w:lineRule="exact"/>
              <w:rPr>
                <w:sz w:val="20"/>
                <w:szCs w:val="20"/>
                <w:color w:val="auto"/>
              </w:rPr>
            </w:pPr>
            <w:r>
              <w:rPr>
                <w:rFonts w:ascii="Arial" w:cs="Arial" w:eastAsia="Arial" w:hAnsi="Arial"/>
                <w:sz w:val="14"/>
                <w:szCs w:val="14"/>
                <w:color w:val="auto"/>
              </w:rPr>
              <w:t>237,395</w:t>
            </w:r>
          </w:p>
        </w:tc>
        <w:tc>
          <w:tcPr>
            <w:tcW w:w="1500" w:type="dxa"/>
            <w:vAlign w:val="bottom"/>
            <w:gridSpan w:val="3"/>
          </w:tcPr>
          <w:p>
            <w:pPr>
              <w:jc w:val="right"/>
              <w:ind w:right="160"/>
              <w:spacing w:after="0" w:line="156" w:lineRule="exact"/>
              <w:rPr>
                <w:sz w:val="20"/>
                <w:szCs w:val="20"/>
                <w:color w:val="auto"/>
              </w:rPr>
            </w:pPr>
            <w:r>
              <w:rPr>
                <w:rFonts w:ascii="Arial" w:cs="Arial" w:eastAsia="Arial" w:hAnsi="Arial"/>
                <w:sz w:val="14"/>
                <w:szCs w:val="14"/>
                <w:color w:val="auto"/>
              </w:rPr>
              <w:t>522,318</w:t>
            </w:r>
          </w:p>
        </w:tc>
        <w:tc>
          <w:tcPr>
            <w:tcW w:w="960" w:type="dxa"/>
            <w:vAlign w:val="bottom"/>
            <w:gridSpan w:val="2"/>
          </w:tcPr>
          <w:p>
            <w:pPr>
              <w:jc w:val="right"/>
              <w:ind w:right="160"/>
              <w:spacing w:after="0" w:line="156" w:lineRule="exact"/>
              <w:rPr>
                <w:sz w:val="20"/>
                <w:szCs w:val="20"/>
                <w:color w:val="auto"/>
              </w:rPr>
            </w:pPr>
            <w:r>
              <w:rPr>
                <w:rFonts w:ascii="Arial" w:cs="Arial" w:eastAsia="Arial" w:hAnsi="Arial"/>
                <w:sz w:val="14"/>
                <w:szCs w:val="14"/>
                <w:color w:val="auto"/>
              </w:rPr>
              <w:t>432,678</w:t>
            </w:r>
          </w:p>
        </w:tc>
        <w:tc>
          <w:tcPr>
            <w:tcW w:w="780" w:type="dxa"/>
            <w:vAlign w:val="bottom"/>
            <w:gridSpan w:val="2"/>
          </w:tcPr>
          <w:p>
            <w:pPr>
              <w:jc w:val="right"/>
              <w:ind w:right="80"/>
              <w:spacing w:after="0" w:line="156" w:lineRule="exact"/>
              <w:rPr>
                <w:sz w:val="20"/>
                <w:szCs w:val="20"/>
                <w:color w:val="auto"/>
              </w:rPr>
            </w:pPr>
            <w:r>
              <w:rPr>
                <w:rFonts w:ascii="Arial" w:cs="Arial" w:eastAsia="Arial" w:hAnsi="Arial"/>
                <w:sz w:val="14"/>
                <w:szCs w:val="14"/>
                <w:color w:val="auto"/>
                <w:w w:val="96"/>
              </w:rPr>
              <w:t>12,518,436</w:t>
            </w:r>
          </w:p>
        </w:tc>
        <w:tc>
          <w:tcPr>
            <w:tcW w:w="0" w:type="dxa"/>
            <w:vAlign w:val="bottom"/>
          </w:tcPr>
          <w:p>
            <w:pPr>
              <w:spacing w:after="0"/>
              <w:rPr>
                <w:sz w:val="1"/>
                <w:szCs w:val="1"/>
                <w:color w:val="auto"/>
              </w:rPr>
            </w:pPr>
          </w:p>
        </w:tc>
      </w:tr>
      <w:tr>
        <w:trPr>
          <w:trHeight w:val="149"/>
        </w:trPr>
        <w:tc>
          <w:tcPr>
            <w:tcW w:w="1340" w:type="dxa"/>
            <w:vAlign w:val="bottom"/>
            <w:tcBorders>
              <w:top w:val="single" w:sz="8" w:color="CCEEFF"/>
              <w:bottom w:val="single" w:sz="8" w:color="CCEEFF"/>
            </w:tcBorders>
            <w:shd w:val="clear" w:color="auto" w:fill="CCEEFF"/>
          </w:tcPr>
          <w:p>
            <w:pPr>
              <w:spacing w:after="0"/>
              <w:rPr>
                <w:sz w:val="12"/>
                <w:szCs w:val="12"/>
                <w:color w:val="auto"/>
              </w:rPr>
            </w:pP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820" w:type="dxa"/>
            <w:vAlign w:val="bottom"/>
            <w:tcBorders>
              <w:top w:val="single" w:sz="8" w:color="auto"/>
              <w:bottom w:val="single" w:sz="8" w:color="auto"/>
            </w:tcBorders>
            <w:shd w:val="clear" w:color="auto" w:fill="CCEEFF"/>
          </w:tcPr>
          <w:p>
            <w:pPr>
              <w:ind w:left="200"/>
              <w:spacing w:after="0" w:line="149" w:lineRule="exact"/>
              <w:rPr>
                <w:sz w:val="20"/>
                <w:szCs w:val="20"/>
                <w:color w:val="auto"/>
              </w:rPr>
            </w:pPr>
            <w:r>
              <w:rPr>
                <w:rFonts w:ascii="Arial" w:cs="Arial" w:eastAsia="Arial" w:hAnsi="Arial"/>
                <w:sz w:val="14"/>
                <w:szCs w:val="14"/>
                <w:color w:val="auto"/>
                <w:w w:val="85"/>
              </w:rPr>
              <w:t>93,268,440</w:t>
            </w: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74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734,581</w:t>
            </w: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120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2,740,979</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82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3,020,914</w:t>
            </w: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70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99,764,914</w:t>
            </w: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700" w:type="dxa"/>
            <w:vAlign w:val="bottom"/>
            <w:tcBorders>
              <w:top w:val="single" w:sz="8" w:color="auto"/>
              <w:bottom w:val="single" w:sz="8" w:color="auto"/>
            </w:tcBorders>
            <w:shd w:val="clear" w:color="auto" w:fill="CCEEFF"/>
          </w:tcPr>
          <w:p>
            <w:pPr>
              <w:ind w:left="80"/>
              <w:spacing w:after="0" w:line="149" w:lineRule="exact"/>
              <w:rPr>
                <w:sz w:val="20"/>
                <w:szCs w:val="20"/>
                <w:color w:val="auto"/>
              </w:rPr>
            </w:pPr>
            <w:r>
              <w:rPr>
                <w:rFonts w:ascii="Arial" w:cs="Arial" w:eastAsia="Arial" w:hAnsi="Arial"/>
                <w:sz w:val="14"/>
                <w:szCs w:val="14"/>
                <w:color w:val="auto"/>
                <w:w w:val="85"/>
              </w:rPr>
              <w:t>88,152,199</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76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679,652</w:t>
            </w: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CCEEFF"/>
              <w:bottom w:val="single" w:sz="8" w:color="CCEEFF"/>
            </w:tcBorders>
            <w:shd w:val="clear" w:color="auto" w:fill="CCEEFF"/>
          </w:tcPr>
          <w:p>
            <w:pPr>
              <w:spacing w:after="0"/>
              <w:rPr>
                <w:sz w:val="12"/>
                <w:szCs w:val="12"/>
                <w:color w:val="auto"/>
              </w:rPr>
            </w:pPr>
          </w:p>
        </w:tc>
        <w:tc>
          <w:tcPr>
            <w:tcW w:w="122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2,647,127</w:t>
            </w: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80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2,620,411</w:t>
            </w: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70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94,099,389</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- 119 -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15875</wp:posOffset>
            </wp:positionV>
            <wp:extent cx="725170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51700" cy="8255"/>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125" w:name="page126"/>
    <w:bookmarkEnd w:id="125"/>
    <w:p>
      <w:pPr>
        <w:ind w:left="320" w:hanging="316"/>
        <w:spacing w:after="0"/>
        <w:tabs>
          <w:tab w:leader="none" w:pos="320" w:val="left"/>
        </w:tabs>
        <w:numPr>
          <w:ilvl w:val="0"/>
          <w:numId w:val="144"/>
        </w:numPr>
        <w:rPr>
          <w:rFonts w:ascii="Arial" w:cs="Arial" w:eastAsia="Arial" w:hAnsi="Arial"/>
          <w:sz w:val="17"/>
          <w:szCs w:val="17"/>
          <w:color w:val="auto"/>
        </w:rPr>
      </w:pPr>
      <w:r>
        <w:rPr>
          <w:rFonts w:ascii="Arial" w:cs="Arial" w:eastAsia="Arial" w:hAnsi="Arial"/>
          <w:sz w:val="17"/>
          <w:szCs w:val="17"/>
          <w:color w:val="auto"/>
        </w:rPr>
        <w:t>Credit risk management on reverse repurchase agreements and security borrowings -</w:t>
      </w:r>
    </w:p>
    <w:p>
      <w:pPr>
        <w:spacing w:after="0" w:line="220" w:lineRule="exact"/>
        <w:rPr>
          <w:rFonts w:ascii="Arial" w:cs="Arial" w:eastAsia="Arial" w:hAnsi="Arial"/>
          <w:sz w:val="17"/>
          <w:szCs w:val="17"/>
          <w:color w:val="auto"/>
        </w:rPr>
      </w:pPr>
    </w:p>
    <w:p>
      <w:pPr>
        <w:ind w:left="320" w:right="140"/>
        <w:spacing w:after="0" w:line="270" w:lineRule="auto"/>
        <w:rPr>
          <w:rFonts w:ascii="Arial" w:cs="Arial" w:eastAsia="Arial" w:hAnsi="Arial"/>
          <w:sz w:val="17"/>
          <w:szCs w:val="17"/>
          <w:color w:val="auto"/>
        </w:rPr>
      </w:pPr>
      <w:r>
        <w:rPr>
          <w:rFonts w:ascii="Arial" w:cs="Arial" w:eastAsia="Arial" w:hAnsi="Arial"/>
          <w:sz w:val="17"/>
          <w:szCs w:val="17"/>
          <w:color w:val="auto"/>
        </w:rPr>
        <w:t>Most of these operations are performed by Credicorp Capital Colombia and Inversiones IMT. The Group has implemented credit limits for each counterparty and most of the transactions are collateralized with investment grade financial instruments issued by Colombian and Chilean entities and financial instruments issued by the Colombian and Chilean Governments.</w:t>
      </w:r>
    </w:p>
    <w:p>
      <w:pPr>
        <w:spacing w:after="0" w:line="171" w:lineRule="exact"/>
        <w:rPr>
          <w:rFonts w:ascii="Arial" w:cs="Arial" w:eastAsia="Arial" w:hAnsi="Arial"/>
          <w:sz w:val="17"/>
          <w:szCs w:val="17"/>
          <w:color w:val="auto"/>
        </w:rPr>
      </w:pPr>
    </w:p>
    <w:p>
      <w:pPr>
        <w:ind w:left="320" w:hanging="316"/>
        <w:spacing w:after="0"/>
        <w:tabs>
          <w:tab w:leader="none" w:pos="320" w:val="left"/>
        </w:tabs>
        <w:numPr>
          <w:ilvl w:val="0"/>
          <w:numId w:val="144"/>
        </w:numPr>
        <w:rPr>
          <w:rFonts w:ascii="Arial" w:cs="Arial" w:eastAsia="Arial" w:hAnsi="Arial"/>
          <w:sz w:val="17"/>
          <w:szCs w:val="17"/>
          <w:color w:val="auto"/>
        </w:rPr>
      </w:pPr>
      <w:r>
        <w:rPr>
          <w:rFonts w:ascii="Arial" w:cs="Arial" w:eastAsia="Arial" w:hAnsi="Arial"/>
          <w:sz w:val="17"/>
          <w:szCs w:val="17"/>
          <w:color w:val="auto"/>
        </w:rPr>
        <w:t>Credit risk management on investments in trading securities, available-for-sale and held-to-maturity investments -</w:t>
      </w:r>
    </w:p>
    <w:p>
      <w:pPr>
        <w:spacing w:after="0" w:line="220" w:lineRule="exact"/>
        <w:rPr>
          <w:rFonts w:ascii="Arial" w:cs="Arial" w:eastAsia="Arial" w:hAnsi="Arial"/>
          <w:sz w:val="17"/>
          <w:szCs w:val="17"/>
          <w:color w:val="auto"/>
        </w:rPr>
      </w:pPr>
    </w:p>
    <w:p>
      <w:pPr>
        <w:ind w:left="320" w:right="40"/>
        <w:spacing w:after="0" w:line="265" w:lineRule="auto"/>
        <w:rPr>
          <w:rFonts w:ascii="Arial" w:cs="Arial" w:eastAsia="Arial" w:hAnsi="Arial"/>
          <w:sz w:val="17"/>
          <w:szCs w:val="17"/>
          <w:color w:val="auto"/>
        </w:rPr>
      </w:pPr>
      <w:r>
        <w:rPr>
          <w:rFonts w:ascii="Arial" w:cs="Arial" w:eastAsia="Arial" w:hAnsi="Arial"/>
          <w:sz w:val="17"/>
          <w:szCs w:val="17"/>
          <w:color w:val="auto"/>
        </w:rPr>
        <w:t>The Group evaluates the credit risk identified of each of the financial instruments in these categories, considering the risk rating granted to them by a risk rating agency. For investments traded in Peru, the risk ratings used are those provided by the three most prestigious Peruvian rating agencies (authorized by the Peruvian government regulator) and for investments traded abroad, the risk-ratings used are those provided by the three most prestigious international rating agencies.</w:t>
      </w:r>
    </w:p>
    <w:p>
      <w:pPr>
        <w:spacing w:after="0" w:line="176" w:lineRule="exact"/>
        <w:rPr>
          <w:rFonts w:ascii="Arial" w:cs="Arial" w:eastAsia="Arial" w:hAnsi="Arial"/>
          <w:sz w:val="17"/>
          <w:szCs w:val="17"/>
          <w:color w:val="auto"/>
        </w:rPr>
      </w:pPr>
    </w:p>
    <w:p>
      <w:pPr>
        <w:ind w:left="320" w:right="160"/>
        <w:spacing w:after="0" w:line="285" w:lineRule="auto"/>
        <w:rPr>
          <w:rFonts w:ascii="Arial" w:cs="Arial" w:eastAsia="Arial" w:hAnsi="Arial"/>
          <w:sz w:val="17"/>
          <w:szCs w:val="17"/>
          <w:color w:val="auto"/>
        </w:rPr>
      </w:pPr>
      <w:r>
        <w:rPr>
          <w:rFonts w:ascii="Arial" w:cs="Arial" w:eastAsia="Arial" w:hAnsi="Arial"/>
          <w:sz w:val="17"/>
          <w:szCs w:val="17"/>
          <w:color w:val="auto"/>
        </w:rPr>
        <w:t>In the event that any subsidiary uses a risk-rating prepared by any other risk rating agency, said risk-ratings are standardized with those provided by the afore-mentioned institutions.</w:t>
      </w:r>
    </w:p>
    <w:p>
      <w:pPr>
        <w:spacing w:after="0" w:line="159" w:lineRule="exact"/>
        <w:rPr>
          <w:rFonts w:ascii="Arial" w:cs="Arial" w:eastAsia="Arial" w:hAnsi="Arial"/>
          <w:sz w:val="17"/>
          <w:szCs w:val="17"/>
          <w:color w:val="auto"/>
        </w:rPr>
      </w:pPr>
    </w:p>
    <w:p>
      <w:pPr>
        <w:ind w:left="320" w:right="80"/>
        <w:spacing w:after="0" w:line="285" w:lineRule="auto"/>
        <w:rPr>
          <w:rFonts w:ascii="Arial" w:cs="Arial" w:eastAsia="Arial" w:hAnsi="Arial"/>
          <w:sz w:val="17"/>
          <w:szCs w:val="17"/>
          <w:color w:val="auto"/>
        </w:rPr>
      </w:pPr>
      <w:r>
        <w:rPr>
          <w:rFonts w:ascii="Arial" w:cs="Arial" w:eastAsia="Arial" w:hAnsi="Arial"/>
          <w:sz w:val="17"/>
          <w:szCs w:val="17"/>
          <w:color w:val="auto"/>
        </w:rPr>
        <w:t>The following table shows the analysis of the risk-rating of trading, available-for-sale and held-to-maturity investments, provided by the institutions referred to above:</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320" w:type="dxa"/>
            <w:vAlign w:val="bottom"/>
          </w:tcPr>
          <w:p>
            <w:pPr>
              <w:spacing w:after="0"/>
              <w:rPr>
                <w:sz w:val="19"/>
                <w:szCs w:val="19"/>
                <w:color w:val="auto"/>
              </w:rPr>
            </w:pPr>
          </w:p>
        </w:tc>
        <w:tc>
          <w:tcPr>
            <w:tcW w:w="360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2240" w:type="dxa"/>
            <w:vAlign w:val="bottom"/>
            <w:gridSpan w:val="3"/>
          </w:tcPr>
          <w:p>
            <w:pPr>
              <w:jc w:val="right"/>
              <w:ind w:right="13"/>
              <w:spacing w:after="0"/>
              <w:rPr>
                <w:sz w:val="20"/>
                <w:szCs w:val="20"/>
                <w:color w:val="auto"/>
              </w:rPr>
            </w:pPr>
            <w:r>
              <w:rPr>
                <w:rFonts w:ascii="Arial" w:cs="Arial" w:eastAsia="Arial" w:hAnsi="Arial"/>
                <w:sz w:val="17"/>
                <w:szCs w:val="17"/>
                <w:b w:val="1"/>
                <w:bCs w:val="1"/>
                <w:color w:val="auto"/>
              </w:rPr>
              <w:t>At December 31, 2017</w:t>
            </w:r>
          </w:p>
        </w:tc>
        <w:tc>
          <w:tcPr>
            <w:tcW w:w="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700" w:type="dxa"/>
            <w:vAlign w:val="bottom"/>
            <w:gridSpan w:val="4"/>
          </w:tcPr>
          <w:p>
            <w:pPr>
              <w:jc w:val="right"/>
              <w:ind w:right="580"/>
              <w:spacing w:after="0"/>
              <w:rPr>
                <w:sz w:val="20"/>
                <w:szCs w:val="20"/>
                <w:color w:val="auto"/>
              </w:rPr>
            </w:pPr>
            <w:r>
              <w:rPr>
                <w:rFonts w:ascii="Arial" w:cs="Arial" w:eastAsia="Arial" w:hAnsi="Arial"/>
                <w:sz w:val="17"/>
                <w:szCs w:val="17"/>
                <w:b w:val="1"/>
                <w:bCs w:val="1"/>
                <w:color w:val="auto"/>
              </w:rPr>
              <w:t>At December 31, 2016</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20" w:type="dxa"/>
            <w:vAlign w:val="bottom"/>
          </w:tcPr>
          <w:p>
            <w:pPr>
              <w:spacing w:after="0"/>
              <w:rPr>
                <w:sz w:val="19"/>
                <w:szCs w:val="19"/>
                <w:color w:val="auto"/>
              </w:rPr>
            </w:pPr>
          </w:p>
        </w:tc>
        <w:tc>
          <w:tcPr>
            <w:tcW w:w="360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440" w:type="dxa"/>
            <w:vAlign w:val="bottom"/>
            <w:tcBorders>
              <w:top w:val="single" w:sz="8" w:color="auto"/>
            </w:tcBorders>
            <w:gridSpan w:val="2"/>
          </w:tcPr>
          <w:p>
            <w:pPr>
              <w:ind w:left="340"/>
              <w:spacing w:after="0"/>
              <w:rPr>
                <w:sz w:val="20"/>
                <w:szCs w:val="20"/>
                <w:color w:val="auto"/>
              </w:rPr>
            </w:pPr>
            <w:r>
              <w:rPr>
                <w:rFonts w:ascii="Arial" w:cs="Arial" w:eastAsia="Arial" w:hAnsi="Arial"/>
                <w:sz w:val="17"/>
                <w:szCs w:val="17"/>
                <w:b w:val="1"/>
                <w:bCs w:val="1"/>
                <w:color w:val="auto"/>
              </w:rPr>
              <w:t>S/(000)</w:t>
            </w:r>
          </w:p>
        </w:tc>
        <w:tc>
          <w:tcPr>
            <w:tcW w:w="800" w:type="dxa"/>
            <w:vAlign w:val="bottom"/>
            <w:tcBorders>
              <w:top w:val="single" w:sz="8" w:color="auto"/>
            </w:tcBorders>
          </w:tcPr>
          <w:p>
            <w:pPr>
              <w:jc w:val="right"/>
              <w:ind w:right="13"/>
              <w:spacing w:after="0"/>
              <w:rPr>
                <w:sz w:val="20"/>
                <w:szCs w:val="20"/>
                <w:color w:val="auto"/>
              </w:rPr>
            </w:pPr>
            <w:r>
              <w:rPr>
                <w:rFonts w:ascii="Arial" w:cs="Arial" w:eastAsia="Arial" w:hAnsi="Arial"/>
                <w:sz w:val="17"/>
                <w:szCs w:val="17"/>
                <w:b w:val="1"/>
                <w:bCs w:val="1"/>
                <w:color w:val="auto"/>
              </w:rPr>
              <w:t>%</w:t>
            </w:r>
          </w:p>
        </w:tc>
        <w:tc>
          <w:tcPr>
            <w:tcW w:w="42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tcBorders>
              <w:top w:val="single" w:sz="8" w:color="auto"/>
            </w:tcBorders>
            <w:gridSpan w:val="2"/>
          </w:tcPr>
          <w:p>
            <w:pPr>
              <w:jc w:val="right"/>
              <w:ind w:right="540"/>
              <w:spacing w:after="0"/>
              <w:rPr>
                <w:sz w:val="20"/>
                <w:szCs w:val="20"/>
                <w:color w:val="auto"/>
              </w:rPr>
            </w:pPr>
            <w:r>
              <w:rPr>
                <w:rFonts w:ascii="Arial" w:cs="Arial" w:eastAsia="Arial" w:hAnsi="Arial"/>
                <w:sz w:val="17"/>
                <w:szCs w:val="17"/>
                <w:b w:val="1"/>
                <w:bCs w:val="1"/>
                <w:color w:val="auto"/>
              </w:rPr>
              <w:t>S/(000)</w:t>
            </w:r>
          </w:p>
        </w:tc>
        <w:tc>
          <w:tcPr>
            <w:tcW w:w="1200" w:type="dxa"/>
            <w:vAlign w:val="bottom"/>
            <w:tcBorders>
              <w:top w:val="single" w:sz="8" w:color="auto"/>
            </w:tcBorders>
          </w:tcPr>
          <w:p>
            <w:pPr>
              <w:jc w:val="right"/>
              <w:ind w:right="413"/>
              <w:spacing w:after="0"/>
              <w:rPr>
                <w:sz w:val="20"/>
                <w:szCs w:val="20"/>
                <w:color w:val="auto"/>
              </w:rPr>
            </w:pPr>
            <w:r>
              <w:rPr>
                <w:rFonts w:ascii="Arial" w:cs="Arial" w:eastAsia="Arial" w:hAnsi="Arial"/>
                <w:sz w:val="17"/>
                <w:szCs w:val="17"/>
                <w:b w:val="1"/>
                <w:bCs w:val="1"/>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320" w:type="dxa"/>
            <w:vAlign w:val="bottom"/>
          </w:tcPr>
          <w:p>
            <w:pPr>
              <w:spacing w:after="0"/>
              <w:rPr>
                <w:sz w:val="16"/>
                <w:szCs w:val="16"/>
                <w:color w:val="auto"/>
              </w:rPr>
            </w:pPr>
          </w:p>
        </w:tc>
        <w:tc>
          <w:tcPr>
            <w:tcW w:w="360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320" w:type="dxa"/>
            <w:vAlign w:val="bottom"/>
          </w:tcPr>
          <w:p>
            <w:pPr>
              <w:spacing w:after="0"/>
              <w:rPr>
                <w:sz w:val="18"/>
                <w:szCs w:val="18"/>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Instruments rated in Peru:</w:t>
            </w:r>
          </w:p>
        </w:tc>
        <w:tc>
          <w:tcPr>
            <w:tcW w:w="17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20" w:type="dxa"/>
            <w:vAlign w:val="bottom"/>
          </w:tcPr>
          <w:p>
            <w:pPr>
              <w:spacing w:after="0"/>
              <w:rPr>
                <w:sz w:val="18"/>
                <w:szCs w:val="18"/>
                <w:color w:val="auto"/>
              </w:rPr>
            </w:pPr>
          </w:p>
        </w:tc>
        <w:tc>
          <w:tcPr>
            <w:tcW w:w="3600" w:type="dxa"/>
            <w:vAlign w:val="bottom"/>
          </w:tcPr>
          <w:p>
            <w:pPr>
              <w:spacing w:after="0"/>
              <w:rPr>
                <w:sz w:val="20"/>
                <w:szCs w:val="20"/>
                <w:color w:val="auto"/>
              </w:rPr>
            </w:pPr>
            <w:r>
              <w:rPr>
                <w:rFonts w:ascii="Arial" w:cs="Arial" w:eastAsia="Arial" w:hAnsi="Arial"/>
                <w:sz w:val="17"/>
                <w:szCs w:val="17"/>
                <w:color w:val="auto"/>
              </w:rPr>
              <w:t>AAA</w:t>
            </w:r>
          </w:p>
        </w:tc>
        <w:tc>
          <w:tcPr>
            <w:tcW w:w="3220" w:type="dxa"/>
            <w:vAlign w:val="bottom"/>
            <w:gridSpan w:val="3"/>
          </w:tcPr>
          <w:p>
            <w:pPr>
              <w:jc w:val="right"/>
              <w:ind w:right="220"/>
              <w:spacing w:after="0"/>
              <w:rPr>
                <w:sz w:val="20"/>
                <w:szCs w:val="20"/>
                <w:color w:val="auto"/>
              </w:rPr>
            </w:pPr>
            <w:r>
              <w:rPr>
                <w:rFonts w:ascii="Arial" w:cs="Arial" w:eastAsia="Arial" w:hAnsi="Arial"/>
                <w:sz w:val="17"/>
                <w:szCs w:val="17"/>
                <w:color w:val="auto"/>
              </w:rPr>
              <w:t>1,254,943</w:t>
            </w:r>
          </w:p>
        </w:tc>
        <w:tc>
          <w:tcPr>
            <w:tcW w:w="800" w:type="dxa"/>
            <w:vAlign w:val="bottom"/>
          </w:tcPr>
          <w:p>
            <w:pPr>
              <w:spacing w:after="0"/>
              <w:rPr>
                <w:sz w:val="18"/>
                <w:szCs w:val="18"/>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7"/>
                <w:szCs w:val="17"/>
                <w:color w:val="auto"/>
              </w:rPr>
              <w:t>3.8</w:t>
            </w:r>
          </w:p>
        </w:tc>
        <w:tc>
          <w:tcPr>
            <w:tcW w:w="1200" w:type="dxa"/>
            <w:vAlign w:val="bottom"/>
          </w:tcPr>
          <w:p>
            <w:pPr>
              <w:jc w:val="right"/>
              <w:spacing w:after="0"/>
              <w:rPr>
                <w:sz w:val="20"/>
                <w:szCs w:val="20"/>
                <w:color w:val="auto"/>
              </w:rPr>
            </w:pPr>
            <w:r>
              <w:rPr>
                <w:rFonts w:ascii="Arial" w:cs="Arial" w:eastAsia="Arial" w:hAnsi="Arial"/>
                <w:sz w:val="17"/>
                <w:szCs w:val="17"/>
                <w:color w:val="auto"/>
              </w:rPr>
              <w:t>1,412,290</w:t>
            </w: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5.1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20" w:type="dxa"/>
            <w:vAlign w:val="bottom"/>
          </w:tcPr>
          <w:p>
            <w:pPr>
              <w:spacing w:after="0"/>
              <w:rPr>
                <w:sz w:val="18"/>
                <w:szCs w:val="18"/>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7"/>
                <w:szCs w:val="17"/>
                <w:color w:val="auto"/>
              </w:rPr>
              <w:t>AA- to AA+</w:t>
            </w:r>
          </w:p>
        </w:tc>
        <w:tc>
          <w:tcPr>
            <w:tcW w:w="3220" w:type="dxa"/>
            <w:vAlign w:val="bottom"/>
            <w:gridSpan w:val="3"/>
            <w:shd w:val="clear" w:color="auto" w:fill="CCEEFF"/>
          </w:tcPr>
          <w:p>
            <w:pPr>
              <w:jc w:val="right"/>
              <w:ind w:right="220"/>
              <w:spacing w:after="0"/>
              <w:rPr>
                <w:sz w:val="20"/>
                <w:szCs w:val="20"/>
                <w:color w:val="auto"/>
              </w:rPr>
            </w:pPr>
            <w:r>
              <w:rPr>
                <w:rFonts w:ascii="Arial" w:cs="Arial" w:eastAsia="Arial" w:hAnsi="Arial"/>
                <w:sz w:val="17"/>
                <w:szCs w:val="17"/>
                <w:color w:val="auto"/>
              </w:rPr>
              <w:t>1,313,967</w:t>
            </w:r>
          </w:p>
        </w:tc>
        <w:tc>
          <w:tcPr>
            <w:tcW w:w="8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4.0</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1,060,347</w:t>
            </w: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w:t>
            </w:r>
          </w:p>
        </w:tc>
        <w:tc>
          <w:tcPr>
            <w:tcW w:w="100" w:type="dxa"/>
            <w:vAlign w:val="bottom"/>
            <w:shd w:val="clear" w:color="auto" w:fill="CCEEFF"/>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20" w:type="dxa"/>
            <w:vAlign w:val="bottom"/>
          </w:tcPr>
          <w:p>
            <w:pPr>
              <w:spacing w:after="0"/>
              <w:rPr>
                <w:sz w:val="18"/>
                <w:szCs w:val="18"/>
                <w:color w:val="auto"/>
              </w:rPr>
            </w:pPr>
          </w:p>
        </w:tc>
        <w:tc>
          <w:tcPr>
            <w:tcW w:w="3600" w:type="dxa"/>
            <w:vAlign w:val="bottom"/>
          </w:tcPr>
          <w:p>
            <w:pPr>
              <w:spacing w:after="0"/>
              <w:rPr>
                <w:sz w:val="20"/>
                <w:szCs w:val="20"/>
                <w:color w:val="auto"/>
              </w:rPr>
            </w:pPr>
            <w:r>
              <w:rPr>
                <w:rFonts w:ascii="Arial" w:cs="Arial" w:eastAsia="Arial" w:hAnsi="Arial"/>
                <w:sz w:val="17"/>
                <w:szCs w:val="17"/>
                <w:color w:val="auto"/>
              </w:rPr>
              <w:t>A- to A+</w:t>
            </w:r>
          </w:p>
        </w:tc>
        <w:tc>
          <w:tcPr>
            <w:tcW w:w="3220" w:type="dxa"/>
            <w:vAlign w:val="bottom"/>
            <w:gridSpan w:val="3"/>
          </w:tcPr>
          <w:p>
            <w:pPr>
              <w:jc w:val="right"/>
              <w:ind w:right="220"/>
              <w:spacing w:after="0"/>
              <w:rPr>
                <w:sz w:val="20"/>
                <w:szCs w:val="20"/>
                <w:color w:val="auto"/>
              </w:rPr>
            </w:pPr>
            <w:r>
              <w:rPr>
                <w:rFonts w:ascii="Arial" w:cs="Arial" w:eastAsia="Arial" w:hAnsi="Arial"/>
                <w:sz w:val="17"/>
                <w:szCs w:val="17"/>
                <w:color w:val="auto"/>
              </w:rPr>
              <w:t>6,850,118</w:t>
            </w:r>
          </w:p>
        </w:tc>
        <w:tc>
          <w:tcPr>
            <w:tcW w:w="800" w:type="dxa"/>
            <w:vAlign w:val="bottom"/>
          </w:tcPr>
          <w:p>
            <w:pPr>
              <w:spacing w:after="0"/>
              <w:rPr>
                <w:sz w:val="18"/>
                <w:szCs w:val="18"/>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7"/>
                <w:szCs w:val="17"/>
                <w:color w:val="auto"/>
              </w:rPr>
              <w:t>20.9</w:t>
            </w:r>
          </w:p>
        </w:tc>
        <w:tc>
          <w:tcPr>
            <w:tcW w:w="1200" w:type="dxa"/>
            <w:vAlign w:val="bottom"/>
          </w:tcPr>
          <w:p>
            <w:pPr>
              <w:jc w:val="right"/>
              <w:spacing w:after="0"/>
              <w:rPr>
                <w:sz w:val="20"/>
                <w:szCs w:val="20"/>
                <w:color w:val="auto"/>
              </w:rPr>
            </w:pPr>
            <w:r>
              <w:rPr>
                <w:rFonts w:ascii="Arial" w:cs="Arial" w:eastAsia="Arial" w:hAnsi="Arial"/>
                <w:sz w:val="17"/>
                <w:szCs w:val="17"/>
                <w:color w:val="auto"/>
              </w:rPr>
              <w:t>5,483,403</w:t>
            </w:r>
          </w:p>
        </w:tc>
        <w:tc>
          <w:tcPr>
            <w:tcW w:w="20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7"/>
                <w:szCs w:val="17"/>
                <w:color w:val="auto"/>
              </w:rPr>
              <w:t>19.7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20" w:type="dxa"/>
            <w:vAlign w:val="bottom"/>
          </w:tcPr>
          <w:p>
            <w:pPr>
              <w:spacing w:after="0"/>
              <w:rPr>
                <w:sz w:val="18"/>
                <w:szCs w:val="18"/>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7"/>
                <w:szCs w:val="17"/>
                <w:color w:val="auto"/>
              </w:rPr>
              <w:t>BBB- to BBB+</w:t>
            </w:r>
          </w:p>
        </w:tc>
        <w:tc>
          <w:tcPr>
            <w:tcW w:w="3220" w:type="dxa"/>
            <w:vAlign w:val="bottom"/>
            <w:gridSpan w:val="3"/>
            <w:shd w:val="clear" w:color="auto" w:fill="CCEEFF"/>
          </w:tcPr>
          <w:p>
            <w:pPr>
              <w:jc w:val="right"/>
              <w:ind w:right="220"/>
              <w:spacing w:after="0"/>
              <w:rPr>
                <w:sz w:val="20"/>
                <w:szCs w:val="20"/>
                <w:color w:val="auto"/>
              </w:rPr>
            </w:pPr>
            <w:r>
              <w:rPr>
                <w:rFonts w:ascii="Arial" w:cs="Arial" w:eastAsia="Arial" w:hAnsi="Arial"/>
                <w:sz w:val="17"/>
                <w:szCs w:val="17"/>
                <w:color w:val="auto"/>
              </w:rPr>
              <w:t>2,279,478</w:t>
            </w:r>
          </w:p>
        </w:tc>
        <w:tc>
          <w:tcPr>
            <w:tcW w:w="8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7.0</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1,919,853</w:t>
            </w: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6.9</w:t>
            </w:r>
          </w:p>
        </w:tc>
        <w:tc>
          <w:tcPr>
            <w:tcW w:w="100" w:type="dxa"/>
            <w:vAlign w:val="bottom"/>
            <w:shd w:val="clear" w:color="auto" w:fill="CCEEFF"/>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20" w:type="dxa"/>
            <w:vAlign w:val="bottom"/>
          </w:tcPr>
          <w:p>
            <w:pPr>
              <w:spacing w:after="0"/>
              <w:rPr>
                <w:sz w:val="18"/>
                <w:szCs w:val="18"/>
                <w:color w:val="auto"/>
              </w:rPr>
            </w:pPr>
          </w:p>
        </w:tc>
        <w:tc>
          <w:tcPr>
            <w:tcW w:w="3600" w:type="dxa"/>
            <w:vAlign w:val="bottom"/>
          </w:tcPr>
          <w:p>
            <w:pPr>
              <w:spacing w:after="0"/>
              <w:rPr>
                <w:sz w:val="20"/>
                <w:szCs w:val="20"/>
                <w:color w:val="auto"/>
              </w:rPr>
            </w:pPr>
            <w:r>
              <w:rPr>
                <w:rFonts w:ascii="Arial" w:cs="Arial" w:eastAsia="Arial" w:hAnsi="Arial"/>
                <w:sz w:val="17"/>
                <w:szCs w:val="17"/>
                <w:color w:val="auto"/>
              </w:rPr>
              <w:t>BB- to BB+</w:t>
            </w:r>
          </w:p>
        </w:tc>
        <w:tc>
          <w:tcPr>
            <w:tcW w:w="3220" w:type="dxa"/>
            <w:vAlign w:val="bottom"/>
            <w:gridSpan w:val="3"/>
          </w:tcPr>
          <w:p>
            <w:pPr>
              <w:jc w:val="right"/>
              <w:ind w:right="220"/>
              <w:spacing w:after="0"/>
              <w:rPr>
                <w:sz w:val="20"/>
                <w:szCs w:val="20"/>
                <w:color w:val="auto"/>
              </w:rPr>
            </w:pPr>
            <w:r>
              <w:rPr>
                <w:rFonts w:ascii="Arial" w:cs="Arial" w:eastAsia="Arial" w:hAnsi="Arial"/>
                <w:sz w:val="17"/>
                <w:szCs w:val="17"/>
                <w:color w:val="auto"/>
              </w:rPr>
              <w:t>469,679</w:t>
            </w:r>
          </w:p>
        </w:tc>
        <w:tc>
          <w:tcPr>
            <w:tcW w:w="800" w:type="dxa"/>
            <w:vAlign w:val="bottom"/>
          </w:tcPr>
          <w:p>
            <w:pPr>
              <w:spacing w:after="0"/>
              <w:rPr>
                <w:sz w:val="18"/>
                <w:szCs w:val="18"/>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7"/>
                <w:szCs w:val="17"/>
                <w:color w:val="auto"/>
              </w:rPr>
              <w:t>1.4</w:t>
            </w:r>
          </w:p>
        </w:tc>
        <w:tc>
          <w:tcPr>
            <w:tcW w:w="1400" w:type="dxa"/>
            <w:vAlign w:val="bottom"/>
            <w:gridSpan w:val="2"/>
          </w:tcPr>
          <w:p>
            <w:pPr>
              <w:jc w:val="right"/>
              <w:ind w:right="200"/>
              <w:spacing w:after="0"/>
              <w:rPr>
                <w:sz w:val="20"/>
                <w:szCs w:val="20"/>
                <w:color w:val="auto"/>
              </w:rPr>
            </w:pPr>
            <w:r>
              <w:rPr>
                <w:rFonts w:ascii="Arial" w:cs="Arial" w:eastAsia="Arial" w:hAnsi="Arial"/>
                <w:sz w:val="17"/>
                <w:szCs w:val="17"/>
                <w:color w:val="auto"/>
              </w:rPr>
              <w:t>314,913</w:t>
            </w:r>
          </w:p>
        </w:tc>
        <w:tc>
          <w:tcPr>
            <w:tcW w:w="1200" w:type="dxa"/>
            <w:vAlign w:val="bottom"/>
          </w:tcPr>
          <w:p>
            <w:pPr>
              <w:jc w:val="right"/>
              <w:spacing w:after="0"/>
              <w:rPr>
                <w:sz w:val="20"/>
                <w:szCs w:val="20"/>
                <w:color w:val="auto"/>
              </w:rPr>
            </w:pPr>
            <w:r>
              <w:rPr>
                <w:rFonts w:ascii="Arial" w:cs="Arial" w:eastAsia="Arial" w:hAnsi="Arial"/>
                <w:sz w:val="17"/>
                <w:szCs w:val="17"/>
                <w:color w:val="auto"/>
              </w:rPr>
              <w:t>1.1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20" w:type="dxa"/>
            <w:vAlign w:val="bottom"/>
          </w:tcPr>
          <w:p>
            <w:pPr>
              <w:spacing w:after="0"/>
              <w:rPr>
                <w:sz w:val="18"/>
                <w:szCs w:val="18"/>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7"/>
                <w:szCs w:val="17"/>
                <w:color w:val="auto"/>
              </w:rPr>
              <w:t>Lower than +B</w:t>
            </w:r>
          </w:p>
        </w:tc>
        <w:tc>
          <w:tcPr>
            <w:tcW w:w="3220" w:type="dxa"/>
            <w:vAlign w:val="bottom"/>
            <w:gridSpan w:val="3"/>
            <w:shd w:val="clear" w:color="auto" w:fill="CCEEFF"/>
          </w:tcPr>
          <w:p>
            <w:pPr>
              <w:jc w:val="right"/>
              <w:ind w:right="220"/>
              <w:spacing w:after="0"/>
              <w:rPr>
                <w:sz w:val="20"/>
                <w:szCs w:val="20"/>
                <w:color w:val="auto"/>
              </w:rPr>
            </w:pPr>
            <w:r>
              <w:rPr>
                <w:rFonts w:ascii="Arial" w:cs="Arial" w:eastAsia="Arial" w:hAnsi="Arial"/>
                <w:sz w:val="17"/>
                <w:szCs w:val="17"/>
                <w:color w:val="auto"/>
              </w:rPr>
              <w:t>4,960</w:t>
            </w:r>
          </w:p>
        </w:tc>
        <w:tc>
          <w:tcPr>
            <w:tcW w:w="8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22,129</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0.1</w:t>
            </w:r>
          </w:p>
        </w:tc>
        <w:tc>
          <w:tcPr>
            <w:tcW w:w="100" w:type="dxa"/>
            <w:vAlign w:val="bottom"/>
            <w:shd w:val="clear" w:color="auto" w:fill="CCEEFF"/>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20" w:type="dxa"/>
            <w:vAlign w:val="bottom"/>
          </w:tcPr>
          <w:p>
            <w:pPr>
              <w:spacing w:after="0"/>
              <w:rPr>
                <w:sz w:val="18"/>
                <w:szCs w:val="18"/>
                <w:color w:val="auto"/>
              </w:rPr>
            </w:pPr>
          </w:p>
        </w:tc>
        <w:tc>
          <w:tcPr>
            <w:tcW w:w="3600" w:type="dxa"/>
            <w:vAlign w:val="bottom"/>
          </w:tcPr>
          <w:p>
            <w:pPr>
              <w:spacing w:after="0"/>
              <w:rPr>
                <w:sz w:val="20"/>
                <w:szCs w:val="20"/>
                <w:color w:val="auto"/>
              </w:rPr>
            </w:pPr>
            <w:r>
              <w:rPr>
                <w:rFonts w:ascii="Arial" w:cs="Arial" w:eastAsia="Arial" w:hAnsi="Arial"/>
                <w:sz w:val="17"/>
                <w:szCs w:val="17"/>
                <w:color w:val="auto"/>
              </w:rPr>
              <w:t>Unrated</w:t>
            </w:r>
          </w:p>
        </w:tc>
        <w:tc>
          <w:tcPr>
            <w:tcW w:w="17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20" w:type="dxa"/>
            <w:vAlign w:val="bottom"/>
          </w:tcPr>
          <w:p>
            <w:pPr>
              <w:spacing w:after="0"/>
              <w:rPr>
                <w:sz w:val="18"/>
                <w:szCs w:val="18"/>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7"/>
                <w:szCs w:val="17"/>
                <w:color w:val="auto"/>
              </w:rPr>
              <w:t>BCRP certificates of deposit</w:t>
            </w:r>
          </w:p>
        </w:tc>
        <w:tc>
          <w:tcPr>
            <w:tcW w:w="3220" w:type="dxa"/>
            <w:vAlign w:val="bottom"/>
            <w:gridSpan w:val="3"/>
            <w:shd w:val="clear" w:color="auto" w:fill="CCEEFF"/>
          </w:tcPr>
          <w:p>
            <w:pPr>
              <w:jc w:val="right"/>
              <w:ind w:right="220"/>
              <w:spacing w:after="0"/>
              <w:rPr>
                <w:sz w:val="20"/>
                <w:szCs w:val="20"/>
                <w:color w:val="auto"/>
              </w:rPr>
            </w:pPr>
            <w:r>
              <w:rPr>
                <w:rFonts w:ascii="Arial" w:cs="Arial" w:eastAsia="Arial" w:hAnsi="Arial"/>
                <w:sz w:val="17"/>
                <w:szCs w:val="17"/>
                <w:color w:val="auto"/>
              </w:rPr>
              <w:t>10,026,038</w:t>
            </w:r>
          </w:p>
        </w:tc>
        <w:tc>
          <w:tcPr>
            <w:tcW w:w="8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30.5</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7,066,653</w:t>
            </w:r>
          </w:p>
        </w:tc>
        <w:tc>
          <w:tcPr>
            <w:tcW w:w="2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25.4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20" w:type="dxa"/>
            <w:vAlign w:val="bottom"/>
          </w:tcPr>
          <w:p>
            <w:pPr>
              <w:spacing w:after="0"/>
              <w:rPr>
                <w:sz w:val="18"/>
                <w:szCs w:val="18"/>
                <w:color w:val="auto"/>
              </w:rPr>
            </w:pPr>
          </w:p>
        </w:tc>
        <w:tc>
          <w:tcPr>
            <w:tcW w:w="3600" w:type="dxa"/>
            <w:vAlign w:val="bottom"/>
          </w:tcPr>
          <w:p>
            <w:pPr>
              <w:spacing w:after="0"/>
              <w:rPr>
                <w:sz w:val="20"/>
                <w:szCs w:val="20"/>
                <w:color w:val="auto"/>
              </w:rPr>
            </w:pPr>
            <w:r>
              <w:rPr>
                <w:rFonts w:ascii="Arial" w:cs="Arial" w:eastAsia="Arial" w:hAnsi="Arial"/>
                <w:sz w:val="17"/>
                <w:szCs w:val="17"/>
                <w:color w:val="auto"/>
              </w:rPr>
              <w:t>Listed and unlisted securities</w:t>
            </w:r>
          </w:p>
        </w:tc>
        <w:tc>
          <w:tcPr>
            <w:tcW w:w="3220" w:type="dxa"/>
            <w:vAlign w:val="bottom"/>
            <w:gridSpan w:val="3"/>
          </w:tcPr>
          <w:p>
            <w:pPr>
              <w:jc w:val="right"/>
              <w:ind w:right="220"/>
              <w:spacing w:after="0"/>
              <w:rPr>
                <w:sz w:val="20"/>
                <w:szCs w:val="20"/>
                <w:color w:val="auto"/>
              </w:rPr>
            </w:pPr>
            <w:r>
              <w:rPr>
                <w:rFonts w:ascii="Arial" w:cs="Arial" w:eastAsia="Arial" w:hAnsi="Arial"/>
                <w:sz w:val="17"/>
                <w:szCs w:val="17"/>
                <w:color w:val="auto"/>
              </w:rPr>
              <w:t>702,384</w:t>
            </w:r>
          </w:p>
        </w:tc>
        <w:tc>
          <w:tcPr>
            <w:tcW w:w="800" w:type="dxa"/>
            <w:vAlign w:val="bottom"/>
          </w:tcPr>
          <w:p>
            <w:pPr>
              <w:spacing w:after="0"/>
              <w:rPr>
                <w:sz w:val="18"/>
                <w:szCs w:val="18"/>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7"/>
                <w:szCs w:val="17"/>
                <w:color w:val="auto"/>
              </w:rPr>
              <w:t>2.1</w:t>
            </w:r>
          </w:p>
        </w:tc>
        <w:tc>
          <w:tcPr>
            <w:tcW w:w="1400" w:type="dxa"/>
            <w:vAlign w:val="bottom"/>
            <w:gridSpan w:val="2"/>
          </w:tcPr>
          <w:p>
            <w:pPr>
              <w:jc w:val="right"/>
              <w:ind w:right="200"/>
              <w:spacing w:after="0"/>
              <w:rPr>
                <w:sz w:val="20"/>
                <w:szCs w:val="20"/>
                <w:color w:val="auto"/>
              </w:rPr>
            </w:pPr>
            <w:r>
              <w:rPr>
                <w:rFonts w:ascii="Arial" w:cs="Arial" w:eastAsia="Arial" w:hAnsi="Arial"/>
                <w:sz w:val="17"/>
                <w:szCs w:val="17"/>
                <w:color w:val="auto"/>
              </w:rPr>
              <w:t>796,961</w:t>
            </w:r>
          </w:p>
        </w:tc>
        <w:tc>
          <w:tcPr>
            <w:tcW w:w="1200" w:type="dxa"/>
            <w:vAlign w:val="bottom"/>
          </w:tcPr>
          <w:p>
            <w:pPr>
              <w:jc w:val="right"/>
              <w:spacing w:after="0"/>
              <w:rPr>
                <w:sz w:val="20"/>
                <w:szCs w:val="20"/>
                <w:color w:val="auto"/>
              </w:rPr>
            </w:pPr>
            <w:r>
              <w:rPr>
                <w:rFonts w:ascii="Arial" w:cs="Arial" w:eastAsia="Arial" w:hAnsi="Arial"/>
                <w:sz w:val="17"/>
                <w:szCs w:val="17"/>
                <w:color w:val="auto"/>
              </w:rPr>
              <w:t>2.9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20" w:type="dxa"/>
            <w:vAlign w:val="bottom"/>
          </w:tcPr>
          <w:p>
            <w:pPr>
              <w:spacing w:after="0"/>
              <w:rPr>
                <w:sz w:val="18"/>
                <w:szCs w:val="18"/>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7"/>
                <w:szCs w:val="17"/>
                <w:color w:val="auto"/>
              </w:rPr>
              <w:t>Restricted mutual funds</w:t>
            </w:r>
          </w:p>
        </w:tc>
        <w:tc>
          <w:tcPr>
            <w:tcW w:w="3220" w:type="dxa"/>
            <w:vAlign w:val="bottom"/>
            <w:gridSpan w:val="3"/>
            <w:shd w:val="clear" w:color="auto" w:fill="CCEEFF"/>
          </w:tcPr>
          <w:p>
            <w:pPr>
              <w:jc w:val="right"/>
              <w:ind w:right="220"/>
              <w:spacing w:after="0"/>
              <w:rPr>
                <w:sz w:val="20"/>
                <w:szCs w:val="20"/>
                <w:color w:val="auto"/>
              </w:rPr>
            </w:pPr>
            <w:r>
              <w:rPr>
                <w:rFonts w:ascii="Arial" w:cs="Arial" w:eastAsia="Arial" w:hAnsi="Arial"/>
                <w:sz w:val="17"/>
                <w:szCs w:val="17"/>
                <w:color w:val="auto"/>
              </w:rPr>
              <w:t>425,300</w:t>
            </w:r>
          </w:p>
        </w:tc>
        <w:tc>
          <w:tcPr>
            <w:tcW w:w="8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1.3</w:t>
            </w: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368,418</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w:t>
            </w:r>
          </w:p>
        </w:tc>
        <w:tc>
          <w:tcPr>
            <w:tcW w:w="100" w:type="dxa"/>
            <w:vAlign w:val="bottom"/>
            <w:shd w:val="clear" w:color="auto" w:fill="CCEEFF"/>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20" w:type="dxa"/>
            <w:vAlign w:val="bottom"/>
          </w:tcPr>
          <w:p>
            <w:pPr>
              <w:spacing w:after="0"/>
              <w:rPr>
                <w:sz w:val="18"/>
                <w:szCs w:val="18"/>
                <w:color w:val="auto"/>
              </w:rPr>
            </w:pPr>
          </w:p>
        </w:tc>
        <w:tc>
          <w:tcPr>
            <w:tcW w:w="3600" w:type="dxa"/>
            <w:vAlign w:val="bottom"/>
          </w:tcPr>
          <w:p>
            <w:pPr>
              <w:spacing w:after="0"/>
              <w:rPr>
                <w:sz w:val="20"/>
                <w:szCs w:val="20"/>
                <w:color w:val="auto"/>
              </w:rPr>
            </w:pPr>
            <w:r>
              <w:rPr>
                <w:rFonts w:ascii="Arial" w:cs="Arial" w:eastAsia="Arial" w:hAnsi="Arial"/>
                <w:sz w:val="17"/>
                <w:szCs w:val="17"/>
                <w:color w:val="auto"/>
              </w:rPr>
              <w:t>Mutual funds</w:t>
            </w:r>
          </w:p>
        </w:tc>
        <w:tc>
          <w:tcPr>
            <w:tcW w:w="3220" w:type="dxa"/>
            <w:vAlign w:val="bottom"/>
            <w:gridSpan w:val="3"/>
          </w:tcPr>
          <w:p>
            <w:pPr>
              <w:jc w:val="right"/>
              <w:ind w:right="220"/>
              <w:spacing w:after="0"/>
              <w:rPr>
                <w:sz w:val="20"/>
                <w:szCs w:val="20"/>
                <w:color w:val="auto"/>
              </w:rPr>
            </w:pPr>
            <w:r>
              <w:rPr>
                <w:rFonts w:ascii="Arial" w:cs="Arial" w:eastAsia="Arial" w:hAnsi="Arial"/>
                <w:sz w:val="17"/>
                <w:szCs w:val="17"/>
                <w:color w:val="auto"/>
              </w:rPr>
              <w:t>167,607</w:t>
            </w:r>
          </w:p>
        </w:tc>
        <w:tc>
          <w:tcPr>
            <w:tcW w:w="800" w:type="dxa"/>
            <w:vAlign w:val="bottom"/>
          </w:tcPr>
          <w:p>
            <w:pPr>
              <w:spacing w:after="0"/>
              <w:rPr>
                <w:sz w:val="18"/>
                <w:szCs w:val="18"/>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7"/>
                <w:szCs w:val="17"/>
                <w:color w:val="auto"/>
              </w:rPr>
              <w:t>0.5</w:t>
            </w:r>
          </w:p>
        </w:tc>
        <w:tc>
          <w:tcPr>
            <w:tcW w:w="1400" w:type="dxa"/>
            <w:vAlign w:val="bottom"/>
            <w:gridSpan w:val="2"/>
          </w:tcPr>
          <w:p>
            <w:pPr>
              <w:jc w:val="right"/>
              <w:ind w:right="200"/>
              <w:spacing w:after="0"/>
              <w:rPr>
                <w:sz w:val="20"/>
                <w:szCs w:val="20"/>
                <w:color w:val="auto"/>
              </w:rPr>
            </w:pPr>
            <w:r>
              <w:rPr>
                <w:rFonts w:ascii="Arial" w:cs="Arial" w:eastAsia="Arial" w:hAnsi="Arial"/>
                <w:sz w:val="17"/>
                <w:szCs w:val="17"/>
                <w:color w:val="auto"/>
              </w:rPr>
              <w:t>50,314</w:t>
            </w:r>
          </w:p>
        </w:tc>
        <w:tc>
          <w:tcPr>
            <w:tcW w:w="1200" w:type="dxa"/>
            <w:vAlign w:val="bottom"/>
          </w:tcPr>
          <w:p>
            <w:pPr>
              <w:jc w:val="right"/>
              <w:spacing w:after="0"/>
              <w:rPr>
                <w:sz w:val="20"/>
                <w:szCs w:val="20"/>
                <w:color w:val="auto"/>
              </w:rPr>
            </w:pPr>
            <w:r>
              <w:rPr>
                <w:rFonts w:ascii="Arial" w:cs="Arial" w:eastAsia="Arial" w:hAnsi="Arial"/>
                <w:sz w:val="17"/>
                <w:szCs w:val="17"/>
                <w:color w:val="auto"/>
              </w:rPr>
              <w:t>0.2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320" w:type="dxa"/>
            <w:vAlign w:val="bottom"/>
          </w:tcPr>
          <w:p>
            <w:pPr>
              <w:spacing w:after="0"/>
              <w:rPr>
                <w:sz w:val="19"/>
                <w:szCs w:val="19"/>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7"/>
                <w:szCs w:val="17"/>
                <w:color w:val="auto"/>
              </w:rPr>
              <w:t>Other instruments</w:t>
            </w:r>
          </w:p>
        </w:tc>
        <w:tc>
          <w:tcPr>
            <w:tcW w:w="17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29,181</w:t>
            </w: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0.1</w:t>
            </w:r>
          </w:p>
        </w:tc>
        <w:tc>
          <w:tcPr>
            <w:tcW w:w="20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90,407</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0.3</w:t>
            </w:r>
          </w:p>
        </w:tc>
        <w:tc>
          <w:tcPr>
            <w:tcW w:w="100" w:type="dxa"/>
            <w:vAlign w:val="bottom"/>
            <w:shd w:val="clear" w:color="auto" w:fill="CCEEFF"/>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3600" w:type="dxa"/>
            <w:vAlign w:val="bottom"/>
            <w:vMerge w:val="restart"/>
          </w:tcPr>
          <w:p>
            <w:pPr>
              <w:spacing w:after="0"/>
              <w:rPr>
                <w:sz w:val="20"/>
                <w:szCs w:val="20"/>
                <w:color w:val="auto"/>
              </w:rPr>
            </w:pPr>
            <w:r>
              <w:rPr>
                <w:rFonts w:ascii="Arial" w:cs="Arial" w:eastAsia="Arial" w:hAnsi="Arial"/>
                <w:sz w:val="17"/>
                <w:szCs w:val="17"/>
                <w:b w:val="1"/>
                <w:bCs w:val="1"/>
                <w:color w:val="auto"/>
              </w:rPr>
              <w:t>Subtotal</w:t>
            </w:r>
          </w:p>
        </w:tc>
        <w:tc>
          <w:tcPr>
            <w:tcW w:w="178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320" w:type="dxa"/>
            <w:vAlign w:val="bottom"/>
          </w:tcPr>
          <w:p>
            <w:pPr>
              <w:spacing w:after="0"/>
              <w:rPr>
                <w:sz w:val="18"/>
                <w:szCs w:val="18"/>
                <w:color w:val="auto"/>
              </w:rPr>
            </w:pPr>
          </w:p>
        </w:tc>
        <w:tc>
          <w:tcPr>
            <w:tcW w:w="3600" w:type="dxa"/>
            <w:vAlign w:val="bottom"/>
            <w:vMerge w:val="continue"/>
          </w:tcPr>
          <w:p>
            <w:pPr>
              <w:spacing w:after="0"/>
              <w:rPr>
                <w:sz w:val="18"/>
                <w:szCs w:val="18"/>
                <w:color w:val="auto"/>
              </w:rPr>
            </w:pPr>
          </w:p>
        </w:tc>
        <w:tc>
          <w:tcPr>
            <w:tcW w:w="17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23,523,655</w:t>
            </w: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7"/>
                <w:szCs w:val="17"/>
                <w:color w:val="auto"/>
              </w:rPr>
              <w:t>71.6</w:t>
            </w:r>
          </w:p>
        </w:tc>
        <w:tc>
          <w:tcPr>
            <w:tcW w:w="200" w:type="dxa"/>
            <w:vAlign w:val="bottom"/>
          </w:tcPr>
          <w:p>
            <w:pPr>
              <w:spacing w:after="0"/>
              <w:rPr>
                <w:sz w:val="18"/>
                <w:szCs w:val="18"/>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7"/>
                <w:szCs w:val="17"/>
                <w:color w:val="auto"/>
              </w:rPr>
              <w:t>18,585,688</w:t>
            </w:r>
          </w:p>
        </w:tc>
        <w:tc>
          <w:tcPr>
            <w:tcW w:w="1300" w:type="dxa"/>
            <w:vAlign w:val="bottom"/>
            <w:gridSpan w:val="2"/>
          </w:tcPr>
          <w:p>
            <w:pPr>
              <w:jc w:val="right"/>
              <w:ind w:right="100"/>
              <w:spacing w:after="0"/>
              <w:rPr>
                <w:sz w:val="20"/>
                <w:szCs w:val="20"/>
                <w:color w:val="auto"/>
              </w:rPr>
            </w:pPr>
            <w:r>
              <w:rPr>
                <w:rFonts w:ascii="Arial" w:cs="Arial" w:eastAsia="Arial" w:hAnsi="Arial"/>
                <w:sz w:val="17"/>
                <w:szCs w:val="17"/>
                <w:color w:val="auto"/>
              </w:rPr>
              <w:t>66.8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3"/>
        </w:trPr>
        <w:tc>
          <w:tcPr>
            <w:tcW w:w="320" w:type="dxa"/>
            <w:vAlign w:val="bottom"/>
            <w:tcBorders>
              <w:bottom w:val="single" w:sz="8" w:color="auto"/>
            </w:tcBorders>
          </w:tcPr>
          <w:p>
            <w:pPr>
              <w:spacing w:after="0"/>
              <w:rPr>
                <w:sz w:val="24"/>
                <w:szCs w:val="24"/>
                <w:color w:val="auto"/>
              </w:rPr>
            </w:pPr>
          </w:p>
        </w:tc>
        <w:tc>
          <w:tcPr>
            <w:tcW w:w="3600" w:type="dxa"/>
            <w:vAlign w:val="bottom"/>
            <w:tcBorders>
              <w:bottom w:val="single" w:sz="8" w:color="auto"/>
            </w:tcBorders>
          </w:tcPr>
          <w:p>
            <w:pPr>
              <w:spacing w:after="0"/>
              <w:rPr>
                <w:sz w:val="24"/>
                <w:szCs w:val="24"/>
                <w:color w:val="auto"/>
              </w:rPr>
            </w:pPr>
          </w:p>
        </w:tc>
        <w:tc>
          <w:tcPr>
            <w:tcW w:w="3000" w:type="dxa"/>
            <w:vAlign w:val="bottom"/>
            <w:tcBorders>
              <w:bottom w:val="single" w:sz="8" w:color="auto"/>
            </w:tcBorders>
            <w:gridSpan w:val="2"/>
          </w:tcPr>
          <w:p>
            <w:pPr>
              <w:jc w:val="right"/>
              <w:ind w:right="873"/>
              <w:spacing w:after="0"/>
              <w:rPr>
                <w:sz w:val="20"/>
                <w:szCs w:val="20"/>
                <w:color w:val="auto"/>
              </w:rPr>
            </w:pPr>
            <w:r>
              <w:rPr>
                <w:rFonts w:ascii="Arial" w:cs="Arial" w:eastAsia="Arial" w:hAnsi="Arial"/>
                <w:sz w:val="17"/>
                <w:szCs w:val="17"/>
                <w:color w:val="auto"/>
              </w:rPr>
              <w:t>- 120 -</w:t>
            </w:r>
          </w:p>
        </w:tc>
        <w:tc>
          <w:tcPr>
            <w:tcW w:w="2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81" w:right="239" w:bottom="1440" w:gutter="0" w:footer="0" w:header="0"/>
        </w:sectPr>
      </w:pPr>
    </w:p>
    <w:bookmarkStart w:id="126" w:name="page127"/>
    <w:bookmarkEnd w:id="12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320" w:type="dxa"/>
            <w:vAlign w:val="bottom"/>
          </w:tcPr>
          <w:p>
            <w:pPr>
              <w:spacing w:after="0"/>
              <w:rPr>
                <w:sz w:val="19"/>
                <w:szCs w:val="19"/>
                <w:color w:val="auto"/>
              </w:rPr>
            </w:pPr>
          </w:p>
        </w:tc>
        <w:tc>
          <w:tcPr>
            <w:tcW w:w="4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200" w:type="dxa"/>
            <w:vAlign w:val="bottom"/>
            <w:gridSpan w:val="3"/>
          </w:tcPr>
          <w:p>
            <w:pPr>
              <w:jc w:val="right"/>
              <w:spacing w:after="0"/>
              <w:rPr>
                <w:sz w:val="20"/>
                <w:szCs w:val="20"/>
                <w:color w:val="auto"/>
              </w:rPr>
            </w:pPr>
            <w:r>
              <w:rPr>
                <w:rFonts w:ascii="Arial" w:cs="Arial" w:eastAsia="Arial" w:hAnsi="Arial"/>
                <w:sz w:val="17"/>
                <w:szCs w:val="17"/>
                <w:b w:val="1"/>
                <w:bCs w:val="1"/>
                <w:color w:val="auto"/>
              </w:rPr>
              <w:t>At December 31, 2017</w:t>
            </w:r>
          </w:p>
        </w:tc>
        <w:tc>
          <w:tcPr>
            <w:tcW w:w="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700" w:type="dxa"/>
            <w:vAlign w:val="bottom"/>
            <w:gridSpan w:val="4"/>
          </w:tcPr>
          <w:p>
            <w:pPr>
              <w:ind w:left="500"/>
              <w:spacing w:after="0"/>
              <w:rPr>
                <w:sz w:val="20"/>
                <w:szCs w:val="20"/>
                <w:color w:val="auto"/>
              </w:rPr>
            </w:pPr>
            <w:r>
              <w:rPr>
                <w:rFonts w:ascii="Arial" w:cs="Arial" w:eastAsia="Arial" w:hAnsi="Arial"/>
                <w:sz w:val="17"/>
                <w:szCs w:val="17"/>
                <w:b w:val="1"/>
                <w:bCs w:val="1"/>
                <w:color w:val="auto"/>
              </w:rPr>
              <w:t>At December 31, 2016</w:t>
            </w:r>
          </w:p>
        </w:tc>
        <w:tc>
          <w:tcPr>
            <w:tcW w:w="160" w:type="dxa"/>
            <w:vAlign w:val="bottom"/>
          </w:tcPr>
          <w:p>
            <w:pPr>
              <w:spacing w:after="0"/>
              <w:rPr>
                <w:sz w:val="19"/>
                <w:szCs w:val="19"/>
                <w:color w:val="auto"/>
              </w:rPr>
            </w:pPr>
          </w:p>
        </w:tc>
      </w:tr>
      <w:tr>
        <w:trPr>
          <w:trHeight w:val="219"/>
        </w:trPr>
        <w:tc>
          <w:tcPr>
            <w:tcW w:w="320" w:type="dxa"/>
            <w:vAlign w:val="bottom"/>
          </w:tcPr>
          <w:p>
            <w:pPr>
              <w:spacing w:after="0"/>
              <w:rPr>
                <w:sz w:val="19"/>
                <w:szCs w:val="19"/>
                <w:color w:val="auto"/>
              </w:rPr>
            </w:pPr>
          </w:p>
        </w:tc>
        <w:tc>
          <w:tcPr>
            <w:tcW w:w="4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440" w:type="dxa"/>
            <w:vAlign w:val="bottom"/>
            <w:tcBorders>
              <w:top w:val="single" w:sz="8" w:color="auto"/>
            </w:tcBorders>
            <w:gridSpan w:val="2"/>
          </w:tcPr>
          <w:p>
            <w:pPr>
              <w:ind w:left="340"/>
              <w:spacing w:after="0"/>
              <w:rPr>
                <w:sz w:val="20"/>
                <w:szCs w:val="20"/>
                <w:color w:val="auto"/>
              </w:rPr>
            </w:pPr>
            <w:r>
              <w:rPr>
                <w:rFonts w:ascii="Arial" w:cs="Arial" w:eastAsia="Arial" w:hAnsi="Arial"/>
                <w:sz w:val="17"/>
                <w:szCs w:val="17"/>
                <w:b w:val="1"/>
                <w:bCs w:val="1"/>
                <w:color w:val="auto"/>
              </w:rPr>
              <w:t>S/(000)</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7"/>
                <w:szCs w:val="17"/>
                <w:b w:val="1"/>
                <w:bCs w:val="1"/>
                <w:color w:val="auto"/>
              </w:rPr>
              <w:t>%</w:t>
            </w:r>
          </w:p>
        </w:tc>
        <w:tc>
          <w:tcPr>
            <w:tcW w:w="46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tcBorders>
              <w:top w:val="single" w:sz="8" w:color="auto"/>
            </w:tcBorders>
            <w:gridSpan w:val="2"/>
          </w:tcPr>
          <w:p>
            <w:pPr>
              <w:jc w:val="right"/>
              <w:ind w:right="540"/>
              <w:spacing w:after="0"/>
              <w:rPr>
                <w:sz w:val="20"/>
                <w:szCs w:val="20"/>
                <w:color w:val="auto"/>
              </w:rPr>
            </w:pPr>
            <w:r>
              <w:rPr>
                <w:rFonts w:ascii="Arial" w:cs="Arial" w:eastAsia="Arial" w:hAnsi="Arial"/>
                <w:sz w:val="17"/>
                <w:szCs w:val="17"/>
                <w:b w:val="1"/>
                <w:bCs w:val="1"/>
                <w:color w:val="auto"/>
              </w:rPr>
              <w:t>S/(000)</w:t>
            </w:r>
          </w:p>
        </w:tc>
        <w:tc>
          <w:tcPr>
            <w:tcW w:w="1200" w:type="dxa"/>
            <w:vAlign w:val="bottom"/>
            <w:tcBorders>
              <w:top w:val="single" w:sz="8" w:color="auto"/>
            </w:tcBorders>
          </w:tcPr>
          <w:p>
            <w:pPr>
              <w:jc w:val="right"/>
              <w:ind w:right="413"/>
              <w:spacing w:after="0"/>
              <w:rPr>
                <w:sz w:val="20"/>
                <w:szCs w:val="20"/>
                <w:color w:val="auto"/>
              </w:rPr>
            </w:pPr>
            <w:r>
              <w:rPr>
                <w:rFonts w:ascii="Arial" w:cs="Arial" w:eastAsia="Arial" w:hAnsi="Arial"/>
                <w:sz w:val="17"/>
                <w:szCs w:val="17"/>
                <w:b w:val="1"/>
                <w:bCs w:val="1"/>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189"/>
        </w:trPr>
        <w:tc>
          <w:tcPr>
            <w:tcW w:w="320" w:type="dxa"/>
            <w:vAlign w:val="bottom"/>
          </w:tcPr>
          <w:p>
            <w:pPr>
              <w:spacing w:after="0"/>
              <w:rPr>
                <w:sz w:val="16"/>
                <w:szCs w:val="16"/>
                <w:color w:val="auto"/>
              </w:rPr>
            </w:pPr>
          </w:p>
        </w:tc>
        <w:tc>
          <w:tcPr>
            <w:tcW w:w="42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208"/>
        </w:trPr>
        <w:tc>
          <w:tcPr>
            <w:tcW w:w="32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Instruments rated abroad:</w:t>
            </w:r>
          </w:p>
        </w:tc>
        <w:tc>
          <w:tcPr>
            <w:tcW w:w="11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Pr>
          <w:p>
            <w:pPr>
              <w:spacing w:after="0"/>
              <w:rPr>
                <w:sz w:val="18"/>
                <w:szCs w:val="18"/>
                <w:color w:val="auto"/>
              </w:rPr>
            </w:pPr>
          </w:p>
        </w:tc>
      </w:tr>
      <w:tr>
        <w:trPr>
          <w:trHeight w:val="208"/>
        </w:trPr>
        <w:tc>
          <w:tcPr>
            <w:tcW w:w="320" w:type="dxa"/>
            <w:vAlign w:val="bottom"/>
          </w:tcPr>
          <w:p>
            <w:pPr>
              <w:spacing w:after="0"/>
              <w:rPr>
                <w:sz w:val="18"/>
                <w:szCs w:val="18"/>
                <w:color w:val="auto"/>
              </w:rPr>
            </w:pPr>
          </w:p>
        </w:tc>
        <w:tc>
          <w:tcPr>
            <w:tcW w:w="4200" w:type="dxa"/>
            <w:vAlign w:val="bottom"/>
          </w:tcPr>
          <w:p>
            <w:pPr>
              <w:spacing w:after="0"/>
              <w:rPr>
                <w:sz w:val="20"/>
                <w:szCs w:val="20"/>
                <w:color w:val="auto"/>
              </w:rPr>
            </w:pPr>
            <w:r>
              <w:rPr>
                <w:rFonts w:ascii="Arial" w:cs="Arial" w:eastAsia="Arial" w:hAnsi="Arial"/>
                <w:sz w:val="17"/>
                <w:szCs w:val="17"/>
                <w:color w:val="auto"/>
              </w:rPr>
              <w:t>AAA</w:t>
            </w:r>
          </w:p>
        </w:tc>
        <w:tc>
          <w:tcPr>
            <w:tcW w:w="2620" w:type="dxa"/>
            <w:vAlign w:val="bottom"/>
            <w:gridSpan w:val="3"/>
          </w:tcPr>
          <w:p>
            <w:pPr>
              <w:jc w:val="right"/>
              <w:ind w:right="220"/>
              <w:spacing w:after="0"/>
              <w:rPr>
                <w:sz w:val="20"/>
                <w:szCs w:val="20"/>
                <w:color w:val="auto"/>
              </w:rPr>
            </w:pPr>
            <w:r>
              <w:rPr>
                <w:rFonts w:ascii="Arial" w:cs="Arial" w:eastAsia="Arial" w:hAnsi="Arial"/>
                <w:sz w:val="17"/>
                <w:szCs w:val="17"/>
                <w:color w:val="auto"/>
              </w:rPr>
              <w:t>467,654</w:t>
            </w:r>
          </w:p>
        </w:tc>
        <w:tc>
          <w:tcPr>
            <w:tcW w:w="76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7"/>
                <w:szCs w:val="17"/>
                <w:color w:val="auto"/>
              </w:rPr>
              <w:t>1.4</w:t>
            </w:r>
          </w:p>
        </w:tc>
        <w:tc>
          <w:tcPr>
            <w:tcW w:w="1400" w:type="dxa"/>
            <w:vAlign w:val="bottom"/>
            <w:gridSpan w:val="2"/>
          </w:tcPr>
          <w:p>
            <w:pPr>
              <w:jc w:val="right"/>
              <w:ind w:right="200"/>
              <w:spacing w:after="0"/>
              <w:rPr>
                <w:sz w:val="20"/>
                <w:szCs w:val="20"/>
                <w:color w:val="auto"/>
              </w:rPr>
            </w:pPr>
            <w:r>
              <w:rPr>
                <w:rFonts w:ascii="Arial" w:cs="Arial" w:eastAsia="Arial" w:hAnsi="Arial"/>
                <w:sz w:val="17"/>
                <w:szCs w:val="17"/>
                <w:color w:val="auto"/>
              </w:rPr>
              <w:t>1,385,911</w:t>
            </w:r>
          </w:p>
        </w:tc>
        <w:tc>
          <w:tcPr>
            <w:tcW w:w="1200" w:type="dxa"/>
            <w:vAlign w:val="bottom"/>
          </w:tcPr>
          <w:p>
            <w:pPr>
              <w:jc w:val="right"/>
              <w:spacing w:after="0"/>
              <w:rPr>
                <w:sz w:val="20"/>
                <w:szCs w:val="20"/>
                <w:color w:val="auto"/>
              </w:rPr>
            </w:pPr>
            <w:r>
              <w:rPr>
                <w:rFonts w:ascii="Arial" w:cs="Arial" w:eastAsia="Arial" w:hAnsi="Arial"/>
                <w:sz w:val="17"/>
                <w:szCs w:val="17"/>
                <w:color w:val="auto"/>
              </w:rPr>
              <w:t>5.0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08"/>
        </w:trPr>
        <w:tc>
          <w:tcPr>
            <w:tcW w:w="32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7"/>
                <w:szCs w:val="17"/>
                <w:color w:val="auto"/>
              </w:rPr>
              <w:t>AA- to AA+</w:t>
            </w:r>
          </w:p>
        </w:tc>
        <w:tc>
          <w:tcPr>
            <w:tcW w:w="2620" w:type="dxa"/>
            <w:vAlign w:val="bottom"/>
            <w:gridSpan w:val="3"/>
            <w:shd w:val="clear" w:color="auto" w:fill="CCEEFF"/>
          </w:tcPr>
          <w:p>
            <w:pPr>
              <w:jc w:val="right"/>
              <w:ind w:right="220"/>
              <w:spacing w:after="0"/>
              <w:rPr>
                <w:sz w:val="20"/>
                <w:szCs w:val="20"/>
                <w:color w:val="auto"/>
              </w:rPr>
            </w:pPr>
            <w:r>
              <w:rPr>
                <w:rFonts w:ascii="Arial" w:cs="Arial" w:eastAsia="Arial" w:hAnsi="Arial"/>
                <w:sz w:val="17"/>
                <w:szCs w:val="17"/>
                <w:color w:val="auto"/>
              </w:rPr>
              <w:t>1,040,411</w:t>
            </w:r>
          </w:p>
        </w:tc>
        <w:tc>
          <w:tcPr>
            <w:tcW w:w="7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3.2</w:t>
            </w: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677,042</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w:t>
            </w:r>
          </w:p>
        </w:tc>
        <w:tc>
          <w:tcPr>
            <w:tcW w:w="100" w:type="dxa"/>
            <w:vAlign w:val="bottom"/>
            <w:shd w:val="clear" w:color="auto" w:fill="CCEEFF"/>
          </w:tcPr>
          <w:p>
            <w:pPr>
              <w:spacing w:after="0"/>
              <w:rPr>
                <w:sz w:val="18"/>
                <w:szCs w:val="18"/>
                <w:color w:val="auto"/>
              </w:rPr>
            </w:pPr>
          </w:p>
        </w:tc>
        <w:tc>
          <w:tcPr>
            <w:tcW w:w="160" w:type="dxa"/>
            <w:vAlign w:val="bottom"/>
          </w:tcPr>
          <w:p>
            <w:pPr>
              <w:spacing w:after="0"/>
              <w:rPr>
                <w:sz w:val="18"/>
                <w:szCs w:val="18"/>
                <w:color w:val="auto"/>
              </w:rPr>
            </w:pPr>
          </w:p>
        </w:tc>
      </w:tr>
      <w:tr>
        <w:trPr>
          <w:trHeight w:val="208"/>
        </w:trPr>
        <w:tc>
          <w:tcPr>
            <w:tcW w:w="320" w:type="dxa"/>
            <w:vAlign w:val="bottom"/>
          </w:tcPr>
          <w:p>
            <w:pPr>
              <w:spacing w:after="0"/>
              <w:rPr>
                <w:sz w:val="18"/>
                <w:szCs w:val="18"/>
                <w:color w:val="auto"/>
              </w:rPr>
            </w:pPr>
          </w:p>
        </w:tc>
        <w:tc>
          <w:tcPr>
            <w:tcW w:w="4200" w:type="dxa"/>
            <w:vAlign w:val="bottom"/>
          </w:tcPr>
          <w:p>
            <w:pPr>
              <w:spacing w:after="0"/>
              <w:rPr>
                <w:sz w:val="20"/>
                <w:szCs w:val="20"/>
                <w:color w:val="auto"/>
              </w:rPr>
            </w:pPr>
            <w:r>
              <w:rPr>
                <w:rFonts w:ascii="Arial" w:cs="Arial" w:eastAsia="Arial" w:hAnsi="Arial"/>
                <w:sz w:val="17"/>
                <w:szCs w:val="17"/>
                <w:color w:val="auto"/>
              </w:rPr>
              <w:t>A- to A+</w:t>
            </w:r>
          </w:p>
        </w:tc>
        <w:tc>
          <w:tcPr>
            <w:tcW w:w="2620" w:type="dxa"/>
            <w:vAlign w:val="bottom"/>
            <w:gridSpan w:val="3"/>
          </w:tcPr>
          <w:p>
            <w:pPr>
              <w:jc w:val="right"/>
              <w:ind w:right="220"/>
              <w:spacing w:after="0"/>
              <w:rPr>
                <w:sz w:val="20"/>
                <w:szCs w:val="20"/>
                <w:color w:val="auto"/>
              </w:rPr>
            </w:pPr>
            <w:r>
              <w:rPr>
                <w:rFonts w:ascii="Arial" w:cs="Arial" w:eastAsia="Arial" w:hAnsi="Arial"/>
                <w:sz w:val="17"/>
                <w:szCs w:val="17"/>
                <w:color w:val="auto"/>
              </w:rPr>
              <w:t>1,434,598</w:t>
            </w:r>
          </w:p>
        </w:tc>
        <w:tc>
          <w:tcPr>
            <w:tcW w:w="76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7"/>
                <w:szCs w:val="17"/>
                <w:color w:val="auto"/>
              </w:rPr>
              <w:t>4.4</w:t>
            </w:r>
          </w:p>
        </w:tc>
        <w:tc>
          <w:tcPr>
            <w:tcW w:w="1200" w:type="dxa"/>
            <w:vAlign w:val="bottom"/>
          </w:tcPr>
          <w:p>
            <w:pPr>
              <w:jc w:val="right"/>
              <w:spacing w:after="0"/>
              <w:rPr>
                <w:sz w:val="20"/>
                <w:szCs w:val="20"/>
                <w:color w:val="auto"/>
              </w:rPr>
            </w:pPr>
            <w:r>
              <w:rPr>
                <w:rFonts w:ascii="Arial" w:cs="Arial" w:eastAsia="Arial" w:hAnsi="Arial"/>
                <w:sz w:val="17"/>
                <w:szCs w:val="17"/>
                <w:color w:val="auto"/>
              </w:rPr>
              <w:t>1,298,815</w:t>
            </w: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4.8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08"/>
        </w:trPr>
        <w:tc>
          <w:tcPr>
            <w:tcW w:w="32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7"/>
                <w:szCs w:val="17"/>
                <w:color w:val="auto"/>
              </w:rPr>
              <w:t>BBB- to BBB+</w:t>
            </w:r>
          </w:p>
        </w:tc>
        <w:tc>
          <w:tcPr>
            <w:tcW w:w="2620" w:type="dxa"/>
            <w:vAlign w:val="bottom"/>
            <w:gridSpan w:val="3"/>
            <w:shd w:val="clear" w:color="auto" w:fill="CCEEFF"/>
          </w:tcPr>
          <w:p>
            <w:pPr>
              <w:jc w:val="right"/>
              <w:ind w:right="220"/>
              <w:spacing w:after="0"/>
              <w:rPr>
                <w:sz w:val="20"/>
                <w:szCs w:val="20"/>
                <w:color w:val="auto"/>
              </w:rPr>
            </w:pPr>
            <w:r>
              <w:rPr>
                <w:rFonts w:ascii="Arial" w:cs="Arial" w:eastAsia="Arial" w:hAnsi="Arial"/>
                <w:sz w:val="17"/>
                <w:szCs w:val="17"/>
                <w:color w:val="auto"/>
              </w:rPr>
              <w:t>4,179,102</w:t>
            </w:r>
          </w:p>
        </w:tc>
        <w:tc>
          <w:tcPr>
            <w:tcW w:w="7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12.7</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3,069,547</w:t>
            </w: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11.0</w:t>
            </w:r>
          </w:p>
        </w:tc>
        <w:tc>
          <w:tcPr>
            <w:tcW w:w="100" w:type="dxa"/>
            <w:vAlign w:val="bottom"/>
            <w:shd w:val="clear" w:color="auto" w:fill="CCEEFF"/>
          </w:tcPr>
          <w:p>
            <w:pPr>
              <w:spacing w:after="0"/>
              <w:rPr>
                <w:sz w:val="18"/>
                <w:szCs w:val="18"/>
                <w:color w:val="auto"/>
              </w:rPr>
            </w:pPr>
          </w:p>
        </w:tc>
        <w:tc>
          <w:tcPr>
            <w:tcW w:w="160" w:type="dxa"/>
            <w:vAlign w:val="bottom"/>
          </w:tcPr>
          <w:p>
            <w:pPr>
              <w:spacing w:after="0"/>
              <w:rPr>
                <w:sz w:val="18"/>
                <w:szCs w:val="18"/>
                <w:color w:val="auto"/>
              </w:rPr>
            </w:pPr>
          </w:p>
        </w:tc>
      </w:tr>
      <w:tr>
        <w:trPr>
          <w:trHeight w:val="208"/>
        </w:trPr>
        <w:tc>
          <w:tcPr>
            <w:tcW w:w="320" w:type="dxa"/>
            <w:vAlign w:val="bottom"/>
          </w:tcPr>
          <w:p>
            <w:pPr>
              <w:spacing w:after="0"/>
              <w:rPr>
                <w:sz w:val="18"/>
                <w:szCs w:val="18"/>
                <w:color w:val="auto"/>
              </w:rPr>
            </w:pPr>
          </w:p>
        </w:tc>
        <w:tc>
          <w:tcPr>
            <w:tcW w:w="4200" w:type="dxa"/>
            <w:vAlign w:val="bottom"/>
          </w:tcPr>
          <w:p>
            <w:pPr>
              <w:spacing w:after="0"/>
              <w:rPr>
                <w:sz w:val="20"/>
                <w:szCs w:val="20"/>
                <w:color w:val="auto"/>
              </w:rPr>
            </w:pPr>
            <w:r>
              <w:rPr>
                <w:rFonts w:ascii="Arial" w:cs="Arial" w:eastAsia="Arial" w:hAnsi="Arial"/>
                <w:sz w:val="17"/>
                <w:szCs w:val="17"/>
                <w:color w:val="auto"/>
              </w:rPr>
              <w:t>BB- to BB+</w:t>
            </w:r>
          </w:p>
        </w:tc>
        <w:tc>
          <w:tcPr>
            <w:tcW w:w="2620" w:type="dxa"/>
            <w:vAlign w:val="bottom"/>
            <w:gridSpan w:val="3"/>
          </w:tcPr>
          <w:p>
            <w:pPr>
              <w:jc w:val="right"/>
              <w:ind w:right="220"/>
              <w:spacing w:after="0"/>
              <w:rPr>
                <w:sz w:val="20"/>
                <w:szCs w:val="20"/>
                <w:color w:val="auto"/>
              </w:rPr>
            </w:pPr>
            <w:r>
              <w:rPr>
                <w:rFonts w:ascii="Arial" w:cs="Arial" w:eastAsia="Arial" w:hAnsi="Arial"/>
                <w:sz w:val="17"/>
                <w:szCs w:val="17"/>
                <w:color w:val="auto"/>
              </w:rPr>
              <w:t>1,258,752</w:t>
            </w:r>
          </w:p>
        </w:tc>
        <w:tc>
          <w:tcPr>
            <w:tcW w:w="76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7"/>
                <w:szCs w:val="17"/>
                <w:color w:val="auto"/>
              </w:rPr>
              <w:t>3.8</w:t>
            </w:r>
          </w:p>
        </w:tc>
        <w:tc>
          <w:tcPr>
            <w:tcW w:w="1400" w:type="dxa"/>
            <w:vAlign w:val="bottom"/>
            <w:gridSpan w:val="2"/>
          </w:tcPr>
          <w:p>
            <w:pPr>
              <w:jc w:val="right"/>
              <w:ind w:right="200"/>
              <w:spacing w:after="0"/>
              <w:rPr>
                <w:sz w:val="20"/>
                <w:szCs w:val="20"/>
                <w:color w:val="auto"/>
              </w:rPr>
            </w:pPr>
            <w:r>
              <w:rPr>
                <w:rFonts w:ascii="Arial" w:cs="Arial" w:eastAsia="Arial" w:hAnsi="Arial"/>
                <w:sz w:val="17"/>
                <w:szCs w:val="17"/>
                <w:color w:val="auto"/>
              </w:rPr>
              <w:t>1,011,463</w:t>
            </w:r>
          </w:p>
        </w:tc>
        <w:tc>
          <w:tcPr>
            <w:tcW w:w="1200" w:type="dxa"/>
            <w:vAlign w:val="bottom"/>
          </w:tcPr>
          <w:p>
            <w:pPr>
              <w:jc w:val="right"/>
              <w:spacing w:after="0"/>
              <w:rPr>
                <w:sz w:val="20"/>
                <w:szCs w:val="20"/>
                <w:color w:val="auto"/>
              </w:rPr>
            </w:pPr>
            <w:r>
              <w:rPr>
                <w:rFonts w:ascii="Arial" w:cs="Arial" w:eastAsia="Arial" w:hAnsi="Arial"/>
                <w:sz w:val="17"/>
                <w:szCs w:val="17"/>
                <w:color w:val="auto"/>
              </w:rPr>
              <w:t>3.6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08"/>
        </w:trPr>
        <w:tc>
          <w:tcPr>
            <w:tcW w:w="32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7"/>
                <w:szCs w:val="17"/>
                <w:color w:val="auto"/>
              </w:rPr>
              <w:t>Lower than B+</w:t>
            </w:r>
          </w:p>
        </w:tc>
        <w:tc>
          <w:tcPr>
            <w:tcW w:w="2620" w:type="dxa"/>
            <w:vAlign w:val="bottom"/>
            <w:gridSpan w:val="3"/>
            <w:shd w:val="clear" w:color="auto" w:fill="CCEEFF"/>
          </w:tcPr>
          <w:p>
            <w:pPr>
              <w:jc w:val="right"/>
              <w:ind w:right="220"/>
              <w:spacing w:after="0"/>
              <w:rPr>
                <w:sz w:val="20"/>
                <w:szCs w:val="20"/>
                <w:color w:val="auto"/>
              </w:rPr>
            </w:pPr>
            <w:r>
              <w:rPr>
                <w:rFonts w:ascii="Arial" w:cs="Arial" w:eastAsia="Arial" w:hAnsi="Arial"/>
                <w:sz w:val="17"/>
                <w:szCs w:val="17"/>
                <w:color w:val="auto"/>
              </w:rPr>
              <w:t>19,869</w:t>
            </w:r>
          </w:p>
        </w:tc>
        <w:tc>
          <w:tcPr>
            <w:tcW w:w="7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0.1</w:t>
            </w: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148,212</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0.5</w:t>
            </w:r>
          </w:p>
        </w:tc>
        <w:tc>
          <w:tcPr>
            <w:tcW w:w="100" w:type="dxa"/>
            <w:vAlign w:val="bottom"/>
            <w:shd w:val="clear" w:color="auto" w:fill="CCEEFF"/>
          </w:tcPr>
          <w:p>
            <w:pPr>
              <w:spacing w:after="0"/>
              <w:rPr>
                <w:sz w:val="18"/>
                <w:szCs w:val="18"/>
                <w:color w:val="auto"/>
              </w:rPr>
            </w:pPr>
          </w:p>
        </w:tc>
        <w:tc>
          <w:tcPr>
            <w:tcW w:w="160" w:type="dxa"/>
            <w:vAlign w:val="bottom"/>
          </w:tcPr>
          <w:p>
            <w:pPr>
              <w:spacing w:after="0"/>
              <w:rPr>
                <w:sz w:val="18"/>
                <w:szCs w:val="18"/>
                <w:color w:val="auto"/>
              </w:rPr>
            </w:pPr>
          </w:p>
        </w:tc>
      </w:tr>
      <w:tr>
        <w:trPr>
          <w:trHeight w:val="208"/>
        </w:trPr>
        <w:tc>
          <w:tcPr>
            <w:tcW w:w="320" w:type="dxa"/>
            <w:vAlign w:val="bottom"/>
          </w:tcPr>
          <w:p>
            <w:pPr>
              <w:spacing w:after="0"/>
              <w:rPr>
                <w:sz w:val="18"/>
                <w:szCs w:val="18"/>
                <w:color w:val="auto"/>
              </w:rPr>
            </w:pPr>
          </w:p>
        </w:tc>
        <w:tc>
          <w:tcPr>
            <w:tcW w:w="4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08"/>
        </w:trPr>
        <w:tc>
          <w:tcPr>
            <w:tcW w:w="32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Unrated:</w:t>
            </w:r>
          </w:p>
        </w:tc>
        <w:tc>
          <w:tcPr>
            <w:tcW w:w="11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Pr>
          <w:p>
            <w:pPr>
              <w:spacing w:after="0"/>
              <w:rPr>
                <w:sz w:val="18"/>
                <w:szCs w:val="18"/>
                <w:color w:val="auto"/>
              </w:rPr>
            </w:pPr>
          </w:p>
        </w:tc>
      </w:tr>
      <w:tr>
        <w:trPr>
          <w:trHeight w:val="208"/>
        </w:trPr>
        <w:tc>
          <w:tcPr>
            <w:tcW w:w="320" w:type="dxa"/>
            <w:vAlign w:val="bottom"/>
          </w:tcPr>
          <w:p>
            <w:pPr>
              <w:spacing w:after="0"/>
              <w:rPr>
                <w:sz w:val="18"/>
                <w:szCs w:val="18"/>
                <w:color w:val="auto"/>
              </w:rPr>
            </w:pPr>
          </w:p>
        </w:tc>
        <w:tc>
          <w:tcPr>
            <w:tcW w:w="4200" w:type="dxa"/>
            <w:vAlign w:val="bottom"/>
          </w:tcPr>
          <w:p>
            <w:pPr>
              <w:spacing w:after="0"/>
              <w:rPr>
                <w:sz w:val="20"/>
                <w:szCs w:val="20"/>
                <w:color w:val="auto"/>
              </w:rPr>
            </w:pPr>
            <w:r>
              <w:rPr>
                <w:rFonts w:ascii="Arial" w:cs="Arial" w:eastAsia="Arial" w:hAnsi="Arial"/>
                <w:sz w:val="17"/>
                <w:szCs w:val="17"/>
                <w:color w:val="auto"/>
              </w:rPr>
              <w:t>Rated and unrated instruments</w:t>
            </w:r>
          </w:p>
        </w:tc>
        <w:tc>
          <w:tcPr>
            <w:tcW w:w="2620" w:type="dxa"/>
            <w:vAlign w:val="bottom"/>
            <w:gridSpan w:val="3"/>
          </w:tcPr>
          <w:p>
            <w:pPr>
              <w:jc w:val="right"/>
              <w:ind w:right="220"/>
              <w:spacing w:after="0"/>
              <w:rPr>
                <w:sz w:val="20"/>
                <w:szCs w:val="20"/>
                <w:color w:val="auto"/>
              </w:rPr>
            </w:pPr>
            <w:r>
              <w:rPr>
                <w:rFonts w:ascii="Arial" w:cs="Arial" w:eastAsia="Arial" w:hAnsi="Arial"/>
                <w:sz w:val="17"/>
                <w:szCs w:val="17"/>
                <w:color w:val="auto"/>
              </w:rPr>
              <w:t>211,487</w:t>
            </w:r>
          </w:p>
        </w:tc>
        <w:tc>
          <w:tcPr>
            <w:tcW w:w="76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7"/>
                <w:szCs w:val="17"/>
                <w:color w:val="auto"/>
              </w:rPr>
              <w:t>0.6</w:t>
            </w:r>
          </w:p>
        </w:tc>
        <w:tc>
          <w:tcPr>
            <w:tcW w:w="1400" w:type="dxa"/>
            <w:vAlign w:val="bottom"/>
            <w:gridSpan w:val="2"/>
          </w:tcPr>
          <w:p>
            <w:pPr>
              <w:jc w:val="right"/>
              <w:ind w:right="200"/>
              <w:spacing w:after="0"/>
              <w:rPr>
                <w:sz w:val="20"/>
                <w:szCs w:val="20"/>
                <w:color w:val="auto"/>
              </w:rPr>
            </w:pPr>
            <w:r>
              <w:rPr>
                <w:rFonts w:ascii="Arial" w:cs="Arial" w:eastAsia="Arial" w:hAnsi="Arial"/>
                <w:sz w:val="17"/>
                <w:szCs w:val="17"/>
                <w:color w:val="auto"/>
              </w:rPr>
              <w:t>586,953</w:t>
            </w:r>
          </w:p>
        </w:tc>
        <w:tc>
          <w:tcPr>
            <w:tcW w:w="1200" w:type="dxa"/>
            <w:vAlign w:val="bottom"/>
          </w:tcPr>
          <w:p>
            <w:pPr>
              <w:jc w:val="right"/>
              <w:spacing w:after="0"/>
              <w:rPr>
                <w:sz w:val="20"/>
                <w:szCs w:val="20"/>
                <w:color w:val="auto"/>
              </w:rPr>
            </w:pPr>
            <w:r>
              <w:rPr>
                <w:rFonts w:ascii="Arial" w:cs="Arial" w:eastAsia="Arial" w:hAnsi="Arial"/>
                <w:sz w:val="17"/>
                <w:szCs w:val="17"/>
                <w:color w:val="auto"/>
              </w:rPr>
              <w:t>2.1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08"/>
        </w:trPr>
        <w:tc>
          <w:tcPr>
            <w:tcW w:w="32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7"/>
                <w:szCs w:val="17"/>
                <w:color w:val="auto"/>
              </w:rPr>
              <w:t>Certificates of deposit of Bolivia Central Bank</w:t>
            </w:r>
          </w:p>
        </w:tc>
        <w:tc>
          <w:tcPr>
            <w:tcW w:w="2620" w:type="dxa"/>
            <w:vAlign w:val="bottom"/>
            <w:gridSpan w:val="3"/>
            <w:shd w:val="clear" w:color="auto" w:fill="CCEEFF"/>
          </w:tcPr>
          <w:p>
            <w:pPr>
              <w:jc w:val="right"/>
              <w:ind w:right="220"/>
              <w:spacing w:after="0"/>
              <w:rPr>
                <w:sz w:val="20"/>
                <w:szCs w:val="20"/>
                <w:color w:val="auto"/>
              </w:rPr>
            </w:pPr>
            <w:r>
              <w:rPr>
                <w:rFonts w:ascii="Arial" w:cs="Arial" w:eastAsia="Arial" w:hAnsi="Arial"/>
                <w:sz w:val="17"/>
                <w:szCs w:val="17"/>
                <w:color w:val="auto"/>
              </w:rPr>
              <w:t>95,042</w:t>
            </w:r>
          </w:p>
        </w:tc>
        <w:tc>
          <w:tcPr>
            <w:tcW w:w="7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0.3</w:t>
            </w: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14,644</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0.1</w:t>
            </w:r>
          </w:p>
        </w:tc>
        <w:tc>
          <w:tcPr>
            <w:tcW w:w="100" w:type="dxa"/>
            <w:vAlign w:val="bottom"/>
            <w:shd w:val="clear" w:color="auto" w:fill="CCEEFF"/>
          </w:tcPr>
          <w:p>
            <w:pPr>
              <w:spacing w:after="0"/>
              <w:rPr>
                <w:sz w:val="18"/>
                <w:szCs w:val="18"/>
                <w:color w:val="auto"/>
              </w:rPr>
            </w:pPr>
          </w:p>
        </w:tc>
        <w:tc>
          <w:tcPr>
            <w:tcW w:w="160" w:type="dxa"/>
            <w:vAlign w:val="bottom"/>
          </w:tcPr>
          <w:p>
            <w:pPr>
              <w:spacing w:after="0"/>
              <w:rPr>
                <w:sz w:val="18"/>
                <w:szCs w:val="18"/>
                <w:color w:val="auto"/>
              </w:rPr>
            </w:pPr>
          </w:p>
        </w:tc>
      </w:tr>
      <w:tr>
        <w:trPr>
          <w:trHeight w:val="208"/>
        </w:trPr>
        <w:tc>
          <w:tcPr>
            <w:tcW w:w="320" w:type="dxa"/>
            <w:vAlign w:val="bottom"/>
          </w:tcPr>
          <w:p>
            <w:pPr>
              <w:spacing w:after="0"/>
              <w:rPr>
                <w:sz w:val="18"/>
                <w:szCs w:val="18"/>
                <w:color w:val="auto"/>
              </w:rPr>
            </w:pPr>
          </w:p>
        </w:tc>
        <w:tc>
          <w:tcPr>
            <w:tcW w:w="4200" w:type="dxa"/>
            <w:vAlign w:val="bottom"/>
          </w:tcPr>
          <w:p>
            <w:pPr>
              <w:spacing w:after="0"/>
              <w:rPr>
                <w:sz w:val="20"/>
                <w:szCs w:val="20"/>
                <w:color w:val="auto"/>
              </w:rPr>
            </w:pPr>
            <w:r>
              <w:rPr>
                <w:rFonts w:ascii="Arial" w:cs="Arial" w:eastAsia="Arial" w:hAnsi="Arial"/>
                <w:sz w:val="17"/>
                <w:szCs w:val="17"/>
                <w:color w:val="auto"/>
              </w:rPr>
              <w:t>Participations of RAL funds</w:t>
            </w:r>
          </w:p>
        </w:tc>
        <w:tc>
          <w:tcPr>
            <w:tcW w:w="2620" w:type="dxa"/>
            <w:vAlign w:val="bottom"/>
            <w:gridSpan w:val="3"/>
          </w:tcPr>
          <w:p>
            <w:pPr>
              <w:jc w:val="right"/>
              <w:ind w:right="220"/>
              <w:spacing w:after="0"/>
              <w:rPr>
                <w:sz w:val="20"/>
                <w:szCs w:val="20"/>
                <w:color w:val="auto"/>
              </w:rPr>
            </w:pPr>
            <w:r>
              <w:rPr>
                <w:rFonts w:ascii="Arial" w:cs="Arial" w:eastAsia="Arial" w:hAnsi="Arial"/>
                <w:sz w:val="17"/>
                <w:szCs w:val="17"/>
                <w:color w:val="auto"/>
              </w:rPr>
              <w:t>527,729</w:t>
            </w:r>
          </w:p>
        </w:tc>
        <w:tc>
          <w:tcPr>
            <w:tcW w:w="76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7"/>
                <w:szCs w:val="17"/>
                <w:color w:val="auto"/>
              </w:rPr>
              <w:t>1.6</w:t>
            </w:r>
          </w:p>
        </w:tc>
        <w:tc>
          <w:tcPr>
            <w:tcW w:w="1400" w:type="dxa"/>
            <w:vAlign w:val="bottom"/>
            <w:gridSpan w:val="2"/>
          </w:tcPr>
          <w:p>
            <w:pPr>
              <w:jc w:val="right"/>
              <w:ind w:right="200"/>
              <w:spacing w:after="0"/>
              <w:rPr>
                <w:sz w:val="20"/>
                <w:szCs w:val="20"/>
                <w:color w:val="auto"/>
              </w:rPr>
            </w:pPr>
            <w:r>
              <w:rPr>
                <w:rFonts w:ascii="Arial" w:cs="Arial" w:eastAsia="Arial" w:hAnsi="Arial"/>
                <w:sz w:val="17"/>
                <w:szCs w:val="17"/>
                <w:color w:val="auto"/>
              </w:rPr>
              <w:t>650,804</w:t>
            </w:r>
          </w:p>
        </w:tc>
        <w:tc>
          <w:tcPr>
            <w:tcW w:w="1200" w:type="dxa"/>
            <w:vAlign w:val="bottom"/>
          </w:tcPr>
          <w:p>
            <w:pPr>
              <w:jc w:val="right"/>
              <w:spacing w:after="0"/>
              <w:rPr>
                <w:sz w:val="20"/>
                <w:szCs w:val="20"/>
                <w:color w:val="auto"/>
              </w:rPr>
            </w:pPr>
            <w:r>
              <w:rPr>
                <w:rFonts w:ascii="Arial" w:cs="Arial" w:eastAsia="Arial" w:hAnsi="Arial"/>
                <w:sz w:val="17"/>
                <w:szCs w:val="17"/>
                <w:color w:val="auto"/>
              </w:rPr>
              <w:t>2.3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08"/>
        </w:trPr>
        <w:tc>
          <w:tcPr>
            <w:tcW w:w="32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7"/>
                <w:szCs w:val="17"/>
                <w:color w:val="auto"/>
              </w:rPr>
              <w:t>Mutual funds</w:t>
            </w:r>
          </w:p>
        </w:tc>
        <w:tc>
          <w:tcPr>
            <w:tcW w:w="2620" w:type="dxa"/>
            <w:vAlign w:val="bottom"/>
            <w:gridSpan w:val="3"/>
            <w:shd w:val="clear" w:color="auto" w:fill="CCEEFF"/>
          </w:tcPr>
          <w:p>
            <w:pPr>
              <w:jc w:val="right"/>
              <w:ind w:right="220"/>
              <w:spacing w:after="0"/>
              <w:rPr>
                <w:sz w:val="20"/>
                <w:szCs w:val="20"/>
                <w:color w:val="auto"/>
              </w:rPr>
            </w:pPr>
            <w:r>
              <w:rPr>
                <w:rFonts w:ascii="Arial" w:cs="Arial" w:eastAsia="Arial" w:hAnsi="Arial"/>
                <w:sz w:val="17"/>
                <w:szCs w:val="17"/>
                <w:color w:val="auto"/>
              </w:rPr>
              <w:t>98,911</w:t>
            </w:r>
          </w:p>
        </w:tc>
        <w:tc>
          <w:tcPr>
            <w:tcW w:w="7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0.3</w:t>
            </w: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245,730</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0.9</w:t>
            </w:r>
          </w:p>
        </w:tc>
        <w:tc>
          <w:tcPr>
            <w:tcW w:w="100" w:type="dxa"/>
            <w:vAlign w:val="bottom"/>
            <w:shd w:val="clear" w:color="auto" w:fill="CCEEFF"/>
          </w:tcPr>
          <w:p>
            <w:pPr>
              <w:spacing w:after="0"/>
              <w:rPr>
                <w:sz w:val="18"/>
                <w:szCs w:val="18"/>
                <w:color w:val="auto"/>
              </w:rPr>
            </w:pPr>
          </w:p>
        </w:tc>
        <w:tc>
          <w:tcPr>
            <w:tcW w:w="160" w:type="dxa"/>
            <w:vAlign w:val="bottom"/>
          </w:tcPr>
          <w:p>
            <w:pPr>
              <w:spacing w:after="0"/>
              <w:rPr>
                <w:sz w:val="18"/>
                <w:szCs w:val="18"/>
                <w:color w:val="auto"/>
              </w:rPr>
            </w:pPr>
          </w:p>
        </w:tc>
      </w:tr>
      <w:tr>
        <w:trPr>
          <w:trHeight w:val="208"/>
        </w:trPr>
        <w:tc>
          <w:tcPr>
            <w:tcW w:w="320" w:type="dxa"/>
            <w:vAlign w:val="bottom"/>
          </w:tcPr>
          <w:p>
            <w:pPr>
              <w:spacing w:after="0"/>
              <w:rPr>
                <w:sz w:val="18"/>
                <w:szCs w:val="18"/>
                <w:color w:val="auto"/>
              </w:rPr>
            </w:pPr>
          </w:p>
        </w:tc>
        <w:tc>
          <w:tcPr>
            <w:tcW w:w="4200" w:type="dxa"/>
            <w:vAlign w:val="bottom"/>
          </w:tcPr>
          <w:p>
            <w:pPr>
              <w:spacing w:after="0"/>
              <w:rPr>
                <w:sz w:val="20"/>
                <w:szCs w:val="20"/>
                <w:color w:val="auto"/>
              </w:rPr>
            </w:pPr>
            <w:r>
              <w:rPr>
                <w:rFonts w:ascii="Arial" w:cs="Arial" w:eastAsia="Arial" w:hAnsi="Arial"/>
                <w:sz w:val="17"/>
                <w:szCs w:val="17"/>
                <w:color w:val="auto"/>
              </w:rPr>
              <w:t>Hedge funds</w:t>
            </w:r>
          </w:p>
        </w:tc>
        <w:tc>
          <w:tcPr>
            <w:tcW w:w="2620" w:type="dxa"/>
            <w:vAlign w:val="bottom"/>
            <w:gridSpan w:val="3"/>
          </w:tcPr>
          <w:p>
            <w:pPr>
              <w:jc w:val="right"/>
              <w:ind w:right="220"/>
              <w:spacing w:after="0"/>
              <w:rPr>
                <w:sz w:val="20"/>
                <w:szCs w:val="20"/>
                <w:color w:val="auto"/>
              </w:rPr>
            </w:pPr>
            <w:r>
              <w:rPr>
                <w:rFonts w:ascii="Arial" w:cs="Arial" w:eastAsia="Arial" w:hAnsi="Arial"/>
                <w:sz w:val="17"/>
                <w:szCs w:val="17"/>
                <w:color w:val="auto"/>
              </w:rPr>
              <w:t>1,062</w:t>
            </w:r>
          </w:p>
        </w:tc>
        <w:tc>
          <w:tcPr>
            <w:tcW w:w="76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400" w:type="dxa"/>
            <w:vAlign w:val="bottom"/>
            <w:gridSpan w:val="2"/>
          </w:tcPr>
          <w:p>
            <w:pPr>
              <w:jc w:val="right"/>
              <w:ind w:right="200"/>
              <w:spacing w:after="0"/>
              <w:rPr>
                <w:sz w:val="20"/>
                <w:szCs w:val="20"/>
                <w:color w:val="auto"/>
              </w:rPr>
            </w:pPr>
            <w:r>
              <w:rPr>
                <w:rFonts w:ascii="Arial" w:cs="Arial" w:eastAsia="Arial" w:hAnsi="Arial"/>
                <w:sz w:val="17"/>
                <w:szCs w:val="17"/>
                <w:color w:val="auto"/>
              </w:rPr>
              <w:t>1,095</w:t>
            </w:r>
          </w:p>
        </w:tc>
        <w:tc>
          <w:tcPr>
            <w:tcW w:w="120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21"/>
        </w:trPr>
        <w:tc>
          <w:tcPr>
            <w:tcW w:w="320" w:type="dxa"/>
            <w:vAlign w:val="bottom"/>
          </w:tcPr>
          <w:p>
            <w:pPr>
              <w:spacing w:after="0"/>
              <w:rPr>
                <w:sz w:val="19"/>
                <w:szCs w:val="19"/>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7"/>
                <w:szCs w:val="17"/>
                <w:color w:val="auto"/>
              </w:rPr>
              <w:t>Other instruments</w:t>
            </w:r>
          </w:p>
        </w:tc>
        <w:tc>
          <w:tcPr>
            <w:tcW w:w="2620" w:type="dxa"/>
            <w:vAlign w:val="bottom"/>
            <w:gridSpan w:val="3"/>
            <w:shd w:val="clear" w:color="auto" w:fill="CCEEFF"/>
          </w:tcPr>
          <w:p>
            <w:pPr>
              <w:jc w:val="right"/>
              <w:ind w:right="220"/>
              <w:spacing w:after="0"/>
              <w:rPr>
                <w:sz w:val="20"/>
                <w:szCs w:val="20"/>
                <w:color w:val="auto"/>
              </w:rPr>
            </w:pPr>
            <w:r>
              <w:rPr>
                <w:rFonts w:ascii="Arial" w:cs="Arial" w:eastAsia="Arial" w:hAnsi="Arial"/>
                <w:sz w:val="17"/>
                <w:szCs w:val="17"/>
                <w:color w:val="auto"/>
              </w:rPr>
              <w:t>3,729</w:t>
            </w:r>
          </w:p>
        </w:tc>
        <w:tc>
          <w:tcPr>
            <w:tcW w:w="76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143,202</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0.5</w:t>
            </w:r>
          </w:p>
        </w:tc>
        <w:tc>
          <w:tcPr>
            <w:tcW w:w="100" w:type="dxa"/>
            <w:vAlign w:val="bottom"/>
            <w:shd w:val="clear" w:color="auto" w:fill="CCEEFF"/>
          </w:tcPr>
          <w:p>
            <w:pPr>
              <w:spacing w:after="0"/>
              <w:rPr>
                <w:sz w:val="19"/>
                <w:szCs w:val="19"/>
                <w:color w:val="auto"/>
              </w:rPr>
            </w:pPr>
          </w:p>
        </w:tc>
        <w:tc>
          <w:tcPr>
            <w:tcW w:w="160" w:type="dxa"/>
            <w:vAlign w:val="bottom"/>
          </w:tcPr>
          <w:p>
            <w:pPr>
              <w:spacing w:after="0"/>
              <w:rPr>
                <w:sz w:val="19"/>
                <w:szCs w:val="19"/>
                <w:color w:val="auto"/>
              </w:rPr>
            </w:pPr>
          </w:p>
        </w:tc>
      </w:tr>
      <w:tr>
        <w:trPr>
          <w:trHeight w:val="201"/>
        </w:trPr>
        <w:tc>
          <w:tcPr>
            <w:tcW w:w="320" w:type="dxa"/>
            <w:vAlign w:val="bottom"/>
          </w:tcPr>
          <w:p>
            <w:pPr>
              <w:spacing w:after="0"/>
              <w:rPr>
                <w:sz w:val="17"/>
                <w:szCs w:val="17"/>
                <w:color w:val="auto"/>
              </w:rPr>
            </w:pPr>
          </w:p>
        </w:tc>
        <w:tc>
          <w:tcPr>
            <w:tcW w:w="4200" w:type="dxa"/>
            <w:vAlign w:val="bottom"/>
            <w:tcBorders>
              <w:bottom w:val="single" w:sz="8" w:color="CCEEFF"/>
            </w:tcBorders>
          </w:tcPr>
          <w:p>
            <w:pPr>
              <w:spacing w:after="0"/>
              <w:rPr>
                <w:sz w:val="20"/>
                <w:szCs w:val="20"/>
                <w:color w:val="auto"/>
              </w:rPr>
            </w:pPr>
            <w:r>
              <w:rPr>
                <w:rFonts w:ascii="Arial" w:cs="Arial" w:eastAsia="Arial" w:hAnsi="Arial"/>
                <w:sz w:val="17"/>
                <w:szCs w:val="17"/>
                <w:b w:val="1"/>
                <w:bCs w:val="1"/>
                <w:color w:val="auto"/>
              </w:rPr>
              <w:t>Subtotal</w:t>
            </w:r>
          </w:p>
        </w:tc>
        <w:tc>
          <w:tcPr>
            <w:tcW w:w="1180" w:type="dxa"/>
            <w:vAlign w:val="bottom"/>
            <w:tcBorders>
              <w:bottom w:val="single" w:sz="8" w:color="CCEEFF"/>
            </w:tcBorders>
          </w:tcPr>
          <w:p>
            <w:pPr>
              <w:spacing w:after="0"/>
              <w:rPr>
                <w:sz w:val="17"/>
                <w:szCs w:val="17"/>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9,338,346</w:t>
            </w:r>
          </w:p>
        </w:tc>
        <w:tc>
          <w:tcPr>
            <w:tcW w:w="220" w:type="dxa"/>
            <w:vAlign w:val="bottom"/>
            <w:tcBorders>
              <w:bottom w:val="single" w:sz="8" w:color="CCEEFF"/>
            </w:tcBorders>
          </w:tcPr>
          <w:p>
            <w:pPr>
              <w:spacing w:after="0"/>
              <w:rPr>
                <w:sz w:val="17"/>
                <w:szCs w:val="17"/>
                <w:color w:val="auto"/>
              </w:rPr>
            </w:pPr>
          </w:p>
        </w:tc>
        <w:tc>
          <w:tcPr>
            <w:tcW w:w="760" w:type="dxa"/>
            <w:vAlign w:val="bottom"/>
            <w:tcBorders>
              <w:top w:val="single" w:sz="8" w:color="auto"/>
              <w:bottom w:val="single" w:sz="8" w:color="auto"/>
            </w:tcBorders>
          </w:tcPr>
          <w:p>
            <w:pPr>
              <w:spacing w:after="0"/>
              <w:rPr>
                <w:sz w:val="17"/>
                <w:szCs w:val="17"/>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28.4</w:t>
            </w:r>
          </w:p>
        </w:tc>
        <w:tc>
          <w:tcPr>
            <w:tcW w:w="200" w:type="dxa"/>
            <w:vAlign w:val="bottom"/>
            <w:tcBorders>
              <w:bottom w:val="single" w:sz="8" w:color="CCEEFF"/>
            </w:tcBorders>
          </w:tcPr>
          <w:p>
            <w:pPr>
              <w:spacing w:after="0"/>
              <w:rPr>
                <w:sz w:val="17"/>
                <w:szCs w:val="17"/>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9,233,418</w:t>
            </w:r>
          </w:p>
        </w:tc>
        <w:tc>
          <w:tcPr>
            <w:tcW w:w="200" w:type="dxa"/>
            <w:vAlign w:val="bottom"/>
            <w:tcBorders>
              <w:bottom w:val="single" w:sz="8" w:color="CCEEFF"/>
            </w:tcBorders>
          </w:tcPr>
          <w:p>
            <w:pPr>
              <w:spacing w:after="0"/>
              <w:rPr>
                <w:sz w:val="17"/>
                <w:szCs w:val="17"/>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33.2</w:t>
            </w:r>
          </w:p>
        </w:tc>
        <w:tc>
          <w:tcPr>
            <w:tcW w:w="100" w:type="dxa"/>
            <w:vAlign w:val="bottom"/>
            <w:tcBorders>
              <w:bottom w:val="single" w:sz="8" w:color="CCEEFF"/>
            </w:tcBorders>
          </w:tcPr>
          <w:p>
            <w:pPr>
              <w:spacing w:after="0"/>
              <w:rPr>
                <w:sz w:val="17"/>
                <w:szCs w:val="17"/>
                <w:color w:val="auto"/>
              </w:rPr>
            </w:pPr>
          </w:p>
        </w:tc>
        <w:tc>
          <w:tcPr>
            <w:tcW w:w="160" w:type="dxa"/>
            <w:vAlign w:val="bottom"/>
          </w:tcPr>
          <w:p>
            <w:pPr>
              <w:spacing w:after="0"/>
              <w:rPr>
                <w:sz w:val="17"/>
                <w:szCs w:val="17"/>
                <w:color w:val="auto"/>
              </w:rPr>
            </w:pPr>
          </w:p>
        </w:tc>
      </w:tr>
      <w:tr>
        <w:trPr>
          <w:trHeight w:val="214"/>
        </w:trPr>
        <w:tc>
          <w:tcPr>
            <w:tcW w:w="32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7"/>
                <w:szCs w:val="17"/>
                <w:color w:val="auto"/>
              </w:rPr>
              <w:t>Total</w:t>
            </w:r>
          </w:p>
        </w:tc>
        <w:tc>
          <w:tcPr>
            <w:tcW w:w="2620" w:type="dxa"/>
            <w:vAlign w:val="bottom"/>
            <w:gridSpan w:val="3"/>
            <w:shd w:val="clear" w:color="auto" w:fill="CCEEFF"/>
          </w:tcPr>
          <w:p>
            <w:pPr>
              <w:jc w:val="right"/>
              <w:ind w:right="220"/>
              <w:spacing w:after="0"/>
              <w:rPr>
                <w:sz w:val="20"/>
                <w:szCs w:val="20"/>
                <w:color w:val="auto"/>
              </w:rPr>
            </w:pPr>
            <w:r>
              <w:rPr>
                <w:rFonts w:ascii="Arial" w:cs="Arial" w:eastAsia="Arial" w:hAnsi="Arial"/>
                <w:sz w:val="17"/>
                <w:szCs w:val="17"/>
                <w:color w:val="auto"/>
              </w:rPr>
              <w:t>32,862,001</w:t>
            </w:r>
          </w:p>
        </w:tc>
        <w:tc>
          <w:tcPr>
            <w:tcW w:w="7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100.0</w:t>
            </w: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27,819,106</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100.0</w:t>
            </w:r>
          </w:p>
        </w:tc>
        <w:tc>
          <w:tcPr>
            <w:tcW w:w="100" w:type="dxa"/>
            <w:vAlign w:val="bottom"/>
            <w:shd w:val="clear" w:color="auto" w:fill="CCEEFF"/>
          </w:tcPr>
          <w:p>
            <w:pPr>
              <w:spacing w:after="0"/>
              <w:rPr>
                <w:sz w:val="18"/>
                <w:szCs w:val="18"/>
                <w:color w:val="auto"/>
              </w:rPr>
            </w:pPr>
          </w:p>
        </w:tc>
        <w:tc>
          <w:tcPr>
            <w:tcW w:w="160" w:type="dxa"/>
            <w:vAlign w:val="bottom"/>
          </w:tcPr>
          <w:p>
            <w:pPr>
              <w:spacing w:after="0"/>
              <w:rPr>
                <w:sz w:val="18"/>
                <w:szCs w:val="18"/>
                <w:color w:val="auto"/>
              </w:rPr>
            </w:pPr>
          </w:p>
        </w:tc>
      </w:tr>
      <w:tr>
        <w:trPr>
          <w:trHeight w:val="20"/>
        </w:trPr>
        <w:tc>
          <w:tcPr>
            <w:tcW w:w="320" w:type="dxa"/>
            <w:vAlign w:val="bottom"/>
          </w:tcPr>
          <w:p>
            <w:pPr>
              <w:spacing w:after="0" w:line="20" w:lineRule="exact"/>
              <w:rPr>
                <w:sz w:val="1"/>
                <w:szCs w:val="1"/>
                <w:color w:val="auto"/>
              </w:rPr>
            </w:pPr>
          </w:p>
        </w:tc>
        <w:tc>
          <w:tcPr>
            <w:tcW w:w="42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603"/>
        </w:trPr>
        <w:tc>
          <w:tcPr>
            <w:tcW w:w="320" w:type="dxa"/>
            <w:vAlign w:val="bottom"/>
            <w:tcBorders>
              <w:bottom w:val="single" w:sz="8" w:color="auto"/>
            </w:tcBorders>
          </w:tcPr>
          <w:p>
            <w:pPr>
              <w:spacing w:after="0"/>
              <w:rPr>
                <w:sz w:val="24"/>
                <w:szCs w:val="24"/>
                <w:color w:val="auto"/>
              </w:rPr>
            </w:pPr>
          </w:p>
        </w:tc>
        <w:tc>
          <w:tcPr>
            <w:tcW w:w="420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gridSpan w:val="2"/>
          </w:tcPr>
          <w:p>
            <w:pPr>
              <w:jc w:val="right"/>
              <w:ind w:right="873"/>
              <w:spacing w:after="0"/>
              <w:rPr>
                <w:sz w:val="20"/>
                <w:szCs w:val="20"/>
                <w:color w:val="auto"/>
              </w:rPr>
            </w:pPr>
            <w:r>
              <w:rPr>
                <w:rFonts w:ascii="Arial" w:cs="Arial" w:eastAsia="Arial" w:hAnsi="Arial"/>
                <w:sz w:val="17"/>
                <w:szCs w:val="17"/>
                <w:color w:val="auto"/>
              </w:rPr>
              <w:t>- 121 -</w:t>
            </w:r>
          </w:p>
        </w:tc>
        <w:tc>
          <w:tcPr>
            <w:tcW w:w="2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888" w:right="239" w:bottom="1440" w:gutter="0" w:footer="0" w:header="0"/>
        </w:sectPr>
      </w:pPr>
    </w:p>
    <w:bookmarkStart w:id="127" w:name="page128"/>
    <w:bookmarkEnd w:id="127"/>
    <w:p>
      <w:pPr>
        <w:ind w:left="320" w:hanging="316"/>
        <w:spacing w:after="0"/>
        <w:tabs>
          <w:tab w:leader="none" w:pos="320" w:val="left"/>
        </w:tabs>
        <w:numPr>
          <w:ilvl w:val="0"/>
          <w:numId w:val="145"/>
        </w:numPr>
        <w:rPr>
          <w:rFonts w:ascii="Arial" w:cs="Arial" w:eastAsia="Arial" w:hAnsi="Arial"/>
          <w:sz w:val="17"/>
          <w:szCs w:val="17"/>
          <w:color w:val="auto"/>
        </w:rPr>
      </w:pPr>
      <w:r>
        <w:rPr>
          <w:rFonts w:ascii="Arial" w:cs="Arial" w:eastAsia="Arial" w:hAnsi="Arial"/>
          <w:sz w:val="17"/>
          <w:szCs w:val="17"/>
          <w:color w:val="auto"/>
        </w:rPr>
        <w:t>Concentration of financial instruments exposed to credit risk -</w:t>
      </w:r>
    </w:p>
    <w:p>
      <w:pPr>
        <w:spacing w:after="0" w:line="220" w:lineRule="exact"/>
        <w:rPr>
          <w:rFonts w:ascii="Arial" w:cs="Arial" w:eastAsia="Arial" w:hAnsi="Arial"/>
          <w:sz w:val="17"/>
          <w:szCs w:val="17"/>
          <w:color w:val="auto"/>
        </w:rPr>
      </w:pPr>
    </w:p>
    <w:p>
      <w:pPr>
        <w:ind w:left="320"/>
        <w:spacing w:after="0"/>
        <w:rPr>
          <w:rFonts w:ascii="Arial" w:cs="Arial" w:eastAsia="Arial" w:hAnsi="Arial"/>
          <w:sz w:val="17"/>
          <w:szCs w:val="17"/>
          <w:color w:val="auto"/>
        </w:rPr>
      </w:pPr>
      <w:r>
        <w:rPr>
          <w:rFonts w:ascii="Arial" w:cs="Arial" w:eastAsia="Arial" w:hAnsi="Arial"/>
          <w:sz w:val="15"/>
          <w:szCs w:val="15"/>
          <w:color w:val="auto"/>
        </w:rPr>
        <w:t>As of December 31, 2017 and 2016 financial instruments with exposure to credit risk were distributed considering the following economic sectors:</w:t>
      </w:r>
    </w:p>
    <w:p>
      <w:pPr>
        <w:spacing w:after="0" w:line="251" w:lineRule="exact"/>
        <w:rPr>
          <w:sz w:val="20"/>
          <w:szCs w:val="20"/>
          <w:color w:val="auto"/>
        </w:rPr>
      </w:pPr>
    </w:p>
    <w:p>
      <w:pPr>
        <w:ind w:left="3780"/>
        <w:spacing w:after="0"/>
        <w:tabs>
          <w:tab w:leader="none" w:pos="8760" w:val="left"/>
        </w:tabs>
        <w:rPr>
          <w:sz w:val="20"/>
          <w:szCs w:val="20"/>
          <w:color w:val="auto"/>
        </w:rPr>
      </w:pPr>
      <w:r>
        <w:rPr>
          <w:rFonts w:ascii="Arial" w:cs="Arial" w:eastAsia="Arial" w:hAnsi="Arial"/>
          <w:sz w:val="12"/>
          <w:szCs w:val="12"/>
          <w:b w:val="1"/>
          <w:bCs w:val="1"/>
          <w:color w:val="auto"/>
        </w:rPr>
        <w:t>2017</w:t>
      </w:r>
      <w:r>
        <w:rPr>
          <w:sz w:val="20"/>
          <w:szCs w:val="20"/>
          <w:color w:val="auto"/>
        </w:rPr>
        <w:tab/>
      </w:r>
      <w:r>
        <w:rPr>
          <w:rFonts w:ascii="Arial" w:cs="Arial" w:eastAsia="Arial" w:hAnsi="Arial"/>
          <w:sz w:val="12"/>
          <w:szCs w:val="12"/>
          <w:b w:val="1"/>
          <w:bCs w:val="1"/>
          <w:color w:val="auto"/>
        </w:rPr>
        <w:t>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959485</wp:posOffset>
            </wp:positionH>
            <wp:positionV relativeFrom="paragraph">
              <wp:posOffset>6350</wp:posOffset>
            </wp:positionV>
            <wp:extent cx="623697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236970" cy="8255"/>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p>
      <w:pPr>
        <w:spacing w:after="0" w:line="19" w:lineRule="exact"/>
        <w:rPr>
          <w:sz w:val="20"/>
          <w:szCs w:val="20"/>
          <w:color w:val="auto"/>
        </w:rPr>
      </w:pPr>
    </w:p>
    <w:p>
      <w:pPr>
        <w:jc w:val="right"/>
        <w:ind w:right="3000"/>
        <w:spacing w:after="0"/>
        <w:rPr>
          <w:sz w:val="20"/>
          <w:szCs w:val="20"/>
          <w:color w:val="auto"/>
        </w:rPr>
      </w:pPr>
      <w:r>
        <w:rPr>
          <w:rFonts w:ascii="Arial" w:cs="Arial" w:eastAsia="Arial" w:hAnsi="Arial"/>
          <w:sz w:val="10"/>
          <w:szCs w:val="10"/>
          <w:b w:val="1"/>
          <w:bCs w:val="1"/>
          <w:color w:val="auto"/>
        </w:rPr>
        <w:t>Designated at fair value</w:t>
      </w:r>
    </w:p>
    <w:p>
      <w:pPr>
        <w:spacing w:after="0" w:line="15" w:lineRule="exact"/>
        <w:rPr>
          <w:sz w:val="20"/>
          <w:szCs w:val="20"/>
          <w:color w:val="auto"/>
        </w:rPr>
      </w:pPr>
    </w:p>
    <w:p>
      <w:pPr>
        <w:jc w:val="right"/>
        <w:ind w:right="3020"/>
        <w:spacing w:after="0"/>
        <w:rPr>
          <w:sz w:val="20"/>
          <w:szCs w:val="20"/>
          <w:color w:val="auto"/>
        </w:rPr>
      </w:pPr>
      <w:r>
        <w:rPr>
          <w:rFonts w:ascii="Arial" w:cs="Arial" w:eastAsia="Arial" w:hAnsi="Arial"/>
          <w:sz w:val="11"/>
          <w:szCs w:val="11"/>
          <w:b w:val="1"/>
          <w:bCs w:val="1"/>
          <w:color w:val="auto"/>
        </w:rPr>
        <w:t>through profit for loss</w:t>
      </w:r>
    </w:p>
    <w:p>
      <w:pPr>
        <w:spacing w:after="0" w:line="20" w:lineRule="exact"/>
        <w:rPr>
          <w:sz w:val="20"/>
          <w:szCs w:val="20"/>
          <w:color w:val="auto"/>
        </w:rPr>
      </w:pPr>
      <w:r>
        <w:rPr>
          <w:sz w:val="20"/>
          <w:szCs w:val="20"/>
          <w:color w:val="auto"/>
        </w:rPr>
        <w:br w:type="column"/>
      </w:r>
    </w:p>
    <w:p>
      <w:pPr>
        <w:jc w:val="right"/>
        <w:ind w:right="3640"/>
        <w:spacing w:after="0"/>
        <w:rPr>
          <w:sz w:val="20"/>
          <w:szCs w:val="20"/>
          <w:color w:val="auto"/>
        </w:rPr>
      </w:pPr>
      <w:r>
        <w:rPr>
          <w:rFonts w:ascii="Arial" w:cs="Arial" w:eastAsia="Arial" w:hAnsi="Arial"/>
          <w:sz w:val="11"/>
          <w:szCs w:val="11"/>
          <w:b w:val="1"/>
          <w:bCs w:val="1"/>
          <w:color w:val="auto"/>
        </w:rPr>
        <w:t>Designated at fair value</w:t>
      </w:r>
    </w:p>
    <w:p>
      <w:pPr>
        <w:spacing w:after="0" w:line="3" w:lineRule="exact"/>
        <w:rPr>
          <w:sz w:val="20"/>
          <w:szCs w:val="20"/>
          <w:color w:val="auto"/>
        </w:rPr>
      </w:pPr>
    </w:p>
    <w:p>
      <w:pPr>
        <w:jc w:val="right"/>
        <w:ind w:right="3680"/>
        <w:spacing w:after="0"/>
        <w:rPr>
          <w:sz w:val="20"/>
          <w:szCs w:val="20"/>
          <w:color w:val="auto"/>
        </w:rPr>
      </w:pPr>
      <w:r>
        <w:rPr>
          <w:rFonts w:ascii="Arial" w:cs="Arial" w:eastAsia="Arial" w:hAnsi="Arial"/>
          <w:sz w:val="11"/>
          <w:szCs w:val="11"/>
          <w:b w:val="1"/>
          <w:bCs w:val="1"/>
          <w:color w:val="auto"/>
        </w:rPr>
        <w:t>through profit for loss</w:t>
      </w:r>
    </w:p>
    <w:p>
      <w:pPr>
        <w:spacing w:after="0" w:line="8" w:lineRule="exact"/>
        <w:rPr>
          <w:sz w:val="20"/>
          <w:szCs w:val="20"/>
          <w:color w:val="auto"/>
        </w:rPr>
      </w:pPr>
    </w:p>
    <w:p>
      <w:pPr>
        <w:sectPr>
          <w:pgSz w:w="11900" w:h="16838" w:orient="portrait"/>
          <w:cols w:equalWidth="0" w:num="2">
            <w:col w:w="5820" w:space="720"/>
            <w:col w:w="4880"/>
          </w:cols>
          <w:pgMar w:left="240" w:top="881" w:right="239" w:bottom="1440" w:gutter="0" w:footer="0" w:header="0"/>
          <w:type w:val="continuous"/>
        </w:sectPr>
      </w:pPr>
    </w:p>
    <w:tbl>
      <w:tblPr>
        <w:tblLayout w:type="fixed"/>
        <w:tblInd w:w="0" w:type="dxa"/>
        <w:tblCellMar>
          <w:top w:w="0" w:type="dxa"/>
          <w:left w:w="0" w:type="dxa"/>
          <w:bottom w:w="0" w:type="dxa"/>
          <w:right w:w="0" w:type="dxa"/>
        </w:tblCellMar>
      </w:tblPr>
      <w:tr>
        <w:trPr>
          <w:trHeight w:val="105"/>
        </w:trPr>
        <w:tc>
          <w:tcPr>
            <w:tcW w:w="1520" w:type="dxa"/>
            <w:vAlign w:val="bottom"/>
          </w:tcPr>
          <w:p>
            <w:pPr>
              <w:spacing w:after="0"/>
              <w:rPr>
                <w:sz w:val="9"/>
                <w:szCs w:val="9"/>
                <w:color w:val="auto"/>
              </w:rPr>
            </w:pPr>
          </w:p>
        </w:tc>
        <w:tc>
          <w:tcPr>
            <w:tcW w:w="800" w:type="dxa"/>
            <w:vAlign w:val="bottom"/>
            <w:tcBorders>
              <w:top w:val="single" w:sz="8" w:color="auto"/>
            </w:tcBorders>
            <w:gridSpan w:val="2"/>
          </w:tcPr>
          <w:p>
            <w:pPr>
              <w:jc w:val="right"/>
              <w:ind w:right="280"/>
              <w:spacing w:after="0" w:line="105" w:lineRule="exact"/>
              <w:rPr>
                <w:sz w:val="20"/>
                <w:szCs w:val="20"/>
                <w:color w:val="auto"/>
              </w:rPr>
            </w:pPr>
            <w:r>
              <w:rPr>
                <w:rFonts w:ascii="Arial" w:cs="Arial" w:eastAsia="Arial" w:hAnsi="Arial"/>
                <w:sz w:val="12"/>
                <w:szCs w:val="12"/>
                <w:b w:val="1"/>
                <w:bCs w:val="1"/>
                <w:color w:val="auto"/>
              </w:rPr>
              <w:t>Held for</w:t>
            </w:r>
          </w:p>
        </w:tc>
        <w:tc>
          <w:tcPr>
            <w:tcW w:w="620" w:type="dxa"/>
            <w:vAlign w:val="bottom"/>
            <w:tcBorders>
              <w:top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6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40" w:type="dxa"/>
            <w:vAlign w:val="bottom"/>
            <w:gridSpan w:val="2"/>
          </w:tcPr>
          <w:p>
            <w:pPr>
              <w:jc w:val="right"/>
              <w:ind w:right="200"/>
              <w:spacing w:after="0" w:line="105" w:lineRule="exact"/>
              <w:rPr>
                <w:sz w:val="20"/>
                <w:szCs w:val="20"/>
                <w:color w:val="auto"/>
              </w:rPr>
            </w:pPr>
            <w:r>
              <w:rPr>
                <w:rFonts w:ascii="Arial" w:cs="Arial" w:eastAsia="Arial" w:hAnsi="Arial"/>
                <w:sz w:val="12"/>
                <w:szCs w:val="12"/>
                <w:b w:val="1"/>
                <w:bCs w:val="1"/>
                <w:color w:val="auto"/>
                <w:w w:val="88"/>
              </w:rPr>
              <w:t>Investments</w:t>
            </w:r>
          </w:p>
        </w:tc>
        <w:tc>
          <w:tcPr>
            <w:tcW w:w="820" w:type="dxa"/>
            <w:vAlign w:val="bottom"/>
            <w:gridSpan w:val="2"/>
          </w:tcPr>
          <w:p>
            <w:pPr>
              <w:jc w:val="center"/>
              <w:ind w:right="160"/>
              <w:spacing w:after="0" w:line="105" w:lineRule="exact"/>
              <w:rPr>
                <w:sz w:val="20"/>
                <w:szCs w:val="20"/>
                <w:color w:val="auto"/>
              </w:rPr>
            </w:pPr>
            <w:r>
              <w:rPr>
                <w:rFonts w:ascii="Arial" w:cs="Arial" w:eastAsia="Arial" w:hAnsi="Arial"/>
                <w:sz w:val="12"/>
                <w:szCs w:val="12"/>
                <w:b w:val="1"/>
                <w:bCs w:val="1"/>
                <w:color w:val="auto"/>
                <w:w w:val="88"/>
              </w:rPr>
              <w:t>Investments</w:t>
            </w:r>
          </w:p>
        </w:tc>
        <w:tc>
          <w:tcPr>
            <w:tcW w:w="7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60" w:type="dxa"/>
            <w:vAlign w:val="bottom"/>
            <w:tcBorders>
              <w:top w:val="single" w:sz="8" w:color="auto"/>
            </w:tcBorders>
            <w:gridSpan w:val="2"/>
          </w:tcPr>
          <w:p>
            <w:pPr>
              <w:jc w:val="right"/>
              <w:ind w:right="340"/>
              <w:spacing w:after="0" w:line="105" w:lineRule="exact"/>
              <w:rPr>
                <w:sz w:val="20"/>
                <w:szCs w:val="20"/>
                <w:color w:val="auto"/>
              </w:rPr>
            </w:pPr>
            <w:r>
              <w:rPr>
                <w:rFonts w:ascii="Arial" w:cs="Arial" w:eastAsia="Arial" w:hAnsi="Arial"/>
                <w:sz w:val="12"/>
                <w:szCs w:val="12"/>
                <w:b w:val="1"/>
                <w:bCs w:val="1"/>
                <w:color w:val="auto"/>
              </w:rPr>
              <w:t>Held for</w:t>
            </w:r>
          </w:p>
        </w:tc>
        <w:tc>
          <w:tcPr>
            <w:tcW w:w="540" w:type="dxa"/>
            <w:vAlign w:val="bottom"/>
            <w:tcBorders>
              <w:top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7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60" w:type="dxa"/>
            <w:vAlign w:val="bottom"/>
            <w:gridSpan w:val="2"/>
          </w:tcPr>
          <w:p>
            <w:pPr>
              <w:ind w:left="20"/>
              <w:spacing w:after="0" w:line="105" w:lineRule="exact"/>
              <w:rPr>
                <w:sz w:val="20"/>
                <w:szCs w:val="20"/>
                <w:color w:val="auto"/>
              </w:rPr>
            </w:pPr>
            <w:r>
              <w:rPr>
                <w:rFonts w:ascii="Arial" w:cs="Arial" w:eastAsia="Arial" w:hAnsi="Arial"/>
                <w:sz w:val="12"/>
                <w:szCs w:val="12"/>
                <w:b w:val="1"/>
                <w:bCs w:val="1"/>
                <w:color w:val="auto"/>
              </w:rPr>
              <w:t>Investments</w:t>
            </w:r>
          </w:p>
        </w:tc>
        <w:tc>
          <w:tcPr>
            <w:tcW w:w="840" w:type="dxa"/>
            <w:vAlign w:val="bottom"/>
            <w:gridSpan w:val="2"/>
          </w:tcPr>
          <w:p>
            <w:pPr>
              <w:jc w:val="center"/>
              <w:ind w:right="180"/>
              <w:spacing w:after="0" w:line="105" w:lineRule="exact"/>
              <w:rPr>
                <w:sz w:val="20"/>
                <w:szCs w:val="20"/>
                <w:color w:val="auto"/>
              </w:rPr>
            </w:pPr>
            <w:r>
              <w:rPr>
                <w:rFonts w:ascii="Arial" w:cs="Arial" w:eastAsia="Arial" w:hAnsi="Arial"/>
                <w:sz w:val="12"/>
                <w:szCs w:val="12"/>
                <w:b w:val="1"/>
                <w:bCs w:val="1"/>
                <w:color w:val="auto"/>
                <w:w w:val="88"/>
              </w:rPr>
              <w:t>Investments</w:t>
            </w: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r>
      <w:tr>
        <w:trPr>
          <w:trHeight w:val="130"/>
        </w:trPr>
        <w:tc>
          <w:tcPr>
            <w:tcW w:w="1520" w:type="dxa"/>
            <w:vAlign w:val="bottom"/>
          </w:tcPr>
          <w:p>
            <w:pPr>
              <w:spacing w:after="0"/>
              <w:rPr>
                <w:sz w:val="11"/>
                <w:szCs w:val="11"/>
                <w:color w:val="auto"/>
              </w:rPr>
            </w:pPr>
          </w:p>
        </w:tc>
        <w:tc>
          <w:tcPr>
            <w:tcW w:w="800" w:type="dxa"/>
            <w:vAlign w:val="bottom"/>
            <w:gridSpan w:val="2"/>
          </w:tcPr>
          <w:p>
            <w:pPr>
              <w:jc w:val="center"/>
              <w:ind w:right="200"/>
              <w:spacing w:after="0" w:line="130" w:lineRule="exact"/>
              <w:rPr>
                <w:sz w:val="20"/>
                <w:szCs w:val="20"/>
                <w:color w:val="auto"/>
              </w:rPr>
            </w:pPr>
            <w:r>
              <w:rPr>
                <w:rFonts w:ascii="Arial" w:cs="Arial" w:eastAsia="Arial" w:hAnsi="Arial"/>
                <w:sz w:val="12"/>
                <w:szCs w:val="12"/>
                <w:b w:val="1"/>
                <w:bCs w:val="1"/>
                <w:color w:val="auto"/>
                <w:w w:val="91"/>
              </w:rPr>
              <w:t>trading and</w:t>
            </w: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Loans and</w:t>
            </w:r>
          </w:p>
        </w:tc>
        <w:tc>
          <w:tcPr>
            <w:tcW w:w="840" w:type="dxa"/>
            <w:vAlign w:val="bottom"/>
            <w:gridSpan w:val="2"/>
          </w:tcPr>
          <w:p>
            <w:pPr>
              <w:jc w:val="center"/>
              <w:ind w:right="140"/>
              <w:spacing w:after="0" w:line="130" w:lineRule="exact"/>
              <w:rPr>
                <w:sz w:val="20"/>
                <w:szCs w:val="20"/>
                <w:color w:val="auto"/>
              </w:rPr>
            </w:pPr>
            <w:r>
              <w:rPr>
                <w:rFonts w:ascii="Arial" w:cs="Arial" w:eastAsia="Arial" w:hAnsi="Arial"/>
                <w:sz w:val="12"/>
                <w:szCs w:val="12"/>
                <w:b w:val="1"/>
                <w:bCs w:val="1"/>
                <w:color w:val="auto"/>
                <w:w w:val="93"/>
              </w:rPr>
              <w:t>available-for-</w:t>
            </w:r>
          </w:p>
        </w:tc>
        <w:tc>
          <w:tcPr>
            <w:tcW w:w="820" w:type="dxa"/>
            <w:vAlign w:val="bottom"/>
            <w:gridSpan w:val="2"/>
          </w:tcPr>
          <w:p>
            <w:pPr>
              <w:jc w:val="center"/>
              <w:ind w:right="160"/>
              <w:spacing w:after="0" w:line="130" w:lineRule="exact"/>
              <w:rPr>
                <w:sz w:val="20"/>
                <w:szCs w:val="20"/>
                <w:color w:val="auto"/>
              </w:rPr>
            </w:pPr>
            <w:r>
              <w:rPr>
                <w:rFonts w:ascii="Arial" w:cs="Arial" w:eastAsia="Arial" w:hAnsi="Arial"/>
                <w:sz w:val="12"/>
                <w:szCs w:val="12"/>
                <w:b w:val="1"/>
                <w:bCs w:val="1"/>
                <w:color w:val="auto"/>
                <w:w w:val="95"/>
              </w:rPr>
              <w:t>held-to-</w:t>
            </w: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gridSpan w:val="2"/>
          </w:tcPr>
          <w:p>
            <w:pPr>
              <w:jc w:val="right"/>
              <w:ind w:right="260"/>
              <w:spacing w:after="0" w:line="130" w:lineRule="exact"/>
              <w:rPr>
                <w:sz w:val="20"/>
                <w:szCs w:val="20"/>
                <w:color w:val="auto"/>
              </w:rPr>
            </w:pPr>
            <w:r>
              <w:rPr>
                <w:rFonts w:ascii="Arial" w:cs="Arial" w:eastAsia="Arial" w:hAnsi="Arial"/>
                <w:sz w:val="12"/>
                <w:szCs w:val="12"/>
                <w:b w:val="1"/>
                <w:bCs w:val="1"/>
                <w:color w:val="auto"/>
                <w:w w:val="88"/>
              </w:rPr>
              <w:t>trading and</w:t>
            </w:r>
          </w:p>
        </w:tc>
        <w:tc>
          <w:tcPr>
            <w:tcW w:w="720" w:type="dxa"/>
            <w:vAlign w:val="bottom"/>
            <w:gridSpan w:val="2"/>
          </w:tcPr>
          <w:p>
            <w:pPr>
              <w:ind w:left="180"/>
              <w:spacing w:after="0" w:line="130" w:lineRule="exact"/>
              <w:rPr>
                <w:sz w:val="20"/>
                <w:szCs w:val="20"/>
                <w:color w:val="auto"/>
              </w:rPr>
            </w:pPr>
            <w:r>
              <w:rPr>
                <w:rFonts w:ascii="Arial" w:cs="Arial" w:eastAsia="Arial" w:hAnsi="Arial"/>
                <w:sz w:val="12"/>
                <w:szCs w:val="12"/>
                <w:b w:val="1"/>
                <w:bCs w:val="1"/>
                <w:color w:val="auto"/>
              </w:rPr>
              <w:t>At</w:t>
            </w:r>
          </w:p>
        </w:tc>
        <w:tc>
          <w:tcPr>
            <w:tcW w:w="8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Loans and</w:t>
            </w:r>
          </w:p>
        </w:tc>
        <w:tc>
          <w:tcPr>
            <w:tcW w:w="860" w:type="dxa"/>
            <w:vAlign w:val="bottom"/>
            <w:gridSpan w:val="2"/>
          </w:tcPr>
          <w:p>
            <w:pPr>
              <w:jc w:val="center"/>
              <w:ind w:right="180"/>
              <w:spacing w:after="0" w:line="130" w:lineRule="exact"/>
              <w:rPr>
                <w:sz w:val="20"/>
                <w:szCs w:val="20"/>
                <w:color w:val="auto"/>
              </w:rPr>
            </w:pPr>
            <w:r>
              <w:rPr>
                <w:rFonts w:ascii="Arial" w:cs="Arial" w:eastAsia="Arial" w:hAnsi="Arial"/>
                <w:sz w:val="12"/>
                <w:szCs w:val="12"/>
                <w:b w:val="1"/>
                <w:bCs w:val="1"/>
                <w:color w:val="auto"/>
                <w:w w:val="94"/>
              </w:rPr>
              <w:t>available-</w:t>
            </w:r>
          </w:p>
        </w:tc>
        <w:tc>
          <w:tcPr>
            <w:tcW w:w="840" w:type="dxa"/>
            <w:vAlign w:val="bottom"/>
            <w:gridSpan w:val="2"/>
          </w:tcPr>
          <w:p>
            <w:pPr>
              <w:jc w:val="center"/>
              <w:ind w:right="200"/>
              <w:spacing w:after="0" w:line="130" w:lineRule="exact"/>
              <w:rPr>
                <w:sz w:val="20"/>
                <w:szCs w:val="20"/>
                <w:color w:val="auto"/>
              </w:rPr>
            </w:pPr>
            <w:r>
              <w:rPr>
                <w:rFonts w:ascii="Arial" w:cs="Arial" w:eastAsia="Arial" w:hAnsi="Arial"/>
                <w:sz w:val="12"/>
                <w:szCs w:val="12"/>
                <w:b w:val="1"/>
                <w:bCs w:val="1"/>
                <w:color w:val="auto"/>
                <w:w w:val="90"/>
              </w:rPr>
              <w:t>held-to-</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148"/>
        </w:trPr>
        <w:tc>
          <w:tcPr>
            <w:tcW w:w="1520" w:type="dxa"/>
            <w:vAlign w:val="bottom"/>
          </w:tcPr>
          <w:p>
            <w:pPr>
              <w:spacing w:after="0"/>
              <w:rPr>
                <w:sz w:val="12"/>
                <w:szCs w:val="12"/>
                <w:color w:val="auto"/>
              </w:rPr>
            </w:pPr>
          </w:p>
        </w:tc>
        <w:tc>
          <w:tcPr>
            <w:tcW w:w="800" w:type="dxa"/>
            <w:vAlign w:val="bottom"/>
            <w:gridSpan w:val="2"/>
          </w:tcPr>
          <w:p>
            <w:pPr>
              <w:jc w:val="center"/>
              <w:ind w:right="160"/>
              <w:spacing w:after="0"/>
              <w:rPr>
                <w:sz w:val="20"/>
                <w:szCs w:val="20"/>
                <w:color w:val="auto"/>
              </w:rPr>
            </w:pPr>
            <w:r>
              <w:rPr>
                <w:rFonts w:ascii="Arial" w:cs="Arial" w:eastAsia="Arial" w:hAnsi="Arial"/>
                <w:sz w:val="12"/>
                <w:szCs w:val="12"/>
                <w:b w:val="1"/>
                <w:bCs w:val="1"/>
                <w:color w:val="auto"/>
                <w:w w:val="85"/>
              </w:rPr>
              <w:t>hedging</w:t>
            </w:r>
          </w:p>
        </w:tc>
        <w:tc>
          <w:tcPr>
            <w:tcW w:w="780" w:type="dxa"/>
            <w:vAlign w:val="bottom"/>
            <w:gridSpan w:val="2"/>
          </w:tcPr>
          <w:p>
            <w:pPr>
              <w:jc w:val="right"/>
              <w:ind w:right="140"/>
              <w:spacing w:after="0"/>
              <w:rPr>
                <w:sz w:val="20"/>
                <w:szCs w:val="20"/>
                <w:color w:val="auto"/>
              </w:rPr>
            </w:pPr>
            <w:r>
              <w:rPr>
                <w:rFonts w:ascii="Arial" w:cs="Arial" w:eastAsia="Arial" w:hAnsi="Arial"/>
                <w:sz w:val="12"/>
                <w:szCs w:val="12"/>
                <w:b w:val="1"/>
                <w:bCs w:val="1"/>
                <w:color w:val="auto"/>
                <w:w w:val="89"/>
              </w:rPr>
              <w:t>At inception</w:t>
            </w:r>
          </w:p>
        </w:tc>
        <w:tc>
          <w:tcPr>
            <w:tcW w:w="840" w:type="dxa"/>
            <w:vAlign w:val="bottom"/>
            <w:gridSpan w:val="2"/>
          </w:tcPr>
          <w:p>
            <w:pPr>
              <w:ind w:left="60"/>
              <w:spacing w:after="0"/>
              <w:rPr>
                <w:sz w:val="20"/>
                <w:szCs w:val="20"/>
                <w:color w:val="auto"/>
              </w:rPr>
            </w:pPr>
            <w:r>
              <w:rPr>
                <w:rFonts w:ascii="Arial" w:cs="Arial" w:eastAsia="Arial" w:hAnsi="Arial"/>
                <w:sz w:val="12"/>
                <w:szCs w:val="12"/>
                <w:b w:val="1"/>
                <w:bCs w:val="1"/>
                <w:color w:val="auto"/>
              </w:rPr>
              <w:t>receivables</w:t>
            </w:r>
          </w:p>
        </w:tc>
        <w:tc>
          <w:tcPr>
            <w:tcW w:w="840" w:type="dxa"/>
            <w:vAlign w:val="bottom"/>
            <w:gridSpan w:val="2"/>
          </w:tcPr>
          <w:p>
            <w:pPr>
              <w:jc w:val="center"/>
              <w:ind w:right="160"/>
              <w:spacing w:after="0"/>
              <w:rPr>
                <w:sz w:val="20"/>
                <w:szCs w:val="20"/>
                <w:color w:val="auto"/>
              </w:rPr>
            </w:pPr>
            <w:r>
              <w:rPr>
                <w:rFonts w:ascii="Arial" w:cs="Arial" w:eastAsia="Arial" w:hAnsi="Arial"/>
                <w:sz w:val="12"/>
                <w:szCs w:val="12"/>
                <w:b w:val="1"/>
                <w:bCs w:val="1"/>
                <w:color w:val="auto"/>
                <w:w w:val="85"/>
              </w:rPr>
              <w:t>sale</w:t>
            </w:r>
          </w:p>
        </w:tc>
        <w:tc>
          <w:tcPr>
            <w:tcW w:w="820" w:type="dxa"/>
            <w:vAlign w:val="bottom"/>
            <w:gridSpan w:val="2"/>
          </w:tcPr>
          <w:p>
            <w:pPr>
              <w:jc w:val="center"/>
              <w:ind w:right="160"/>
              <w:spacing w:after="0"/>
              <w:rPr>
                <w:sz w:val="20"/>
                <w:szCs w:val="20"/>
                <w:color w:val="auto"/>
              </w:rPr>
            </w:pPr>
            <w:r>
              <w:rPr>
                <w:rFonts w:ascii="Arial" w:cs="Arial" w:eastAsia="Arial" w:hAnsi="Arial"/>
                <w:sz w:val="12"/>
                <w:szCs w:val="12"/>
                <w:b w:val="1"/>
                <w:bCs w:val="1"/>
                <w:color w:val="auto"/>
                <w:w w:val="97"/>
              </w:rPr>
              <w:t>maturity</w:t>
            </w:r>
          </w:p>
        </w:tc>
        <w:tc>
          <w:tcPr>
            <w:tcW w:w="880" w:type="dxa"/>
            <w:vAlign w:val="bottom"/>
            <w:gridSpan w:val="2"/>
          </w:tcPr>
          <w:p>
            <w:pPr>
              <w:ind w:left="200"/>
              <w:spacing w:after="0"/>
              <w:rPr>
                <w:sz w:val="20"/>
                <w:szCs w:val="20"/>
                <w:color w:val="auto"/>
              </w:rPr>
            </w:pPr>
            <w:r>
              <w:rPr>
                <w:rFonts w:ascii="Arial" w:cs="Arial" w:eastAsia="Arial" w:hAnsi="Arial"/>
                <w:sz w:val="12"/>
                <w:szCs w:val="12"/>
                <w:b w:val="1"/>
                <w:bCs w:val="1"/>
                <w:color w:val="auto"/>
              </w:rPr>
              <w:t>Total</w:t>
            </w:r>
          </w:p>
        </w:tc>
        <w:tc>
          <w:tcPr>
            <w:tcW w:w="860" w:type="dxa"/>
            <w:vAlign w:val="bottom"/>
            <w:gridSpan w:val="2"/>
          </w:tcPr>
          <w:p>
            <w:pPr>
              <w:jc w:val="right"/>
              <w:ind w:right="340"/>
              <w:spacing w:after="0"/>
              <w:rPr>
                <w:sz w:val="20"/>
                <w:szCs w:val="20"/>
                <w:color w:val="auto"/>
              </w:rPr>
            </w:pPr>
            <w:r>
              <w:rPr>
                <w:rFonts w:ascii="Arial" w:cs="Arial" w:eastAsia="Arial" w:hAnsi="Arial"/>
                <w:sz w:val="12"/>
                <w:szCs w:val="12"/>
                <w:b w:val="1"/>
                <w:bCs w:val="1"/>
                <w:color w:val="auto"/>
              </w:rPr>
              <w:t>hedging</w:t>
            </w: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inception</w:t>
            </w:r>
          </w:p>
        </w:tc>
        <w:tc>
          <w:tcPr>
            <w:tcW w:w="880" w:type="dxa"/>
            <w:vAlign w:val="bottom"/>
            <w:gridSpan w:val="2"/>
          </w:tcPr>
          <w:p>
            <w:pPr>
              <w:ind w:left="60"/>
              <w:spacing w:after="0"/>
              <w:rPr>
                <w:sz w:val="20"/>
                <w:szCs w:val="20"/>
                <w:color w:val="auto"/>
              </w:rPr>
            </w:pPr>
            <w:r>
              <w:rPr>
                <w:rFonts w:ascii="Arial" w:cs="Arial" w:eastAsia="Arial" w:hAnsi="Arial"/>
                <w:sz w:val="12"/>
                <w:szCs w:val="12"/>
                <w:b w:val="1"/>
                <w:bCs w:val="1"/>
                <w:color w:val="auto"/>
              </w:rPr>
              <w:t>receivables</w:t>
            </w:r>
          </w:p>
        </w:tc>
        <w:tc>
          <w:tcPr>
            <w:tcW w:w="860" w:type="dxa"/>
            <w:vAlign w:val="bottom"/>
            <w:gridSpan w:val="2"/>
          </w:tcPr>
          <w:p>
            <w:pPr>
              <w:jc w:val="center"/>
              <w:ind w:right="180"/>
              <w:spacing w:after="0"/>
              <w:rPr>
                <w:sz w:val="20"/>
                <w:szCs w:val="20"/>
                <w:color w:val="auto"/>
              </w:rPr>
            </w:pPr>
            <w:r>
              <w:rPr>
                <w:rFonts w:ascii="Arial" w:cs="Arial" w:eastAsia="Arial" w:hAnsi="Arial"/>
                <w:sz w:val="12"/>
                <w:szCs w:val="12"/>
                <w:b w:val="1"/>
                <w:bCs w:val="1"/>
                <w:color w:val="auto"/>
                <w:w w:val="92"/>
              </w:rPr>
              <w:t>for-sale</w:t>
            </w:r>
          </w:p>
        </w:tc>
        <w:tc>
          <w:tcPr>
            <w:tcW w:w="840" w:type="dxa"/>
            <w:vAlign w:val="bottom"/>
            <w:gridSpan w:val="2"/>
          </w:tcPr>
          <w:p>
            <w:pPr>
              <w:jc w:val="center"/>
              <w:ind w:right="180"/>
              <w:spacing w:after="0"/>
              <w:rPr>
                <w:sz w:val="20"/>
                <w:szCs w:val="20"/>
                <w:color w:val="auto"/>
              </w:rPr>
            </w:pPr>
            <w:r>
              <w:rPr>
                <w:rFonts w:ascii="Arial" w:cs="Arial" w:eastAsia="Arial" w:hAnsi="Arial"/>
                <w:sz w:val="12"/>
                <w:szCs w:val="12"/>
                <w:b w:val="1"/>
                <w:bCs w:val="1"/>
                <w:color w:val="auto"/>
                <w:w w:val="97"/>
              </w:rPr>
              <w:t>maturity</w:t>
            </w:r>
          </w:p>
        </w:tc>
        <w:tc>
          <w:tcPr>
            <w:tcW w:w="780" w:type="dxa"/>
            <w:vAlign w:val="bottom"/>
            <w:gridSpan w:val="3"/>
          </w:tcPr>
          <w:p>
            <w:pPr>
              <w:ind w:left="200"/>
              <w:spacing w:after="0"/>
              <w:rPr>
                <w:sz w:val="20"/>
                <w:szCs w:val="20"/>
                <w:color w:val="auto"/>
              </w:rPr>
            </w:pPr>
            <w:r>
              <w:rPr>
                <w:rFonts w:ascii="Arial" w:cs="Arial" w:eastAsia="Arial" w:hAnsi="Arial"/>
                <w:sz w:val="12"/>
                <w:szCs w:val="12"/>
                <w:b w:val="1"/>
                <w:bCs w:val="1"/>
                <w:color w:val="auto"/>
              </w:rPr>
              <w:t>Total</w:t>
            </w:r>
          </w:p>
        </w:tc>
      </w:tr>
      <w:tr>
        <w:trPr>
          <w:trHeight w:val="151"/>
        </w:trPr>
        <w:tc>
          <w:tcPr>
            <w:tcW w:w="1520" w:type="dxa"/>
            <w:vAlign w:val="bottom"/>
          </w:tcPr>
          <w:p>
            <w:pPr>
              <w:spacing w:after="0"/>
              <w:rPr>
                <w:sz w:val="13"/>
                <w:szCs w:val="13"/>
                <w:color w:val="auto"/>
              </w:rPr>
            </w:pPr>
          </w:p>
        </w:tc>
        <w:tc>
          <w:tcPr>
            <w:tcW w:w="640" w:type="dxa"/>
            <w:vAlign w:val="bottom"/>
            <w:tcBorders>
              <w:top w:val="single" w:sz="8" w:color="auto"/>
            </w:tcBorders>
          </w:tcPr>
          <w:p>
            <w:pPr>
              <w:jc w:val="center"/>
              <w:spacing w:after="0"/>
              <w:rPr>
                <w:sz w:val="20"/>
                <w:szCs w:val="20"/>
                <w:color w:val="auto"/>
              </w:rPr>
            </w:pPr>
            <w:r>
              <w:rPr>
                <w:rFonts w:ascii="Arial" w:cs="Arial" w:eastAsia="Arial" w:hAnsi="Arial"/>
                <w:sz w:val="12"/>
                <w:szCs w:val="12"/>
                <w:b w:val="1"/>
                <w:bCs w:val="1"/>
                <w:color w:val="auto"/>
                <w:w w:val="91"/>
              </w:rPr>
              <w:t>S/(000)</w:t>
            </w:r>
          </w:p>
        </w:tc>
        <w:tc>
          <w:tcPr>
            <w:tcW w:w="160" w:type="dxa"/>
            <w:vAlign w:val="bottom"/>
          </w:tcPr>
          <w:p>
            <w:pPr>
              <w:spacing w:after="0"/>
              <w:rPr>
                <w:sz w:val="13"/>
                <w:szCs w:val="13"/>
                <w:color w:val="auto"/>
              </w:rPr>
            </w:pPr>
          </w:p>
        </w:tc>
        <w:tc>
          <w:tcPr>
            <w:tcW w:w="620" w:type="dxa"/>
            <w:vAlign w:val="bottom"/>
            <w:tcBorders>
              <w:top w:val="single" w:sz="8" w:color="auto"/>
            </w:tcBorders>
          </w:tcPr>
          <w:p>
            <w:pPr>
              <w:jc w:val="right"/>
              <w:ind w:right="59"/>
              <w:spacing w:after="0"/>
              <w:rPr>
                <w:sz w:val="20"/>
                <w:szCs w:val="20"/>
                <w:color w:val="auto"/>
              </w:rPr>
            </w:pPr>
            <w:r>
              <w:rPr>
                <w:rFonts w:ascii="Arial" w:cs="Arial" w:eastAsia="Arial" w:hAnsi="Arial"/>
                <w:sz w:val="12"/>
                <w:szCs w:val="12"/>
                <w:b w:val="1"/>
                <w:bCs w:val="1"/>
                <w:color w:val="auto"/>
              </w:rPr>
              <w:t>S/(000)</w:t>
            </w:r>
          </w:p>
        </w:tc>
        <w:tc>
          <w:tcPr>
            <w:tcW w:w="160" w:type="dxa"/>
            <w:vAlign w:val="bottom"/>
          </w:tcPr>
          <w:p>
            <w:pPr>
              <w:spacing w:after="0"/>
              <w:rPr>
                <w:sz w:val="13"/>
                <w:szCs w:val="13"/>
                <w:color w:val="auto"/>
              </w:rPr>
            </w:pPr>
          </w:p>
        </w:tc>
        <w:tc>
          <w:tcPr>
            <w:tcW w:w="680" w:type="dxa"/>
            <w:vAlign w:val="bottom"/>
            <w:tcBorders>
              <w:top w:val="single" w:sz="8" w:color="auto"/>
            </w:tcBorders>
          </w:tcPr>
          <w:p>
            <w:pPr>
              <w:jc w:val="right"/>
              <w:ind w:right="99"/>
              <w:spacing w:after="0"/>
              <w:rPr>
                <w:sz w:val="20"/>
                <w:szCs w:val="20"/>
                <w:color w:val="auto"/>
              </w:rPr>
            </w:pPr>
            <w:r>
              <w:rPr>
                <w:rFonts w:ascii="Arial" w:cs="Arial" w:eastAsia="Arial" w:hAnsi="Arial"/>
                <w:sz w:val="12"/>
                <w:szCs w:val="12"/>
                <w:b w:val="1"/>
                <w:bCs w:val="1"/>
                <w:color w:val="auto"/>
              </w:rPr>
              <w:t>S/(000)</w:t>
            </w:r>
          </w:p>
        </w:tc>
        <w:tc>
          <w:tcPr>
            <w:tcW w:w="160" w:type="dxa"/>
            <w:vAlign w:val="bottom"/>
          </w:tcPr>
          <w:p>
            <w:pPr>
              <w:spacing w:after="0"/>
              <w:rPr>
                <w:sz w:val="13"/>
                <w:szCs w:val="13"/>
                <w:color w:val="auto"/>
              </w:rPr>
            </w:pPr>
          </w:p>
        </w:tc>
        <w:tc>
          <w:tcPr>
            <w:tcW w:w="680" w:type="dxa"/>
            <w:vAlign w:val="bottom"/>
            <w:tcBorders>
              <w:top w:val="single" w:sz="8" w:color="auto"/>
            </w:tcBorders>
          </w:tcPr>
          <w:p>
            <w:pPr>
              <w:jc w:val="center"/>
              <w:spacing w:after="0"/>
              <w:rPr>
                <w:sz w:val="20"/>
                <w:szCs w:val="20"/>
                <w:color w:val="auto"/>
              </w:rPr>
            </w:pPr>
            <w:r>
              <w:rPr>
                <w:rFonts w:ascii="Arial" w:cs="Arial" w:eastAsia="Arial" w:hAnsi="Arial"/>
                <w:sz w:val="12"/>
                <w:szCs w:val="12"/>
                <w:b w:val="1"/>
                <w:bCs w:val="1"/>
                <w:color w:val="auto"/>
                <w:w w:val="91"/>
              </w:rPr>
              <w:t>S/(000)</w:t>
            </w:r>
          </w:p>
        </w:tc>
        <w:tc>
          <w:tcPr>
            <w:tcW w:w="160" w:type="dxa"/>
            <w:vAlign w:val="bottom"/>
          </w:tcPr>
          <w:p>
            <w:pPr>
              <w:spacing w:after="0"/>
              <w:rPr>
                <w:sz w:val="13"/>
                <w:szCs w:val="13"/>
                <w:color w:val="auto"/>
              </w:rPr>
            </w:pPr>
          </w:p>
        </w:tc>
        <w:tc>
          <w:tcPr>
            <w:tcW w:w="660" w:type="dxa"/>
            <w:vAlign w:val="bottom"/>
            <w:tcBorders>
              <w:top w:val="single" w:sz="8" w:color="auto"/>
            </w:tcBorders>
          </w:tcPr>
          <w:p>
            <w:pPr>
              <w:jc w:val="center"/>
              <w:spacing w:after="0"/>
              <w:rPr>
                <w:sz w:val="20"/>
                <w:szCs w:val="20"/>
                <w:color w:val="auto"/>
              </w:rPr>
            </w:pPr>
            <w:r>
              <w:rPr>
                <w:rFonts w:ascii="Arial" w:cs="Arial" w:eastAsia="Arial" w:hAnsi="Arial"/>
                <w:sz w:val="12"/>
                <w:szCs w:val="12"/>
                <w:b w:val="1"/>
                <w:bCs w:val="1"/>
                <w:color w:val="auto"/>
                <w:w w:val="96"/>
              </w:rPr>
              <w:t>S/(000)</w:t>
            </w:r>
          </w:p>
        </w:tc>
        <w:tc>
          <w:tcPr>
            <w:tcW w:w="160" w:type="dxa"/>
            <w:vAlign w:val="bottom"/>
          </w:tcPr>
          <w:p>
            <w:pPr>
              <w:spacing w:after="0"/>
              <w:rPr>
                <w:sz w:val="13"/>
                <w:szCs w:val="13"/>
                <w:color w:val="auto"/>
              </w:rPr>
            </w:pPr>
          </w:p>
        </w:tc>
        <w:tc>
          <w:tcPr>
            <w:tcW w:w="700" w:type="dxa"/>
            <w:vAlign w:val="bottom"/>
            <w:tcBorders>
              <w:top w:val="single" w:sz="8" w:color="auto"/>
            </w:tcBorders>
          </w:tcPr>
          <w:p>
            <w:pPr>
              <w:jc w:val="right"/>
              <w:ind w:right="119"/>
              <w:spacing w:after="0"/>
              <w:rPr>
                <w:sz w:val="20"/>
                <w:szCs w:val="20"/>
                <w:color w:val="auto"/>
              </w:rPr>
            </w:pPr>
            <w:r>
              <w:rPr>
                <w:rFonts w:ascii="Arial" w:cs="Arial" w:eastAsia="Arial" w:hAnsi="Arial"/>
                <w:sz w:val="12"/>
                <w:szCs w:val="12"/>
                <w:b w:val="1"/>
                <w:bCs w:val="1"/>
                <w:color w:val="auto"/>
              </w:rPr>
              <w:t>S/(000)</w:t>
            </w:r>
          </w:p>
        </w:tc>
        <w:tc>
          <w:tcPr>
            <w:tcW w:w="180" w:type="dxa"/>
            <w:vAlign w:val="bottom"/>
          </w:tcPr>
          <w:p>
            <w:pPr>
              <w:spacing w:after="0"/>
              <w:rPr>
                <w:sz w:val="13"/>
                <w:szCs w:val="13"/>
                <w:color w:val="auto"/>
              </w:rPr>
            </w:pPr>
          </w:p>
        </w:tc>
        <w:tc>
          <w:tcPr>
            <w:tcW w:w="640" w:type="dxa"/>
            <w:vAlign w:val="bottom"/>
            <w:tcBorders>
              <w:top w:val="single" w:sz="8" w:color="auto"/>
            </w:tcBorders>
          </w:tcPr>
          <w:p>
            <w:pPr>
              <w:jc w:val="right"/>
              <w:ind w:right="79"/>
              <w:spacing w:after="0"/>
              <w:rPr>
                <w:sz w:val="20"/>
                <w:szCs w:val="20"/>
                <w:color w:val="auto"/>
              </w:rPr>
            </w:pPr>
            <w:r>
              <w:rPr>
                <w:rFonts w:ascii="Arial" w:cs="Arial" w:eastAsia="Arial" w:hAnsi="Arial"/>
                <w:sz w:val="12"/>
                <w:szCs w:val="12"/>
                <w:b w:val="1"/>
                <w:bCs w:val="1"/>
                <w:color w:val="auto"/>
              </w:rPr>
              <w:t>S/(000)</w:t>
            </w:r>
          </w:p>
        </w:tc>
        <w:tc>
          <w:tcPr>
            <w:tcW w:w="220" w:type="dxa"/>
            <w:vAlign w:val="bottom"/>
          </w:tcPr>
          <w:p>
            <w:pPr>
              <w:spacing w:after="0"/>
              <w:rPr>
                <w:sz w:val="13"/>
                <w:szCs w:val="13"/>
                <w:color w:val="auto"/>
              </w:rPr>
            </w:pPr>
          </w:p>
        </w:tc>
        <w:tc>
          <w:tcPr>
            <w:tcW w:w="540" w:type="dxa"/>
            <w:vAlign w:val="bottom"/>
            <w:tcBorders>
              <w:top w:val="single" w:sz="8" w:color="auto"/>
            </w:tcBorders>
          </w:tcPr>
          <w:p>
            <w:pPr>
              <w:jc w:val="right"/>
              <w:ind w:right="39"/>
              <w:spacing w:after="0"/>
              <w:rPr>
                <w:sz w:val="20"/>
                <w:szCs w:val="20"/>
                <w:color w:val="auto"/>
              </w:rPr>
            </w:pPr>
            <w:r>
              <w:rPr>
                <w:rFonts w:ascii="Arial" w:cs="Arial" w:eastAsia="Arial" w:hAnsi="Arial"/>
                <w:sz w:val="12"/>
                <w:szCs w:val="12"/>
                <w:b w:val="1"/>
                <w:bCs w:val="1"/>
                <w:color w:val="auto"/>
              </w:rPr>
              <w:t>S/(000)</w:t>
            </w:r>
          </w:p>
        </w:tc>
        <w:tc>
          <w:tcPr>
            <w:tcW w:w="180" w:type="dxa"/>
            <w:vAlign w:val="bottom"/>
          </w:tcPr>
          <w:p>
            <w:pPr>
              <w:spacing w:after="0"/>
              <w:rPr>
                <w:sz w:val="13"/>
                <w:szCs w:val="13"/>
                <w:color w:val="auto"/>
              </w:rPr>
            </w:pPr>
          </w:p>
        </w:tc>
        <w:tc>
          <w:tcPr>
            <w:tcW w:w="700" w:type="dxa"/>
            <w:vAlign w:val="bottom"/>
            <w:tcBorders>
              <w:top w:val="single" w:sz="8" w:color="auto"/>
            </w:tcBorders>
          </w:tcPr>
          <w:p>
            <w:pPr>
              <w:jc w:val="right"/>
              <w:ind w:right="99"/>
              <w:spacing w:after="0"/>
              <w:rPr>
                <w:sz w:val="20"/>
                <w:szCs w:val="20"/>
                <w:color w:val="auto"/>
              </w:rPr>
            </w:pPr>
            <w:r>
              <w:rPr>
                <w:rFonts w:ascii="Arial" w:cs="Arial" w:eastAsia="Arial" w:hAnsi="Arial"/>
                <w:sz w:val="12"/>
                <w:szCs w:val="12"/>
                <w:b w:val="1"/>
                <w:bCs w:val="1"/>
                <w:color w:val="auto"/>
              </w:rPr>
              <w:t>S/(000)</w:t>
            </w:r>
          </w:p>
        </w:tc>
        <w:tc>
          <w:tcPr>
            <w:tcW w:w="180" w:type="dxa"/>
            <w:vAlign w:val="bottom"/>
          </w:tcPr>
          <w:p>
            <w:pPr>
              <w:spacing w:after="0"/>
              <w:rPr>
                <w:sz w:val="13"/>
                <w:szCs w:val="13"/>
                <w:color w:val="auto"/>
              </w:rPr>
            </w:pPr>
          </w:p>
        </w:tc>
        <w:tc>
          <w:tcPr>
            <w:tcW w:w="680" w:type="dxa"/>
            <w:vAlign w:val="bottom"/>
            <w:tcBorders>
              <w:top w:val="single" w:sz="8" w:color="auto"/>
            </w:tcBorders>
          </w:tcPr>
          <w:p>
            <w:pPr>
              <w:jc w:val="center"/>
              <w:spacing w:after="0"/>
              <w:rPr>
                <w:sz w:val="20"/>
                <w:szCs w:val="20"/>
                <w:color w:val="auto"/>
              </w:rPr>
            </w:pPr>
            <w:r>
              <w:rPr>
                <w:rFonts w:ascii="Arial" w:cs="Arial" w:eastAsia="Arial" w:hAnsi="Arial"/>
                <w:sz w:val="12"/>
                <w:szCs w:val="12"/>
                <w:b w:val="1"/>
                <w:bCs w:val="1"/>
                <w:color w:val="auto"/>
                <w:w w:val="91"/>
              </w:rPr>
              <w:t>S/(000)</w:t>
            </w:r>
          </w:p>
        </w:tc>
        <w:tc>
          <w:tcPr>
            <w:tcW w:w="180" w:type="dxa"/>
            <w:vAlign w:val="bottom"/>
          </w:tcPr>
          <w:p>
            <w:pPr>
              <w:spacing w:after="0"/>
              <w:rPr>
                <w:sz w:val="13"/>
                <w:szCs w:val="13"/>
                <w:color w:val="auto"/>
              </w:rPr>
            </w:pPr>
          </w:p>
        </w:tc>
        <w:tc>
          <w:tcPr>
            <w:tcW w:w="640" w:type="dxa"/>
            <w:vAlign w:val="bottom"/>
            <w:tcBorders>
              <w:top w:val="single" w:sz="8" w:color="auto"/>
            </w:tcBorders>
          </w:tcPr>
          <w:p>
            <w:pPr>
              <w:jc w:val="center"/>
              <w:spacing w:after="0"/>
              <w:rPr>
                <w:sz w:val="20"/>
                <w:szCs w:val="20"/>
                <w:color w:val="auto"/>
              </w:rPr>
            </w:pPr>
            <w:r>
              <w:rPr>
                <w:rFonts w:ascii="Arial" w:cs="Arial" w:eastAsia="Arial" w:hAnsi="Arial"/>
                <w:sz w:val="12"/>
                <w:szCs w:val="12"/>
                <w:b w:val="1"/>
                <w:bCs w:val="1"/>
                <w:color w:val="auto"/>
                <w:w w:val="91"/>
              </w:rPr>
              <w:t>S/(000)</w:t>
            </w:r>
          </w:p>
        </w:tc>
        <w:tc>
          <w:tcPr>
            <w:tcW w:w="200" w:type="dxa"/>
            <w:vAlign w:val="bottom"/>
          </w:tcPr>
          <w:p>
            <w:pPr>
              <w:spacing w:after="0"/>
              <w:rPr>
                <w:sz w:val="13"/>
                <w:szCs w:val="13"/>
                <w:color w:val="auto"/>
              </w:rPr>
            </w:pPr>
          </w:p>
        </w:tc>
        <w:tc>
          <w:tcPr>
            <w:tcW w:w="700" w:type="dxa"/>
            <w:vAlign w:val="bottom"/>
            <w:tcBorders>
              <w:top w:val="single" w:sz="8" w:color="auto"/>
            </w:tcBorders>
          </w:tcPr>
          <w:p>
            <w:pPr>
              <w:jc w:val="right"/>
              <w:ind w:right="119"/>
              <w:spacing w:after="0"/>
              <w:rPr>
                <w:sz w:val="20"/>
                <w:szCs w:val="20"/>
                <w:color w:val="auto"/>
              </w:rPr>
            </w:pPr>
            <w:r>
              <w:rPr>
                <w:rFonts w:ascii="Arial" w:cs="Arial" w:eastAsia="Arial" w:hAnsi="Arial"/>
                <w:sz w:val="12"/>
                <w:szCs w:val="12"/>
                <w:b w:val="1"/>
                <w:bCs w:val="1"/>
                <w:color w:val="auto"/>
              </w:rPr>
              <w:t>S/(000)</w:t>
            </w:r>
          </w:p>
        </w:tc>
        <w:tc>
          <w:tcPr>
            <w:tcW w:w="80" w:type="dxa"/>
            <w:vAlign w:val="bottom"/>
            <w:gridSpan w:val="2"/>
          </w:tcPr>
          <w:p>
            <w:pPr>
              <w:spacing w:after="0"/>
              <w:rPr>
                <w:sz w:val="13"/>
                <w:szCs w:val="13"/>
                <w:color w:val="auto"/>
              </w:rPr>
            </w:pPr>
          </w:p>
        </w:tc>
      </w:tr>
      <w:tr>
        <w:trPr>
          <w:trHeight w:val="102"/>
        </w:trPr>
        <w:tc>
          <w:tcPr>
            <w:tcW w:w="15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700" w:type="dxa"/>
            <w:vAlign w:val="bottom"/>
          </w:tcPr>
          <w:p>
            <w:pPr>
              <w:spacing w:after="0"/>
              <w:rPr>
                <w:sz w:val="8"/>
                <w:szCs w:val="8"/>
                <w:color w:val="auto"/>
              </w:rPr>
            </w:pPr>
          </w:p>
        </w:tc>
        <w:tc>
          <w:tcPr>
            <w:tcW w:w="1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80" w:type="dxa"/>
            <w:vAlign w:val="bottom"/>
          </w:tcPr>
          <w:p>
            <w:pPr>
              <w:spacing w:after="0"/>
              <w:rPr>
                <w:sz w:val="8"/>
                <w:szCs w:val="8"/>
                <w:color w:val="auto"/>
              </w:rPr>
            </w:pPr>
          </w:p>
        </w:tc>
        <w:tc>
          <w:tcPr>
            <w:tcW w:w="700" w:type="dxa"/>
            <w:vAlign w:val="bottom"/>
          </w:tcPr>
          <w:p>
            <w:pPr>
              <w:spacing w:after="0"/>
              <w:rPr>
                <w:sz w:val="8"/>
                <w:szCs w:val="8"/>
                <w:color w:val="auto"/>
              </w:rPr>
            </w:pPr>
          </w:p>
        </w:tc>
        <w:tc>
          <w:tcPr>
            <w:tcW w:w="180" w:type="dxa"/>
            <w:vAlign w:val="bottom"/>
          </w:tcPr>
          <w:p>
            <w:pPr>
              <w:spacing w:after="0"/>
              <w:rPr>
                <w:sz w:val="8"/>
                <w:szCs w:val="8"/>
                <w:color w:val="auto"/>
              </w:rPr>
            </w:pPr>
          </w:p>
        </w:tc>
        <w:tc>
          <w:tcPr>
            <w:tcW w:w="6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116"/>
        </w:trPr>
        <w:tc>
          <w:tcPr>
            <w:tcW w:w="1520" w:type="dxa"/>
            <w:vAlign w:val="bottom"/>
            <w:shd w:val="clear" w:color="auto" w:fill="CCEEFF"/>
          </w:tcPr>
          <w:p>
            <w:pPr>
              <w:spacing w:after="0" w:line="116" w:lineRule="exact"/>
              <w:rPr>
                <w:sz w:val="20"/>
                <w:szCs w:val="20"/>
                <w:color w:val="auto"/>
              </w:rPr>
            </w:pPr>
            <w:r>
              <w:rPr>
                <w:rFonts w:ascii="Arial" w:cs="Arial" w:eastAsia="Arial" w:hAnsi="Arial"/>
                <w:sz w:val="12"/>
                <w:szCs w:val="12"/>
                <w:color w:val="auto"/>
              </w:rPr>
              <w:t>Central Reserve Bank of</w:t>
            </w:r>
          </w:p>
        </w:tc>
        <w:tc>
          <w:tcPr>
            <w:tcW w:w="6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r>
      <w:tr>
        <w:trPr>
          <w:trHeight w:val="144"/>
        </w:trPr>
        <w:tc>
          <w:tcPr>
            <w:tcW w:w="1520" w:type="dxa"/>
            <w:vAlign w:val="bottom"/>
            <w:shd w:val="clear" w:color="auto" w:fill="CCEEFF"/>
          </w:tcPr>
          <w:p>
            <w:pPr>
              <w:spacing w:after="0"/>
              <w:rPr>
                <w:sz w:val="20"/>
                <w:szCs w:val="20"/>
                <w:color w:val="auto"/>
              </w:rPr>
            </w:pPr>
            <w:r>
              <w:rPr>
                <w:rFonts w:ascii="Arial" w:cs="Arial" w:eastAsia="Arial" w:hAnsi="Arial"/>
                <w:sz w:val="12"/>
                <w:szCs w:val="12"/>
                <w:color w:val="auto"/>
              </w:rPr>
              <w:t>Peru</w:t>
            </w: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2,102,330</w:t>
            </w:r>
          </w:p>
        </w:tc>
        <w:tc>
          <w:tcPr>
            <w:tcW w:w="1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21,630,506</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7,925,997</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31,658,833</w:t>
            </w: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2,122,662</w:t>
            </w:r>
          </w:p>
        </w:tc>
        <w:tc>
          <w:tcPr>
            <w:tcW w:w="2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18,748,155</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3,419,374</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24,290,191</w:t>
            </w:r>
          </w:p>
        </w:tc>
        <w:tc>
          <w:tcPr>
            <w:tcW w:w="60" w:type="dxa"/>
            <w:vAlign w:val="bottom"/>
            <w:shd w:val="clear" w:color="auto" w:fill="CCEEFF"/>
          </w:tcPr>
          <w:p>
            <w:pPr>
              <w:spacing w:after="0"/>
              <w:rPr>
                <w:sz w:val="12"/>
                <w:szCs w:val="12"/>
                <w:color w:val="auto"/>
              </w:rPr>
            </w:pPr>
          </w:p>
        </w:tc>
      </w:tr>
      <w:tr>
        <w:trPr>
          <w:trHeight w:val="130"/>
        </w:trPr>
        <w:tc>
          <w:tcPr>
            <w:tcW w:w="1520" w:type="dxa"/>
            <w:vAlign w:val="bottom"/>
          </w:tcPr>
          <w:p>
            <w:pPr>
              <w:spacing w:after="0" w:line="130" w:lineRule="exact"/>
              <w:rPr>
                <w:sz w:val="20"/>
                <w:szCs w:val="20"/>
                <w:color w:val="auto"/>
              </w:rPr>
            </w:pPr>
            <w:r>
              <w:rPr>
                <w:rFonts w:ascii="Arial" w:cs="Arial" w:eastAsia="Arial" w:hAnsi="Arial"/>
                <w:sz w:val="12"/>
                <w:szCs w:val="12"/>
                <w:color w:val="auto"/>
              </w:rPr>
              <w:t>Financial services</w:t>
            </w:r>
          </w:p>
        </w:tc>
        <w:tc>
          <w:tcPr>
            <w:tcW w:w="640" w:type="dxa"/>
            <w:vAlign w:val="bottom"/>
          </w:tcPr>
          <w:p>
            <w:pPr>
              <w:jc w:val="right"/>
              <w:spacing w:after="0" w:line="130" w:lineRule="exact"/>
              <w:rPr>
                <w:sz w:val="20"/>
                <w:szCs w:val="20"/>
                <w:color w:val="auto"/>
              </w:rPr>
            </w:pPr>
            <w:r>
              <w:rPr>
                <w:rFonts w:ascii="Arial" w:cs="Arial" w:eastAsia="Arial" w:hAnsi="Arial"/>
                <w:sz w:val="12"/>
                <w:szCs w:val="12"/>
                <w:color w:val="auto"/>
              </w:rPr>
              <w:t>1,057,679</w:t>
            </w:r>
          </w:p>
        </w:tc>
        <w:tc>
          <w:tcPr>
            <w:tcW w:w="160" w:type="dxa"/>
            <w:vAlign w:val="bottom"/>
          </w:tcPr>
          <w:p>
            <w:pPr>
              <w:spacing w:after="0"/>
              <w:rPr>
                <w:sz w:val="11"/>
                <w:szCs w:val="11"/>
                <w:color w:val="auto"/>
              </w:rPr>
            </w:pPr>
          </w:p>
        </w:tc>
        <w:tc>
          <w:tcPr>
            <w:tcW w:w="780" w:type="dxa"/>
            <w:vAlign w:val="bottom"/>
            <w:gridSpan w:val="2"/>
          </w:tcPr>
          <w:p>
            <w:pPr>
              <w:jc w:val="right"/>
              <w:ind w:right="160"/>
              <w:spacing w:after="0" w:line="130" w:lineRule="exact"/>
              <w:rPr>
                <w:sz w:val="20"/>
                <w:szCs w:val="20"/>
                <w:color w:val="auto"/>
              </w:rPr>
            </w:pPr>
            <w:r>
              <w:rPr>
                <w:rFonts w:ascii="Arial" w:cs="Arial" w:eastAsia="Arial" w:hAnsi="Arial"/>
                <w:sz w:val="12"/>
                <w:szCs w:val="12"/>
                <w:color w:val="auto"/>
              </w:rPr>
              <w:t>320,619</w:t>
            </w:r>
          </w:p>
        </w:tc>
        <w:tc>
          <w:tcPr>
            <w:tcW w:w="840" w:type="dxa"/>
            <w:vAlign w:val="bottom"/>
            <w:gridSpan w:val="2"/>
          </w:tcPr>
          <w:p>
            <w:pPr>
              <w:jc w:val="right"/>
              <w:ind w:right="160"/>
              <w:spacing w:after="0" w:line="130" w:lineRule="exact"/>
              <w:rPr>
                <w:sz w:val="20"/>
                <w:szCs w:val="20"/>
                <w:color w:val="auto"/>
              </w:rPr>
            </w:pPr>
            <w:r>
              <w:rPr>
                <w:rFonts w:ascii="Arial" w:cs="Arial" w:eastAsia="Arial" w:hAnsi="Arial"/>
                <w:sz w:val="12"/>
                <w:szCs w:val="12"/>
                <w:color w:val="auto"/>
              </w:rPr>
              <w:t>11,644,317</w:t>
            </w:r>
          </w:p>
        </w:tc>
        <w:tc>
          <w:tcPr>
            <w:tcW w:w="840" w:type="dxa"/>
            <w:vAlign w:val="bottom"/>
            <w:gridSpan w:val="2"/>
          </w:tcPr>
          <w:p>
            <w:pPr>
              <w:jc w:val="right"/>
              <w:ind w:right="160"/>
              <w:spacing w:after="0" w:line="130" w:lineRule="exact"/>
              <w:rPr>
                <w:sz w:val="20"/>
                <w:szCs w:val="20"/>
                <w:color w:val="auto"/>
              </w:rPr>
            </w:pPr>
            <w:r>
              <w:rPr>
                <w:rFonts w:ascii="Arial" w:cs="Arial" w:eastAsia="Arial" w:hAnsi="Arial"/>
                <w:sz w:val="12"/>
                <w:szCs w:val="12"/>
                <w:color w:val="auto"/>
              </w:rPr>
              <w:t>4,700,343</w:t>
            </w:r>
          </w:p>
        </w:tc>
        <w:tc>
          <w:tcPr>
            <w:tcW w:w="820" w:type="dxa"/>
            <w:vAlign w:val="bottom"/>
            <w:gridSpan w:val="2"/>
          </w:tcPr>
          <w:p>
            <w:pPr>
              <w:jc w:val="right"/>
              <w:ind w:right="160"/>
              <w:spacing w:after="0" w:line="130" w:lineRule="exact"/>
              <w:rPr>
                <w:sz w:val="20"/>
                <w:szCs w:val="20"/>
                <w:color w:val="auto"/>
              </w:rPr>
            </w:pPr>
            <w:r>
              <w:rPr>
                <w:rFonts w:ascii="Arial" w:cs="Arial" w:eastAsia="Arial" w:hAnsi="Arial"/>
                <w:sz w:val="12"/>
                <w:szCs w:val="12"/>
                <w:color w:val="auto"/>
              </w:rPr>
              <w:t>98,866</w:t>
            </w:r>
          </w:p>
        </w:tc>
        <w:tc>
          <w:tcPr>
            <w:tcW w:w="880" w:type="dxa"/>
            <w:vAlign w:val="bottom"/>
            <w:gridSpan w:val="2"/>
          </w:tcPr>
          <w:p>
            <w:pPr>
              <w:jc w:val="right"/>
              <w:ind w:right="180"/>
              <w:spacing w:after="0" w:line="130" w:lineRule="exact"/>
              <w:rPr>
                <w:sz w:val="20"/>
                <w:szCs w:val="20"/>
                <w:color w:val="auto"/>
              </w:rPr>
            </w:pPr>
            <w:r>
              <w:rPr>
                <w:rFonts w:ascii="Arial" w:cs="Arial" w:eastAsia="Arial" w:hAnsi="Arial"/>
                <w:sz w:val="12"/>
                <w:szCs w:val="12"/>
                <w:color w:val="auto"/>
              </w:rPr>
              <w:t>17,821,824</w:t>
            </w:r>
          </w:p>
        </w:tc>
        <w:tc>
          <w:tcPr>
            <w:tcW w:w="640" w:type="dxa"/>
            <w:vAlign w:val="bottom"/>
          </w:tcPr>
          <w:p>
            <w:pPr>
              <w:jc w:val="right"/>
              <w:spacing w:after="0" w:line="130" w:lineRule="exact"/>
              <w:rPr>
                <w:sz w:val="20"/>
                <w:szCs w:val="20"/>
                <w:color w:val="auto"/>
              </w:rPr>
            </w:pPr>
            <w:r>
              <w:rPr>
                <w:rFonts w:ascii="Arial" w:cs="Arial" w:eastAsia="Arial" w:hAnsi="Arial"/>
                <w:sz w:val="12"/>
                <w:szCs w:val="12"/>
                <w:color w:val="auto"/>
              </w:rPr>
              <w:t>2,051,650</w:t>
            </w:r>
          </w:p>
        </w:tc>
        <w:tc>
          <w:tcPr>
            <w:tcW w:w="220" w:type="dxa"/>
            <w:vAlign w:val="bottom"/>
          </w:tcPr>
          <w:p>
            <w:pPr>
              <w:spacing w:after="0"/>
              <w:rPr>
                <w:sz w:val="11"/>
                <w:szCs w:val="11"/>
                <w:color w:val="auto"/>
              </w:rPr>
            </w:pPr>
          </w:p>
        </w:tc>
        <w:tc>
          <w:tcPr>
            <w:tcW w:w="720" w:type="dxa"/>
            <w:vAlign w:val="bottom"/>
            <w:gridSpan w:val="2"/>
          </w:tcPr>
          <w:p>
            <w:pPr>
              <w:jc w:val="right"/>
              <w:ind w:right="180"/>
              <w:spacing w:after="0" w:line="130" w:lineRule="exact"/>
              <w:rPr>
                <w:sz w:val="20"/>
                <w:szCs w:val="20"/>
                <w:color w:val="auto"/>
              </w:rPr>
            </w:pPr>
            <w:r>
              <w:rPr>
                <w:rFonts w:ascii="Arial" w:cs="Arial" w:eastAsia="Arial" w:hAnsi="Arial"/>
                <w:sz w:val="12"/>
                <w:szCs w:val="12"/>
                <w:color w:val="auto"/>
              </w:rPr>
              <w:t>321,298</w:t>
            </w:r>
          </w:p>
        </w:tc>
        <w:tc>
          <w:tcPr>
            <w:tcW w:w="880" w:type="dxa"/>
            <w:vAlign w:val="bottom"/>
            <w:gridSpan w:val="2"/>
          </w:tcPr>
          <w:p>
            <w:pPr>
              <w:jc w:val="right"/>
              <w:ind w:right="180"/>
              <w:spacing w:after="0" w:line="130" w:lineRule="exact"/>
              <w:rPr>
                <w:sz w:val="20"/>
                <w:szCs w:val="20"/>
                <w:color w:val="auto"/>
              </w:rPr>
            </w:pPr>
            <w:r>
              <w:rPr>
                <w:rFonts w:ascii="Arial" w:cs="Arial" w:eastAsia="Arial" w:hAnsi="Arial"/>
                <w:sz w:val="12"/>
                <w:szCs w:val="12"/>
                <w:color w:val="auto"/>
              </w:rPr>
              <w:t>10,732,478</w:t>
            </w:r>
          </w:p>
        </w:tc>
        <w:tc>
          <w:tcPr>
            <w:tcW w:w="860" w:type="dxa"/>
            <w:vAlign w:val="bottom"/>
            <w:gridSpan w:val="2"/>
          </w:tcPr>
          <w:p>
            <w:pPr>
              <w:jc w:val="right"/>
              <w:ind w:right="180"/>
              <w:spacing w:after="0" w:line="130" w:lineRule="exact"/>
              <w:rPr>
                <w:sz w:val="20"/>
                <w:szCs w:val="20"/>
                <w:color w:val="auto"/>
              </w:rPr>
            </w:pPr>
            <w:r>
              <w:rPr>
                <w:rFonts w:ascii="Arial" w:cs="Arial" w:eastAsia="Arial" w:hAnsi="Arial"/>
                <w:sz w:val="12"/>
                <w:szCs w:val="12"/>
                <w:color w:val="auto"/>
              </w:rPr>
              <w:t>5,721,827</w:t>
            </w:r>
          </w:p>
        </w:tc>
        <w:tc>
          <w:tcPr>
            <w:tcW w:w="840" w:type="dxa"/>
            <w:vAlign w:val="bottom"/>
            <w:gridSpan w:val="2"/>
          </w:tcPr>
          <w:p>
            <w:pPr>
              <w:jc w:val="right"/>
              <w:ind w:right="200"/>
              <w:spacing w:after="0" w:line="130" w:lineRule="exact"/>
              <w:rPr>
                <w:sz w:val="20"/>
                <w:szCs w:val="20"/>
                <w:color w:val="auto"/>
              </w:rPr>
            </w:pPr>
            <w:r>
              <w:rPr>
                <w:rFonts w:ascii="Arial" w:cs="Arial" w:eastAsia="Arial" w:hAnsi="Arial"/>
                <w:sz w:val="12"/>
                <w:szCs w:val="12"/>
                <w:color w:val="auto"/>
              </w:rPr>
              <w:t>123,676</w:t>
            </w:r>
          </w:p>
        </w:tc>
        <w:tc>
          <w:tcPr>
            <w:tcW w:w="720" w:type="dxa"/>
            <w:vAlign w:val="bottom"/>
            <w:gridSpan w:val="2"/>
          </w:tcPr>
          <w:p>
            <w:pPr>
              <w:jc w:val="right"/>
              <w:ind w:right="20"/>
              <w:spacing w:after="0" w:line="130" w:lineRule="exact"/>
              <w:rPr>
                <w:sz w:val="20"/>
                <w:szCs w:val="20"/>
                <w:color w:val="auto"/>
              </w:rPr>
            </w:pPr>
            <w:r>
              <w:rPr>
                <w:rFonts w:ascii="Arial" w:cs="Arial" w:eastAsia="Arial" w:hAnsi="Arial"/>
                <w:sz w:val="12"/>
                <w:szCs w:val="12"/>
                <w:color w:val="auto"/>
              </w:rPr>
              <w:t>18,950,929</w:t>
            </w:r>
          </w:p>
        </w:tc>
        <w:tc>
          <w:tcPr>
            <w:tcW w:w="60" w:type="dxa"/>
            <w:vAlign w:val="bottom"/>
          </w:tcPr>
          <w:p>
            <w:pPr>
              <w:spacing w:after="0"/>
              <w:rPr>
                <w:sz w:val="11"/>
                <w:szCs w:val="11"/>
                <w:color w:val="auto"/>
              </w:rPr>
            </w:pPr>
          </w:p>
        </w:tc>
      </w:tr>
      <w:tr>
        <w:trPr>
          <w:trHeight w:val="130"/>
        </w:trPr>
        <w:tc>
          <w:tcPr>
            <w:tcW w:w="1520" w:type="dxa"/>
            <w:vAlign w:val="bottom"/>
            <w:shd w:val="clear" w:color="auto" w:fill="CCEEFF"/>
          </w:tcPr>
          <w:p>
            <w:pPr>
              <w:spacing w:after="0" w:line="130" w:lineRule="exact"/>
              <w:rPr>
                <w:sz w:val="20"/>
                <w:szCs w:val="20"/>
                <w:color w:val="auto"/>
              </w:rPr>
            </w:pPr>
            <w:r>
              <w:rPr>
                <w:rFonts w:ascii="Arial" w:cs="Arial" w:eastAsia="Arial" w:hAnsi="Arial"/>
                <w:sz w:val="12"/>
                <w:szCs w:val="12"/>
                <w:color w:val="auto"/>
              </w:rPr>
              <w:t>Manufacturing</w:t>
            </w:r>
          </w:p>
        </w:tc>
        <w:tc>
          <w:tcPr>
            <w:tcW w:w="800" w:type="dxa"/>
            <w:vAlign w:val="bottom"/>
            <w:gridSpan w:val="2"/>
            <w:shd w:val="clear" w:color="auto" w:fill="CCEEFF"/>
          </w:tcPr>
          <w:p>
            <w:pPr>
              <w:jc w:val="right"/>
              <w:ind w:right="160"/>
              <w:spacing w:after="0" w:line="130" w:lineRule="exact"/>
              <w:rPr>
                <w:sz w:val="20"/>
                <w:szCs w:val="20"/>
                <w:color w:val="auto"/>
              </w:rPr>
            </w:pPr>
            <w:r>
              <w:rPr>
                <w:rFonts w:ascii="Arial" w:cs="Arial" w:eastAsia="Arial" w:hAnsi="Arial"/>
                <w:sz w:val="12"/>
                <w:szCs w:val="12"/>
                <w:color w:val="auto"/>
              </w:rPr>
              <w:t>23,277</w:t>
            </w:r>
          </w:p>
        </w:tc>
        <w:tc>
          <w:tcPr>
            <w:tcW w:w="780" w:type="dxa"/>
            <w:vAlign w:val="bottom"/>
            <w:gridSpan w:val="2"/>
            <w:shd w:val="clear" w:color="auto" w:fill="CCEEFF"/>
          </w:tcPr>
          <w:p>
            <w:pPr>
              <w:jc w:val="right"/>
              <w:ind w:right="160"/>
              <w:spacing w:after="0" w:line="130" w:lineRule="exact"/>
              <w:rPr>
                <w:sz w:val="20"/>
                <w:szCs w:val="20"/>
                <w:color w:val="auto"/>
              </w:rPr>
            </w:pPr>
            <w:r>
              <w:rPr>
                <w:rFonts w:ascii="Arial" w:cs="Arial" w:eastAsia="Arial" w:hAnsi="Arial"/>
                <w:sz w:val="12"/>
                <w:szCs w:val="12"/>
                <w:color w:val="auto"/>
              </w:rPr>
              <w:t>29,508</w:t>
            </w:r>
          </w:p>
        </w:tc>
        <w:tc>
          <w:tcPr>
            <w:tcW w:w="840" w:type="dxa"/>
            <w:vAlign w:val="bottom"/>
            <w:gridSpan w:val="2"/>
            <w:shd w:val="clear" w:color="auto" w:fill="CCEEFF"/>
          </w:tcPr>
          <w:p>
            <w:pPr>
              <w:jc w:val="right"/>
              <w:ind w:right="160"/>
              <w:spacing w:after="0" w:line="130" w:lineRule="exact"/>
              <w:rPr>
                <w:sz w:val="20"/>
                <w:szCs w:val="20"/>
                <w:color w:val="auto"/>
              </w:rPr>
            </w:pPr>
            <w:r>
              <w:rPr>
                <w:rFonts w:ascii="Arial" w:cs="Arial" w:eastAsia="Arial" w:hAnsi="Arial"/>
                <w:sz w:val="12"/>
                <w:szCs w:val="12"/>
                <w:color w:val="auto"/>
              </w:rPr>
              <w:t>14,363,997</w:t>
            </w:r>
          </w:p>
        </w:tc>
        <w:tc>
          <w:tcPr>
            <w:tcW w:w="840" w:type="dxa"/>
            <w:vAlign w:val="bottom"/>
            <w:gridSpan w:val="2"/>
            <w:shd w:val="clear" w:color="auto" w:fill="CCEEFF"/>
          </w:tcPr>
          <w:p>
            <w:pPr>
              <w:jc w:val="right"/>
              <w:ind w:right="160"/>
              <w:spacing w:after="0" w:line="130" w:lineRule="exact"/>
              <w:rPr>
                <w:sz w:val="20"/>
                <w:szCs w:val="20"/>
                <w:color w:val="auto"/>
              </w:rPr>
            </w:pPr>
            <w:r>
              <w:rPr>
                <w:rFonts w:ascii="Arial" w:cs="Arial" w:eastAsia="Arial" w:hAnsi="Arial"/>
                <w:sz w:val="12"/>
                <w:szCs w:val="12"/>
                <w:color w:val="auto"/>
              </w:rPr>
              <w:t>1,529,261</w:t>
            </w:r>
          </w:p>
        </w:tc>
        <w:tc>
          <w:tcPr>
            <w:tcW w:w="820" w:type="dxa"/>
            <w:vAlign w:val="bottom"/>
            <w:gridSpan w:val="2"/>
            <w:shd w:val="clear" w:color="auto" w:fill="CCEEFF"/>
          </w:tcPr>
          <w:p>
            <w:pPr>
              <w:jc w:val="right"/>
              <w:ind w:right="160"/>
              <w:spacing w:after="0" w:line="130" w:lineRule="exact"/>
              <w:rPr>
                <w:sz w:val="20"/>
                <w:szCs w:val="20"/>
                <w:color w:val="auto"/>
              </w:rPr>
            </w:pPr>
            <w:r>
              <w:rPr>
                <w:rFonts w:ascii="Arial" w:cs="Arial" w:eastAsia="Arial" w:hAnsi="Arial"/>
                <w:sz w:val="12"/>
                <w:szCs w:val="12"/>
                <w:color w:val="auto"/>
              </w:rPr>
              <w:t>13,135</w:t>
            </w:r>
          </w:p>
        </w:tc>
        <w:tc>
          <w:tcPr>
            <w:tcW w:w="880" w:type="dxa"/>
            <w:vAlign w:val="bottom"/>
            <w:gridSpan w:val="2"/>
            <w:shd w:val="clear" w:color="auto" w:fill="CCEEFF"/>
          </w:tcPr>
          <w:p>
            <w:pPr>
              <w:jc w:val="right"/>
              <w:ind w:right="180"/>
              <w:spacing w:after="0" w:line="130" w:lineRule="exact"/>
              <w:rPr>
                <w:sz w:val="20"/>
                <w:szCs w:val="20"/>
                <w:color w:val="auto"/>
              </w:rPr>
            </w:pPr>
            <w:r>
              <w:rPr>
                <w:rFonts w:ascii="Arial" w:cs="Arial" w:eastAsia="Arial" w:hAnsi="Arial"/>
                <w:sz w:val="12"/>
                <w:szCs w:val="12"/>
                <w:color w:val="auto"/>
              </w:rPr>
              <w:t>15,959,178</w:t>
            </w:r>
          </w:p>
        </w:tc>
        <w:tc>
          <w:tcPr>
            <w:tcW w:w="860" w:type="dxa"/>
            <w:vAlign w:val="bottom"/>
            <w:gridSpan w:val="2"/>
            <w:shd w:val="clear" w:color="auto" w:fill="CCEEFF"/>
          </w:tcPr>
          <w:p>
            <w:pPr>
              <w:jc w:val="right"/>
              <w:ind w:right="220"/>
              <w:spacing w:after="0" w:line="130" w:lineRule="exact"/>
              <w:rPr>
                <w:sz w:val="20"/>
                <w:szCs w:val="20"/>
                <w:color w:val="auto"/>
              </w:rPr>
            </w:pPr>
            <w:r>
              <w:rPr>
                <w:rFonts w:ascii="Arial" w:cs="Arial" w:eastAsia="Arial" w:hAnsi="Arial"/>
                <w:sz w:val="12"/>
                <w:szCs w:val="12"/>
                <w:color w:val="auto"/>
              </w:rPr>
              <w:t>9,886</w:t>
            </w:r>
          </w:p>
        </w:tc>
        <w:tc>
          <w:tcPr>
            <w:tcW w:w="720" w:type="dxa"/>
            <w:vAlign w:val="bottom"/>
            <w:gridSpan w:val="2"/>
            <w:shd w:val="clear" w:color="auto" w:fill="CCEEFF"/>
          </w:tcPr>
          <w:p>
            <w:pPr>
              <w:jc w:val="right"/>
              <w:ind w:right="180"/>
              <w:spacing w:after="0" w:line="130" w:lineRule="exact"/>
              <w:rPr>
                <w:sz w:val="20"/>
                <w:szCs w:val="20"/>
                <w:color w:val="auto"/>
              </w:rPr>
            </w:pPr>
            <w:r>
              <w:rPr>
                <w:rFonts w:ascii="Arial" w:cs="Arial" w:eastAsia="Arial" w:hAnsi="Arial"/>
                <w:sz w:val="12"/>
                <w:szCs w:val="12"/>
                <w:color w:val="auto"/>
              </w:rPr>
              <w:t>12,026</w:t>
            </w:r>
          </w:p>
        </w:tc>
        <w:tc>
          <w:tcPr>
            <w:tcW w:w="880" w:type="dxa"/>
            <w:vAlign w:val="bottom"/>
            <w:gridSpan w:val="2"/>
            <w:shd w:val="clear" w:color="auto" w:fill="CCEEFF"/>
          </w:tcPr>
          <w:p>
            <w:pPr>
              <w:jc w:val="right"/>
              <w:ind w:right="180"/>
              <w:spacing w:after="0" w:line="130" w:lineRule="exact"/>
              <w:rPr>
                <w:sz w:val="20"/>
                <w:szCs w:val="20"/>
                <w:color w:val="auto"/>
              </w:rPr>
            </w:pPr>
            <w:r>
              <w:rPr>
                <w:rFonts w:ascii="Arial" w:cs="Arial" w:eastAsia="Arial" w:hAnsi="Arial"/>
                <w:sz w:val="12"/>
                <w:szCs w:val="12"/>
                <w:color w:val="auto"/>
              </w:rPr>
              <w:t>13,952,167</w:t>
            </w:r>
          </w:p>
        </w:tc>
        <w:tc>
          <w:tcPr>
            <w:tcW w:w="860" w:type="dxa"/>
            <w:vAlign w:val="bottom"/>
            <w:gridSpan w:val="2"/>
            <w:shd w:val="clear" w:color="auto" w:fill="CCEEFF"/>
          </w:tcPr>
          <w:p>
            <w:pPr>
              <w:jc w:val="right"/>
              <w:ind w:right="180"/>
              <w:spacing w:after="0" w:line="130" w:lineRule="exact"/>
              <w:rPr>
                <w:sz w:val="20"/>
                <w:szCs w:val="20"/>
                <w:color w:val="auto"/>
              </w:rPr>
            </w:pPr>
            <w:r>
              <w:rPr>
                <w:rFonts w:ascii="Arial" w:cs="Arial" w:eastAsia="Arial" w:hAnsi="Arial"/>
                <w:sz w:val="12"/>
                <w:szCs w:val="12"/>
                <w:color w:val="auto"/>
              </w:rPr>
              <w:t>1,650,833</w:t>
            </w:r>
          </w:p>
        </w:tc>
        <w:tc>
          <w:tcPr>
            <w:tcW w:w="840" w:type="dxa"/>
            <w:vAlign w:val="bottom"/>
            <w:gridSpan w:val="2"/>
            <w:shd w:val="clear" w:color="auto" w:fill="CCEEFF"/>
          </w:tcPr>
          <w:p>
            <w:pPr>
              <w:jc w:val="right"/>
              <w:ind w:right="200"/>
              <w:spacing w:after="0" w:line="130" w:lineRule="exact"/>
              <w:rPr>
                <w:sz w:val="20"/>
                <w:szCs w:val="20"/>
                <w:color w:val="auto"/>
              </w:rPr>
            </w:pPr>
            <w:r>
              <w:rPr>
                <w:rFonts w:ascii="Arial" w:cs="Arial" w:eastAsia="Arial" w:hAnsi="Arial"/>
                <w:sz w:val="12"/>
                <w:szCs w:val="12"/>
                <w:color w:val="auto"/>
              </w:rPr>
              <w:t>37,965</w:t>
            </w:r>
          </w:p>
        </w:tc>
        <w:tc>
          <w:tcPr>
            <w:tcW w:w="720" w:type="dxa"/>
            <w:vAlign w:val="bottom"/>
            <w:gridSpan w:val="2"/>
            <w:shd w:val="clear" w:color="auto" w:fill="CCEEFF"/>
          </w:tcPr>
          <w:p>
            <w:pPr>
              <w:jc w:val="right"/>
              <w:ind w:right="20"/>
              <w:spacing w:after="0" w:line="130" w:lineRule="exact"/>
              <w:rPr>
                <w:sz w:val="20"/>
                <w:szCs w:val="20"/>
                <w:color w:val="auto"/>
              </w:rPr>
            </w:pPr>
            <w:r>
              <w:rPr>
                <w:rFonts w:ascii="Arial" w:cs="Arial" w:eastAsia="Arial" w:hAnsi="Arial"/>
                <w:sz w:val="12"/>
                <w:szCs w:val="12"/>
                <w:color w:val="auto"/>
              </w:rPr>
              <w:t>15,662,877</w:t>
            </w:r>
          </w:p>
        </w:tc>
        <w:tc>
          <w:tcPr>
            <w:tcW w:w="60" w:type="dxa"/>
            <w:vAlign w:val="bottom"/>
            <w:shd w:val="clear" w:color="auto" w:fill="CCEEFF"/>
          </w:tcPr>
          <w:p>
            <w:pPr>
              <w:spacing w:after="0"/>
              <w:rPr>
                <w:sz w:val="11"/>
                <w:szCs w:val="11"/>
                <w:color w:val="auto"/>
              </w:rPr>
            </w:pPr>
          </w:p>
        </w:tc>
      </w:tr>
      <w:tr>
        <w:trPr>
          <w:trHeight w:val="130"/>
        </w:trPr>
        <w:tc>
          <w:tcPr>
            <w:tcW w:w="1520" w:type="dxa"/>
            <w:vAlign w:val="bottom"/>
          </w:tcPr>
          <w:p>
            <w:pPr>
              <w:spacing w:after="0" w:line="130" w:lineRule="exact"/>
              <w:rPr>
                <w:sz w:val="20"/>
                <w:szCs w:val="20"/>
                <w:color w:val="auto"/>
              </w:rPr>
            </w:pPr>
            <w:r>
              <w:rPr>
                <w:rFonts w:ascii="Arial" w:cs="Arial" w:eastAsia="Arial" w:hAnsi="Arial"/>
                <w:sz w:val="12"/>
                <w:szCs w:val="12"/>
                <w:color w:val="auto"/>
              </w:rPr>
              <w:t>Mortgage loans</w:t>
            </w:r>
          </w:p>
        </w:tc>
        <w:tc>
          <w:tcPr>
            <w:tcW w:w="800" w:type="dxa"/>
            <w:vAlign w:val="bottom"/>
            <w:gridSpan w:val="2"/>
          </w:tcPr>
          <w:p>
            <w:pPr>
              <w:jc w:val="right"/>
              <w:ind w:right="160"/>
              <w:spacing w:after="0" w:line="130" w:lineRule="exact"/>
              <w:rPr>
                <w:sz w:val="20"/>
                <w:szCs w:val="20"/>
                <w:color w:val="auto"/>
              </w:rPr>
            </w:pPr>
            <w:r>
              <w:rPr>
                <w:rFonts w:ascii="Arial" w:cs="Arial" w:eastAsia="Arial" w:hAnsi="Arial"/>
                <w:sz w:val="12"/>
                <w:szCs w:val="12"/>
                <w:color w:val="auto"/>
              </w:rPr>
              <w:t>-</w:t>
            </w:r>
          </w:p>
        </w:tc>
        <w:tc>
          <w:tcPr>
            <w:tcW w:w="780" w:type="dxa"/>
            <w:vAlign w:val="bottom"/>
            <w:gridSpan w:val="2"/>
          </w:tcPr>
          <w:p>
            <w:pPr>
              <w:jc w:val="right"/>
              <w:ind w:right="160"/>
              <w:spacing w:after="0" w:line="130" w:lineRule="exact"/>
              <w:rPr>
                <w:sz w:val="20"/>
                <w:szCs w:val="20"/>
                <w:color w:val="auto"/>
              </w:rPr>
            </w:pPr>
            <w:r>
              <w:rPr>
                <w:rFonts w:ascii="Arial" w:cs="Arial" w:eastAsia="Arial" w:hAnsi="Arial"/>
                <w:sz w:val="12"/>
                <w:szCs w:val="12"/>
                <w:color w:val="auto"/>
              </w:rPr>
              <w:t>-</w:t>
            </w:r>
          </w:p>
        </w:tc>
        <w:tc>
          <w:tcPr>
            <w:tcW w:w="840" w:type="dxa"/>
            <w:vAlign w:val="bottom"/>
            <w:gridSpan w:val="2"/>
          </w:tcPr>
          <w:p>
            <w:pPr>
              <w:jc w:val="right"/>
              <w:ind w:right="160"/>
              <w:spacing w:after="0" w:line="130" w:lineRule="exact"/>
              <w:rPr>
                <w:sz w:val="20"/>
                <w:szCs w:val="20"/>
                <w:color w:val="auto"/>
              </w:rPr>
            </w:pPr>
            <w:r>
              <w:rPr>
                <w:rFonts w:ascii="Arial" w:cs="Arial" w:eastAsia="Arial" w:hAnsi="Arial"/>
                <w:sz w:val="12"/>
                <w:szCs w:val="12"/>
                <w:color w:val="auto"/>
              </w:rPr>
              <w:t>14,638,363</w:t>
            </w:r>
          </w:p>
        </w:tc>
        <w:tc>
          <w:tcPr>
            <w:tcW w:w="840" w:type="dxa"/>
            <w:vAlign w:val="bottom"/>
            <w:gridSpan w:val="2"/>
          </w:tcPr>
          <w:p>
            <w:pPr>
              <w:jc w:val="right"/>
              <w:ind w:right="160"/>
              <w:spacing w:after="0" w:line="130" w:lineRule="exact"/>
              <w:rPr>
                <w:sz w:val="20"/>
                <w:szCs w:val="20"/>
                <w:color w:val="auto"/>
              </w:rPr>
            </w:pPr>
            <w:r>
              <w:rPr>
                <w:rFonts w:ascii="Arial" w:cs="Arial" w:eastAsia="Arial" w:hAnsi="Arial"/>
                <w:sz w:val="12"/>
                <w:szCs w:val="12"/>
                <w:color w:val="auto"/>
              </w:rPr>
              <w:t>-</w:t>
            </w:r>
          </w:p>
        </w:tc>
        <w:tc>
          <w:tcPr>
            <w:tcW w:w="820" w:type="dxa"/>
            <w:vAlign w:val="bottom"/>
            <w:gridSpan w:val="2"/>
          </w:tcPr>
          <w:p>
            <w:pPr>
              <w:jc w:val="right"/>
              <w:ind w:right="160"/>
              <w:spacing w:after="0" w:line="130" w:lineRule="exact"/>
              <w:rPr>
                <w:sz w:val="20"/>
                <w:szCs w:val="20"/>
                <w:color w:val="auto"/>
              </w:rPr>
            </w:pPr>
            <w:r>
              <w:rPr>
                <w:rFonts w:ascii="Arial" w:cs="Arial" w:eastAsia="Arial" w:hAnsi="Arial"/>
                <w:sz w:val="12"/>
                <w:szCs w:val="12"/>
                <w:color w:val="auto"/>
              </w:rPr>
              <w:t>-</w:t>
            </w:r>
          </w:p>
        </w:tc>
        <w:tc>
          <w:tcPr>
            <w:tcW w:w="880" w:type="dxa"/>
            <w:vAlign w:val="bottom"/>
            <w:gridSpan w:val="2"/>
          </w:tcPr>
          <w:p>
            <w:pPr>
              <w:jc w:val="right"/>
              <w:ind w:right="180"/>
              <w:spacing w:after="0" w:line="130" w:lineRule="exact"/>
              <w:rPr>
                <w:sz w:val="20"/>
                <w:szCs w:val="20"/>
                <w:color w:val="auto"/>
              </w:rPr>
            </w:pPr>
            <w:r>
              <w:rPr>
                <w:rFonts w:ascii="Arial" w:cs="Arial" w:eastAsia="Arial" w:hAnsi="Arial"/>
                <w:sz w:val="12"/>
                <w:szCs w:val="12"/>
                <w:color w:val="auto"/>
              </w:rPr>
              <w:t>14,638,363</w:t>
            </w:r>
          </w:p>
        </w:tc>
        <w:tc>
          <w:tcPr>
            <w:tcW w:w="860" w:type="dxa"/>
            <w:vAlign w:val="bottom"/>
            <w:gridSpan w:val="2"/>
          </w:tcPr>
          <w:p>
            <w:pPr>
              <w:jc w:val="right"/>
              <w:ind w:right="220"/>
              <w:spacing w:after="0" w:line="130" w:lineRule="exact"/>
              <w:rPr>
                <w:sz w:val="20"/>
                <w:szCs w:val="20"/>
                <w:color w:val="auto"/>
              </w:rPr>
            </w:pPr>
            <w:r>
              <w:rPr>
                <w:rFonts w:ascii="Arial" w:cs="Arial" w:eastAsia="Arial" w:hAnsi="Arial"/>
                <w:sz w:val="12"/>
                <w:szCs w:val="12"/>
                <w:color w:val="auto"/>
              </w:rPr>
              <w:t>-</w:t>
            </w:r>
          </w:p>
        </w:tc>
        <w:tc>
          <w:tcPr>
            <w:tcW w:w="720" w:type="dxa"/>
            <w:vAlign w:val="bottom"/>
            <w:gridSpan w:val="2"/>
          </w:tcPr>
          <w:p>
            <w:pPr>
              <w:jc w:val="right"/>
              <w:ind w:right="180"/>
              <w:spacing w:after="0" w:line="130" w:lineRule="exact"/>
              <w:rPr>
                <w:sz w:val="20"/>
                <w:szCs w:val="20"/>
                <w:color w:val="auto"/>
              </w:rPr>
            </w:pPr>
            <w:r>
              <w:rPr>
                <w:rFonts w:ascii="Arial" w:cs="Arial" w:eastAsia="Arial" w:hAnsi="Arial"/>
                <w:sz w:val="12"/>
                <w:szCs w:val="12"/>
                <w:color w:val="auto"/>
              </w:rPr>
              <w:t>-</w:t>
            </w:r>
          </w:p>
        </w:tc>
        <w:tc>
          <w:tcPr>
            <w:tcW w:w="880" w:type="dxa"/>
            <w:vAlign w:val="bottom"/>
            <w:gridSpan w:val="2"/>
          </w:tcPr>
          <w:p>
            <w:pPr>
              <w:jc w:val="right"/>
              <w:ind w:right="180"/>
              <w:spacing w:after="0" w:line="130" w:lineRule="exact"/>
              <w:rPr>
                <w:sz w:val="20"/>
                <w:szCs w:val="20"/>
                <w:color w:val="auto"/>
              </w:rPr>
            </w:pPr>
            <w:r>
              <w:rPr>
                <w:rFonts w:ascii="Arial" w:cs="Arial" w:eastAsia="Arial" w:hAnsi="Arial"/>
                <w:sz w:val="12"/>
                <w:szCs w:val="12"/>
                <w:color w:val="auto"/>
              </w:rPr>
              <w:t>13,283,126</w:t>
            </w:r>
          </w:p>
        </w:tc>
        <w:tc>
          <w:tcPr>
            <w:tcW w:w="860" w:type="dxa"/>
            <w:vAlign w:val="bottom"/>
            <w:gridSpan w:val="2"/>
          </w:tcPr>
          <w:p>
            <w:pPr>
              <w:jc w:val="right"/>
              <w:ind w:right="180"/>
              <w:spacing w:after="0" w:line="130" w:lineRule="exact"/>
              <w:rPr>
                <w:sz w:val="20"/>
                <w:szCs w:val="20"/>
                <w:color w:val="auto"/>
              </w:rPr>
            </w:pPr>
            <w:r>
              <w:rPr>
                <w:rFonts w:ascii="Arial" w:cs="Arial" w:eastAsia="Arial" w:hAnsi="Arial"/>
                <w:sz w:val="12"/>
                <w:szCs w:val="12"/>
                <w:color w:val="auto"/>
              </w:rPr>
              <w:t>-</w:t>
            </w:r>
          </w:p>
        </w:tc>
        <w:tc>
          <w:tcPr>
            <w:tcW w:w="840" w:type="dxa"/>
            <w:vAlign w:val="bottom"/>
            <w:gridSpan w:val="2"/>
          </w:tcPr>
          <w:p>
            <w:pPr>
              <w:jc w:val="right"/>
              <w:ind w:right="200"/>
              <w:spacing w:after="0" w:line="130" w:lineRule="exact"/>
              <w:rPr>
                <w:sz w:val="20"/>
                <w:szCs w:val="20"/>
                <w:color w:val="auto"/>
              </w:rPr>
            </w:pPr>
            <w:r>
              <w:rPr>
                <w:rFonts w:ascii="Arial" w:cs="Arial" w:eastAsia="Arial" w:hAnsi="Arial"/>
                <w:sz w:val="12"/>
                <w:szCs w:val="12"/>
                <w:color w:val="auto"/>
              </w:rPr>
              <w:t>-</w:t>
            </w:r>
          </w:p>
        </w:tc>
        <w:tc>
          <w:tcPr>
            <w:tcW w:w="720" w:type="dxa"/>
            <w:vAlign w:val="bottom"/>
            <w:gridSpan w:val="2"/>
          </w:tcPr>
          <w:p>
            <w:pPr>
              <w:jc w:val="right"/>
              <w:ind w:right="20"/>
              <w:spacing w:after="0" w:line="130" w:lineRule="exact"/>
              <w:rPr>
                <w:sz w:val="20"/>
                <w:szCs w:val="20"/>
                <w:color w:val="auto"/>
              </w:rPr>
            </w:pPr>
            <w:r>
              <w:rPr>
                <w:rFonts w:ascii="Arial" w:cs="Arial" w:eastAsia="Arial" w:hAnsi="Arial"/>
                <w:sz w:val="12"/>
                <w:szCs w:val="12"/>
                <w:color w:val="auto"/>
              </w:rPr>
              <w:t>13,283,126</w:t>
            </w:r>
          </w:p>
        </w:tc>
        <w:tc>
          <w:tcPr>
            <w:tcW w:w="60" w:type="dxa"/>
            <w:vAlign w:val="bottom"/>
          </w:tcPr>
          <w:p>
            <w:pPr>
              <w:spacing w:after="0"/>
              <w:rPr>
                <w:sz w:val="11"/>
                <w:szCs w:val="11"/>
                <w:color w:val="auto"/>
              </w:rPr>
            </w:pPr>
          </w:p>
        </w:tc>
      </w:tr>
      <w:tr>
        <w:trPr>
          <w:trHeight w:val="130"/>
        </w:trPr>
        <w:tc>
          <w:tcPr>
            <w:tcW w:w="1520" w:type="dxa"/>
            <w:vAlign w:val="bottom"/>
            <w:shd w:val="clear" w:color="auto" w:fill="CCEEFF"/>
          </w:tcPr>
          <w:p>
            <w:pPr>
              <w:spacing w:after="0" w:line="130" w:lineRule="exact"/>
              <w:rPr>
                <w:sz w:val="20"/>
                <w:szCs w:val="20"/>
                <w:color w:val="auto"/>
              </w:rPr>
            </w:pPr>
            <w:r>
              <w:rPr>
                <w:rFonts w:ascii="Arial" w:cs="Arial" w:eastAsia="Arial" w:hAnsi="Arial"/>
                <w:sz w:val="12"/>
                <w:szCs w:val="12"/>
                <w:color w:val="auto"/>
              </w:rPr>
              <w:t>Consumer loans</w:t>
            </w:r>
          </w:p>
        </w:tc>
        <w:tc>
          <w:tcPr>
            <w:tcW w:w="800" w:type="dxa"/>
            <w:vAlign w:val="bottom"/>
            <w:gridSpan w:val="2"/>
            <w:shd w:val="clear" w:color="auto" w:fill="CCEEFF"/>
          </w:tcPr>
          <w:p>
            <w:pPr>
              <w:jc w:val="right"/>
              <w:ind w:right="160"/>
              <w:spacing w:after="0" w:line="130" w:lineRule="exact"/>
              <w:rPr>
                <w:sz w:val="20"/>
                <w:szCs w:val="20"/>
                <w:color w:val="auto"/>
              </w:rPr>
            </w:pPr>
            <w:r>
              <w:rPr>
                <w:rFonts w:ascii="Arial" w:cs="Arial" w:eastAsia="Arial" w:hAnsi="Arial"/>
                <w:sz w:val="12"/>
                <w:szCs w:val="12"/>
                <w:color w:val="auto"/>
              </w:rPr>
              <w:t>-</w:t>
            </w:r>
          </w:p>
        </w:tc>
        <w:tc>
          <w:tcPr>
            <w:tcW w:w="780" w:type="dxa"/>
            <w:vAlign w:val="bottom"/>
            <w:gridSpan w:val="2"/>
            <w:shd w:val="clear" w:color="auto" w:fill="CCEEFF"/>
          </w:tcPr>
          <w:p>
            <w:pPr>
              <w:jc w:val="right"/>
              <w:ind w:right="160"/>
              <w:spacing w:after="0" w:line="130" w:lineRule="exact"/>
              <w:rPr>
                <w:sz w:val="20"/>
                <w:szCs w:val="20"/>
                <w:color w:val="auto"/>
              </w:rPr>
            </w:pPr>
            <w:r>
              <w:rPr>
                <w:rFonts w:ascii="Arial" w:cs="Arial" w:eastAsia="Arial" w:hAnsi="Arial"/>
                <w:sz w:val="12"/>
                <w:szCs w:val="12"/>
                <w:color w:val="auto"/>
              </w:rPr>
              <w:t>-</w:t>
            </w:r>
          </w:p>
        </w:tc>
        <w:tc>
          <w:tcPr>
            <w:tcW w:w="840" w:type="dxa"/>
            <w:vAlign w:val="bottom"/>
            <w:gridSpan w:val="2"/>
            <w:shd w:val="clear" w:color="auto" w:fill="CCEEFF"/>
          </w:tcPr>
          <w:p>
            <w:pPr>
              <w:jc w:val="right"/>
              <w:ind w:right="160"/>
              <w:spacing w:after="0" w:line="130" w:lineRule="exact"/>
              <w:rPr>
                <w:sz w:val="20"/>
                <w:szCs w:val="20"/>
                <w:color w:val="auto"/>
              </w:rPr>
            </w:pPr>
            <w:r>
              <w:rPr>
                <w:rFonts w:ascii="Arial" w:cs="Arial" w:eastAsia="Arial" w:hAnsi="Arial"/>
                <w:sz w:val="12"/>
                <w:szCs w:val="12"/>
                <w:color w:val="auto"/>
              </w:rPr>
              <w:t>10,816,588</w:t>
            </w:r>
          </w:p>
        </w:tc>
        <w:tc>
          <w:tcPr>
            <w:tcW w:w="840" w:type="dxa"/>
            <w:vAlign w:val="bottom"/>
            <w:gridSpan w:val="2"/>
            <w:shd w:val="clear" w:color="auto" w:fill="CCEEFF"/>
          </w:tcPr>
          <w:p>
            <w:pPr>
              <w:jc w:val="right"/>
              <w:ind w:right="160"/>
              <w:spacing w:after="0" w:line="130" w:lineRule="exact"/>
              <w:rPr>
                <w:sz w:val="20"/>
                <w:szCs w:val="20"/>
                <w:color w:val="auto"/>
              </w:rPr>
            </w:pPr>
            <w:r>
              <w:rPr>
                <w:rFonts w:ascii="Arial" w:cs="Arial" w:eastAsia="Arial" w:hAnsi="Arial"/>
                <w:sz w:val="12"/>
                <w:szCs w:val="12"/>
                <w:color w:val="auto"/>
              </w:rPr>
              <w:t>-</w:t>
            </w:r>
          </w:p>
        </w:tc>
        <w:tc>
          <w:tcPr>
            <w:tcW w:w="820" w:type="dxa"/>
            <w:vAlign w:val="bottom"/>
            <w:gridSpan w:val="2"/>
            <w:shd w:val="clear" w:color="auto" w:fill="CCEEFF"/>
          </w:tcPr>
          <w:p>
            <w:pPr>
              <w:jc w:val="right"/>
              <w:ind w:right="160"/>
              <w:spacing w:after="0" w:line="130" w:lineRule="exact"/>
              <w:rPr>
                <w:sz w:val="20"/>
                <w:szCs w:val="20"/>
                <w:color w:val="auto"/>
              </w:rPr>
            </w:pPr>
            <w:r>
              <w:rPr>
                <w:rFonts w:ascii="Arial" w:cs="Arial" w:eastAsia="Arial" w:hAnsi="Arial"/>
                <w:sz w:val="12"/>
                <w:szCs w:val="12"/>
                <w:color w:val="auto"/>
              </w:rPr>
              <w:t>-</w:t>
            </w:r>
          </w:p>
        </w:tc>
        <w:tc>
          <w:tcPr>
            <w:tcW w:w="880" w:type="dxa"/>
            <w:vAlign w:val="bottom"/>
            <w:gridSpan w:val="2"/>
            <w:shd w:val="clear" w:color="auto" w:fill="CCEEFF"/>
          </w:tcPr>
          <w:p>
            <w:pPr>
              <w:jc w:val="right"/>
              <w:ind w:right="180"/>
              <w:spacing w:after="0" w:line="130" w:lineRule="exact"/>
              <w:rPr>
                <w:sz w:val="20"/>
                <w:szCs w:val="20"/>
                <w:color w:val="auto"/>
              </w:rPr>
            </w:pPr>
            <w:r>
              <w:rPr>
                <w:rFonts w:ascii="Arial" w:cs="Arial" w:eastAsia="Arial" w:hAnsi="Arial"/>
                <w:sz w:val="12"/>
                <w:szCs w:val="12"/>
                <w:color w:val="auto"/>
              </w:rPr>
              <w:t>10,816,588</w:t>
            </w:r>
          </w:p>
        </w:tc>
        <w:tc>
          <w:tcPr>
            <w:tcW w:w="860" w:type="dxa"/>
            <w:vAlign w:val="bottom"/>
            <w:gridSpan w:val="2"/>
            <w:shd w:val="clear" w:color="auto" w:fill="CCEEFF"/>
          </w:tcPr>
          <w:p>
            <w:pPr>
              <w:jc w:val="right"/>
              <w:ind w:right="220"/>
              <w:spacing w:after="0" w:line="130" w:lineRule="exact"/>
              <w:rPr>
                <w:sz w:val="20"/>
                <w:szCs w:val="20"/>
                <w:color w:val="auto"/>
              </w:rPr>
            </w:pPr>
            <w:r>
              <w:rPr>
                <w:rFonts w:ascii="Arial" w:cs="Arial" w:eastAsia="Arial" w:hAnsi="Arial"/>
                <w:sz w:val="12"/>
                <w:szCs w:val="12"/>
                <w:color w:val="auto"/>
              </w:rPr>
              <w:t>-</w:t>
            </w:r>
          </w:p>
        </w:tc>
        <w:tc>
          <w:tcPr>
            <w:tcW w:w="720" w:type="dxa"/>
            <w:vAlign w:val="bottom"/>
            <w:gridSpan w:val="2"/>
            <w:shd w:val="clear" w:color="auto" w:fill="CCEEFF"/>
          </w:tcPr>
          <w:p>
            <w:pPr>
              <w:jc w:val="right"/>
              <w:ind w:right="180"/>
              <w:spacing w:after="0" w:line="130" w:lineRule="exact"/>
              <w:rPr>
                <w:sz w:val="20"/>
                <w:szCs w:val="20"/>
                <w:color w:val="auto"/>
              </w:rPr>
            </w:pPr>
            <w:r>
              <w:rPr>
                <w:rFonts w:ascii="Arial" w:cs="Arial" w:eastAsia="Arial" w:hAnsi="Arial"/>
                <w:sz w:val="12"/>
                <w:szCs w:val="12"/>
                <w:color w:val="auto"/>
              </w:rPr>
              <w:t>-</w:t>
            </w:r>
          </w:p>
        </w:tc>
        <w:tc>
          <w:tcPr>
            <w:tcW w:w="880" w:type="dxa"/>
            <w:vAlign w:val="bottom"/>
            <w:gridSpan w:val="2"/>
            <w:shd w:val="clear" w:color="auto" w:fill="CCEEFF"/>
          </w:tcPr>
          <w:p>
            <w:pPr>
              <w:jc w:val="right"/>
              <w:ind w:right="180"/>
              <w:spacing w:after="0" w:line="130" w:lineRule="exact"/>
              <w:rPr>
                <w:sz w:val="20"/>
                <w:szCs w:val="20"/>
                <w:color w:val="auto"/>
              </w:rPr>
            </w:pPr>
            <w:r>
              <w:rPr>
                <w:rFonts w:ascii="Arial" w:cs="Arial" w:eastAsia="Arial" w:hAnsi="Arial"/>
                <w:sz w:val="12"/>
                <w:szCs w:val="12"/>
                <w:color w:val="auto"/>
              </w:rPr>
              <w:t>11,410,640</w:t>
            </w:r>
          </w:p>
        </w:tc>
        <w:tc>
          <w:tcPr>
            <w:tcW w:w="860" w:type="dxa"/>
            <w:vAlign w:val="bottom"/>
            <w:gridSpan w:val="2"/>
            <w:shd w:val="clear" w:color="auto" w:fill="CCEEFF"/>
          </w:tcPr>
          <w:p>
            <w:pPr>
              <w:jc w:val="right"/>
              <w:ind w:right="180"/>
              <w:spacing w:after="0" w:line="130" w:lineRule="exact"/>
              <w:rPr>
                <w:sz w:val="20"/>
                <w:szCs w:val="20"/>
                <w:color w:val="auto"/>
              </w:rPr>
            </w:pPr>
            <w:r>
              <w:rPr>
                <w:rFonts w:ascii="Arial" w:cs="Arial" w:eastAsia="Arial" w:hAnsi="Arial"/>
                <w:sz w:val="12"/>
                <w:szCs w:val="12"/>
                <w:color w:val="auto"/>
              </w:rPr>
              <w:t>-</w:t>
            </w:r>
          </w:p>
        </w:tc>
        <w:tc>
          <w:tcPr>
            <w:tcW w:w="840" w:type="dxa"/>
            <w:vAlign w:val="bottom"/>
            <w:gridSpan w:val="2"/>
            <w:shd w:val="clear" w:color="auto" w:fill="CCEEFF"/>
          </w:tcPr>
          <w:p>
            <w:pPr>
              <w:jc w:val="right"/>
              <w:ind w:right="200"/>
              <w:spacing w:after="0" w:line="130" w:lineRule="exact"/>
              <w:rPr>
                <w:sz w:val="20"/>
                <w:szCs w:val="20"/>
                <w:color w:val="auto"/>
              </w:rPr>
            </w:pPr>
            <w:r>
              <w:rPr>
                <w:rFonts w:ascii="Arial" w:cs="Arial" w:eastAsia="Arial" w:hAnsi="Arial"/>
                <w:sz w:val="12"/>
                <w:szCs w:val="12"/>
                <w:color w:val="auto"/>
              </w:rPr>
              <w:t>-</w:t>
            </w:r>
          </w:p>
        </w:tc>
        <w:tc>
          <w:tcPr>
            <w:tcW w:w="720" w:type="dxa"/>
            <w:vAlign w:val="bottom"/>
            <w:gridSpan w:val="2"/>
            <w:shd w:val="clear" w:color="auto" w:fill="CCEEFF"/>
          </w:tcPr>
          <w:p>
            <w:pPr>
              <w:jc w:val="right"/>
              <w:ind w:right="20"/>
              <w:spacing w:after="0" w:line="130" w:lineRule="exact"/>
              <w:rPr>
                <w:sz w:val="20"/>
                <w:szCs w:val="20"/>
                <w:color w:val="auto"/>
              </w:rPr>
            </w:pPr>
            <w:r>
              <w:rPr>
                <w:rFonts w:ascii="Arial" w:cs="Arial" w:eastAsia="Arial" w:hAnsi="Arial"/>
                <w:sz w:val="12"/>
                <w:szCs w:val="12"/>
                <w:color w:val="auto"/>
              </w:rPr>
              <w:t>11,410,640</w:t>
            </w:r>
          </w:p>
        </w:tc>
        <w:tc>
          <w:tcPr>
            <w:tcW w:w="60" w:type="dxa"/>
            <w:vAlign w:val="bottom"/>
            <w:shd w:val="clear" w:color="auto" w:fill="CCEEFF"/>
          </w:tcPr>
          <w:p>
            <w:pPr>
              <w:spacing w:after="0"/>
              <w:rPr>
                <w:sz w:val="11"/>
                <w:szCs w:val="11"/>
                <w:color w:val="auto"/>
              </w:rPr>
            </w:pPr>
          </w:p>
        </w:tc>
      </w:tr>
      <w:tr>
        <w:trPr>
          <w:trHeight w:val="130"/>
        </w:trPr>
        <w:tc>
          <w:tcPr>
            <w:tcW w:w="1520" w:type="dxa"/>
            <w:vAlign w:val="bottom"/>
          </w:tcPr>
          <w:p>
            <w:pPr>
              <w:spacing w:after="0" w:line="130" w:lineRule="exact"/>
              <w:rPr>
                <w:sz w:val="20"/>
                <w:szCs w:val="20"/>
                <w:color w:val="auto"/>
              </w:rPr>
            </w:pPr>
            <w:r>
              <w:rPr>
                <w:rFonts w:ascii="Arial" w:cs="Arial" w:eastAsia="Arial" w:hAnsi="Arial"/>
                <w:sz w:val="12"/>
                <w:szCs w:val="12"/>
                <w:color w:val="auto"/>
              </w:rPr>
              <w:t>Micro-business loans</w:t>
            </w:r>
          </w:p>
        </w:tc>
        <w:tc>
          <w:tcPr>
            <w:tcW w:w="800" w:type="dxa"/>
            <w:vAlign w:val="bottom"/>
            <w:gridSpan w:val="2"/>
          </w:tcPr>
          <w:p>
            <w:pPr>
              <w:jc w:val="right"/>
              <w:ind w:right="160"/>
              <w:spacing w:after="0" w:line="130" w:lineRule="exact"/>
              <w:rPr>
                <w:sz w:val="20"/>
                <w:szCs w:val="20"/>
                <w:color w:val="auto"/>
              </w:rPr>
            </w:pPr>
            <w:r>
              <w:rPr>
                <w:rFonts w:ascii="Arial" w:cs="Arial" w:eastAsia="Arial" w:hAnsi="Arial"/>
                <w:sz w:val="12"/>
                <w:szCs w:val="12"/>
                <w:color w:val="auto"/>
              </w:rPr>
              <w:t>-</w:t>
            </w:r>
          </w:p>
        </w:tc>
        <w:tc>
          <w:tcPr>
            <w:tcW w:w="780" w:type="dxa"/>
            <w:vAlign w:val="bottom"/>
            <w:gridSpan w:val="2"/>
          </w:tcPr>
          <w:p>
            <w:pPr>
              <w:jc w:val="right"/>
              <w:ind w:right="160"/>
              <w:spacing w:after="0" w:line="130" w:lineRule="exact"/>
              <w:rPr>
                <w:sz w:val="20"/>
                <w:szCs w:val="20"/>
                <w:color w:val="auto"/>
              </w:rPr>
            </w:pPr>
            <w:r>
              <w:rPr>
                <w:rFonts w:ascii="Arial" w:cs="Arial" w:eastAsia="Arial" w:hAnsi="Arial"/>
                <w:sz w:val="12"/>
                <w:szCs w:val="12"/>
                <w:color w:val="auto"/>
              </w:rPr>
              <w:t>-</w:t>
            </w:r>
          </w:p>
        </w:tc>
        <w:tc>
          <w:tcPr>
            <w:tcW w:w="840" w:type="dxa"/>
            <w:vAlign w:val="bottom"/>
            <w:gridSpan w:val="2"/>
          </w:tcPr>
          <w:p>
            <w:pPr>
              <w:jc w:val="right"/>
              <w:ind w:right="160"/>
              <w:spacing w:after="0" w:line="130" w:lineRule="exact"/>
              <w:rPr>
                <w:sz w:val="20"/>
                <w:szCs w:val="20"/>
                <w:color w:val="auto"/>
              </w:rPr>
            </w:pPr>
            <w:r>
              <w:rPr>
                <w:rFonts w:ascii="Arial" w:cs="Arial" w:eastAsia="Arial" w:hAnsi="Arial"/>
                <w:sz w:val="12"/>
                <w:szCs w:val="12"/>
                <w:color w:val="auto"/>
              </w:rPr>
              <w:t>12,897,206</w:t>
            </w:r>
          </w:p>
        </w:tc>
        <w:tc>
          <w:tcPr>
            <w:tcW w:w="840" w:type="dxa"/>
            <w:vAlign w:val="bottom"/>
            <w:gridSpan w:val="2"/>
          </w:tcPr>
          <w:p>
            <w:pPr>
              <w:jc w:val="right"/>
              <w:ind w:right="160"/>
              <w:spacing w:after="0" w:line="130" w:lineRule="exact"/>
              <w:rPr>
                <w:sz w:val="20"/>
                <w:szCs w:val="20"/>
                <w:color w:val="auto"/>
              </w:rPr>
            </w:pPr>
            <w:r>
              <w:rPr>
                <w:rFonts w:ascii="Arial" w:cs="Arial" w:eastAsia="Arial" w:hAnsi="Arial"/>
                <w:sz w:val="12"/>
                <w:szCs w:val="12"/>
                <w:color w:val="auto"/>
              </w:rPr>
              <w:t>-</w:t>
            </w:r>
          </w:p>
        </w:tc>
        <w:tc>
          <w:tcPr>
            <w:tcW w:w="820" w:type="dxa"/>
            <w:vAlign w:val="bottom"/>
            <w:gridSpan w:val="2"/>
          </w:tcPr>
          <w:p>
            <w:pPr>
              <w:jc w:val="right"/>
              <w:ind w:right="160"/>
              <w:spacing w:after="0" w:line="130" w:lineRule="exact"/>
              <w:rPr>
                <w:sz w:val="20"/>
                <w:szCs w:val="20"/>
                <w:color w:val="auto"/>
              </w:rPr>
            </w:pPr>
            <w:r>
              <w:rPr>
                <w:rFonts w:ascii="Arial" w:cs="Arial" w:eastAsia="Arial" w:hAnsi="Arial"/>
                <w:sz w:val="12"/>
                <w:szCs w:val="12"/>
                <w:color w:val="auto"/>
              </w:rPr>
              <w:t>-</w:t>
            </w:r>
          </w:p>
        </w:tc>
        <w:tc>
          <w:tcPr>
            <w:tcW w:w="880" w:type="dxa"/>
            <w:vAlign w:val="bottom"/>
            <w:gridSpan w:val="2"/>
          </w:tcPr>
          <w:p>
            <w:pPr>
              <w:jc w:val="right"/>
              <w:ind w:right="180"/>
              <w:spacing w:after="0" w:line="130" w:lineRule="exact"/>
              <w:rPr>
                <w:sz w:val="20"/>
                <w:szCs w:val="20"/>
                <w:color w:val="auto"/>
              </w:rPr>
            </w:pPr>
            <w:r>
              <w:rPr>
                <w:rFonts w:ascii="Arial" w:cs="Arial" w:eastAsia="Arial" w:hAnsi="Arial"/>
                <w:sz w:val="12"/>
                <w:szCs w:val="12"/>
                <w:color w:val="auto"/>
              </w:rPr>
              <w:t>12,897,206</w:t>
            </w:r>
          </w:p>
        </w:tc>
        <w:tc>
          <w:tcPr>
            <w:tcW w:w="860" w:type="dxa"/>
            <w:vAlign w:val="bottom"/>
            <w:gridSpan w:val="2"/>
          </w:tcPr>
          <w:p>
            <w:pPr>
              <w:jc w:val="right"/>
              <w:ind w:right="220"/>
              <w:spacing w:after="0" w:line="130" w:lineRule="exact"/>
              <w:rPr>
                <w:sz w:val="20"/>
                <w:szCs w:val="20"/>
                <w:color w:val="auto"/>
              </w:rPr>
            </w:pPr>
            <w:r>
              <w:rPr>
                <w:rFonts w:ascii="Arial" w:cs="Arial" w:eastAsia="Arial" w:hAnsi="Arial"/>
                <w:sz w:val="12"/>
                <w:szCs w:val="12"/>
                <w:color w:val="auto"/>
              </w:rPr>
              <w:t>-</w:t>
            </w:r>
          </w:p>
        </w:tc>
        <w:tc>
          <w:tcPr>
            <w:tcW w:w="720" w:type="dxa"/>
            <w:vAlign w:val="bottom"/>
            <w:gridSpan w:val="2"/>
          </w:tcPr>
          <w:p>
            <w:pPr>
              <w:jc w:val="right"/>
              <w:ind w:right="180"/>
              <w:spacing w:after="0" w:line="130" w:lineRule="exact"/>
              <w:rPr>
                <w:sz w:val="20"/>
                <w:szCs w:val="20"/>
                <w:color w:val="auto"/>
              </w:rPr>
            </w:pPr>
            <w:r>
              <w:rPr>
                <w:rFonts w:ascii="Arial" w:cs="Arial" w:eastAsia="Arial" w:hAnsi="Arial"/>
                <w:sz w:val="12"/>
                <w:szCs w:val="12"/>
                <w:color w:val="auto"/>
              </w:rPr>
              <w:t>-</w:t>
            </w:r>
          </w:p>
        </w:tc>
        <w:tc>
          <w:tcPr>
            <w:tcW w:w="700" w:type="dxa"/>
            <w:vAlign w:val="bottom"/>
          </w:tcPr>
          <w:p>
            <w:pPr>
              <w:jc w:val="right"/>
              <w:spacing w:after="0" w:line="130" w:lineRule="exact"/>
              <w:rPr>
                <w:sz w:val="20"/>
                <w:szCs w:val="20"/>
                <w:color w:val="auto"/>
              </w:rPr>
            </w:pPr>
            <w:r>
              <w:rPr>
                <w:rFonts w:ascii="Arial" w:cs="Arial" w:eastAsia="Arial" w:hAnsi="Arial"/>
                <w:sz w:val="12"/>
                <w:szCs w:val="12"/>
                <w:color w:val="auto"/>
              </w:rPr>
              <w:t>5,175,700</w:t>
            </w:r>
          </w:p>
        </w:tc>
        <w:tc>
          <w:tcPr>
            <w:tcW w:w="180" w:type="dxa"/>
            <w:vAlign w:val="bottom"/>
          </w:tcPr>
          <w:p>
            <w:pPr>
              <w:spacing w:after="0"/>
              <w:rPr>
                <w:sz w:val="11"/>
                <w:szCs w:val="11"/>
                <w:color w:val="auto"/>
              </w:rPr>
            </w:pPr>
          </w:p>
        </w:tc>
        <w:tc>
          <w:tcPr>
            <w:tcW w:w="860" w:type="dxa"/>
            <w:vAlign w:val="bottom"/>
            <w:gridSpan w:val="2"/>
          </w:tcPr>
          <w:p>
            <w:pPr>
              <w:jc w:val="right"/>
              <w:ind w:right="180"/>
              <w:spacing w:after="0" w:line="130" w:lineRule="exact"/>
              <w:rPr>
                <w:sz w:val="20"/>
                <w:szCs w:val="20"/>
                <w:color w:val="auto"/>
              </w:rPr>
            </w:pPr>
            <w:r>
              <w:rPr>
                <w:rFonts w:ascii="Arial" w:cs="Arial" w:eastAsia="Arial" w:hAnsi="Arial"/>
                <w:sz w:val="12"/>
                <w:szCs w:val="12"/>
                <w:color w:val="auto"/>
              </w:rPr>
              <w:t>-</w:t>
            </w:r>
          </w:p>
        </w:tc>
        <w:tc>
          <w:tcPr>
            <w:tcW w:w="840" w:type="dxa"/>
            <w:vAlign w:val="bottom"/>
            <w:gridSpan w:val="2"/>
          </w:tcPr>
          <w:p>
            <w:pPr>
              <w:jc w:val="right"/>
              <w:ind w:right="200"/>
              <w:spacing w:after="0" w:line="130" w:lineRule="exact"/>
              <w:rPr>
                <w:sz w:val="20"/>
                <w:szCs w:val="20"/>
                <w:color w:val="auto"/>
              </w:rPr>
            </w:pPr>
            <w:r>
              <w:rPr>
                <w:rFonts w:ascii="Arial" w:cs="Arial" w:eastAsia="Arial" w:hAnsi="Arial"/>
                <w:sz w:val="12"/>
                <w:szCs w:val="12"/>
                <w:color w:val="auto"/>
              </w:rPr>
              <w:t>-</w:t>
            </w:r>
          </w:p>
        </w:tc>
        <w:tc>
          <w:tcPr>
            <w:tcW w:w="720" w:type="dxa"/>
            <w:vAlign w:val="bottom"/>
            <w:gridSpan w:val="2"/>
          </w:tcPr>
          <w:p>
            <w:pPr>
              <w:jc w:val="right"/>
              <w:ind w:right="20"/>
              <w:spacing w:after="0" w:line="130" w:lineRule="exact"/>
              <w:rPr>
                <w:sz w:val="20"/>
                <w:szCs w:val="20"/>
                <w:color w:val="auto"/>
              </w:rPr>
            </w:pPr>
            <w:r>
              <w:rPr>
                <w:rFonts w:ascii="Arial" w:cs="Arial" w:eastAsia="Arial" w:hAnsi="Arial"/>
                <w:sz w:val="12"/>
                <w:szCs w:val="12"/>
                <w:color w:val="auto"/>
              </w:rPr>
              <w:t>5,175,700</w:t>
            </w:r>
          </w:p>
        </w:tc>
        <w:tc>
          <w:tcPr>
            <w:tcW w:w="60" w:type="dxa"/>
            <w:vAlign w:val="bottom"/>
          </w:tcPr>
          <w:p>
            <w:pPr>
              <w:spacing w:after="0"/>
              <w:rPr>
                <w:sz w:val="11"/>
                <w:szCs w:val="11"/>
                <w:color w:val="auto"/>
              </w:rPr>
            </w:pPr>
          </w:p>
        </w:tc>
      </w:tr>
      <w:tr>
        <w:trPr>
          <w:trHeight w:val="130"/>
        </w:trPr>
        <w:tc>
          <w:tcPr>
            <w:tcW w:w="1520" w:type="dxa"/>
            <w:vAlign w:val="bottom"/>
            <w:shd w:val="clear" w:color="auto" w:fill="CCEEFF"/>
          </w:tcPr>
          <w:p>
            <w:pPr>
              <w:spacing w:after="0" w:line="130" w:lineRule="exact"/>
              <w:rPr>
                <w:sz w:val="20"/>
                <w:szCs w:val="20"/>
                <w:color w:val="auto"/>
              </w:rPr>
            </w:pPr>
            <w:r>
              <w:rPr>
                <w:rFonts w:ascii="Arial" w:cs="Arial" w:eastAsia="Arial" w:hAnsi="Arial"/>
                <w:sz w:val="12"/>
                <w:szCs w:val="12"/>
                <w:color w:val="auto"/>
              </w:rPr>
              <w:t>Commerce</w:t>
            </w:r>
          </w:p>
        </w:tc>
        <w:tc>
          <w:tcPr>
            <w:tcW w:w="800" w:type="dxa"/>
            <w:vAlign w:val="bottom"/>
            <w:gridSpan w:val="2"/>
            <w:shd w:val="clear" w:color="auto" w:fill="CCEEFF"/>
          </w:tcPr>
          <w:p>
            <w:pPr>
              <w:jc w:val="right"/>
              <w:ind w:right="160"/>
              <w:spacing w:after="0" w:line="130" w:lineRule="exact"/>
              <w:rPr>
                <w:sz w:val="20"/>
                <w:szCs w:val="20"/>
                <w:color w:val="auto"/>
              </w:rPr>
            </w:pPr>
            <w:r>
              <w:rPr>
                <w:rFonts w:ascii="Arial" w:cs="Arial" w:eastAsia="Arial" w:hAnsi="Arial"/>
                <w:sz w:val="12"/>
                <w:szCs w:val="12"/>
                <w:color w:val="auto"/>
              </w:rPr>
              <w:t>52,453</w:t>
            </w:r>
          </w:p>
        </w:tc>
        <w:tc>
          <w:tcPr>
            <w:tcW w:w="780" w:type="dxa"/>
            <w:vAlign w:val="bottom"/>
            <w:gridSpan w:val="2"/>
            <w:shd w:val="clear" w:color="auto" w:fill="CCEEFF"/>
          </w:tcPr>
          <w:p>
            <w:pPr>
              <w:jc w:val="right"/>
              <w:ind w:right="160"/>
              <w:spacing w:after="0" w:line="130" w:lineRule="exact"/>
              <w:rPr>
                <w:sz w:val="20"/>
                <w:szCs w:val="20"/>
                <w:color w:val="auto"/>
              </w:rPr>
            </w:pPr>
            <w:r>
              <w:rPr>
                <w:rFonts w:ascii="Arial" w:cs="Arial" w:eastAsia="Arial" w:hAnsi="Arial"/>
                <w:sz w:val="12"/>
                <w:szCs w:val="12"/>
                <w:color w:val="auto"/>
              </w:rPr>
              <w:t>45,130</w:t>
            </w:r>
          </w:p>
        </w:tc>
        <w:tc>
          <w:tcPr>
            <w:tcW w:w="840" w:type="dxa"/>
            <w:vAlign w:val="bottom"/>
            <w:gridSpan w:val="2"/>
            <w:shd w:val="clear" w:color="auto" w:fill="CCEEFF"/>
          </w:tcPr>
          <w:p>
            <w:pPr>
              <w:jc w:val="right"/>
              <w:ind w:right="160"/>
              <w:spacing w:after="0" w:line="130" w:lineRule="exact"/>
              <w:rPr>
                <w:sz w:val="20"/>
                <w:szCs w:val="20"/>
                <w:color w:val="auto"/>
              </w:rPr>
            </w:pPr>
            <w:r>
              <w:rPr>
                <w:rFonts w:ascii="Arial" w:cs="Arial" w:eastAsia="Arial" w:hAnsi="Arial"/>
                <w:sz w:val="12"/>
                <w:szCs w:val="12"/>
                <w:color w:val="auto"/>
              </w:rPr>
              <w:t>11,682,985</w:t>
            </w:r>
          </w:p>
        </w:tc>
        <w:tc>
          <w:tcPr>
            <w:tcW w:w="840" w:type="dxa"/>
            <w:vAlign w:val="bottom"/>
            <w:gridSpan w:val="2"/>
            <w:shd w:val="clear" w:color="auto" w:fill="CCEEFF"/>
          </w:tcPr>
          <w:p>
            <w:pPr>
              <w:jc w:val="right"/>
              <w:ind w:right="160"/>
              <w:spacing w:after="0" w:line="130" w:lineRule="exact"/>
              <w:rPr>
                <w:sz w:val="20"/>
                <w:szCs w:val="20"/>
                <w:color w:val="auto"/>
              </w:rPr>
            </w:pPr>
            <w:r>
              <w:rPr>
                <w:rFonts w:ascii="Arial" w:cs="Arial" w:eastAsia="Arial" w:hAnsi="Arial"/>
                <w:sz w:val="12"/>
                <w:szCs w:val="12"/>
                <w:color w:val="auto"/>
              </w:rPr>
              <w:t>248,396</w:t>
            </w:r>
          </w:p>
        </w:tc>
        <w:tc>
          <w:tcPr>
            <w:tcW w:w="820" w:type="dxa"/>
            <w:vAlign w:val="bottom"/>
            <w:gridSpan w:val="2"/>
            <w:shd w:val="clear" w:color="auto" w:fill="CCEEFF"/>
          </w:tcPr>
          <w:p>
            <w:pPr>
              <w:jc w:val="right"/>
              <w:ind w:right="160"/>
              <w:spacing w:after="0" w:line="130" w:lineRule="exact"/>
              <w:rPr>
                <w:sz w:val="20"/>
                <w:szCs w:val="20"/>
                <w:color w:val="auto"/>
              </w:rPr>
            </w:pPr>
            <w:r>
              <w:rPr>
                <w:rFonts w:ascii="Arial" w:cs="Arial" w:eastAsia="Arial" w:hAnsi="Arial"/>
                <w:sz w:val="12"/>
                <w:szCs w:val="12"/>
                <w:color w:val="auto"/>
              </w:rPr>
              <w:t>17,950</w:t>
            </w:r>
          </w:p>
        </w:tc>
        <w:tc>
          <w:tcPr>
            <w:tcW w:w="880" w:type="dxa"/>
            <w:vAlign w:val="bottom"/>
            <w:gridSpan w:val="2"/>
            <w:shd w:val="clear" w:color="auto" w:fill="CCEEFF"/>
          </w:tcPr>
          <w:p>
            <w:pPr>
              <w:jc w:val="right"/>
              <w:ind w:right="180"/>
              <w:spacing w:after="0" w:line="130" w:lineRule="exact"/>
              <w:rPr>
                <w:sz w:val="20"/>
                <w:szCs w:val="20"/>
                <w:color w:val="auto"/>
              </w:rPr>
            </w:pPr>
            <w:r>
              <w:rPr>
                <w:rFonts w:ascii="Arial" w:cs="Arial" w:eastAsia="Arial" w:hAnsi="Arial"/>
                <w:sz w:val="12"/>
                <w:szCs w:val="12"/>
                <w:color w:val="auto"/>
              </w:rPr>
              <w:t>12,046,914</w:t>
            </w:r>
          </w:p>
        </w:tc>
        <w:tc>
          <w:tcPr>
            <w:tcW w:w="860" w:type="dxa"/>
            <w:vAlign w:val="bottom"/>
            <w:gridSpan w:val="2"/>
            <w:shd w:val="clear" w:color="auto" w:fill="CCEEFF"/>
          </w:tcPr>
          <w:p>
            <w:pPr>
              <w:jc w:val="right"/>
              <w:ind w:right="220"/>
              <w:spacing w:after="0" w:line="130" w:lineRule="exact"/>
              <w:rPr>
                <w:sz w:val="20"/>
                <w:szCs w:val="20"/>
                <w:color w:val="auto"/>
              </w:rPr>
            </w:pPr>
            <w:r>
              <w:rPr>
                <w:rFonts w:ascii="Arial" w:cs="Arial" w:eastAsia="Arial" w:hAnsi="Arial"/>
                <w:sz w:val="12"/>
                <w:szCs w:val="12"/>
                <w:color w:val="auto"/>
              </w:rPr>
              <w:t>35,022</w:t>
            </w:r>
          </w:p>
        </w:tc>
        <w:tc>
          <w:tcPr>
            <w:tcW w:w="720" w:type="dxa"/>
            <w:vAlign w:val="bottom"/>
            <w:gridSpan w:val="2"/>
            <w:shd w:val="clear" w:color="auto" w:fill="CCEEFF"/>
          </w:tcPr>
          <w:p>
            <w:pPr>
              <w:jc w:val="right"/>
              <w:ind w:right="180"/>
              <w:spacing w:after="0" w:line="130" w:lineRule="exact"/>
              <w:rPr>
                <w:sz w:val="20"/>
                <w:szCs w:val="20"/>
                <w:color w:val="auto"/>
              </w:rPr>
            </w:pPr>
            <w:r>
              <w:rPr>
                <w:rFonts w:ascii="Arial" w:cs="Arial" w:eastAsia="Arial" w:hAnsi="Arial"/>
                <w:sz w:val="12"/>
                <w:szCs w:val="12"/>
                <w:color w:val="auto"/>
              </w:rPr>
              <w:t>3,693</w:t>
            </w:r>
          </w:p>
        </w:tc>
        <w:tc>
          <w:tcPr>
            <w:tcW w:w="880" w:type="dxa"/>
            <w:vAlign w:val="bottom"/>
            <w:gridSpan w:val="2"/>
            <w:shd w:val="clear" w:color="auto" w:fill="CCEEFF"/>
          </w:tcPr>
          <w:p>
            <w:pPr>
              <w:jc w:val="right"/>
              <w:ind w:right="180"/>
              <w:spacing w:after="0" w:line="130" w:lineRule="exact"/>
              <w:rPr>
                <w:sz w:val="20"/>
                <w:szCs w:val="20"/>
                <w:color w:val="auto"/>
              </w:rPr>
            </w:pPr>
            <w:r>
              <w:rPr>
                <w:rFonts w:ascii="Arial" w:cs="Arial" w:eastAsia="Arial" w:hAnsi="Arial"/>
                <w:sz w:val="12"/>
                <w:szCs w:val="12"/>
                <w:color w:val="auto"/>
              </w:rPr>
              <w:t>14,242,421</w:t>
            </w:r>
          </w:p>
        </w:tc>
        <w:tc>
          <w:tcPr>
            <w:tcW w:w="860" w:type="dxa"/>
            <w:vAlign w:val="bottom"/>
            <w:gridSpan w:val="2"/>
            <w:shd w:val="clear" w:color="auto" w:fill="CCEEFF"/>
          </w:tcPr>
          <w:p>
            <w:pPr>
              <w:jc w:val="right"/>
              <w:ind w:right="180"/>
              <w:spacing w:after="0" w:line="130" w:lineRule="exact"/>
              <w:rPr>
                <w:sz w:val="20"/>
                <w:szCs w:val="20"/>
                <w:color w:val="auto"/>
              </w:rPr>
            </w:pPr>
            <w:r>
              <w:rPr>
                <w:rFonts w:ascii="Arial" w:cs="Arial" w:eastAsia="Arial" w:hAnsi="Arial"/>
                <w:sz w:val="12"/>
                <w:szCs w:val="12"/>
                <w:color w:val="auto"/>
              </w:rPr>
              <w:t>192,136</w:t>
            </w:r>
          </w:p>
        </w:tc>
        <w:tc>
          <w:tcPr>
            <w:tcW w:w="840" w:type="dxa"/>
            <w:vAlign w:val="bottom"/>
            <w:gridSpan w:val="2"/>
            <w:shd w:val="clear" w:color="auto" w:fill="CCEEFF"/>
          </w:tcPr>
          <w:p>
            <w:pPr>
              <w:jc w:val="right"/>
              <w:ind w:right="200"/>
              <w:spacing w:after="0" w:line="130" w:lineRule="exact"/>
              <w:rPr>
                <w:sz w:val="20"/>
                <w:szCs w:val="20"/>
                <w:color w:val="auto"/>
              </w:rPr>
            </w:pPr>
            <w:r>
              <w:rPr>
                <w:rFonts w:ascii="Arial" w:cs="Arial" w:eastAsia="Arial" w:hAnsi="Arial"/>
                <w:sz w:val="12"/>
                <w:szCs w:val="12"/>
                <w:color w:val="auto"/>
              </w:rPr>
              <w:t>14,765</w:t>
            </w:r>
          </w:p>
        </w:tc>
        <w:tc>
          <w:tcPr>
            <w:tcW w:w="720" w:type="dxa"/>
            <w:vAlign w:val="bottom"/>
            <w:gridSpan w:val="2"/>
            <w:shd w:val="clear" w:color="auto" w:fill="CCEEFF"/>
          </w:tcPr>
          <w:p>
            <w:pPr>
              <w:jc w:val="right"/>
              <w:ind w:right="20"/>
              <w:spacing w:after="0" w:line="130" w:lineRule="exact"/>
              <w:rPr>
                <w:sz w:val="20"/>
                <w:szCs w:val="20"/>
                <w:color w:val="auto"/>
              </w:rPr>
            </w:pPr>
            <w:r>
              <w:rPr>
                <w:rFonts w:ascii="Arial" w:cs="Arial" w:eastAsia="Arial" w:hAnsi="Arial"/>
                <w:sz w:val="12"/>
                <w:szCs w:val="12"/>
                <w:color w:val="auto"/>
              </w:rPr>
              <w:t>14,488,037</w:t>
            </w:r>
          </w:p>
        </w:tc>
        <w:tc>
          <w:tcPr>
            <w:tcW w:w="60" w:type="dxa"/>
            <w:vAlign w:val="bottom"/>
            <w:shd w:val="clear" w:color="auto" w:fill="CCEEFF"/>
          </w:tcPr>
          <w:p>
            <w:pPr>
              <w:spacing w:after="0"/>
              <w:rPr>
                <w:sz w:val="11"/>
                <w:szCs w:val="11"/>
                <w:color w:val="auto"/>
              </w:rPr>
            </w:pPr>
          </w:p>
        </w:tc>
      </w:tr>
      <w:tr>
        <w:trPr>
          <w:trHeight w:val="116"/>
        </w:trPr>
        <w:tc>
          <w:tcPr>
            <w:tcW w:w="1520" w:type="dxa"/>
            <w:vAlign w:val="bottom"/>
          </w:tcPr>
          <w:p>
            <w:pPr>
              <w:spacing w:after="0" w:line="116" w:lineRule="exact"/>
              <w:rPr>
                <w:sz w:val="20"/>
                <w:szCs w:val="20"/>
                <w:color w:val="auto"/>
              </w:rPr>
            </w:pPr>
            <w:r>
              <w:rPr>
                <w:rFonts w:ascii="Arial" w:cs="Arial" w:eastAsia="Arial" w:hAnsi="Arial"/>
                <w:sz w:val="12"/>
                <w:szCs w:val="12"/>
                <w:color w:val="auto"/>
              </w:rPr>
              <w:t>Government and public</w:t>
            </w: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r>
      <w:tr>
        <w:trPr>
          <w:trHeight w:val="144"/>
        </w:trPr>
        <w:tc>
          <w:tcPr>
            <w:tcW w:w="1520" w:type="dxa"/>
            <w:vAlign w:val="bottom"/>
          </w:tcPr>
          <w:p>
            <w:pPr>
              <w:spacing w:after="0"/>
              <w:rPr>
                <w:sz w:val="20"/>
                <w:szCs w:val="20"/>
                <w:color w:val="auto"/>
              </w:rPr>
            </w:pPr>
            <w:r>
              <w:rPr>
                <w:rFonts w:ascii="Arial" w:cs="Arial" w:eastAsia="Arial" w:hAnsi="Arial"/>
                <w:sz w:val="12"/>
                <w:szCs w:val="12"/>
                <w:color w:val="auto"/>
              </w:rPr>
              <w:t>administration</w:t>
            </w:r>
          </w:p>
        </w:tc>
        <w:tc>
          <w:tcPr>
            <w:tcW w:w="640" w:type="dxa"/>
            <w:vAlign w:val="bottom"/>
          </w:tcPr>
          <w:p>
            <w:pPr>
              <w:jc w:val="right"/>
              <w:spacing w:after="0"/>
              <w:rPr>
                <w:sz w:val="20"/>
                <w:szCs w:val="20"/>
                <w:color w:val="auto"/>
              </w:rPr>
            </w:pPr>
            <w:r>
              <w:rPr>
                <w:rFonts w:ascii="Arial" w:cs="Arial" w:eastAsia="Arial" w:hAnsi="Arial"/>
                <w:sz w:val="12"/>
                <w:szCs w:val="12"/>
                <w:color w:val="auto"/>
              </w:rPr>
              <w:t>1,287,212</w:t>
            </w:r>
          </w:p>
        </w:tc>
        <w:tc>
          <w:tcPr>
            <w:tcW w:w="160" w:type="dxa"/>
            <w:vAlign w:val="bottom"/>
          </w:tcPr>
          <w:p>
            <w:pPr>
              <w:spacing w:after="0"/>
              <w:rPr>
                <w:sz w:val="12"/>
                <w:szCs w:val="12"/>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2"/>
                <w:szCs w:val="12"/>
                <w:color w:val="auto"/>
              </w:rPr>
              <w:t>40,480</w:t>
            </w:r>
          </w:p>
        </w:tc>
        <w:tc>
          <w:tcPr>
            <w:tcW w:w="840" w:type="dxa"/>
            <w:vAlign w:val="bottom"/>
            <w:gridSpan w:val="2"/>
          </w:tcPr>
          <w:p>
            <w:pPr>
              <w:jc w:val="right"/>
              <w:ind w:right="160"/>
              <w:spacing w:after="0"/>
              <w:rPr>
                <w:sz w:val="20"/>
                <w:szCs w:val="20"/>
                <w:color w:val="auto"/>
              </w:rPr>
            </w:pPr>
            <w:r>
              <w:rPr>
                <w:rFonts w:ascii="Arial" w:cs="Arial" w:eastAsia="Arial" w:hAnsi="Arial"/>
                <w:sz w:val="12"/>
                <w:szCs w:val="12"/>
                <w:color w:val="auto"/>
              </w:rPr>
              <w:t>450,174</w:t>
            </w:r>
          </w:p>
        </w:tc>
        <w:tc>
          <w:tcPr>
            <w:tcW w:w="840" w:type="dxa"/>
            <w:vAlign w:val="bottom"/>
            <w:gridSpan w:val="2"/>
          </w:tcPr>
          <w:p>
            <w:pPr>
              <w:jc w:val="right"/>
              <w:ind w:right="160"/>
              <w:spacing w:after="0"/>
              <w:rPr>
                <w:sz w:val="20"/>
                <w:szCs w:val="20"/>
                <w:color w:val="auto"/>
              </w:rPr>
            </w:pPr>
            <w:r>
              <w:rPr>
                <w:rFonts w:ascii="Arial" w:cs="Arial" w:eastAsia="Arial" w:hAnsi="Arial"/>
                <w:sz w:val="12"/>
                <w:szCs w:val="12"/>
                <w:color w:val="auto"/>
              </w:rPr>
              <w:t>5,220,054</w:t>
            </w:r>
          </w:p>
        </w:tc>
        <w:tc>
          <w:tcPr>
            <w:tcW w:w="660" w:type="dxa"/>
            <w:vAlign w:val="bottom"/>
          </w:tcPr>
          <w:p>
            <w:pPr>
              <w:jc w:val="right"/>
              <w:spacing w:after="0"/>
              <w:rPr>
                <w:sz w:val="20"/>
                <w:szCs w:val="20"/>
                <w:color w:val="auto"/>
              </w:rPr>
            </w:pPr>
            <w:r>
              <w:rPr>
                <w:rFonts w:ascii="Arial" w:cs="Arial" w:eastAsia="Arial" w:hAnsi="Arial"/>
                <w:sz w:val="12"/>
                <w:szCs w:val="12"/>
                <w:color w:val="auto"/>
              </w:rPr>
              <w:t>4,164,128</w:t>
            </w:r>
          </w:p>
        </w:tc>
        <w:tc>
          <w:tcPr>
            <w:tcW w:w="160" w:type="dxa"/>
            <w:vAlign w:val="bottom"/>
          </w:tcPr>
          <w:p>
            <w:pPr>
              <w:spacing w:after="0"/>
              <w:rPr>
                <w:sz w:val="12"/>
                <w:szCs w:val="12"/>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2"/>
                <w:szCs w:val="12"/>
                <w:color w:val="auto"/>
              </w:rPr>
              <w:t>11,162,048</w:t>
            </w:r>
          </w:p>
        </w:tc>
        <w:tc>
          <w:tcPr>
            <w:tcW w:w="860" w:type="dxa"/>
            <w:vAlign w:val="bottom"/>
            <w:gridSpan w:val="2"/>
          </w:tcPr>
          <w:p>
            <w:pPr>
              <w:jc w:val="right"/>
              <w:ind w:right="220"/>
              <w:spacing w:after="0"/>
              <w:rPr>
                <w:sz w:val="20"/>
                <w:szCs w:val="20"/>
                <w:color w:val="auto"/>
              </w:rPr>
            </w:pPr>
            <w:r>
              <w:rPr>
                <w:rFonts w:ascii="Arial" w:cs="Arial" w:eastAsia="Arial" w:hAnsi="Arial"/>
                <w:sz w:val="12"/>
                <w:szCs w:val="12"/>
                <w:color w:val="auto"/>
              </w:rPr>
              <w:t>221,754</w:t>
            </w:r>
          </w:p>
        </w:tc>
        <w:tc>
          <w:tcPr>
            <w:tcW w:w="720" w:type="dxa"/>
            <w:vAlign w:val="bottom"/>
            <w:gridSpan w:val="2"/>
          </w:tcPr>
          <w:p>
            <w:pPr>
              <w:jc w:val="right"/>
              <w:ind w:right="180"/>
              <w:spacing w:after="0"/>
              <w:rPr>
                <w:sz w:val="20"/>
                <w:szCs w:val="20"/>
                <w:color w:val="auto"/>
              </w:rPr>
            </w:pPr>
            <w:r>
              <w:rPr>
                <w:rFonts w:ascii="Arial" w:cs="Arial" w:eastAsia="Arial" w:hAnsi="Arial"/>
                <w:sz w:val="12"/>
                <w:szCs w:val="12"/>
                <w:color w:val="auto"/>
              </w:rPr>
              <w:t>11,199</w:t>
            </w:r>
          </w:p>
        </w:tc>
        <w:tc>
          <w:tcPr>
            <w:tcW w:w="880" w:type="dxa"/>
            <w:vAlign w:val="bottom"/>
            <w:gridSpan w:val="2"/>
          </w:tcPr>
          <w:p>
            <w:pPr>
              <w:jc w:val="right"/>
              <w:ind w:right="180"/>
              <w:spacing w:after="0"/>
              <w:rPr>
                <w:sz w:val="20"/>
                <w:szCs w:val="20"/>
                <w:color w:val="auto"/>
              </w:rPr>
            </w:pPr>
            <w:r>
              <w:rPr>
                <w:rFonts w:ascii="Arial" w:cs="Arial" w:eastAsia="Arial" w:hAnsi="Arial"/>
                <w:sz w:val="12"/>
                <w:szCs w:val="12"/>
                <w:color w:val="auto"/>
              </w:rPr>
              <w:t>245,948</w:t>
            </w:r>
          </w:p>
        </w:tc>
        <w:tc>
          <w:tcPr>
            <w:tcW w:w="860" w:type="dxa"/>
            <w:vAlign w:val="bottom"/>
            <w:gridSpan w:val="2"/>
          </w:tcPr>
          <w:p>
            <w:pPr>
              <w:jc w:val="right"/>
              <w:ind w:right="180"/>
              <w:spacing w:after="0"/>
              <w:rPr>
                <w:sz w:val="20"/>
                <w:szCs w:val="20"/>
                <w:color w:val="auto"/>
              </w:rPr>
            </w:pPr>
            <w:r>
              <w:rPr>
                <w:rFonts w:ascii="Arial" w:cs="Arial" w:eastAsia="Arial" w:hAnsi="Arial"/>
                <w:sz w:val="12"/>
                <w:szCs w:val="12"/>
                <w:color w:val="auto"/>
              </w:rPr>
              <w:t>2,830,156</w:t>
            </w:r>
          </w:p>
        </w:tc>
        <w:tc>
          <w:tcPr>
            <w:tcW w:w="640" w:type="dxa"/>
            <w:vAlign w:val="bottom"/>
          </w:tcPr>
          <w:p>
            <w:pPr>
              <w:jc w:val="right"/>
              <w:spacing w:after="0"/>
              <w:rPr>
                <w:sz w:val="20"/>
                <w:szCs w:val="20"/>
                <w:color w:val="auto"/>
              </w:rPr>
            </w:pPr>
            <w:r>
              <w:rPr>
                <w:rFonts w:ascii="Arial" w:cs="Arial" w:eastAsia="Arial" w:hAnsi="Arial"/>
                <w:sz w:val="12"/>
                <w:szCs w:val="12"/>
                <w:color w:val="auto"/>
              </w:rPr>
              <w:t>4,836,820</w:t>
            </w:r>
          </w:p>
        </w:tc>
        <w:tc>
          <w:tcPr>
            <w:tcW w:w="200" w:type="dxa"/>
            <w:vAlign w:val="bottom"/>
          </w:tcPr>
          <w:p>
            <w:pPr>
              <w:spacing w:after="0"/>
              <w:rPr>
                <w:sz w:val="12"/>
                <w:szCs w:val="12"/>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2"/>
                <w:szCs w:val="12"/>
                <w:color w:val="auto"/>
              </w:rPr>
              <w:t>8,145,877</w:t>
            </w:r>
          </w:p>
        </w:tc>
        <w:tc>
          <w:tcPr>
            <w:tcW w:w="60" w:type="dxa"/>
            <w:vAlign w:val="bottom"/>
          </w:tcPr>
          <w:p>
            <w:pPr>
              <w:spacing w:after="0"/>
              <w:rPr>
                <w:sz w:val="12"/>
                <w:szCs w:val="12"/>
                <w:color w:val="auto"/>
              </w:rPr>
            </w:pPr>
          </w:p>
        </w:tc>
      </w:tr>
      <w:tr>
        <w:trPr>
          <w:trHeight w:val="130"/>
        </w:trPr>
        <w:tc>
          <w:tcPr>
            <w:tcW w:w="1520" w:type="dxa"/>
            <w:vAlign w:val="bottom"/>
            <w:shd w:val="clear" w:color="auto" w:fill="CCEEFF"/>
          </w:tcPr>
          <w:p>
            <w:pPr>
              <w:spacing w:after="0" w:line="130" w:lineRule="exact"/>
              <w:rPr>
                <w:sz w:val="20"/>
                <w:szCs w:val="20"/>
                <w:color w:val="auto"/>
              </w:rPr>
            </w:pPr>
            <w:r>
              <w:rPr>
                <w:rFonts w:ascii="Arial" w:cs="Arial" w:eastAsia="Arial" w:hAnsi="Arial"/>
                <w:sz w:val="12"/>
                <w:szCs w:val="12"/>
                <w:color w:val="auto"/>
              </w:rPr>
              <w:t>Electricity, gas and water</w:t>
            </w:r>
          </w:p>
        </w:tc>
        <w:tc>
          <w:tcPr>
            <w:tcW w:w="800" w:type="dxa"/>
            <w:vAlign w:val="bottom"/>
            <w:gridSpan w:val="2"/>
            <w:shd w:val="clear" w:color="auto" w:fill="CCEEFF"/>
          </w:tcPr>
          <w:p>
            <w:pPr>
              <w:jc w:val="right"/>
              <w:ind w:right="160"/>
              <w:spacing w:after="0" w:line="130" w:lineRule="exact"/>
              <w:rPr>
                <w:sz w:val="20"/>
                <w:szCs w:val="20"/>
                <w:color w:val="auto"/>
              </w:rPr>
            </w:pPr>
            <w:r>
              <w:rPr>
                <w:rFonts w:ascii="Arial" w:cs="Arial" w:eastAsia="Arial" w:hAnsi="Arial"/>
                <w:sz w:val="12"/>
                <w:szCs w:val="12"/>
                <w:color w:val="auto"/>
              </w:rPr>
              <w:t>79,825</w:t>
            </w:r>
          </w:p>
        </w:tc>
        <w:tc>
          <w:tcPr>
            <w:tcW w:w="780" w:type="dxa"/>
            <w:vAlign w:val="bottom"/>
            <w:gridSpan w:val="2"/>
            <w:shd w:val="clear" w:color="auto" w:fill="CCEEFF"/>
          </w:tcPr>
          <w:p>
            <w:pPr>
              <w:jc w:val="right"/>
              <w:ind w:right="160"/>
              <w:spacing w:after="0" w:line="130" w:lineRule="exact"/>
              <w:rPr>
                <w:sz w:val="20"/>
                <w:szCs w:val="20"/>
                <w:color w:val="auto"/>
              </w:rPr>
            </w:pPr>
            <w:r>
              <w:rPr>
                <w:rFonts w:ascii="Arial" w:cs="Arial" w:eastAsia="Arial" w:hAnsi="Arial"/>
                <w:sz w:val="12"/>
                <w:szCs w:val="12"/>
                <w:color w:val="auto"/>
              </w:rPr>
              <w:t>52,521</w:t>
            </w:r>
          </w:p>
        </w:tc>
        <w:tc>
          <w:tcPr>
            <w:tcW w:w="680" w:type="dxa"/>
            <w:vAlign w:val="bottom"/>
            <w:shd w:val="clear" w:color="auto" w:fill="CCEEFF"/>
          </w:tcPr>
          <w:p>
            <w:pPr>
              <w:jc w:val="right"/>
              <w:spacing w:after="0" w:line="130" w:lineRule="exact"/>
              <w:rPr>
                <w:sz w:val="20"/>
                <w:szCs w:val="20"/>
                <w:color w:val="auto"/>
              </w:rPr>
            </w:pPr>
            <w:r>
              <w:rPr>
                <w:rFonts w:ascii="Arial" w:cs="Arial" w:eastAsia="Arial" w:hAnsi="Arial"/>
                <w:sz w:val="12"/>
                <w:szCs w:val="12"/>
                <w:color w:val="auto"/>
              </w:rPr>
              <w:t>4,148,658</w:t>
            </w:r>
          </w:p>
        </w:tc>
        <w:tc>
          <w:tcPr>
            <w:tcW w:w="16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160"/>
              <w:spacing w:after="0" w:line="130" w:lineRule="exact"/>
              <w:rPr>
                <w:sz w:val="20"/>
                <w:szCs w:val="20"/>
                <w:color w:val="auto"/>
              </w:rPr>
            </w:pPr>
            <w:r>
              <w:rPr>
                <w:rFonts w:ascii="Arial" w:cs="Arial" w:eastAsia="Arial" w:hAnsi="Arial"/>
                <w:sz w:val="12"/>
                <w:szCs w:val="12"/>
                <w:color w:val="auto"/>
              </w:rPr>
              <w:t>1,918,317</w:t>
            </w:r>
          </w:p>
        </w:tc>
        <w:tc>
          <w:tcPr>
            <w:tcW w:w="820" w:type="dxa"/>
            <w:vAlign w:val="bottom"/>
            <w:gridSpan w:val="2"/>
            <w:shd w:val="clear" w:color="auto" w:fill="CCEEFF"/>
          </w:tcPr>
          <w:p>
            <w:pPr>
              <w:jc w:val="right"/>
              <w:ind w:right="160"/>
              <w:spacing w:after="0" w:line="130" w:lineRule="exact"/>
              <w:rPr>
                <w:sz w:val="20"/>
                <w:szCs w:val="20"/>
                <w:color w:val="auto"/>
              </w:rPr>
            </w:pPr>
            <w:r>
              <w:rPr>
                <w:rFonts w:ascii="Arial" w:cs="Arial" w:eastAsia="Arial" w:hAnsi="Arial"/>
                <w:sz w:val="12"/>
                <w:szCs w:val="12"/>
                <w:color w:val="auto"/>
              </w:rPr>
              <w:t>56,331</w:t>
            </w:r>
          </w:p>
        </w:tc>
        <w:tc>
          <w:tcPr>
            <w:tcW w:w="880" w:type="dxa"/>
            <w:vAlign w:val="bottom"/>
            <w:gridSpan w:val="2"/>
            <w:shd w:val="clear" w:color="auto" w:fill="CCEEFF"/>
          </w:tcPr>
          <w:p>
            <w:pPr>
              <w:jc w:val="right"/>
              <w:ind w:right="180"/>
              <w:spacing w:after="0" w:line="130" w:lineRule="exact"/>
              <w:rPr>
                <w:sz w:val="20"/>
                <w:szCs w:val="20"/>
                <w:color w:val="auto"/>
              </w:rPr>
            </w:pPr>
            <w:r>
              <w:rPr>
                <w:rFonts w:ascii="Arial" w:cs="Arial" w:eastAsia="Arial" w:hAnsi="Arial"/>
                <w:sz w:val="12"/>
                <w:szCs w:val="12"/>
                <w:color w:val="auto"/>
              </w:rPr>
              <w:t>6,255,652</w:t>
            </w:r>
          </w:p>
        </w:tc>
        <w:tc>
          <w:tcPr>
            <w:tcW w:w="860" w:type="dxa"/>
            <w:vAlign w:val="bottom"/>
            <w:gridSpan w:val="2"/>
            <w:shd w:val="clear" w:color="auto" w:fill="CCEEFF"/>
          </w:tcPr>
          <w:p>
            <w:pPr>
              <w:jc w:val="right"/>
              <w:ind w:right="220"/>
              <w:spacing w:after="0" w:line="130" w:lineRule="exact"/>
              <w:rPr>
                <w:sz w:val="20"/>
                <w:szCs w:val="20"/>
                <w:color w:val="auto"/>
              </w:rPr>
            </w:pPr>
            <w:r>
              <w:rPr>
                <w:rFonts w:ascii="Arial" w:cs="Arial" w:eastAsia="Arial" w:hAnsi="Arial"/>
                <w:sz w:val="12"/>
                <w:szCs w:val="12"/>
                <w:color w:val="auto"/>
              </w:rPr>
              <w:t>26,068</w:t>
            </w:r>
          </w:p>
        </w:tc>
        <w:tc>
          <w:tcPr>
            <w:tcW w:w="720" w:type="dxa"/>
            <w:vAlign w:val="bottom"/>
            <w:gridSpan w:val="2"/>
            <w:shd w:val="clear" w:color="auto" w:fill="CCEEFF"/>
          </w:tcPr>
          <w:p>
            <w:pPr>
              <w:jc w:val="right"/>
              <w:ind w:right="180"/>
              <w:spacing w:after="0" w:line="130" w:lineRule="exact"/>
              <w:rPr>
                <w:sz w:val="20"/>
                <w:szCs w:val="20"/>
                <w:color w:val="auto"/>
              </w:rPr>
            </w:pPr>
            <w:r>
              <w:rPr>
                <w:rFonts w:ascii="Arial" w:cs="Arial" w:eastAsia="Arial" w:hAnsi="Arial"/>
                <w:sz w:val="12"/>
                <w:szCs w:val="12"/>
                <w:color w:val="auto"/>
              </w:rPr>
              <w:t>41,877</w:t>
            </w:r>
          </w:p>
        </w:tc>
        <w:tc>
          <w:tcPr>
            <w:tcW w:w="700" w:type="dxa"/>
            <w:vAlign w:val="bottom"/>
            <w:shd w:val="clear" w:color="auto" w:fill="CCEEFF"/>
          </w:tcPr>
          <w:p>
            <w:pPr>
              <w:jc w:val="right"/>
              <w:spacing w:after="0" w:line="130" w:lineRule="exact"/>
              <w:rPr>
                <w:sz w:val="20"/>
                <w:szCs w:val="20"/>
                <w:color w:val="auto"/>
              </w:rPr>
            </w:pPr>
            <w:r>
              <w:rPr>
                <w:rFonts w:ascii="Arial" w:cs="Arial" w:eastAsia="Arial" w:hAnsi="Arial"/>
                <w:sz w:val="12"/>
                <w:szCs w:val="12"/>
                <w:color w:val="auto"/>
              </w:rPr>
              <w:t>4,562,433</w:t>
            </w:r>
          </w:p>
        </w:tc>
        <w:tc>
          <w:tcPr>
            <w:tcW w:w="18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180"/>
              <w:spacing w:after="0" w:line="130" w:lineRule="exact"/>
              <w:rPr>
                <w:sz w:val="20"/>
                <w:szCs w:val="20"/>
                <w:color w:val="auto"/>
              </w:rPr>
            </w:pPr>
            <w:r>
              <w:rPr>
                <w:rFonts w:ascii="Arial" w:cs="Arial" w:eastAsia="Arial" w:hAnsi="Arial"/>
                <w:sz w:val="12"/>
                <w:szCs w:val="12"/>
                <w:color w:val="auto"/>
              </w:rPr>
              <w:t>1,903,494</w:t>
            </w:r>
          </w:p>
        </w:tc>
        <w:tc>
          <w:tcPr>
            <w:tcW w:w="840" w:type="dxa"/>
            <w:vAlign w:val="bottom"/>
            <w:gridSpan w:val="2"/>
            <w:shd w:val="clear" w:color="auto" w:fill="CCEEFF"/>
          </w:tcPr>
          <w:p>
            <w:pPr>
              <w:jc w:val="right"/>
              <w:ind w:right="200"/>
              <w:spacing w:after="0" w:line="130" w:lineRule="exact"/>
              <w:rPr>
                <w:sz w:val="20"/>
                <w:szCs w:val="20"/>
                <w:color w:val="auto"/>
              </w:rPr>
            </w:pPr>
            <w:r>
              <w:rPr>
                <w:rFonts w:ascii="Arial" w:cs="Arial" w:eastAsia="Arial" w:hAnsi="Arial"/>
                <w:sz w:val="12"/>
                <w:szCs w:val="12"/>
                <w:color w:val="auto"/>
              </w:rPr>
              <w:t>44,640</w:t>
            </w:r>
          </w:p>
        </w:tc>
        <w:tc>
          <w:tcPr>
            <w:tcW w:w="720" w:type="dxa"/>
            <w:vAlign w:val="bottom"/>
            <w:gridSpan w:val="2"/>
            <w:shd w:val="clear" w:color="auto" w:fill="CCEEFF"/>
          </w:tcPr>
          <w:p>
            <w:pPr>
              <w:jc w:val="right"/>
              <w:ind w:right="20"/>
              <w:spacing w:after="0" w:line="130" w:lineRule="exact"/>
              <w:rPr>
                <w:sz w:val="20"/>
                <w:szCs w:val="20"/>
                <w:color w:val="auto"/>
              </w:rPr>
            </w:pPr>
            <w:r>
              <w:rPr>
                <w:rFonts w:ascii="Arial" w:cs="Arial" w:eastAsia="Arial" w:hAnsi="Arial"/>
                <w:sz w:val="12"/>
                <w:szCs w:val="12"/>
                <w:color w:val="auto"/>
              </w:rPr>
              <w:t>6,578,512</w:t>
            </w:r>
          </w:p>
        </w:tc>
        <w:tc>
          <w:tcPr>
            <w:tcW w:w="60" w:type="dxa"/>
            <w:vAlign w:val="bottom"/>
            <w:shd w:val="clear" w:color="auto" w:fill="CCEEFF"/>
          </w:tcPr>
          <w:p>
            <w:pPr>
              <w:spacing w:after="0"/>
              <w:rPr>
                <w:sz w:val="11"/>
                <w:szCs w:val="11"/>
                <w:color w:val="auto"/>
              </w:rPr>
            </w:pPr>
          </w:p>
        </w:tc>
      </w:tr>
      <w:tr>
        <w:trPr>
          <w:trHeight w:val="130"/>
        </w:trPr>
        <w:tc>
          <w:tcPr>
            <w:tcW w:w="1520" w:type="dxa"/>
            <w:vAlign w:val="bottom"/>
          </w:tcPr>
          <w:p>
            <w:pPr>
              <w:spacing w:after="0" w:line="130" w:lineRule="exact"/>
              <w:rPr>
                <w:sz w:val="20"/>
                <w:szCs w:val="20"/>
                <w:color w:val="auto"/>
              </w:rPr>
            </w:pPr>
            <w:r>
              <w:rPr>
                <w:rFonts w:ascii="Arial" w:cs="Arial" w:eastAsia="Arial" w:hAnsi="Arial"/>
                <w:sz w:val="12"/>
                <w:szCs w:val="12"/>
                <w:color w:val="auto"/>
              </w:rPr>
              <w:t>Community services</w:t>
            </w:r>
          </w:p>
        </w:tc>
        <w:tc>
          <w:tcPr>
            <w:tcW w:w="800" w:type="dxa"/>
            <w:vAlign w:val="bottom"/>
            <w:gridSpan w:val="2"/>
          </w:tcPr>
          <w:p>
            <w:pPr>
              <w:jc w:val="right"/>
              <w:ind w:right="160"/>
              <w:spacing w:after="0" w:line="130" w:lineRule="exact"/>
              <w:rPr>
                <w:sz w:val="20"/>
                <w:szCs w:val="20"/>
                <w:color w:val="auto"/>
              </w:rPr>
            </w:pPr>
            <w:r>
              <w:rPr>
                <w:rFonts w:ascii="Arial" w:cs="Arial" w:eastAsia="Arial" w:hAnsi="Arial"/>
                <w:sz w:val="12"/>
                <w:szCs w:val="12"/>
                <w:color w:val="auto"/>
              </w:rPr>
              <w:t>-</w:t>
            </w:r>
          </w:p>
        </w:tc>
        <w:tc>
          <w:tcPr>
            <w:tcW w:w="780" w:type="dxa"/>
            <w:vAlign w:val="bottom"/>
            <w:gridSpan w:val="2"/>
          </w:tcPr>
          <w:p>
            <w:pPr>
              <w:jc w:val="right"/>
              <w:ind w:right="160"/>
              <w:spacing w:after="0" w:line="130" w:lineRule="exact"/>
              <w:rPr>
                <w:sz w:val="20"/>
                <w:szCs w:val="20"/>
                <w:color w:val="auto"/>
              </w:rPr>
            </w:pPr>
            <w:r>
              <w:rPr>
                <w:rFonts w:ascii="Arial" w:cs="Arial" w:eastAsia="Arial" w:hAnsi="Arial"/>
                <w:sz w:val="12"/>
                <w:szCs w:val="12"/>
                <w:color w:val="auto"/>
              </w:rPr>
              <w:t>-</w:t>
            </w:r>
          </w:p>
        </w:tc>
        <w:tc>
          <w:tcPr>
            <w:tcW w:w="680" w:type="dxa"/>
            <w:vAlign w:val="bottom"/>
          </w:tcPr>
          <w:p>
            <w:pPr>
              <w:jc w:val="right"/>
              <w:spacing w:after="0" w:line="130" w:lineRule="exact"/>
              <w:rPr>
                <w:sz w:val="20"/>
                <w:szCs w:val="20"/>
                <w:color w:val="auto"/>
              </w:rPr>
            </w:pPr>
            <w:r>
              <w:rPr>
                <w:rFonts w:ascii="Arial" w:cs="Arial" w:eastAsia="Arial" w:hAnsi="Arial"/>
                <w:sz w:val="12"/>
                <w:szCs w:val="12"/>
                <w:color w:val="auto"/>
              </w:rPr>
              <w:t>4,408,494</w:t>
            </w:r>
          </w:p>
        </w:tc>
        <w:tc>
          <w:tcPr>
            <w:tcW w:w="160" w:type="dxa"/>
            <w:vAlign w:val="bottom"/>
          </w:tcPr>
          <w:p>
            <w:pPr>
              <w:spacing w:after="0"/>
              <w:rPr>
                <w:sz w:val="11"/>
                <w:szCs w:val="11"/>
                <w:color w:val="auto"/>
              </w:rPr>
            </w:pPr>
          </w:p>
        </w:tc>
        <w:tc>
          <w:tcPr>
            <w:tcW w:w="840" w:type="dxa"/>
            <w:vAlign w:val="bottom"/>
            <w:gridSpan w:val="2"/>
          </w:tcPr>
          <w:p>
            <w:pPr>
              <w:jc w:val="right"/>
              <w:ind w:right="160"/>
              <w:spacing w:after="0" w:line="130" w:lineRule="exact"/>
              <w:rPr>
                <w:sz w:val="20"/>
                <w:szCs w:val="20"/>
                <w:color w:val="auto"/>
              </w:rPr>
            </w:pPr>
            <w:r>
              <w:rPr>
                <w:rFonts w:ascii="Arial" w:cs="Arial" w:eastAsia="Arial" w:hAnsi="Arial"/>
                <w:sz w:val="12"/>
                <w:szCs w:val="12"/>
                <w:color w:val="auto"/>
              </w:rPr>
              <w:t>34,495</w:t>
            </w:r>
          </w:p>
        </w:tc>
        <w:tc>
          <w:tcPr>
            <w:tcW w:w="820" w:type="dxa"/>
            <w:vAlign w:val="bottom"/>
            <w:gridSpan w:val="2"/>
          </w:tcPr>
          <w:p>
            <w:pPr>
              <w:jc w:val="right"/>
              <w:ind w:right="160"/>
              <w:spacing w:after="0" w:line="130" w:lineRule="exact"/>
              <w:rPr>
                <w:sz w:val="20"/>
                <w:szCs w:val="20"/>
                <w:color w:val="auto"/>
              </w:rPr>
            </w:pPr>
            <w:r>
              <w:rPr>
                <w:rFonts w:ascii="Arial" w:cs="Arial" w:eastAsia="Arial" w:hAnsi="Arial"/>
                <w:sz w:val="12"/>
                <w:szCs w:val="12"/>
                <w:color w:val="auto"/>
              </w:rPr>
              <w:t>-</w:t>
            </w:r>
          </w:p>
        </w:tc>
        <w:tc>
          <w:tcPr>
            <w:tcW w:w="880" w:type="dxa"/>
            <w:vAlign w:val="bottom"/>
            <w:gridSpan w:val="2"/>
          </w:tcPr>
          <w:p>
            <w:pPr>
              <w:jc w:val="right"/>
              <w:ind w:right="180"/>
              <w:spacing w:after="0" w:line="130" w:lineRule="exact"/>
              <w:rPr>
                <w:sz w:val="20"/>
                <w:szCs w:val="20"/>
                <w:color w:val="auto"/>
              </w:rPr>
            </w:pPr>
            <w:r>
              <w:rPr>
                <w:rFonts w:ascii="Arial" w:cs="Arial" w:eastAsia="Arial" w:hAnsi="Arial"/>
                <w:sz w:val="12"/>
                <w:szCs w:val="12"/>
                <w:color w:val="auto"/>
              </w:rPr>
              <w:t>4,442,989</w:t>
            </w:r>
          </w:p>
        </w:tc>
        <w:tc>
          <w:tcPr>
            <w:tcW w:w="860" w:type="dxa"/>
            <w:vAlign w:val="bottom"/>
            <w:gridSpan w:val="2"/>
          </w:tcPr>
          <w:p>
            <w:pPr>
              <w:jc w:val="right"/>
              <w:ind w:right="220"/>
              <w:spacing w:after="0" w:line="130" w:lineRule="exact"/>
              <w:rPr>
                <w:sz w:val="20"/>
                <w:szCs w:val="20"/>
                <w:color w:val="auto"/>
              </w:rPr>
            </w:pPr>
            <w:r>
              <w:rPr>
                <w:rFonts w:ascii="Arial" w:cs="Arial" w:eastAsia="Arial" w:hAnsi="Arial"/>
                <w:sz w:val="12"/>
                <w:szCs w:val="12"/>
                <w:color w:val="auto"/>
              </w:rPr>
              <w:t>-</w:t>
            </w:r>
          </w:p>
        </w:tc>
        <w:tc>
          <w:tcPr>
            <w:tcW w:w="720" w:type="dxa"/>
            <w:vAlign w:val="bottom"/>
            <w:gridSpan w:val="2"/>
          </w:tcPr>
          <w:p>
            <w:pPr>
              <w:jc w:val="right"/>
              <w:ind w:right="180"/>
              <w:spacing w:after="0" w:line="130" w:lineRule="exact"/>
              <w:rPr>
                <w:sz w:val="20"/>
                <w:szCs w:val="20"/>
                <w:color w:val="auto"/>
              </w:rPr>
            </w:pPr>
            <w:r>
              <w:rPr>
                <w:rFonts w:ascii="Arial" w:cs="Arial" w:eastAsia="Arial" w:hAnsi="Arial"/>
                <w:sz w:val="12"/>
                <w:szCs w:val="12"/>
                <w:color w:val="auto"/>
              </w:rPr>
              <w:t>-</w:t>
            </w:r>
          </w:p>
        </w:tc>
        <w:tc>
          <w:tcPr>
            <w:tcW w:w="880" w:type="dxa"/>
            <w:vAlign w:val="bottom"/>
            <w:gridSpan w:val="2"/>
          </w:tcPr>
          <w:p>
            <w:pPr>
              <w:jc w:val="right"/>
              <w:ind w:right="180"/>
              <w:spacing w:after="0" w:line="130" w:lineRule="exact"/>
              <w:rPr>
                <w:sz w:val="20"/>
                <w:szCs w:val="20"/>
                <w:color w:val="auto"/>
              </w:rPr>
            </w:pPr>
            <w:r>
              <w:rPr>
                <w:rFonts w:ascii="Arial" w:cs="Arial" w:eastAsia="Arial" w:hAnsi="Arial"/>
                <w:sz w:val="12"/>
                <w:szCs w:val="12"/>
                <w:color w:val="auto"/>
              </w:rPr>
              <w:t>4,118,309</w:t>
            </w:r>
          </w:p>
        </w:tc>
        <w:tc>
          <w:tcPr>
            <w:tcW w:w="860" w:type="dxa"/>
            <w:vAlign w:val="bottom"/>
            <w:gridSpan w:val="2"/>
          </w:tcPr>
          <w:p>
            <w:pPr>
              <w:jc w:val="right"/>
              <w:ind w:right="180"/>
              <w:spacing w:after="0" w:line="130" w:lineRule="exact"/>
              <w:rPr>
                <w:sz w:val="20"/>
                <w:szCs w:val="20"/>
                <w:color w:val="auto"/>
              </w:rPr>
            </w:pPr>
            <w:r>
              <w:rPr>
                <w:rFonts w:ascii="Arial" w:cs="Arial" w:eastAsia="Arial" w:hAnsi="Arial"/>
                <w:sz w:val="12"/>
                <w:szCs w:val="12"/>
                <w:color w:val="auto"/>
              </w:rPr>
              <w:t>43,992</w:t>
            </w:r>
          </w:p>
        </w:tc>
        <w:tc>
          <w:tcPr>
            <w:tcW w:w="840" w:type="dxa"/>
            <w:vAlign w:val="bottom"/>
            <w:gridSpan w:val="2"/>
          </w:tcPr>
          <w:p>
            <w:pPr>
              <w:jc w:val="right"/>
              <w:ind w:right="200"/>
              <w:spacing w:after="0" w:line="130" w:lineRule="exact"/>
              <w:rPr>
                <w:sz w:val="20"/>
                <w:szCs w:val="20"/>
                <w:color w:val="auto"/>
              </w:rPr>
            </w:pPr>
            <w:r>
              <w:rPr>
                <w:rFonts w:ascii="Arial" w:cs="Arial" w:eastAsia="Arial" w:hAnsi="Arial"/>
                <w:sz w:val="12"/>
                <w:szCs w:val="12"/>
                <w:color w:val="auto"/>
              </w:rPr>
              <w:t>-</w:t>
            </w:r>
          </w:p>
        </w:tc>
        <w:tc>
          <w:tcPr>
            <w:tcW w:w="720" w:type="dxa"/>
            <w:vAlign w:val="bottom"/>
            <w:gridSpan w:val="2"/>
          </w:tcPr>
          <w:p>
            <w:pPr>
              <w:jc w:val="right"/>
              <w:ind w:right="20"/>
              <w:spacing w:after="0" w:line="130" w:lineRule="exact"/>
              <w:rPr>
                <w:sz w:val="20"/>
                <w:szCs w:val="20"/>
                <w:color w:val="auto"/>
              </w:rPr>
            </w:pPr>
            <w:r>
              <w:rPr>
                <w:rFonts w:ascii="Arial" w:cs="Arial" w:eastAsia="Arial" w:hAnsi="Arial"/>
                <w:sz w:val="12"/>
                <w:szCs w:val="12"/>
                <w:color w:val="auto"/>
              </w:rPr>
              <w:t>4,162,301</w:t>
            </w:r>
          </w:p>
        </w:tc>
        <w:tc>
          <w:tcPr>
            <w:tcW w:w="60" w:type="dxa"/>
            <w:vAlign w:val="bottom"/>
          </w:tcPr>
          <w:p>
            <w:pPr>
              <w:spacing w:after="0"/>
              <w:rPr>
                <w:sz w:val="11"/>
                <w:szCs w:val="11"/>
                <w:color w:val="auto"/>
              </w:rPr>
            </w:pPr>
          </w:p>
        </w:tc>
      </w:tr>
      <w:tr>
        <w:trPr>
          <w:trHeight w:val="116"/>
        </w:trPr>
        <w:tc>
          <w:tcPr>
            <w:tcW w:w="1520" w:type="dxa"/>
            <w:vAlign w:val="bottom"/>
            <w:shd w:val="clear" w:color="auto" w:fill="CCEEFF"/>
          </w:tcPr>
          <w:p>
            <w:pPr>
              <w:spacing w:after="0" w:line="116" w:lineRule="exact"/>
              <w:rPr>
                <w:sz w:val="20"/>
                <w:szCs w:val="20"/>
                <w:color w:val="auto"/>
              </w:rPr>
            </w:pPr>
            <w:r>
              <w:rPr>
                <w:rFonts w:ascii="Arial" w:cs="Arial" w:eastAsia="Arial" w:hAnsi="Arial"/>
                <w:sz w:val="12"/>
                <w:szCs w:val="12"/>
                <w:color w:val="auto"/>
              </w:rPr>
              <w:t>Communications, storage</w:t>
            </w:r>
          </w:p>
        </w:tc>
        <w:tc>
          <w:tcPr>
            <w:tcW w:w="6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r>
      <w:tr>
        <w:trPr>
          <w:trHeight w:val="144"/>
        </w:trPr>
        <w:tc>
          <w:tcPr>
            <w:tcW w:w="1520" w:type="dxa"/>
            <w:vAlign w:val="bottom"/>
            <w:shd w:val="clear" w:color="auto" w:fill="CCEEFF"/>
          </w:tcPr>
          <w:p>
            <w:pPr>
              <w:spacing w:after="0"/>
              <w:rPr>
                <w:sz w:val="20"/>
                <w:szCs w:val="20"/>
                <w:color w:val="auto"/>
              </w:rPr>
            </w:pPr>
            <w:r>
              <w:rPr>
                <w:rFonts w:ascii="Arial" w:cs="Arial" w:eastAsia="Arial" w:hAnsi="Arial"/>
                <w:sz w:val="12"/>
                <w:szCs w:val="12"/>
                <w:color w:val="auto"/>
              </w:rPr>
              <w:t>and transportation</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8,285</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3,991,424</w:t>
            </w:r>
          </w:p>
        </w:tc>
        <w:tc>
          <w:tcPr>
            <w:tcW w:w="1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1,182,783</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34,477</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5,216,969</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8,043</w:t>
            </w: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6,659</w:t>
            </w: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4,122,639</w:t>
            </w:r>
          </w:p>
        </w:tc>
        <w:tc>
          <w:tcPr>
            <w:tcW w:w="1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983,966</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35,998</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5,157,305</w:t>
            </w:r>
          </w:p>
        </w:tc>
        <w:tc>
          <w:tcPr>
            <w:tcW w:w="60" w:type="dxa"/>
            <w:vAlign w:val="bottom"/>
            <w:shd w:val="clear" w:color="auto" w:fill="CCEEFF"/>
          </w:tcPr>
          <w:p>
            <w:pPr>
              <w:spacing w:after="0"/>
              <w:rPr>
                <w:sz w:val="12"/>
                <w:szCs w:val="12"/>
                <w:color w:val="auto"/>
              </w:rPr>
            </w:pPr>
          </w:p>
        </w:tc>
      </w:tr>
      <w:tr>
        <w:trPr>
          <w:trHeight w:val="130"/>
        </w:trPr>
        <w:tc>
          <w:tcPr>
            <w:tcW w:w="1520" w:type="dxa"/>
            <w:vAlign w:val="bottom"/>
          </w:tcPr>
          <w:p>
            <w:pPr>
              <w:spacing w:after="0" w:line="130" w:lineRule="exact"/>
              <w:rPr>
                <w:sz w:val="20"/>
                <w:szCs w:val="20"/>
                <w:color w:val="auto"/>
              </w:rPr>
            </w:pPr>
            <w:r>
              <w:rPr>
                <w:rFonts w:ascii="Arial" w:cs="Arial" w:eastAsia="Arial" w:hAnsi="Arial"/>
                <w:sz w:val="12"/>
                <w:szCs w:val="12"/>
                <w:color w:val="auto"/>
              </w:rPr>
              <w:t>Mining</w:t>
            </w:r>
          </w:p>
        </w:tc>
        <w:tc>
          <w:tcPr>
            <w:tcW w:w="800" w:type="dxa"/>
            <w:vAlign w:val="bottom"/>
            <w:gridSpan w:val="2"/>
          </w:tcPr>
          <w:p>
            <w:pPr>
              <w:jc w:val="right"/>
              <w:ind w:right="160"/>
              <w:spacing w:after="0" w:line="130" w:lineRule="exact"/>
              <w:rPr>
                <w:sz w:val="20"/>
                <w:szCs w:val="20"/>
                <w:color w:val="auto"/>
              </w:rPr>
            </w:pPr>
            <w:r>
              <w:rPr>
                <w:rFonts w:ascii="Arial" w:cs="Arial" w:eastAsia="Arial" w:hAnsi="Arial"/>
                <w:sz w:val="12"/>
                <w:szCs w:val="12"/>
                <w:color w:val="auto"/>
              </w:rPr>
              <w:t>7,728</w:t>
            </w:r>
          </w:p>
        </w:tc>
        <w:tc>
          <w:tcPr>
            <w:tcW w:w="780" w:type="dxa"/>
            <w:vAlign w:val="bottom"/>
            <w:gridSpan w:val="2"/>
          </w:tcPr>
          <w:p>
            <w:pPr>
              <w:jc w:val="right"/>
              <w:ind w:right="160"/>
              <w:spacing w:after="0" w:line="130" w:lineRule="exact"/>
              <w:rPr>
                <w:sz w:val="20"/>
                <w:szCs w:val="20"/>
                <w:color w:val="auto"/>
              </w:rPr>
            </w:pPr>
            <w:r>
              <w:rPr>
                <w:rFonts w:ascii="Arial" w:cs="Arial" w:eastAsia="Arial" w:hAnsi="Arial"/>
                <w:sz w:val="12"/>
                <w:szCs w:val="12"/>
                <w:color w:val="auto"/>
              </w:rPr>
              <w:t>29,249</w:t>
            </w:r>
          </w:p>
        </w:tc>
        <w:tc>
          <w:tcPr>
            <w:tcW w:w="680" w:type="dxa"/>
            <w:vAlign w:val="bottom"/>
          </w:tcPr>
          <w:p>
            <w:pPr>
              <w:jc w:val="right"/>
              <w:spacing w:after="0" w:line="130" w:lineRule="exact"/>
              <w:rPr>
                <w:sz w:val="20"/>
                <w:szCs w:val="20"/>
                <w:color w:val="auto"/>
              </w:rPr>
            </w:pPr>
            <w:r>
              <w:rPr>
                <w:rFonts w:ascii="Arial" w:cs="Arial" w:eastAsia="Arial" w:hAnsi="Arial"/>
                <w:sz w:val="12"/>
                <w:szCs w:val="12"/>
                <w:color w:val="auto"/>
              </w:rPr>
              <w:t>3,031,376</w:t>
            </w:r>
          </w:p>
        </w:tc>
        <w:tc>
          <w:tcPr>
            <w:tcW w:w="160" w:type="dxa"/>
            <w:vAlign w:val="bottom"/>
          </w:tcPr>
          <w:p>
            <w:pPr>
              <w:spacing w:after="0"/>
              <w:rPr>
                <w:sz w:val="11"/>
                <w:szCs w:val="11"/>
                <w:color w:val="auto"/>
              </w:rPr>
            </w:pPr>
          </w:p>
        </w:tc>
        <w:tc>
          <w:tcPr>
            <w:tcW w:w="840" w:type="dxa"/>
            <w:vAlign w:val="bottom"/>
            <w:gridSpan w:val="2"/>
          </w:tcPr>
          <w:p>
            <w:pPr>
              <w:jc w:val="right"/>
              <w:ind w:right="160"/>
              <w:spacing w:after="0" w:line="130" w:lineRule="exact"/>
              <w:rPr>
                <w:sz w:val="20"/>
                <w:szCs w:val="20"/>
                <w:color w:val="auto"/>
              </w:rPr>
            </w:pPr>
            <w:r>
              <w:rPr>
                <w:rFonts w:ascii="Arial" w:cs="Arial" w:eastAsia="Arial" w:hAnsi="Arial"/>
                <w:sz w:val="12"/>
                <w:szCs w:val="12"/>
                <w:color w:val="auto"/>
              </w:rPr>
              <w:t>329,773</w:t>
            </w:r>
          </w:p>
        </w:tc>
        <w:tc>
          <w:tcPr>
            <w:tcW w:w="820" w:type="dxa"/>
            <w:vAlign w:val="bottom"/>
            <w:gridSpan w:val="2"/>
          </w:tcPr>
          <w:p>
            <w:pPr>
              <w:jc w:val="right"/>
              <w:ind w:right="160"/>
              <w:spacing w:after="0" w:line="130" w:lineRule="exact"/>
              <w:rPr>
                <w:sz w:val="20"/>
                <w:szCs w:val="20"/>
                <w:color w:val="auto"/>
              </w:rPr>
            </w:pPr>
            <w:r>
              <w:rPr>
                <w:rFonts w:ascii="Arial" w:cs="Arial" w:eastAsia="Arial" w:hAnsi="Arial"/>
                <w:sz w:val="12"/>
                <w:szCs w:val="12"/>
                <w:color w:val="auto"/>
              </w:rPr>
              <w:t>-</w:t>
            </w:r>
          </w:p>
        </w:tc>
        <w:tc>
          <w:tcPr>
            <w:tcW w:w="880" w:type="dxa"/>
            <w:vAlign w:val="bottom"/>
            <w:gridSpan w:val="2"/>
          </w:tcPr>
          <w:p>
            <w:pPr>
              <w:jc w:val="right"/>
              <w:ind w:right="180"/>
              <w:spacing w:after="0" w:line="130" w:lineRule="exact"/>
              <w:rPr>
                <w:sz w:val="20"/>
                <w:szCs w:val="20"/>
                <w:color w:val="auto"/>
              </w:rPr>
            </w:pPr>
            <w:r>
              <w:rPr>
                <w:rFonts w:ascii="Arial" w:cs="Arial" w:eastAsia="Arial" w:hAnsi="Arial"/>
                <w:sz w:val="12"/>
                <w:szCs w:val="12"/>
                <w:color w:val="auto"/>
              </w:rPr>
              <w:t>3,398,126</w:t>
            </w:r>
          </w:p>
        </w:tc>
        <w:tc>
          <w:tcPr>
            <w:tcW w:w="860" w:type="dxa"/>
            <w:vAlign w:val="bottom"/>
            <w:gridSpan w:val="2"/>
          </w:tcPr>
          <w:p>
            <w:pPr>
              <w:jc w:val="right"/>
              <w:ind w:right="220"/>
              <w:spacing w:after="0" w:line="130" w:lineRule="exact"/>
              <w:rPr>
                <w:sz w:val="20"/>
                <w:szCs w:val="20"/>
                <w:color w:val="auto"/>
              </w:rPr>
            </w:pPr>
            <w:r>
              <w:rPr>
                <w:rFonts w:ascii="Arial" w:cs="Arial" w:eastAsia="Arial" w:hAnsi="Arial"/>
                <w:sz w:val="12"/>
                <w:szCs w:val="12"/>
                <w:color w:val="auto"/>
              </w:rPr>
              <w:t>40,441</w:t>
            </w:r>
          </w:p>
        </w:tc>
        <w:tc>
          <w:tcPr>
            <w:tcW w:w="720" w:type="dxa"/>
            <w:vAlign w:val="bottom"/>
            <w:gridSpan w:val="2"/>
          </w:tcPr>
          <w:p>
            <w:pPr>
              <w:jc w:val="right"/>
              <w:ind w:right="180"/>
              <w:spacing w:after="0" w:line="130" w:lineRule="exact"/>
              <w:rPr>
                <w:sz w:val="20"/>
                <w:szCs w:val="20"/>
                <w:color w:val="auto"/>
              </w:rPr>
            </w:pPr>
            <w:r>
              <w:rPr>
                <w:rFonts w:ascii="Arial" w:cs="Arial" w:eastAsia="Arial" w:hAnsi="Arial"/>
                <w:sz w:val="12"/>
                <w:szCs w:val="12"/>
                <w:color w:val="auto"/>
              </w:rPr>
              <w:t>32,380</w:t>
            </w:r>
          </w:p>
        </w:tc>
        <w:tc>
          <w:tcPr>
            <w:tcW w:w="700" w:type="dxa"/>
            <w:vAlign w:val="bottom"/>
          </w:tcPr>
          <w:p>
            <w:pPr>
              <w:jc w:val="right"/>
              <w:spacing w:after="0" w:line="130" w:lineRule="exact"/>
              <w:rPr>
                <w:sz w:val="20"/>
                <w:szCs w:val="20"/>
                <w:color w:val="auto"/>
              </w:rPr>
            </w:pPr>
            <w:r>
              <w:rPr>
                <w:rFonts w:ascii="Arial" w:cs="Arial" w:eastAsia="Arial" w:hAnsi="Arial"/>
                <w:sz w:val="12"/>
                <w:szCs w:val="12"/>
                <w:color w:val="auto"/>
              </w:rPr>
              <w:t>2,318,702</w:t>
            </w:r>
          </w:p>
        </w:tc>
        <w:tc>
          <w:tcPr>
            <w:tcW w:w="180" w:type="dxa"/>
            <w:vAlign w:val="bottom"/>
          </w:tcPr>
          <w:p>
            <w:pPr>
              <w:spacing w:after="0"/>
              <w:rPr>
                <w:sz w:val="11"/>
                <w:szCs w:val="11"/>
                <w:color w:val="auto"/>
              </w:rPr>
            </w:pPr>
          </w:p>
        </w:tc>
        <w:tc>
          <w:tcPr>
            <w:tcW w:w="860" w:type="dxa"/>
            <w:vAlign w:val="bottom"/>
            <w:gridSpan w:val="2"/>
          </w:tcPr>
          <w:p>
            <w:pPr>
              <w:jc w:val="right"/>
              <w:ind w:right="180"/>
              <w:spacing w:after="0" w:line="130" w:lineRule="exact"/>
              <w:rPr>
                <w:sz w:val="20"/>
                <w:szCs w:val="20"/>
                <w:color w:val="auto"/>
              </w:rPr>
            </w:pPr>
            <w:r>
              <w:rPr>
                <w:rFonts w:ascii="Arial" w:cs="Arial" w:eastAsia="Arial" w:hAnsi="Arial"/>
                <w:sz w:val="12"/>
                <w:szCs w:val="12"/>
                <w:color w:val="auto"/>
              </w:rPr>
              <w:t>285,571</w:t>
            </w:r>
          </w:p>
        </w:tc>
        <w:tc>
          <w:tcPr>
            <w:tcW w:w="840" w:type="dxa"/>
            <w:vAlign w:val="bottom"/>
            <w:gridSpan w:val="2"/>
          </w:tcPr>
          <w:p>
            <w:pPr>
              <w:jc w:val="right"/>
              <w:ind w:right="200"/>
              <w:spacing w:after="0" w:line="130" w:lineRule="exact"/>
              <w:rPr>
                <w:sz w:val="20"/>
                <w:szCs w:val="20"/>
                <w:color w:val="auto"/>
              </w:rPr>
            </w:pPr>
            <w:r>
              <w:rPr>
                <w:rFonts w:ascii="Arial" w:cs="Arial" w:eastAsia="Arial" w:hAnsi="Arial"/>
                <w:sz w:val="12"/>
                <w:szCs w:val="12"/>
                <w:color w:val="auto"/>
              </w:rPr>
              <w:t>-</w:t>
            </w:r>
          </w:p>
        </w:tc>
        <w:tc>
          <w:tcPr>
            <w:tcW w:w="720" w:type="dxa"/>
            <w:vAlign w:val="bottom"/>
            <w:gridSpan w:val="2"/>
          </w:tcPr>
          <w:p>
            <w:pPr>
              <w:jc w:val="right"/>
              <w:ind w:right="20"/>
              <w:spacing w:after="0" w:line="130" w:lineRule="exact"/>
              <w:rPr>
                <w:sz w:val="20"/>
                <w:szCs w:val="20"/>
                <w:color w:val="auto"/>
              </w:rPr>
            </w:pPr>
            <w:r>
              <w:rPr>
                <w:rFonts w:ascii="Arial" w:cs="Arial" w:eastAsia="Arial" w:hAnsi="Arial"/>
                <w:sz w:val="12"/>
                <w:szCs w:val="12"/>
                <w:color w:val="auto"/>
              </w:rPr>
              <w:t>2,677,094</w:t>
            </w:r>
          </w:p>
        </w:tc>
        <w:tc>
          <w:tcPr>
            <w:tcW w:w="60" w:type="dxa"/>
            <w:vAlign w:val="bottom"/>
          </w:tcPr>
          <w:p>
            <w:pPr>
              <w:spacing w:after="0"/>
              <w:rPr>
                <w:sz w:val="11"/>
                <w:szCs w:val="11"/>
                <w:color w:val="auto"/>
              </w:rPr>
            </w:pPr>
          </w:p>
        </w:tc>
      </w:tr>
      <w:tr>
        <w:trPr>
          <w:trHeight w:val="130"/>
        </w:trPr>
        <w:tc>
          <w:tcPr>
            <w:tcW w:w="1520" w:type="dxa"/>
            <w:vAlign w:val="bottom"/>
            <w:shd w:val="clear" w:color="auto" w:fill="CCEEFF"/>
          </w:tcPr>
          <w:p>
            <w:pPr>
              <w:spacing w:after="0" w:line="130" w:lineRule="exact"/>
              <w:rPr>
                <w:sz w:val="20"/>
                <w:szCs w:val="20"/>
                <w:color w:val="auto"/>
              </w:rPr>
            </w:pPr>
            <w:r>
              <w:rPr>
                <w:rFonts w:ascii="Arial" w:cs="Arial" w:eastAsia="Arial" w:hAnsi="Arial"/>
                <w:sz w:val="12"/>
                <w:szCs w:val="12"/>
                <w:color w:val="auto"/>
              </w:rPr>
              <w:t>Construction</w:t>
            </w:r>
          </w:p>
        </w:tc>
        <w:tc>
          <w:tcPr>
            <w:tcW w:w="800" w:type="dxa"/>
            <w:vAlign w:val="bottom"/>
            <w:gridSpan w:val="2"/>
            <w:shd w:val="clear" w:color="auto" w:fill="CCEEFF"/>
          </w:tcPr>
          <w:p>
            <w:pPr>
              <w:jc w:val="right"/>
              <w:ind w:right="160"/>
              <w:spacing w:after="0" w:line="130" w:lineRule="exact"/>
              <w:rPr>
                <w:sz w:val="20"/>
                <w:szCs w:val="20"/>
                <w:color w:val="auto"/>
              </w:rPr>
            </w:pPr>
            <w:r>
              <w:rPr>
                <w:rFonts w:ascii="Arial" w:cs="Arial" w:eastAsia="Arial" w:hAnsi="Arial"/>
                <w:sz w:val="12"/>
                <w:szCs w:val="12"/>
                <w:color w:val="auto"/>
              </w:rPr>
              <w:t>51,812</w:t>
            </w:r>
          </w:p>
        </w:tc>
        <w:tc>
          <w:tcPr>
            <w:tcW w:w="780" w:type="dxa"/>
            <w:vAlign w:val="bottom"/>
            <w:gridSpan w:val="2"/>
            <w:shd w:val="clear" w:color="auto" w:fill="CCEEFF"/>
          </w:tcPr>
          <w:p>
            <w:pPr>
              <w:jc w:val="right"/>
              <w:ind w:right="160"/>
              <w:spacing w:after="0" w:line="130" w:lineRule="exact"/>
              <w:rPr>
                <w:sz w:val="20"/>
                <w:szCs w:val="20"/>
                <w:color w:val="auto"/>
              </w:rPr>
            </w:pPr>
            <w:r>
              <w:rPr>
                <w:rFonts w:ascii="Arial" w:cs="Arial" w:eastAsia="Arial" w:hAnsi="Arial"/>
                <w:sz w:val="12"/>
                <w:szCs w:val="12"/>
                <w:color w:val="auto"/>
              </w:rPr>
              <w:t>17,820</w:t>
            </w:r>
          </w:p>
        </w:tc>
        <w:tc>
          <w:tcPr>
            <w:tcW w:w="680" w:type="dxa"/>
            <w:vAlign w:val="bottom"/>
            <w:shd w:val="clear" w:color="auto" w:fill="CCEEFF"/>
          </w:tcPr>
          <w:p>
            <w:pPr>
              <w:jc w:val="right"/>
              <w:spacing w:after="0" w:line="130" w:lineRule="exact"/>
              <w:rPr>
                <w:sz w:val="20"/>
                <w:szCs w:val="20"/>
                <w:color w:val="auto"/>
              </w:rPr>
            </w:pPr>
            <w:r>
              <w:rPr>
                <w:rFonts w:ascii="Arial" w:cs="Arial" w:eastAsia="Arial" w:hAnsi="Arial"/>
                <w:sz w:val="12"/>
                <w:szCs w:val="12"/>
                <w:color w:val="auto"/>
              </w:rPr>
              <w:t>1,790,431</w:t>
            </w:r>
          </w:p>
        </w:tc>
        <w:tc>
          <w:tcPr>
            <w:tcW w:w="16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160"/>
              <w:spacing w:after="0" w:line="130" w:lineRule="exact"/>
              <w:rPr>
                <w:sz w:val="20"/>
                <w:szCs w:val="20"/>
                <w:color w:val="auto"/>
              </w:rPr>
            </w:pPr>
            <w:r>
              <w:rPr>
                <w:rFonts w:ascii="Arial" w:cs="Arial" w:eastAsia="Arial" w:hAnsi="Arial"/>
                <w:sz w:val="12"/>
                <w:szCs w:val="12"/>
                <w:color w:val="auto"/>
              </w:rPr>
              <w:t>400,386</w:t>
            </w:r>
          </w:p>
        </w:tc>
        <w:tc>
          <w:tcPr>
            <w:tcW w:w="820" w:type="dxa"/>
            <w:vAlign w:val="bottom"/>
            <w:gridSpan w:val="2"/>
            <w:shd w:val="clear" w:color="auto" w:fill="CCEEFF"/>
          </w:tcPr>
          <w:p>
            <w:pPr>
              <w:jc w:val="right"/>
              <w:ind w:right="160"/>
              <w:spacing w:after="0" w:line="130" w:lineRule="exact"/>
              <w:rPr>
                <w:sz w:val="20"/>
                <w:szCs w:val="20"/>
                <w:color w:val="auto"/>
              </w:rPr>
            </w:pPr>
            <w:r>
              <w:rPr>
                <w:rFonts w:ascii="Arial" w:cs="Arial" w:eastAsia="Arial" w:hAnsi="Arial"/>
                <w:sz w:val="12"/>
                <w:szCs w:val="12"/>
                <w:color w:val="auto"/>
              </w:rPr>
              <w:t>9,333</w:t>
            </w:r>
          </w:p>
        </w:tc>
        <w:tc>
          <w:tcPr>
            <w:tcW w:w="880" w:type="dxa"/>
            <w:vAlign w:val="bottom"/>
            <w:gridSpan w:val="2"/>
            <w:shd w:val="clear" w:color="auto" w:fill="CCEEFF"/>
          </w:tcPr>
          <w:p>
            <w:pPr>
              <w:jc w:val="right"/>
              <w:ind w:right="180"/>
              <w:spacing w:after="0" w:line="130" w:lineRule="exact"/>
              <w:rPr>
                <w:sz w:val="20"/>
                <w:szCs w:val="20"/>
                <w:color w:val="auto"/>
              </w:rPr>
            </w:pPr>
            <w:r>
              <w:rPr>
                <w:rFonts w:ascii="Arial" w:cs="Arial" w:eastAsia="Arial" w:hAnsi="Arial"/>
                <w:sz w:val="12"/>
                <w:szCs w:val="12"/>
                <w:color w:val="auto"/>
              </w:rPr>
              <w:t>2,269,782</w:t>
            </w:r>
          </w:p>
        </w:tc>
        <w:tc>
          <w:tcPr>
            <w:tcW w:w="860" w:type="dxa"/>
            <w:vAlign w:val="bottom"/>
            <w:gridSpan w:val="2"/>
            <w:shd w:val="clear" w:color="auto" w:fill="CCEEFF"/>
          </w:tcPr>
          <w:p>
            <w:pPr>
              <w:jc w:val="right"/>
              <w:ind w:right="220"/>
              <w:spacing w:after="0" w:line="130" w:lineRule="exact"/>
              <w:rPr>
                <w:sz w:val="20"/>
                <w:szCs w:val="20"/>
                <w:color w:val="auto"/>
              </w:rPr>
            </w:pPr>
            <w:r>
              <w:rPr>
                <w:rFonts w:ascii="Arial" w:cs="Arial" w:eastAsia="Arial" w:hAnsi="Arial"/>
                <w:sz w:val="12"/>
                <w:szCs w:val="12"/>
                <w:color w:val="auto"/>
              </w:rPr>
              <w:t>45,030</w:t>
            </w:r>
          </w:p>
        </w:tc>
        <w:tc>
          <w:tcPr>
            <w:tcW w:w="720" w:type="dxa"/>
            <w:vAlign w:val="bottom"/>
            <w:gridSpan w:val="2"/>
            <w:shd w:val="clear" w:color="auto" w:fill="CCEEFF"/>
          </w:tcPr>
          <w:p>
            <w:pPr>
              <w:jc w:val="right"/>
              <w:ind w:right="180"/>
              <w:spacing w:after="0" w:line="130" w:lineRule="exact"/>
              <w:rPr>
                <w:sz w:val="20"/>
                <w:szCs w:val="20"/>
                <w:color w:val="auto"/>
              </w:rPr>
            </w:pPr>
            <w:r>
              <w:rPr>
                <w:rFonts w:ascii="Arial" w:cs="Arial" w:eastAsia="Arial" w:hAnsi="Arial"/>
                <w:sz w:val="12"/>
                <w:szCs w:val="12"/>
                <w:color w:val="auto"/>
              </w:rPr>
              <w:t>27,033</w:t>
            </w:r>
          </w:p>
        </w:tc>
        <w:tc>
          <w:tcPr>
            <w:tcW w:w="700" w:type="dxa"/>
            <w:vAlign w:val="bottom"/>
            <w:shd w:val="clear" w:color="auto" w:fill="CCEEFF"/>
          </w:tcPr>
          <w:p>
            <w:pPr>
              <w:jc w:val="right"/>
              <w:spacing w:after="0" w:line="130" w:lineRule="exact"/>
              <w:rPr>
                <w:sz w:val="20"/>
                <w:szCs w:val="20"/>
                <w:color w:val="auto"/>
              </w:rPr>
            </w:pPr>
            <w:r>
              <w:rPr>
                <w:rFonts w:ascii="Arial" w:cs="Arial" w:eastAsia="Arial" w:hAnsi="Arial"/>
                <w:sz w:val="12"/>
                <w:szCs w:val="12"/>
                <w:color w:val="auto"/>
              </w:rPr>
              <w:t>1,910,677</w:t>
            </w:r>
          </w:p>
        </w:tc>
        <w:tc>
          <w:tcPr>
            <w:tcW w:w="18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180"/>
              <w:spacing w:after="0" w:line="130" w:lineRule="exact"/>
              <w:rPr>
                <w:sz w:val="20"/>
                <w:szCs w:val="20"/>
                <w:color w:val="auto"/>
              </w:rPr>
            </w:pPr>
            <w:r>
              <w:rPr>
                <w:rFonts w:ascii="Arial" w:cs="Arial" w:eastAsia="Arial" w:hAnsi="Arial"/>
                <w:sz w:val="12"/>
                <w:szCs w:val="12"/>
                <w:color w:val="auto"/>
              </w:rPr>
              <w:t>387,779</w:t>
            </w:r>
          </w:p>
        </w:tc>
        <w:tc>
          <w:tcPr>
            <w:tcW w:w="840" w:type="dxa"/>
            <w:vAlign w:val="bottom"/>
            <w:gridSpan w:val="2"/>
            <w:shd w:val="clear" w:color="auto" w:fill="CCEEFF"/>
          </w:tcPr>
          <w:p>
            <w:pPr>
              <w:jc w:val="right"/>
              <w:ind w:right="200"/>
              <w:spacing w:after="0" w:line="130" w:lineRule="exact"/>
              <w:rPr>
                <w:sz w:val="20"/>
                <w:szCs w:val="20"/>
                <w:color w:val="auto"/>
              </w:rPr>
            </w:pPr>
            <w:r>
              <w:rPr>
                <w:rFonts w:ascii="Arial" w:cs="Arial" w:eastAsia="Arial" w:hAnsi="Arial"/>
                <w:sz w:val="12"/>
                <w:szCs w:val="12"/>
                <w:color w:val="auto"/>
              </w:rPr>
              <w:t>9,569</w:t>
            </w:r>
          </w:p>
        </w:tc>
        <w:tc>
          <w:tcPr>
            <w:tcW w:w="720" w:type="dxa"/>
            <w:vAlign w:val="bottom"/>
            <w:gridSpan w:val="2"/>
            <w:shd w:val="clear" w:color="auto" w:fill="CCEEFF"/>
          </w:tcPr>
          <w:p>
            <w:pPr>
              <w:jc w:val="right"/>
              <w:ind w:right="20"/>
              <w:spacing w:after="0" w:line="130" w:lineRule="exact"/>
              <w:rPr>
                <w:sz w:val="20"/>
                <w:szCs w:val="20"/>
                <w:color w:val="auto"/>
              </w:rPr>
            </w:pPr>
            <w:r>
              <w:rPr>
                <w:rFonts w:ascii="Arial" w:cs="Arial" w:eastAsia="Arial" w:hAnsi="Arial"/>
                <w:sz w:val="12"/>
                <w:szCs w:val="12"/>
                <w:color w:val="auto"/>
              </w:rPr>
              <w:t>2,380,088</w:t>
            </w:r>
          </w:p>
        </w:tc>
        <w:tc>
          <w:tcPr>
            <w:tcW w:w="60" w:type="dxa"/>
            <w:vAlign w:val="bottom"/>
            <w:shd w:val="clear" w:color="auto" w:fill="CCEEFF"/>
          </w:tcPr>
          <w:p>
            <w:pPr>
              <w:spacing w:after="0"/>
              <w:rPr>
                <w:sz w:val="11"/>
                <w:szCs w:val="11"/>
                <w:color w:val="auto"/>
              </w:rPr>
            </w:pPr>
          </w:p>
        </w:tc>
      </w:tr>
      <w:tr>
        <w:trPr>
          <w:trHeight w:val="130"/>
        </w:trPr>
        <w:tc>
          <w:tcPr>
            <w:tcW w:w="1520" w:type="dxa"/>
            <w:vAlign w:val="bottom"/>
          </w:tcPr>
          <w:p>
            <w:pPr>
              <w:spacing w:after="0" w:line="130" w:lineRule="exact"/>
              <w:rPr>
                <w:sz w:val="20"/>
                <w:szCs w:val="20"/>
                <w:color w:val="auto"/>
              </w:rPr>
            </w:pPr>
            <w:r>
              <w:rPr>
                <w:rFonts w:ascii="Arial" w:cs="Arial" w:eastAsia="Arial" w:hAnsi="Arial"/>
                <w:sz w:val="12"/>
                <w:szCs w:val="12"/>
                <w:color w:val="auto"/>
              </w:rPr>
              <w:t>Agriculture</w:t>
            </w:r>
          </w:p>
        </w:tc>
        <w:tc>
          <w:tcPr>
            <w:tcW w:w="800" w:type="dxa"/>
            <w:vAlign w:val="bottom"/>
            <w:gridSpan w:val="2"/>
          </w:tcPr>
          <w:p>
            <w:pPr>
              <w:jc w:val="right"/>
              <w:ind w:right="160"/>
              <w:spacing w:after="0" w:line="130" w:lineRule="exact"/>
              <w:rPr>
                <w:sz w:val="20"/>
                <w:szCs w:val="20"/>
                <w:color w:val="auto"/>
              </w:rPr>
            </w:pPr>
            <w:r>
              <w:rPr>
                <w:rFonts w:ascii="Arial" w:cs="Arial" w:eastAsia="Arial" w:hAnsi="Arial"/>
                <w:sz w:val="12"/>
                <w:szCs w:val="12"/>
                <w:color w:val="auto"/>
              </w:rPr>
              <w:t>3,342</w:t>
            </w:r>
          </w:p>
        </w:tc>
        <w:tc>
          <w:tcPr>
            <w:tcW w:w="780" w:type="dxa"/>
            <w:vAlign w:val="bottom"/>
            <w:gridSpan w:val="2"/>
          </w:tcPr>
          <w:p>
            <w:pPr>
              <w:jc w:val="right"/>
              <w:ind w:right="160"/>
              <w:spacing w:after="0" w:line="130" w:lineRule="exact"/>
              <w:rPr>
                <w:sz w:val="20"/>
                <w:szCs w:val="20"/>
                <w:color w:val="auto"/>
              </w:rPr>
            </w:pPr>
            <w:r>
              <w:rPr>
                <w:rFonts w:ascii="Arial" w:cs="Arial" w:eastAsia="Arial" w:hAnsi="Arial"/>
                <w:sz w:val="12"/>
                <w:szCs w:val="12"/>
                <w:color w:val="auto"/>
              </w:rPr>
              <w:t>-</w:t>
            </w:r>
          </w:p>
        </w:tc>
        <w:tc>
          <w:tcPr>
            <w:tcW w:w="680" w:type="dxa"/>
            <w:vAlign w:val="bottom"/>
          </w:tcPr>
          <w:p>
            <w:pPr>
              <w:jc w:val="right"/>
              <w:spacing w:after="0" w:line="130" w:lineRule="exact"/>
              <w:rPr>
                <w:sz w:val="20"/>
                <w:szCs w:val="20"/>
                <w:color w:val="auto"/>
              </w:rPr>
            </w:pPr>
            <w:r>
              <w:rPr>
                <w:rFonts w:ascii="Arial" w:cs="Arial" w:eastAsia="Arial" w:hAnsi="Arial"/>
                <w:sz w:val="12"/>
                <w:szCs w:val="12"/>
                <w:color w:val="auto"/>
              </w:rPr>
              <w:t>2,272,312</w:t>
            </w:r>
          </w:p>
        </w:tc>
        <w:tc>
          <w:tcPr>
            <w:tcW w:w="160" w:type="dxa"/>
            <w:vAlign w:val="bottom"/>
          </w:tcPr>
          <w:p>
            <w:pPr>
              <w:spacing w:after="0"/>
              <w:rPr>
                <w:sz w:val="11"/>
                <w:szCs w:val="11"/>
                <w:color w:val="auto"/>
              </w:rPr>
            </w:pPr>
          </w:p>
        </w:tc>
        <w:tc>
          <w:tcPr>
            <w:tcW w:w="840" w:type="dxa"/>
            <w:vAlign w:val="bottom"/>
            <w:gridSpan w:val="2"/>
          </w:tcPr>
          <w:p>
            <w:pPr>
              <w:jc w:val="right"/>
              <w:ind w:right="160"/>
              <w:spacing w:after="0" w:line="130" w:lineRule="exact"/>
              <w:rPr>
                <w:sz w:val="20"/>
                <w:szCs w:val="20"/>
                <w:color w:val="auto"/>
              </w:rPr>
            </w:pPr>
            <w:r>
              <w:rPr>
                <w:rFonts w:ascii="Arial" w:cs="Arial" w:eastAsia="Arial" w:hAnsi="Arial"/>
                <w:sz w:val="12"/>
                <w:szCs w:val="12"/>
                <w:color w:val="auto"/>
              </w:rPr>
              <w:t>5,447</w:t>
            </w:r>
          </w:p>
        </w:tc>
        <w:tc>
          <w:tcPr>
            <w:tcW w:w="820" w:type="dxa"/>
            <w:vAlign w:val="bottom"/>
            <w:gridSpan w:val="2"/>
          </w:tcPr>
          <w:p>
            <w:pPr>
              <w:jc w:val="right"/>
              <w:ind w:right="160"/>
              <w:spacing w:after="0" w:line="130" w:lineRule="exact"/>
              <w:rPr>
                <w:sz w:val="20"/>
                <w:szCs w:val="20"/>
                <w:color w:val="auto"/>
              </w:rPr>
            </w:pPr>
            <w:r>
              <w:rPr>
                <w:rFonts w:ascii="Arial" w:cs="Arial" w:eastAsia="Arial" w:hAnsi="Arial"/>
                <w:sz w:val="12"/>
                <w:szCs w:val="12"/>
                <w:color w:val="auto"/>
              </w:rPr>
              <w:t>-</w:t>
            </w:r>
          </w:p>
        </w:tc>
        <w:tc>
          <w:tcPr>
            <w:tcW w:w="880" w:type="dxa"/>
            <w:vAlign w:val="bottom"/>
            <w:gridSpan w:val="2"/>
          </w:tcPr>
          <w:p>
            <w:pPr>
              <w:jc w:val="right"/>
              <w:ind w:right="180"/>
              <w:spacing w:after="0" w:line="130" w:lineRule="exact"/>
              <w:rPr>
                <w:sz w:val="20"/>
                <w:szCs w:val="20"/>
                <w:color w:val="auto"/>
              </w:rPr>
            </w:pPr>
            <w:r>
              <w:rPr>
                <w:rFonts w:ascii="Arial" w:cs="Arial" w:eastAsia="Arial" w:hAnsi="Arial"/>
                <w:sz w:val="12"/>
                <w:szCs w:val="12"/>
                <w:color w:val="auto"/>
              </w:rPr>
              <w:t>2,281,101</w:t>
            </w:r>
          </w:p>
        </w:tc>
        <w:tc>
          <w:tcPr>
            <w:tcW w:w="860" w:type="dxa"/>
            <w:vAlign w:val="bottom"/>
            <w:gridSpan w:val="2"/>
          </w:tcPr>
          <w:p>
            <w:pPr>
              <w:jc w:val="right"/>
              <w:ind w:right="220"/>
              <w:spacing w:after="0" w:line="130" w:lineRule="exact"/>
              <w:rPr>
                <w:sz w:val="20"/>
                <w:szCs w:val="20"/>
                <w:color w:val="auto"/>
              </w:rPr>
            </w:pPr>
            <w:r>
              <w:rPr>
                <w:rFonts w:ascii="Arial" w:cs="Arial" w:eastAsia="Arial" w:hAnsi="Arial"/>
                <w:sz w:val="12"/>
                <w:szCs w:val="12"/>
                <w:color w:val="auto"/>
              </w:rPr>
              <w:t>14,992</w:t>
            </w:r>
          </w:p>
        </w:tc>
        <w:tc>
          <w:tcPr>
            <w:tcW w:w="720" w:type="dxa"/>
            <w:vAlign w:val="bottom"/>
            <w:gridSpan w:val="2"/>
          </w:tcPr>
          <w:p>
            <w:pPr>
              <w:jc w:val="right"/>
              <w:ind w:right="180"/>
              <w:spacing w:after="0" w:line="130" w:lineRule="exact"/>
              <w:rPr>
                <w:sz w:val="20"/>
                <w:szCs w:val="20"/>
                <w:color w:val="auto"/>
              </w:rPr>
            </w:pPr>
            <w:r>
              <w:rPr>
                <w:rFonts w:ascii="Arial" w:cs="Arial" w:eastAsia="Arial" w:hAnsi="Arial"/>
                <w:sz w:val="12"/>
                <w:szCs w:val="12"/>
                <w:color w:val="auto"/>
              </w:rPr>
              <w:t>-</w:t>
            </w:r>
          </w:p>
        </w:tc>
        <w:tc>
          <w:tcPr>
            <w:tcW w:w="700" w:type="dxa"/>
            <w:vAlign w:val="bottom"/>
          </w:tcPr>
          <w:p>
            <w:pPr>
              <w:jc w:val="right"/>
              <w:spacing w:after="0" w:line="130" w:lineRule="exact"/>
              <w:rPr>
                <w:sz w:val="20"/>
                <w:szCs w:val="20"/>
                <w:color w:val="auto"/>
              </w:rPr>
            </w:pPr>
            <w:r>
              <w:rPr>
                <w:rFonts w:ascii="Arial" w:cs="Arial" w:eastAsia="Arial" w:hAnsi="Arial"/>
                <w:sz w:val="12"/>
                <w:szCs w:val="12"/>
                <w:color w:val="auto"/>
              </w:rPr>
              <w:t>2,222,398</w:t>
            </w:r>
          </w:p>
        </w:tc>
        <w:tc>
          <w:tcPr>
            <w:tcW w:w="180" w:type="dxa"/>
            <w:vAlign w:val="bottom"/>
          </w:tcPr>
          <w:p>
            <w:pPr>
              <w:spacing w:after="0"/>
              <w:rPr>
                <w:sz w:val="11"/>
                <w:szCs w:val="11"/>
                <w:color w:val="auto"/>
              </w:rPr>
            </w:pPr>
          </w:p>
        </w:tc>
        <w:tc>
          <w:tcPr>
            <w:tcW w:w="860" w:type="dxa"/>
            <w:vAlign w:val="bottom"/>
            <w:gridSpan w:val="2"/>
          </w:tcPr>
          <w:p>
            <w:pPr>
              <w:jc w:val="right"/>
              <w:ind w:right="180"/>
              <w:spacing w:after="0" w:line="130" w:lineRule="exact"/>
              <w:rPr>
                <w:sz w:val="20"/>
                <w:szCs w:val="20"/>
                <w:color w:val="auto"/>
              </w:rPr>
            </w:pPr>
            <w:r>
              <w:rPr>
                <w:rFonts w:ascii="Arial" w:cs="Arial" w:eastAsia="Arial" w:hAnsi="Arial"/>
                <w:sz w:val="12"/>
                <w:szCs w:val="12"/>
                <w:color w:val="auto"/>
              </w:rPr>
              <w:t>5,100</w:t>
            </w:r>
          </w:p>
        </w:tc>
        <w:tc>
          <w:tcPr>
            <w:tcW w:w="840" w:type="dxa"/>
            <w:vAlign w:val="bottom"/>
            <w:gridSpan w:val="2"/>
          </w:tcPr>
          <w:p>
            <w:pPr>
              <w:jc w:val="right"/>
              <w:ind w:right="200"/>
              <w:spacing w:after="0" w:line="130" w:lineRule="exact"/>
              <w:rPr>
                <w:sz w:val="20"/>
                <w:szCs w:val="20"/>
                <w:color w:val="auto"/>
              </w:rPr>
            </w:pPr>
            <w:r>
              <w:rPr>
                <w:rFonts w:ascii="Arial" w:cs="Arial" w:eastAsia="Arial" w:hAnsi="Arial"/>
                <w:sz w:val="12"/>
                <w:szCs w:val="12"/>
                <w:color w:val="auto"/>
              </w:rPr>
              <w:t>-</w:t>
            </w:r>
          </w:p>
        </w:tc>
        <w:tc>
          <w:tcPr>
            <w:tcW w:w="720" w:type="dxa"/>
            <w:vAlign w:val="bottom"/>
            <w:gridSpan w:val="2"/>
          </w:tcPr>
          <w:p>
            <w:pPr>
              <w:jc w:val="right"/>
              <w:ind w:right="20"/>
              <w:spacing w:after="0" w:line="130" w:lineRule="exact"/>
              <w:rPr>
                <w:sz w:val="20"/>
                <w:szCs w:val="20"/>
                <w:color w:val="auto"/>
              </w:rPr>
            </w:pPr>
            <w:r>
              <w:rPr>
                <w:rFonts w:ascii="Arial" w:cs="Arial" w:eastAsia="Arial" w:hAnsi="Arial"/>
                <w:sz w:val="12"/>
                <w:szCs w:val="12"/>
                <w:color w:val="auto"/>
              </w:rPr>
              <w:t>2,242,490</w:t>
            </w:r>
          </w:p>
        </w:tc>
        <w:tc>
          <w:tcPr>
            <w:tcW w:w="60" w:type="dxa"/>
            <w:vAlign w:val="bottom"/>
          </w:tcPr>
          <w:p>
            <w:pPr>
              <w:spacing w:after="0"/>
              <w:rPr>
                <w:sz w:val="11"/>
                <w:szCs w:val="11"/>
                <w:color w:val="auto"/>
              </w:rPr>
            </w:pPr>
          </w:p>
        </w:tc>
      </w:tr>
      <w:tr>
        <w:trPr>
          <w:trHeight w:val="130"/>
        </w:trPr>
        <w:tc>
          <w:tcPr>
            <w:tcW w:w="1520" w:type="dxa"/>
            <w:vAlign w:val="bottom"/>
            <w:shd w:val="clear" w:color="auto" w:fill="CCEEFF"/>
          </w:tcPr>
          <w:p>
            <w:pPr>
              <w:spacing w:after="0" w:line="130" w:lineRule="exact"/>
              <w:rPr>
                <w:sz w:val="20"/>
                <w:szCs w:val="20"/>
                <w:color w:val="auto"/>
              </w:rPr>
            </w:pPr>
            <w:r>
              <w:rPr>
                <w:rFonts w:ascii="Arial" w:cs="Arial" w:eastAsia="Arial" w:hAnsi="Arial"/>
                <w:sz w:val="12"/>
                <w:szCs w:val="12"/>
                <w:color w:val="auto"/>
              </w:rPr>
              <w:t>Insurance</w:t>
            </w:r>
          </w:p>
        </w:tc>
        <w:tc>
          <w:tcPr>
            <w:tcW w:w="800" w:type="dxa"/>
            <w:vAlign w:val="bottom"/>
            <w:gridSpan w:val="2"/>
            <w:shd w:val="clear" w:color="auto" w:fill="CCEEFF"/>
          </w:tcPr>
          <w:p>
            <w:pPr>
              <w:jc w:val="right"/>
              <w:ind w:right="160"/>
              <w:spacing w:after="0" w:line="130" w:lineRule="exact"/>
              <w:rPr>
                <w:sz w:val="20"/>
                <w:szCs w:val="20"/>
                <w:color w:val="auto"/>
              </w:rPr>
            </w:pPr>
            <w:r>
              <w:rPr>
                <w:rFonts w:ascii="Arial" w:cs="Arial" w:eastAsia="Arial" w:hAnsi="Arial"/>
                <w:sz w:val="12"/>
                <w:szCs w:val="12"/>
                <w:color w:val="auto"/>
              </w:rPr>
              <w:t>6,664</w:t>
            </w:r>
          </w:p>
        </w:tc>
        <w:tc>
          <w:tcPr>
            <w:tcW w:w="780" w:type="dxa"/>
            <w:vAlign w:val="bottom"/>
            <w:gridSpan w:val="2"/>
            <w:shd w:val="clear" w:color="auto" w:fill="CCEEFF"/>
          </w:tcPr>
          <w:p>
            <w:pPr>
              <w:jc w:val="right"/>
              <w:ind w:right="160"/>
              <w:spacing w:after="0" w:line="130" w:lineRule="exact"/>
              <w:rPr>
                <w:sz w:val="20"/>
                <w:szCs w:val="20"/>
                <w:color w:val="auto"/>
              </w:rPr>
            </w:pPr>
            <w:r>
              <w:rPr>
                <w:rFonts w:ascii="Arial" w:cs="Arial" w:eastAsia="Arial" w:hAnsi="Arial"/>
                <w:sz w:val="12"/>
                <w:szCs w:val="12"/>
                <w:color w:val="auto"/>
              </w:rPr>
              <w:t>-</w:t>
            </w:r>
          </w:p>
        </w:tc>
        <w:tc>
          <w:tcPr>
            <w:tcW w:w="840" w:type="dxa"/>
            <w:vAlign w:val="bottom"/>
            <w:gridSpan w:val="2"/>
            <w:shd w:val="clear" w:color="auto" w:fill="CCEEFF"/>
          </w:tcPr>
          <w:p>
            <w:pPr>
              <w:jc w:val="right"/>
              <w:ind w:right="160"/>
              <w:spacing w:after="0" w:line="130" w:lineRule="exact"/>
              <w:rPr>
                <w:sz w:val="20"/>
                <w:szCs w:val="20"/>
                <w:color w:val="auto"/>
              </w:rPr>
            </w:pPr>
            <w:r>
              <w:rPr>
                <w:rFonts w:ascii="Arial" w:cs="Arial" w:eastAsia="Arial" w:hAnsi="Arial"/>
                <w:sz w:val="12"/>
                <w:szCs w:val="12"/>
                <w:color w:val="auto"/>
              </w:rPr>
              <w:t>404,691</w:t>
            </w:r>
          </w:p>
        </w:tc>
        <w:tc>
          <w:tcPr>
            <w:tcW w:w="840" w:type="dxa"/>
            <w:vAlign w:val="bottom"/>
            <w:gridSpan w:val="2"/>
            <w:shd w:val="clear" w:color="auto" w:fill="CCEEFF"/>
          </w:tcPr>
          <w:p>
            <w:pPr>
              <w:jc w:val="right"/>
              <w:ind w:right="160"/>
              <w:spacing w:after="0" w:line="130" w:lineRule="exact"/>
              <w:rPr>
                <w:sz w:val="20"/>
                <w:szCs w:val="20"/>
                <w:color w:val="auto"/>
              </w:rPr>
            </w:pPr>
            <w:r>
              <w:rPr>
                <w:rFonts w:ascii="Arial" w:cs="Arial" w:eastAsia="Arial" w:hAnsi="Arial"/>
                <w:sz w:val="12"/>
                <w:szCs w:val="12"/>
                <w:color w:val="auto"/>
              </w:rPr>
              <w:t>-</w:t>
            </w:r>
          </w:p>
        </w:tc>
        <w:tc>
          <w:tcPr>
            <w:tcW w:w="820" w:type="dxa"/>
            <w:vAlign w:val="bottom"/>
            <w:gridSpan w:val="2"/>
            <w:shd w:val="clear" w:color="auto" w:fill="CCEEFF"/>
          </w:tcPr>
          <w:p>
            <w:pPr>
              <w:jc w:val="right"/>
              <w:ind w:right="160"/>
              <w:spacing w:after="0" w:line="130" w:lineRule="exact"/>
              <w:rPr>
                <w:sz w:val="20"/>
                <w:szCs w:val="20"/>
                <w:color w:val="auto"/>
              </w:rPr>
            </w:pPr>
            <w:r>
              <w:rPr>
                <w:rFonts w:ascii="Arial" w:cs="Arial" w:eastAsia="Arial" w:hAnsi="Arial"/>
                <w:sz w:val="12"/>
                <w:szCs w:val="12"/>
                <w:color w:val="auto"/>
              </w:rPr>
              <w:t>-</w:t>
            </w:r>
          </w:p>
        </w:tc>
        <w:tc>
          <w:tcPr>
            <w:tcW w:w="880" w:type="dxa"/>
            <w:vAlign w:val="bottom"/>
            <w:gridSpan w:val="2"/>
            <w:shd w:val="clear" w:color="auto" w:fill="CCEEFF"/>
          </w:tcPr>
          <w:p>
            <w:pPr>
              <w:jc w:val="right"/>
              <w:ind w:right="180"/>
              <w:spacing w:after="0" w:line="130" w:lineRule="exact"/>
              <w:rPr>
                <w:sz w:val="20"/>
                <w:szCs w:val="20"/>
                <w:color w:val="auto"/>
              </w:rPr>
            </w:pPr>
            <w:r>
              <w:rPr>
                <w:rFonts w:ascii="Arial" w:cs="Arial" w:eastAsia="Arial" w:hAnsi="Arial"/>
                <w:sz w:val="12"/>
                <w:szCs w:val="12"/>
                <w:color w:val="auto"/>
              </w:rPr>
              <w:t>411,355</w:t>
            </w:r>
          </w:p>
        </w:tc>
        <w:tc>
          <w:tcPr>
            <w:tcW w:w="860" w:type="dxa"/>
            <w:vAlign w:val="bottom"/>
            <w:gridSpan w:val="2"/>
            <w:shd w:val="clear" w:color="auto" w:fill="CCEEFF"/>
          </w:tcPr>
          <w:p>
            <w:pPr>
              <w:jc w:val="right"/>
              <w:ind w:right="220"/>
              <w:spacing w:after="0" w:line="130" w:lineRule="exact"/>
              <w:rPr>
                <w:sz w:val="20"/>
                <w:szCs w:val="20"/>
                <w:color w:val="auto"/>
              </w:rPr>
            </w:pPr>
            <w:r>
              <w:rPr>
                <w:rFonts w:ascii="Arial" w:cs="Arial" w:eastAsia="Arial" w:hAnsi="Arial"/>
                <w:sz w:val="12"/>
                <w:szCs w:val="12"/>
                <w:color w:val="auto"/>
              </w:rPr>
              <w:t>24,376</w:t>
            </w:r>
          </w:p>
        </w:tc>
        <w:tc>
          <w:tcPr>
            <w:tcW w:w="720" w:type="dxa"/>
            <w:vAlign w:val="bottom"/>
            <w:gridSpan w:val="2"/>
            <w:shd w:val="clear" w:color="auto" w:fill="CCEEFF"/>
          </w:tcPr>
          <w:p>
            <w:pPr>
              <w:jc w:val="right"/>
              <w:ind w:right="180"/>
              <w:spacing w:after="0" w:line="130" w:lineRule="exact"/>
              <w:rPr>
                <w:sz w:val="20"/>
                <w:szCs w:val="20"/>
                <w:color w:val="auto"/>
              </w:rPr>
            </w:pPr>
            <w:r>
              <w:rPr>
                <w:rFonts w:ascii="Arial" w:cs="Arial" w:eastAsia="Arial" w:hAnsi="Arial"/>
                <w:sz w:val="12"/>
                <w:szCs w:val="12"/>
                <w:color w:val="auto"/>
              </w:rPr>
              <w:t>-</w:t>
            </w:r>
          </w:p>
        </w:tc>
        <w:tc>
          <w:tcPr>
            <w:tcW w:w="700" w:type="dxa"/>
            <w:vAlign w:val="bottom"/>
            <w:shd w:val="clear" w:color="auto" w:fill="CCEEFF"/>
          </w:tcPr>
          <w:p>
            <w:pPr>
              <w:jc w:val="right"/>
              <w:spacing w:after="0" w:line="130" w:lineRule="exact"/>
              <w:rPr>
                <w:sz w:val="20"/>
                <w:szCs w:val="20"/>
                <w:color w:val="auto"/>
              </w:rPr>
            </w:pPr>
            <w:r>
              <w:rPr>
                <w:rFonts w:ascii="Arial" w:cs="Arial" w:eastAsia="Arial" w:hAnsi="Arial"/>
                <w:sz w:val="12"/>
                <w:szCs w:val="12"/>
                <w:color w:val="auto"/>
              </w:rPr>
              <w:t>1,288,212</w:t>
            </w:r>
          </w:p>
        </w:tc>
        <w:tc>
          <w:tcPr>
            <w:tcW w:w="18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180"/>
              <w:spacing w:after="0" w:line="130" w:lineRule="exact"/>
              <w:rPr>
                <w:sz w:val="20"/>
                <w:szCs w:val="20"/>
                <w:color w:val="auto"/>
              </w:rPr>
            </w:pPr>
            <w:r>
              <w:rPr>
                <w:rFonts w:ascii="Arial" w:cs="Arial" w:eastAsia="Arial" w:hAnsi="Arial"/>
                <w:sz w:val="12"/>
                <w:szCs w:val="12"/>
                <w:color w:val="auto"/>
              </w:rPr>
              <w:t>-</w:t>
            </w:r>
          </w:p>
        </w:tc>
        <w:tc>
          <w:tcPr>
            <w:tcW w:w="840" w:type="dxa"/>
            <w:vAlign w:val="bottom"/>
            <w:gridSpan w:val="2"/>
            <w:shd w:val="clear" w:color="auto" w:fill="CCEEFF"/>
          </w:tcPr>
          <w:p>
            <w:pPr>
              <w:jc w:val="right"/>
              <w:ind w:right="200"/>
              <w:spacing w:after="0" w:line="130" w:lineRule="exact"/>
              <w:rPr>
                <w:sz w:val="20"/>
                <w:szCs w:val="20"/>
                <w:color w:val="auto"/>
              </w:rPr>
            </w:pPr>
            <w:r>
              <w:rPr>
                <w:rFonts w:ascii="Arial" w:cs="Arial" w:eastAsia="Arial" w:hAnsi="Arial"/>
                <w:sz w:val="12"/>
                <w:szCs w:val="12"/>
                <w:color w:val="auto"/>
              </w:rPr>
              <w:t>-</w:t>
            </w:r>
          </w:p>
        </w:tc>
        <w:tc>
          <w:tcPr>
            <w:tcW w:w="720" w:type="dxa"/>
            <w:vAlign w:val="bottom"/>
            <w:gridSpan w:val="2"/>
            <w:shd w:val="clear" w:color="auto" w:fill="CCEEFF"/>
          </w:tcPr>
          <w:p>
            <w:pPr>
              <w:jc w:val="right"/>
              <w:ind w:right="20"/>
              <w:spacing w:after="0" w:line="130" w:lineRule="exact"/>
              <w:rPr>
                <w:sz w:val="20"/>
                <w:szCs w:val="20"/>
                <w:color w:val="auto"/>
              </w:rPr>
            </w:pPr>
            <w:r>
              <w:rPr>
                <w:rFonts w:ascii="Arial" w:cs="Arial" w:eastAsia="Arial" w:hAnsi="Arial"/>
                <w:sz w:val="12"/>
                <w:szCs w:val="12"/>
                <w:color w:val="auto"/>
              </w:rPr>
              <w:t>1,312,588</w:t>
            </w:r>
          </w:p>
        </w:tc>
        <w:tc>
          <w:tcPr>
            <w:tcW w:w="60" w:type="dxa"/>
            <w:vAlign w:val="bottom"/>
            <w:shd w:val="clear" w:color="auto" w:fill="CCEEFF"/>
          </w:tcPr>
          <w:p>
            <w:pPr>
              <w:spacing w:after="0"/>
              <w:rPr>
                <w:sz w:val="11"/>
                <w:szCs w:val="11"/>
                <w:color w:val="auto"/>
              </w:rPr>
            </w:pPr>
          </w:p>
        </w:tc>
      </w:tr>
      <w:tr>
        <w:trPr>
          <w:trHeight w:val="116"/>
        </w:trPr>
        <w:tc>
          <w:tcPr>
            <w:tcW w:w="1520" w:type="dxa"/>
            <w:vAlign w:val="bottom"/>
          </w:tcPr>
          <w:p>
            <w:pPr>
              <w:spacing w:after="0" w:line="116" w:lineRule="exact"/>
              <w:rPr>
                <w:sz w:val="20"/>
                <w:szCs w:val="20"/>
                <w:color w:val="auto"/>
              </w:rPr>
            </w:pPr>
            <w:r>
              <w:rPr>
                <w:rFonts w:ascii="Arial" w:cs="Arial" w:eastAsia="Arial" w:hAnsi="Arial"/>
                <w:sz w:val="12"/>
                <w:szCs w:val="12"/>
                <w:color w:val="auto"/>
                <w:w w:val="98"/>
              </w:rPr>
              <w:t>Education, health and others</w:t>
            </w: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r>
      <w:tr>
        <w:trPr>
          <w:trHeight w:val="144"/>
        </w:trPr>
        <w:tc>
          <w:tcPr>
            <w:tcW w:w="1520" w:type="dxa"/>
            <w:vAlign w:val="bottom"/>
          </w:tcPr>
          <w:p>
            <w:pPr>
              <w:spacing w:after="0"/>
              <w:rPr>
                <w:sz w:val="20"/>
                <w:szCs w:val="20"/>
                <w:color w:val="auto"/>
              </w:rPr>
            </w:pPr>
            <w:r>
              <w:rPr>
                <w:rFonts w:ascii="Arial" w:cs="Arial" w:eastAsia="Arial" w:hAnsi="Arial"/>
                <w:sz w:val="12"/>
                <w:szCs w:val="12"/>
                <w:color w:val="auto"/>
              </w:rPr>
              <w:t>services</w:t>
            </w:r>
          </w:p>
        </w:tc>
        <w:tc>
          <w:tcPr>
            <w:tcW w:w="800" w:type="dxa"/>
            <w:vAlign w:val="bottom"/>
            <w:gridSpan w:val="2"/>
          </w:tcPr>
          <w:p>
            <w:pPr>
              <w:jc w:val="right"/>
              <w:ind w:right="160"/>
              <w:spacing w:after="0"/>
              <w:rPr>
                <w:sz w:val="20"/>
                <w:szCs w:val="20"/>
                <w:color w:val="auto"/>
              </w:rPr>
            </w:pPr>
            <w:r>
              <w:rPr>
                <w:rFonts w:ascii="Arial" w:cs="Arial" w:eastAsia="Arial" w:hAnsi="Arial"/>
                <w:sz w:val="12"/>
                <w:szCs w:val="12"/>
                <w:color w:val="auto"/>
              </w:rPr>
              <w:t>5,279</w:t>
            </w:r>
          </w:p>
        </w:tc>
        <w:tc>
          <w:tcPr>
            <w:tcW w:w="780" w:type="dxa"/>
            <w:vAlign w:val="bottom"/>
            <w:gridSpan w:val="2"/>
          </w:tcPr>
          <w:p>
            <w:pPr>
              <w:jc w:val="right"/>
              <w:ind w:right="160"/>
              <w:spacing w:after="0"/>
              <w:rPr>
                <w:sz w:val="20"/>
                <w:szCs w:val="20"/>
                <w:color w:val="auto"/>
              </w:rPr>
            </w:pPr>
            <w:r>
              <w:rPr>
                <w:rFonts w:ascii="Arial" w:cs="Arial" w:eastAsia="Arial" w:hAnsi="Arial"/>
                <w:sz w:val="12"/>
                <w:szCs w:val="12"/>
                <w:color w:val="auto"/>
              </w:rPr>
              <w:t>2,358</w:t>
            </w:r>
          </w:p>
        </w:tc>
        <w:tc>
          <w:tcPr>
            <w:tcW w:w="680" w:type="dxa"/>
            <w:vAlign w:val="bottom"/>
          </w:tcPr>
          <w:p>
            <w:pPr>
              <w:jc w:val="right"/>
              <w:spacing w:after="0"/>
              <w:rPr>
                <w:sz w:val="20"/>
                <w:szCs w:val="20"/>
                <w:color w:val="auto"/>
              </w:rPr>
            </w:pPr>
            <w:r>
              <w:rPr>
                <w:rFonts w:ascii="Arial" w:cs="Arial" w:eastAsia="Arial" w:hAnsi="Arial"/>
                <w:sz w:val="12"/>
                <w:szCs w:val="12"/>
                <w:color w:val="auto"/>
              </w:rPr>
              <w:t>1,494,635</w:t>
            </w:r>
          </w:p>
        </w:tc>
        <w:tc>
          <w:tcPr>
            <w:tcW w:w="160" w:type="dxa"/>
            <w:vAlign w:val="bottom"/>
          </w:tcPr>
          <w:p>
            <w:pPr>
              <w:spacing w:after="0"/>
              <w:rPr>
                <w:sz w:val="12"/>
                <w:szCs w:val="12"/>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2"/>
                <w:szCs w:val="12"/>
                <w:color w:val="auto"/>
              </w:rPr>
              <w:t>213,181</w:t>
            </w:r>
          </w:p>
        </w:tc>
        <w:tc>
          <w:tcPr>
            <w:tcW w:w="82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880" w:type="dxa"/>
            <w:vAlign w:val="bottom"/>
            <w:gridSpan w:val="2"/>
          </w:tcPr>
          <w:p>
            <w:pPr>
              <w:jc w:val="right"/>
              <w:ind w:right="180"/>
              <w:spacing w:after="0"/>
              <w:rPr>
                <w:sz w:val="20"/>
                <w:szCs w:val="20"/>
                <w:color w:val="auto"/>
              </w:rPr>
            </w:pPr>
            <w:r>
              <w:rPr>
                <w:rFonts w:ascii="Arial" w:cs="Arial" w:eastAsia="Arial" w:hAnsi="Arial"/>
                <w:sz w:val="12"/>
                <w:szCs w:val="12"/>
                <w:color w:val="auto"/>
              </w:rPr>
              <w:t>1,715,453</w:t>
            </w:r>
          </w:p>
        </w:tc>
        <w:tc>
          <w:tcPr>
            <w:tcW w:w="860" w:type="dxa"/>
            <w:vAlign w:val="bottom"/>
            <w:gridSpan w:val="2"/>
          </w:tcPr>
          <w:p>
            <w:pPr>
              <w:jc w:val="right"/>
              <w:ind w:right="220"/>
              <w:spacing w:after="0"/>
              <w:rPr>
                <w:sz w:val="20"/>
                <w:szCs w:val="20"/>
                <w:color w:val="auto"/>
              </w:rPr>
            </w:pPr>
            <w:r>
              <w:rPr>
                <w:rFonts w:ascii="Arial" w:cs="Arial" w:eastAsia="Arial" w:hAnsi="Arial"/>
                <w:sz w:val="12"/>
                <w:szCs w:val="12"/>
                <w:color w:val="auto"/>
              </w:rPr>
              <w:t>9,956</w:t>
            </w:r>
          </w:p>
        </w:tc>
        <w:tc>
          <w:tcPr>
            <w:tcW w:w="720" w:type="dxa"/>
            <w:vAlign w:val="bottom"/>
            <w:gridSpan w:val="2"/>
          </w:tcPr>
          <w:p>
            <w:pPr>
              <w:jc w:val="right"/>
              <w:ind w:right="180"/>
              <w:spacing w:after="0"/>
              <w:rPr>
                <w:sz w:val="20"/>
                <w:szCs w:val="20"/>
                <w:color w:val="auto"/>
              </w:rPr>
            </w:pPr>
            <w:r>
              <w:rPr>
                <w:rFonts w:ascii="Arial" w:cs="Arial" w:eastAsia="Arial" w:hAnsi="Arial"/>
                <w:sz w:val="12"/>
                <w:szCs w:val="12"/>
                <w:color w:val="auto"/>
              </w:rPr>
              <w:t>2,934</w:t>
            </w:r>
          </w:p>
        </w:tc>
        <w:tc>
          <w:tcPr>
            <w:tcW w:w="880" w:type="dxa"/>
            <w:vAlign w:val="bottom"/>
            <w:gridSpan w:val="2"/>
          </w:tcPr>
          <w:p>
            <w:pPr>
              <w:jc w:val="right"/>
              <w:ind w:right="180"/>
              <w:spacing w:after="0"/>
              <w:rPr>
                <w:sz w:val="20"/>
                <w:szCs w:val="20"/>
                <w:color w:val="auto"/>
              </w:rPr>
            </w:pPr>
            <w:r>
              <w:rPr>
                <w:rFonts w:ascii="Arial" w:cs="Arial" w:eastAsia="Arial" w:hAnsi="Arial"/>
                <w:sz w:val="12"/>
                <w:szCs w:val="12"/>
                <w:color w:val="auto"/>
              </w:rPr>
              <w:t>912,031</w:t>
            </w:r>
          </w:p>
        </w:tc>
        <w:tc>
          <w:tcPr>
            <w:tcW w:w="860" w:type="dxa"/>
            <w:vAlign w:val="bottom"/>
            <w:gridSpan w:val="2"/>
          </w:tcPr>
          <w:p>
            <w:pPr>
              <w:jc w:val="right"/>
              <w:ind w:right="180"/>
              <w:spacing w:after="0"/>
              <w:rPr>
                <w:sz w:val="20"/>
                <w:szCs w:val="20"/>
                <w:color w:val="auto"/>
              </w:rPr>
            </w:pPr>
            <w:r>
              <w:rPr>
                <w:rFonts w:ascii="Arial" w:cs="Arial" w:eastAsia="Arial" w:hAnsi="Arial"/>
                <w:sz w:val="12"/>
                <w:szCs w:val="12"/>
                <w:color w:val="auto"/>
              </w:rPr>
              <w:t>359,602</w:t>
            </w:r>
          </w:p>
        </w:tc>
        <w:tc>
          <w:tcPr>
            <w:tcW w:w="840" w:type="dxa"/>
            <w:vAlign w:val="bottom"/>
            <w:gridSpan w:val="2"/>
          </w:tcPr>
          <w:p>
            <w:pPr>
              <w:jc w:val="right"/>
              <w:ind w:right="200"/>
              <w:spacing w:after="0"/>
              <w:rPr>
                <w:sz w:val="20"/>
                <w:szCs w:val="20"/>
                <w:color w:val="auto"/>
              </w:rPr>
            </w:pPr>
            <w:r>
              <w:rPr>
                <w:rFonts w:ascii="Arial" w:cs="Arial" w:eastAsia="Arial" w:hAnsi="Arial"/>
                <w:sz w:val="12"/>
                <w:szCs w:val="12"/>
                <w:color w:val="auto"/>
              </w:rPr>
              <w:t>3,471</w:t>
            </w:r>
          </w:p>
        </w:tc>
        <w:tc>
          <w:tcPr>
            <w:tcW w:w="720" w:type="dxa"/>
            <w:vAlign w:val="bottom"/>
            <w:gridSpan w:val="2"/>
          </w:tcPr>
          <w:p>
            <w:pPr>
              <w:jc w:val="right"/>
              <w:ind w:right="20"/>
              <w:spacing w:after="0"/>
              <w:rPr>
                <w:sz w:val="20"/>
                <w:szCs w:val="20"/>
                <w:color w:val="auto"/>
              </w:rPr>
            </w:pPr>
            <w:r>
              <w:rPr>
                <w:rFonts w:ascii="Arial" w:cs="Arial" w:eastAsia="Arial" w:hAnsi="Arial"/>
                <w:sz w:val="12"/>
                <w:szCs w:val="12"/>
                <w:color w:val="auto"/>
              </w:rPr>
              <w:t>1,287,994</w:t>
            </w:r>
          </w:p>
        </w:tc>
        <w:tc>
          <w:tcPr>
            <w:tcW w:w="60" w:type="dxa"/>
            <w:vAlign w:val="bottom"/>
          </w:tcPr>
          <w:p>
            <w:pPr>
              <w:spacing w:after="0"/>
              <w:rPr>
                <w:sz w:val="12"/>
                <w:szCs w:val="12"/>
                <w:color w:val="auto"/>
              </w:rPr>
            </w:pPr>
          </w:p>
        </w:tc>
      </w:tr>
      <w:tr>
        <w:trPr>
          <w:trHeight w:val="130"/>
        </w:trPr>
        <w:tc>
          <w:tcPr>
            <w:tcW w:w="1520" w:type="dxa"/>
            <w:vAlign w:val="bottom"/>
            <w:shd w:val="clear" w:color="auto" w:fill="CCEEFF"/>
          </w:tcPr>
          <w:p>
            <w:pPr>
              <w:spacing w:after="0" w:line="130" w:lineRule="exact"/>
              <w:rPr>
                <w:sz w:val="20"/>
                <w:szCs w:val="20"/>
                <w:color w:val="auto"/>
              </w:rPr>
            </w:pPr>
            <w:r>
              <w:rPr>
                <w:rFonts w:ascii="Arial" w:cs="Arial" w:eastAsia="Arial" w:hAnsi="Arial"/>
                <w:sz w:val="12"/>
                <w:szCs w:val="12"/>
                <w:color w:val="auto"/>
              </w:rPr>
              <w:t>Real Estate and Leasing</w:t>
            </w:r>
          </w:p>
        </w:tc>
        <w:tc>
          <w:tcPr>
            <w:tcW w:w="800" w:type="dxa"/>
            <w:vAlign w:val="bottom"/>
            <w:gridSpan w:val="2"/>
            <w:shd w:val="clear" w:color="auto" w:fill="CCEEFF"/>
          </w:tcPr>
          <w:p>
            <w:pPr>
              <w:jc w:val="right"/>
              <w:ind w:right="160"/>
              <w:spacing w:after="0" w:line="130" w:lineRule="exact"/>
              <w:rPr>
                <w:sz w:val="20"/>
                <w:szCs w:val="20"/>
                <w:color w:val="auto"/>
              </w:rPr>
            </w:pPr>
            <w:r>
              <w:rPr>
                <w:rFonts w:ascii="Arial" w:cs="Arial" w:eastAsia="Arial" w:hAnsi="Arial"/>
                <w:sz w:val="12"/>
                <w:szCs w:val="12"/>
                <w:color w:val="auto"/>
              </w:rPr>
              <w:t>10,391</w:t>
            </w:r>
          </w:p>
        </w:tc>
        <w:tc>
          <w:tcPr>
            <w:tcW w:w="780" w:type="dxa"/>
            <w:vAlign w:val="bottom"/>
            <w:gridSpan w:val="2"/>
            <w:shd w:val="clear" w:color="auto" w:fill="CCEEFF"/>
          </w:tcPr>
          <w:p>
            <w:pPr>
              <w:jc w:val="right"/>
              <w:ind w:right="160"/>
              <w:spacing w:after="0" w:line="130" w:lineRule="exact"/>
              <w:rPr>
                <w:sz w:val="20"/>
                <w:szCs w:val="20"/>
                <w:color w:val="auto"/>
              </w:rPr>
            </w:pPr>
            <w:r>
              <w:rPr>
                <w:rFonts w:ascii="Arial" w:cs="Arial" w:eastAsia="Arial" w:hAnsi="Arial"/>
                <w:sz w:val="12"/>
                <w:szCs w:val="12"/>
                <w:color w:val="auto"/>
              </w:rPr>
              <w:t>-</w:t>
            </w:r>
          </w:p>
        </w:tc>
        <w:tc>
          <w:tcPr>
            <w:tcW w:w="680" w:type="dxa"/>
            <w:vAlign w:val="bottom"/>
            <w:shd w:val="clear" w:color="auto" w:fill="CCEEFF"/>
          </w:tcPr>
          <w:p>
            <w:pPr>
              <w:jc w:val="right"/>
              <w:spacing w:after="0" w:line="130" w:lineRule="exact"/>
              <w:rPr>
                <w:sz w:val="20"/>
                <w:szCs w:val="20"/>
                <w:color w:val="auto"/>
              </w:rPr>
            </w:pPr>
            <w:r>
              <w:rPr>
                <w:rFonts w:ascii="Arial" w:cs="Arial" w:eastAsia="Arial" w:hAnsi="Arial"/>
                <w:sz w:val="12"/>
                <w:szCs w:val="12"/>
                <w:color w:val="auto"/>
              </w:rPr>
              <w:t>5,306,353</w:t>
            </w:r>
          </w:p>
        </w:tc>
        <w:tc>
          <w:tcPr>
            <w:tcW w:w="16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160"/>
              <w:spacing w:after="0" w:line="130" w:lineRule="exact"/>
              <w:rPr>
                <w:sz w:val="20"/>
                <w:szCs w:val="20"/>
                <w:color w:val="auto"/>
              </w:rPr>
            </w:pPr>
            <w:r>
              <w:rPr>
                <w:rFonts w:ascii="Arial" w:cs="Arial" w:eastAsia="Arial" w:hAnsi="Arial"/>
                <w:sz w:val="12"/>
                <w:szCs w:val="12"/>
                <w:color w:val="auto"/>
              </w:rPr>
              <w:t>77,161</w:t>
            </w:r>
          </w:p>
        </w:tc>
        <w:tc>
          <w:tcPr>
            <w:tcW w:w="820" w:type="dxa"/>
            <w:vAlign w:val="bottom"/>
            <w:gridSpan w:val="2"/>
            <w:shd w:val="clear" w:color="auto" w:fill="CCEEFF"/>
          </w:tcPr>
          <w:p>
            <w:pPr>
              <w:jc w:val="right"/>
              <w:ind w:right="160"/>
              <w:spacing w:after="0" w:line="130" w:lineRule="exact"/>
              <w:rPr>
                <w:sz w:val="20"/>
                <w:szCs w:val="20"/>
                <w:color w:val="auto"/>
              </w:rPr>
            </w:pPr>
            <w:r>
              <w:rPr>
                <w:rFonts w:ascii="Arial" w:cs="Arial" w:eastAsia="Arial" w:hAnsi="Arial"/>
                <w:sz w:val="12"/>
                <w:szCs w:val="12"/>
                <w:color w:val="auto"/>
              </w:rPr>
              <w:t>-</w:t>
            </w:r>
          </w:p>
        </w:tc>
        <w:tc>
          <w:tcPr>
            <w:tcW w:w="880" w:type="dxa"/>
            <w:vAlign w:val="bottom"/>
            <w:gridSpan w:val="2"/>
            <w:shd w:val="clear" w:color="auto" w:fill="CCEEFF"/>
          </w:tcPr>
          <w:p>
            <w:pPr>
              <w:jc w:val="right"/>
              <w:ind w:right="180"/>
              <w:spacing w:after="0" w:line="130" w:lineRule="exact"/>
              <w:rPr>
                <w:sz w:val="20"/>
                <w:szCs w:val="20"/>
                <w:color w:val="auto"/>
              </w:rPr>
            </w:pPr>
            <w:r>
              <w:rPr>
                <w:rFonts w:ascii="Arial" w:cs="Arial" w:eastAsia="Arial" w:hAnsi="Arial"/>
                <w:sz w:val="12"/>
                <w:szCs w:val="12"/>
                <w:color w:val="auto"/>
              </w:rPr>
              <w:t>5,393,905</w:t>
            </w:r>
          </w:p>
        </w:tc>
        <w:tc>
          <w:tcPr>
            <w:tcW w:w="860" w:type="dxa"/>
            <w:vAlign w:val="bottom"/>
            <w:gridSpan w:val="2"/>
            <w:shd w:val="clear" w:color="auto" w:fill="CCEEFF"/>
          </w:tcPr>
          <w:p>
            <w:pPr>
              <w:jc w:val="right"/>
              <w:ind w:right="220"/>
              <w:spacing w:after="0" w:line="130" w:lineRule="exact"/>
              <w:rPr>
                <w:sz w:val="20"/>
                <w:szCs w:val="20"/>
                <w:color w:val="auto"/>
              </w:rPr>
            </w:pPr>
            <w:r>
              <w:rPr>
                <w:rFonts w:ascii="Arial" w:cs="Arial" w:eastAsia="Arial" w:hAnsi="Arial"/>
                <w:sz w:val="12"/>
                <w:szCs w:val="12"/>
                <w:color w:val="auto"/>
              </w:rPr>
              <w:t>17,359</w:t>
            </w:r>
          </w:p>
        </w:tc>
        <w:tc>
          <w:tcPr>
            <w:tcW w:w="720" w:type="dxa"/>
            <w:vAlign w:val="bottom"/>
            <w:gridSpan w:val="2"/>
            <w:shd w:val="clear" w:color="auto" w:fill="CCEEFF"/>
          </w:tcPr>
          <w:p>
            <w:pPr>
              <w:jc w:val="right"/>
              <w:ind w:right="180"/>
              <w:spacing w:after="0" w:line="130" w:lineRule="exact"/>
              <w:rPr>
                <w:sz w:val="20"/>
                <w:szCs w:val="20"/>
                <w:color w:val="auto"/>
              </w:rPr>
            </w:pPr>
            <w:r>
              <w:rPr>
                <w:rFonts w:ascii="Arial" w:cs="Arial" w:eastAsia="Arial" w:hAnsi="Arial"/>
                <w:sz w:val="12"/>
                <w:szCs w:val="12"/>
                <w:color w:val="auto"/>
              </w:rPr>
              <w:t>-</w:t>
            </w:r>
          </w:p>
        </w:tc>
        <w:tc>
          <w:tcPr>
            <w:tcW w:w="880" w:type="dxa"/>
            <w:vAlign w:val="bottom"/>
            <w:gridSpan w:val="2"/>
            <w:shd w:val="clear" w:color="auto" w:fill="CCEEFF"/>
          </w:tcPr>
          <w:p>
            <w:pPr>
              <w:jc w:val="right"/>
              <w:ind w:right="180"/>
              <w:spacing w:after="0" w:line="130" w:lineRule="exact"/>
              <w:rPr>
                <w:sz w:val="20"/>
                <w:szCs w:val="20"/>
                <w:color w:val="auto"/>
              </w:rPr>
            </w:pPr>
            <w:r>
              <w:rPr>
                <w:rFonts w:ascii="Arial" w:cs="Arial" w:eastAsia="Arial" w:hAnsi="Arial"/>
                <w:sz w:val="12"/>
                <w:szCs w:val="12"/>
                <w:color w:val="auto"/>
              </w:rPr>
              <w:t>7,115,947</w:t>
            </w:r>
          </w:p>
        </w:tc>
        <w:tc>
          <w:tcPr>
            <w:tcW w:w="860" w:type="dxa"/>
            <w:vAlign w:val="bottom"/>
            <w:gridSpan w:val="2"/>
            <w:shd w:val="clear" w:color="auto" w:fill="CCEEFF"/>
          </w:tcPr>
          <w:p>
            <w:pPr>
              <w:jc w:val="right"/>
              <w:ind w:right="180"/>
              <w:spacing w:after="0" w:line="130" w:lineRule="exact"/>
              <w:rPr>
                <w:sz w:val="20"/>
                <w:szCs w:val="20"/>
                <w:color w:val="auto"/>
              </w:rPr>
            </w:pPr>
            <w:r>
              <w:rPr>
                <w:rFonts w:ascii="Arial" w:cs="Arial" w:eastAsia="Arial" w:hAnsi="Arial"/>
                <w:sz w:val="12"/>
                <w:szCs w:val="12"/>
                <w:color w:val="auto"/>
              </w:rPr>
              <w:t>244,377</w:t>
            </w:r>
          </w:p>
        </w:tc>
        <w:tc>
          <w:tcPr>
            <w:tcW w:w="840" w:type="dxa"/>
            <w:vAlign w:val="bottom"/>
            <w:gridSpan w:val="2"/>
            <w:shd w:val="clear" w:color="auto" w:fill="CCEEFF"/>
          </w:tcPr>
          <w:p>
            <w:pPr>
              <w:jc w:val="right"/>
              <w:ind w:right="200"/>
              <w:spacing w:after="0" w:line="130" w:lineRule="exact"/>
              <w:rPr>
                <w:sz w:val="20"/>
                <w:szCs w:val="20"/>
                <w:color w:val="auto"/>
              </w:rPr>
            </w:pPr>
            <w:r>
              <w:rPr>
                <w:rFonts w:ascii="Arial" w:cs="Arial" w:eastAsia="Arial" w:hAnsi="Arial"/>
                <w:sz w:val="12"/>
                <w:szCs w:val="12"/>
                <w:color w:val="auto"/>
              </w:rPr>
              <w:t>-</w:t>
            </w:r>
          </w:p>
        </w:tc>
        <w:tc>
          <w:tcPr>
            <w:tcW w:w="720" w:type="dxa"/>
            <w:vAlign w:val="bottom"/>
            <w:gridSpan w:val="2"/>
            <w:shd w:val="clear" w:color="auto" w:fill="CCEEFF"/>
          </w:tcPr>
          <w:p>
            <w:pPr>
              <w:jc w:val="right"/>
              <w:ind w:right="20"/>
              <w:spacing w:after="0" w:line="130" w:lineRule="exact"/>
              <w:rPr>
                <w:sz w:val="20"/>
                <w:szCs w:val="20"/>
                <w:color w:val="auto"/>
              </w:rPr>
            </w:pPr>
            <w:r>
              <w:rPr>
                <w:rFonts w:ascii="Arial" w:cs="Arial" w:eastAsia="Arial" w:hAnsi="Arial"/>
                <w:sz w:val="12"/>
                <w:szCs w:val="12"/>
                <w:color w:val="auto"/>
              </w:rPr>
              <w:t>7,377,683</w:t>
            </w:r>
          </w:p>
        </w:tc>
        <w:tc>
          <w:tcPr>
            <w:tcW w:w="60" w:type="dxa"/>
            <w:vAlign w:val="bottom"/>
            <w:shd w:val="clear" w:color="auto" w:fill="CCEEFF"/>
          </w:tcPr>
          <w:p>
            <w:pPr>
              <w:spacing w:after="0"/>
              <w:rPr>
                <w:sz w:val="11"/>
                <w:szCs w:val="11"/>
                <w:color w:val="auto"/>
              </w:rPr>
            </w:pPr>
          </w:p>
        </w:tc>
      </w:tr>
      <w:tr>
        <w:trPr>
          <w:trHeight w:val="130"/>
        </w:trPr>
        <w:tc>
          <w:tcPr>
            <w:tcW w:w="1520" w:type="dxa"/>
            <w:vAlign w:val="bottom"/>
          </w:tcPr>
          <w:p>
            <w:pPr>
              <w:spacing w:after="0" w:line="130" w:lineRule="exact"/>
              <w:rPr>
                <w:sz w:val="20"/>
                <w:szCs w:val="20"/>
                <w:color w:val="auto"/>
              </w:rPr>
            </w:pPr>
            <w:r>
              <w:rPr>
                <w:rFonts w:ascii="Arial" w:cs="Arial" w:eastAsia="Arial" w:hAnsi="Arial"/>
                <w:sz w:val="12"/>
                <w:szCs w:val="12"/>
                <w:color w:val="auto"/>
              </w:rPr>
              <w:t>Fishing</w:t>
            </w:r>
          </w:p>
        </w:tc>
        <w:tc>
          <w:tcPr>
            <w:tcW w:w="800" w:type="dxa"/>
            <w:vAlign w:val="bottom"/>
            <w:gridSpan w:val="2"/>
          </w:tcPr>
          <w:p>
            <w:pPr>
              <w:jc w:val="right"/>
              <w:ind w:right="160"/>
              <w:spacing w:after="0" w:line="130" w:lineRule="exact"/>
              <w:rPr>
                <w:sz w:val="20"/>
                <w:szCs w:val="20"/>
                <w:color w:val="auto"/>
              </w:rPr>
            </w:pPr>
            <w:r>
              <w:rPr>
                <w:rFonts w:ascii="Arial" w:cs="Arial" w:eastAsia="Arial" w:hAnsi="Arial"/>
                <w:sz w:val="12"/>
                <w:szCs w:val="12"/>
                <w:color w:val="auto"/>
              </w:rPr>
              <w:t>1,689</w:t>
            </w:r>
          </w:p>
        </w:tc>
        <w:tc>
          <w:tcPr>
            <w:tcW w:w="780" w:type="dxa"/>
            <w:vAlign w:val="bottom"/>
            <w:gridSpan w:val="2"/>
          </w:tcPr>
          <w:p>
            <w:pPr>
              <w:jc w:val="right"/>
              <w:ind w:right="160"/>
              <w:spacing w:after="0" w:line="130" w:lineRule="exact"/>
              <w:rPr>
                <w:sz w:val="20"/>
                <w:szCs w:val="20"/>
                <w:color w:val="auto"/>
              </w:rPr>
            </w:pPr>
            <w:r>
              <w:rPr>
                <w:rFonts w:ascii="Arial" w:cs="Arial" w:eastAsia="Arial" w:hAnsi="Arial"/>
                <w:sz w:val="12"/>
                <w:szCs w:val="12"/>
                <w:color w:val="auto"/>
              </w:rPr>
              <w:t>-</w:t>
            </w:r>
          </w:p>
        </w:tc>
        <w:tc>
          <w:tcPr>
            <w:tcW w:w="840" w:type="dxa"/>
            <w:vAlign w:val="bottom"/>
            <w:gridSpan w:val="2"/>
          </w:tcPr>
          <w:p>
            <w:pPr>
              <w:jc w:val="right"/>
              <w:ind w:right="160"/>
              <w:spacing w:after="0" w:line="130" w:lineRule="exact"/>
              <w:rPr>
                <w:sz w:val="20"/>
                <w:szCs w:val="20"/>
                <w:color w:val="auto"/>
              </w:rPr>
            </w:pPr>
            <w:r>
              <w:rPr>
                <w:rFonts w:ascii="Arial" w:cs="Arial" w:eastAsia="Arial" w:hAnsi="Arial"/>
                <w:sz w:val="12"/>
                <w:szCs w:val="12"/>
                <w:color w:val="auto"/>
              </w:rPr>
              <w:t>394,287</w:t>
            </w:r>
          </w:p>
        </w:tc>
        <w:tc>
          <w:tcPr>
            <w:tcW w:w="840" w:type="dxa"/>
            <w:vAlign w:val="bottom"/>
            <w:gridSpan w:val="2"/>
          </w:tcPr>
          <w:p>
            <w:pPr>
              <w:jc w:val="right"/>
              <w:ind w:right="160"/>
              <w:spacing w:after="0" w:line="130" w:lineRule="exact"/>
              <w:rPr>
                <w:sz w:val="20"/>
                <w:szCs w:val="20"/>
                <w:color w:val="auto"/>
              </w:rPr>
            </w:pPr>
            <w:r>
              <w:rPr>
                <w:rFonts w:ascii="Arial" w:cs="Arial" w:eastAsia="Arial" w:hAnsi="Arial"/>
                <w:sz w:val="12"/>
                <w:szCs w:val="12"/>
                <w:color w:val="auto"/>
              </w:rPr>
              <w:t>-</w:t>
            </w:r>
          </w:p>
        </w:tc>
        <w:tc>
          <w:tcPr>
            <w:tcW w:w="820" w:type="dxa"/>
            <w:vAlign w:val="bottom"/>
            <w:gridSpan w:val="2"/>
          </w:tcPr>
          <w:p>
            <w:pPr>
              <w:jc w:val="right"/>
              <w:ind w:right="160"/>
              <w:spacing w:after="0" w:line="130" w:lineRule="exact"/>
              <w:rPr>
                <w:sz w:val="20"/>
                <w:szCs w:val="20"/>
                <w:color w:val="auto"/>
              </w:rPr>
            </w:pPr>
            <w:r>
              <w:rPr>
                <w:rFonts w:ascii="Arial" w:cs="Arial" w:eastAsia="Arial" w:hAnsi="Arial"/>
                <w:sz w:val="12"/>
                <w:szCs w:val="12"/>
                <w:color w:val="auto"/>
              </w:rPr>
              <w:t>-</w:t>
            </w:r>
          </w:p>
        </w:tc>
        <w:tc>
          <w:tcPr>
            <w:tcW w:w="880" w:type="dxa"/>
            <w:vAlign w:val="bottom"/>
            <w:gridSpan w:val="2"/>
          </w:tcPr>
          <w:p>
            <w:pPr>
              <w:jc w:val="right"/>
              <w:ind w:right="180"/>
              <w:spacing w:after="0" w:line="130" w:lineRule="exact"/>
              <w:rPr>
                <w:sz w:val="20"/>
                <w:szCs w:val="20"/>
                <w:color w:val="auto"/>
              </w:rPr>
            </w:pPr>
            <w:r>
              <w:rPr>
                <w:rFonts w:ascii="Arial" w:cs="Arial" w:eastAsia="Arial" w:hAnsi="Arial"/>
                <w:sz w:val="12"/>
                <w:szCs w:val="12"/>
                <w:color w:val="auto"/>
              </w:rPr>
              <w:t>395,976</w:t>
            </w:r>
          </w:p>
        </w:tc>
        <w:tc>
          <w:tcPr>
            <w:tcW w:w="860" w:type="dxa"/>
            <w:vAlign w:val="bottom"/>
            <w:gridSpan w:val="2"/>
          </w:tcPr>
          <w:p>
            <w:pPr>
              <w:jc w:val="right"/>
              <w:ind w:right="220"/>
              <w:spacing w:after="0" w:line="130" w:lineRule="exact"/>
              <w:rPr>
                <w:sz w:val="20"/>
                <w:szCs w:val="20"/>
                <w:color w:val="auto"/>
              </w:rPr>
            </w:pPr>
            <w:r>
              <w:rPr>
                <w:rFonts w:ascii="Arial" w:cs="Arial" w:eastAsia="Arial" w:hAnsi="Arial"/>
                <w:sz w:val="12"/>
                <w:szCs w:val="12"/>
                <w:color w:val="auto"/>
              </w:rPr>
              <w:t>7,521</w:t>
            </w:r>
          </w:p>
        </w:tc>
        <w:tc>
          <w:tcPr>
            <w:tcW w:w="720" w:type="dxa"/>
            <w:vAlign w:val="bottom"/>
            <w:gridSpan w:val="2"/>
          </w:tcPr>
          <w:p>
            <w:pPr>
              <w:jc w:val="right"/>
              <w:ind w:right="180"/>
              <w:spacing w:after="0" w:line="130" w:lineRule="exact"/>
              <w:rPr>
                <w:sz w:val="20"/>
                <w:szCs w:val="20"/>
                <w:color w:val="auto"/>
              </w:rPr>
            </w:pPr>
            <w:r>
              <w:rPr>
                <w:rFonts w:ascii="Arial" w:cs="Arial" w:eastAsia="Arial" w:hAnsi="Arial"/>
                <w:sz w:val="12"/>
                <w:szCs w:val="12"/>
                <w:color w:val="auto"/>
              </w:rPr>
              <w:t>-</w:t>
            </w:r>
          </w:p>
        </w:tc>
        <w:tc>
          <w:tcPr>
            <w:tcW w:w="880" w:type="dxa"/>
            <w:vAlign w:val="bottom"/>
            <w:gridSpan w:val="2"/>
          </w:tcPr>
          <w:p>
            <w:pPr>
              <w:jc w:val="right"/>
              <w:ind w:right="180"/>
              <w:spacing w:after="0" w:line="130" w:lineRule="exact"/>
              <w:rPr>
                <w:sz w:val="20"/>
                <w:szCs w:val="20"/>
                <w:color w:val="auto"/>
              </w:rPr>
            </w:pPr>
            <w:r>
              <w:rPr>
                <w:rFonts w:ascii="Arial" w:cs="Arial" w:eastAsia="Arial" w:hAnsi="Arial"/>
                <w:sz w:val="12"/>
                <w:szCs w:val="12"/>
                <w:color w:val="auto"/>
              </w:rPr>
              <w:t>405,538</w:t>
            </w:r>
          </w:p>
        </w:tc>
        <w:tc>
          <w:tcPr>
            <w:tcW w:w="860" w:type="dxa"/>
            <w:vAlign w:val="bottom"/>
            <w:gridSpan w:val="2"/>
          </w:tcPr>
          <w:p>
            <w:pPr>
              <w:jc w:val="right"/>
              <w:ind w:right="180"/>
              <w:spacing w:after="0" w:line="130" w:lineRule="exact"/>
              <w:rPr>
                <w:sz w:val="20"/>
                <w:szCs w:val="20"/>
                <w:color w:val="auto"/>
              </w:rPr>
            </w:pPr>
            <w:r>
              <w:rPr>
                <w:rFonts w:ascii="Arial" w:cs="Arial" w:eastAsia="Arial" w:hAnsi="Arial"/>
                <w:sz w:val="12"/>
                <w:szCs w:val="12"/>
                <w:color w:val="auto"/>
              </w:rPr>
              <w:t>-</w:t>
            </w:r>
          </w:p>
        </w:tc>
        <w:tc>
          <w:tcPr>
            <w:tcW w:w="840" w:type="dxa"/>
            <w:vAlign w:val="bottom"/>
            <w:gridSpan w:val="2"/>
          </w:tcPr>
          <w:p>
            <w:pPr>
              <w:jc w:val="right"/>
              <w:ind w:right="200"/>
              <w:spacing w:after="0" w:line="130" w:lineRule="exact"/>
              <w:rPr>
                <w:sz w:val="20"/>
                <w:szCs w:val="20"/>
                <w:color w:val="auto"/>
              </w:rPr>
            </w:pPr>
            <w:r>
              <w:rPr>
                <w:rFonts w:ascii="Arial" w:cs="Arial" w:eastAsia="Arial" w:hAnsi="Arial"/>
                <w:sz w:val="12"/>
                <w:szCs w:val="12"/>
                <w:color w:val="auto"/>
              </w:rPr>
              <w:t>-</w:t>
            </w:r>
          </w:p>
        </w:tc>
        <w:tc>
          <w:tcPr>
            <w:tcW w:w="720" w:type="dxa"/>
            <w:vAlign w:val="bottom"/>
            <w:gridSpan w:val="2"/>
          </w:tcPr>
          <w:p>
            <w:pPr>
              <w:jc w:val="right"/>
              <w:ind w:right="20"/>
              <w:spacing w:after="0" w:line="130" w:lineRule="exact"/>
              <w:rPr>
                <w:sz w:val="20"/>
                <w:szCs w:val="20"/>
                <w:color w:val="auto"/>
              </w:rPr>
            </w:pPr>
            <w:r>
              <w:rPr>
                <w:rFonts w:ascii="Arial" w:cs="Arial" w:eastAsia="Arial" w:hAnsi="Arial"/>
                <w:sz w:val="12"/>
                <w:szCs w:val="12"/>
                <w:color w:val="auto"/>
              </w:rPr>
              <w:t>413,059</w:t>
            </w:r>
          </w:p>
        </w:tc>
        <w:tc>
          <w:tcPr>
            <w:tcW w:w="60" w:type="dxa"/>
            <w:vAlign w:val="bottom"/>
          </w:tcPr>
          <w:p>
            <w:pPr>
              <w:spacing w:after="0"/>
              <w:rPr>
                <w:sz w:val="11"/>
                <w:szCs w:val="11"/>
                <w:color w:val="auto"/>
              </w:rPr>
            </w:pPr>
          </w:p>
        </w:tc>
      </w:tr>
      <w:tr>
        <w:trPr>
          <w:trHeight w:val="143"/>
        </w:trPr>
        <w:tc>
          <w:tcPr>
            <w:tcW w:w="1520" w:type="dxa"/>
            <w:vAlign w:val="bottom"/>
            <w:shd w:val="clear" w:color="auto" w:fill="CCEEFF"/>
          </w:tcPr>
          <w:p>
            <w:pPr>
              <w:spacing w:after="0"/>
              <w:rPr>
                <w:sz w:val="20"/>
                <w:szCs w:val="20"/>
                <w:color w:val="auto"/>
              </w:rPr>
            </w:pPr>
            <w:r>
              <w:rPr>
                <w:rFonts w:ascii="Arial" w:cs="Arial" w:eastAsia="Arial" w:hAnsi="Arial"/>
                <w:sz w:val="12"/>
                <w:szCs w:val="12"/>
                <w:color w:val="auto"/>
              </w:rPr>
              <w:t>Others</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28,597</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4,976,570</w:t>
            </w:r>
          </w:p>
        </w:tc>
        <w:tc>
          <w:tcPr>
            <w:tcW w:w="1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638,297</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19,153</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5,662,617</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322,861</w:t>
            </w: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4,234,272</w:t>
            </w:r>
          </w:p>
        </w:tc>
        <w:tc>
          <w:tcPr>
            <w:tcW w:w="1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657,460</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11,516</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5,226,109</w:t>
            </w:r>
          </w:p>
        </w:tc>
        <w:tc>
          <w:tcPr>
            <w:tcW w:w="60" w:type="dxa"/>
            <w:vAlign w:val="bottom"/>
            <w:shd w:val="clear" w:color="auto" w:fill="CCEEFF"/>
          </w:tcPr>
          <w:p>
            <w:pPr>
              <w:spacing w:after="0"/>
              <w:rPr>
                <w:sz w:val="12"/>
                <w:szCs w:val="12"/>
                <w:color w:val="auto"/>
              </w:rPr>
            </w:pPr>
          </w:p>
        </w:tc>
      </w:tr>
      <w:tr>
        <w:trPr>
          <w:trHeight w:val="136"/>
        </w:trPr>
        <w:tc>
          <w:tcPr>
            <w:tcW w:w="1520" w:type="dxa"/>
            <w:vAlign w:val="bottom"/>
          </w:tcPr>
          <w:p>
            <w:pPr>
              <w:spacing w:after="0" w:line="136" w:lineRule="exact"/>
              <w:rPr>
                <w:sz w:val="20"/>
                <w:szCs w:val="20"/>
                <w:color w:val="auto"/>
              </w:rPr>
            </w:pPr>
            <w:r>
              <w:rPr>
                <w:rFonts w:ascii="Arial" w:cs="Arial" w:eastAsia="Arial" w:hAnsi="Arial"/>
                <w:sz w:val="12"/>
                <w:szCs w:val="12"/>
                <w:b w:val="1"/>
                <w:bCs w:val="1"/>
                <w:color w:val="auto"/>
              </w:rPr>
              <w:t>Total</w:t>
            </w:r>
          </w:p>
        </w:tc>
        <w:tc>
          <w:tcPr>
            <w:tcW w:w="640" w:type="dxa"/>
            <w:vAlign w:val="bottom"/>
            <w:tcBorders>
              <w:top w:val="single" w:sz="8" w:color="auto"/>
              <w:bottom w:val="single" w:sz="8" w:color="auto"/>
            </w:tcBorders>
          </w:tcPr>
          <w:p>
            <w:pPr>
              <w:jc w:val="right"/>
              <w:spacing w:after="0" w:line="136" w:lineRule="exact"/>
              <w:rPr>
                <w:sz w:val="20"/>
                <w:szCs w:val="20"/>
                <w:color w:val="auto"/>
              </w:rPr>
            </w:pPr>
            <w:r>
              <w:rPr>
                <w:rFonts w:ascii="Arial" w:cs="Arial" w:eastAsia="Arial" w:hAnsi="Arial"/>
                <w:sz w:val="12"/>
                <w:szCs w:val="12"/>
                <w:color w:val="auto"/>
              </w:rPr>
              <w:t>4,726,563</w:t>
            </w:r>
          </w:p>
        </w:tc>
        <w:tc>
          <w:tcPr>
            <w:tcW w:w="160" w:type="dxa"/>
            <w:vAlign w:val="bottom"/>
          </w:tcPr>
          <w:p>
            <w:pPr>
              <w:spacing w:after="0"/>
              <w:rPr>
                <w:sz w:val="11"/>
                <w:szCs w:val="11"/>
                <w:color w:val="auto"/>
              </w:rPr>
            </w:pPr>
          </w:p>
        </w:tc>
        <w:tc>
          <w:tcPr>
            <w:tcW w:w="620" w:type="dxa"/>
            <w:vAlign w:val="bottom"/>
            <w:tcBorders>
              <w:top w:val="single" w:sz="8" w:color="auto"/>
              <w:bottom w:val="single" w:sz="8" w:color="auto"/>
            </w:tcBorders>
          </w:tcPr>
          <w:p>
            <w:pPr>
              <w:jc w:val="right"/>
              <w:spacing w:after="0" w:line="136" w:lineRule="exact"/>
              <w:rPr>
                <w:sz w:val="20"/>
                <w:szCs w:val="20"/>
                <w:color w:val="auto"/>
              </w:rPr>
            </w:pPr>
            <w:r>
              <w:rPr>
                <w:rFonts w:ascii="Arial" w:cs="Arial" w:eastAsia="Arial" w:hAnsi="Arial"/>
                <w:sz w:val="12"/>
                <w:szCs w:val="12"/>
                <w:color w:val="auto"/>
              </w:rPr>
              <w:t>537,685</w:t>
            </w:r>
          </w:p>
        </w:tc>
        <w:tc>
          <w:tcPr>
            <w:tcW w:w="160" w:type="dxa"/>
            <w:vAlign w:val="bottom"/>
          </w:tcPr>
          <w:p>
            <w:pPr>
              <w:spacing w:after="0"/>
              <w:rPr>
                <w:sz w:val="11"/>
                <w:szCs w:val="11"/>
                <w:color w:val="auto"/>
              </w:rPr>
            </w:pPr>
          </w:p>
        </w:tc>
        <w:tc>
          <w:tcPr>
            <w:tcW w:w="680" w:type="dxa"/>
            <w:vAlign w:val="bottom"/>
            <w:tcBorders>
              <w:top w:val="single" w:sz="8" w:color="auto"/>
              <w:bottom w:val="single" w:sz="8" w:color="auto"/>
            </w:tcBorders>
          </w:tcPr>
          <w:p>
            <w:pPr>
              <w:jc w:val="right"/>
              <w:spacing w:after="0" w:line="136" w:lineRule="exact"/>
              <w:rPr>
                <w:sz w:val="20"/>
                <w:szCs w:val="20"/>
                <w:color w:val="auto"/>
              </w:rPr>
            </w:pPr>
            <w:r>
              <w:rPr>
                <w:rFonts w:ascii="Arial" w:cs="Arial" w:eastAsia="Arial" w:hAnsi="Arial"/>
                <w:sz w:val="12"/>
                <w:szCs w:val="12"/>
                <w:color w:val="auto"/>
                <w:w w:val="98"/>
              </w:rPr>
              <w:t>130,343,367</w:t>
            </w:r>
          </w:p>
        </w:tc>
        <w:tc>
          <w:tcPr>
            <w:tcW w:w="160" w:type="dxa"/>
            <w:vAlign w:val="bottom"/>
          </w:tcPr>
          <w:p>
            <w:pPr>
              <w:spacing w:after="0"/>
              <w:rPr>
                <w:sz w:val="11"/>
                <w:szCs w:val="11"/>
                <w:color w:val="auto"/>
              </w:rPr>
            </w:pPr>
          </w:p>
        </w:tc>
        <w:tc>
          <w:tcPr>
            <w:tcW w:w="680" w:type="dxa"/>
            <w:vAlign w:val="bottom"/>
            <w:tcBorders>
              <w:top w:val="single" w:sz="8" w:color="auto"/>
              <w:bottom w:val="single" w:sz="8" w:color="auto"/>
            </w:tcBorders>
          </w:tcPr>
          <w:p>
            <w:pPr>
              <w:jc w:val="right"/>
              <w:spacing w:after="0" w:line="136" w:lineRule="exact"/>
              <w:rPr>
                <w:sz w:val="20"/>
                <w:szCs w:val="20"/>
                <w:color w:val="auto"/>
              </w:rPr>
            </w:pPr>
            <w:r>
              <w:rPr>
                <w:rFonts w:ascii="Arial" w:cs="Arial" w:eastAsia="Arial" w:hAnsi="Arial"/>
                <w:sz w:val="12"/>
                <w:szCs w:val="12"/>
                <w:color w:val="auto"/>
              </w:rPr>
              <w:t>24,423,891</w:t>
            </w:r>
          </w:p>
        </w:tc>
        <w:tc>
          <w:tcPr>
            <w:tcW w:w="160" w:type="dxa"/>
            <w:vAlign w:val="bottom"/>
          </w:tcPr>
          <w:p>
            <w:pPr>
              <w:spacing w:after="0"/>
              <w:rPr>
                <w:sz w:val="11"/>
                <w:szCs w:val="11"/>
                <w:color w:val="auto"/>
              </w:rPr>
            </w:pPr>
          </w:p>
        </w:tc>
        <w:tc>
          <w:tcPr>
            <w:tcW w:w="660" w:type="dxa"/>
            <w:vAlign w:val="bottom"/>
            <w:tcBorders>
              <w:top w:val="single" w:sz="8" w:color="auto"/>
              <w:bottom w:val="single" w:sz="8" w:color="auto"/>
            </w:tcBorders>
          </w:tcPr>
          <w:p>
            <w:pPr>
              <w:jc w:val="right"/>
              <w:spacing w:after="0" w:line="136" w:lineRule="exact"/>
              <w:rPr>
                <w:sz w:val="20"/>
                <w:szCs w:val="20"/>
                <w:color w:val="auto"/>
              </w:rPr>
            </w:pPr>
            <w:r>
              <w:rPr>
                <w:rFonts w:ascii="Arial" w:cs="Arial" w:eastAsia="Arial" w:hAnsi="Arial"/>
                <w:sz w:val="12"/>
                <w:szCs w:val="12"/>
                <w:color w:val="auto"/>
              </w:rPr>
              <w:t>4,413,373</w:t>
            </w:r>
          </w:p>
        </w:tc>
        <w:tc>
          <w:tcPr>
            <w:tcW w:w="160" w:type="dxa"/>
            <w:vAlign w:val="bottom"/>
          </w:tcPr>
          <w:p>
            <w:pPr>
              <w:spacing w:after="0"/>
              <w:rPr>
                <w:sz w:val="11"/>
                <w:szCs w:val="11"/>
                <w:color w:val="auto"/>
              </w:rPr>
            </w:pPr>
          </w:p>
        </w:tc>
        <w:tc>
          <w:tcPr>
            <w:tcW w:w="700" w:type="dxa"/>
            <w:vAlign w:val="bottom"/>
            <w:tcBorders>
              <w:top w:val="single" w:sz="8" w:color="auto"/>
              <w:bottom w:val="single" w:sz="8" w:color="auto"/>
            </w:tcBorders>
          </w:tcPr>
          <w:p>
            <w:pPr>
              <w:jc w:val="right"/>
              <w:spacing w:after="0" w:line="136" w:lineRule="exact"/>
              <w:rPr>
                <w:sz w:val="20"/>
                <w:szCs w:val="20"/>
                <w:color w:val="auto"/>
              </w:rPr>
            </w:pPr>
            <w:r>
              <w:rPr>
                <w:rFonts w:ascii="Arial" w:cs="Arial" w:eastAsia="Arial" w:hAnsi="Arial"/>
                <w:sz w:val="12"/>
                <w:szCs w:val="12"/>
                <w:color w:val="auto"/>
              </w:rPr>
              <w:t>164,444,879</w:t>
            </w:r>
          </w:p>
        </w:tc>
        <w:tc>
          <w:tcPr>
            <w:tcW w:w="180" w:type="dxa"/>
            <w:vAlign w:val="bottom"/>
          </w:tcPr>
          <w:p>
            <w:pPr>
              <w:spacing w:after="0"/>
              <w:rPr>
                <w:sz w:val="11"/>
                <w:szCs w:val="11"/>
                <w:color w:val="auto"/>
              </w:rPr>
            </w:pPr>
          </w:p>
        </w:tc>
        <w:tc>
          <w:tcPr>
            <w:tcW w:w="640" w:type="dxa"/>
            <w:vAlign w:val="bottom"/>
            <w:tcBorders>
              <w:top w:val="single" w:sz="8" w:color="auto"/>
              <w:bottom w:val="single" w:sz="8" w:color="auto"/>
            </w:tcBorders>
          </w:tcPr>
          <w:p>
            <w:pPr>
              <w:jc w:val="right"/>
              <w:spacing w:after="0" w:line="136" w:lineRule="exact"/>
              <w:rPr>
                <w:sz w:val="20"/>
                <w:szCs w:val="20"/>
                <w:color w:val="auto"/>
              </w:rPr>
            </w:pPr>
            <w:r>
              <w:rPr>
                <w:rFonts w:ascii="Arial" w:cs="Arial" w:eastAsia="Arial" w:hAnsi="Arial"/>
                <w:sz w:val="12"/>
                <w:szCs w:val="12"/>
                <w:color w:val="auto"/>
              </w:rPr>
              <w:t>4,957,621</w:t>
            </w:r>
          </w:p>
        </w:tc>
        <w:tc>
          <w:tcPr>
            <w:tcW w:w="220" w:type="dxa"/>
            <w:vAlign w:val="bottom"/>
          </w:tcPr>
          <w:p>
            <w:pPr>
              <w:spacing w:after="0"/>
              <w:rPr>
                <w:sz w:val="11"/>
                <w:szCs w:val="11"/>
                <w:color w:val="auto"/>
              </w:rPr>
            </w:pPr>
          </w:p>
        </w:tc>
        <w:tc>
          <w:tcPr>
            <w:tcW w:w="540" w:type="dxa"/>
            <w:vAlign w:val="bottom"/>
            <w:tcBorders>
              <w:top w:val="single" w:sz="8" w:color="auto"/>
              <w:bottom w:val="single" w:sz="8" w:color="auto"/>
            </w:tcBorders>
          </w:tcPr>
          <w:p>
            <w:pPr>
              <w:jc w:val="right"/>
              <w:spacing w:after="0" w:line="136" w:lineRule="exact"/>
              <w:rPr>
                <w:sz w:val="20"/>
                <w:szCs w:val="20"/>
                <w:color w:val="auto"/>
              </w:rPr>
            </w:pPr>
            <w:r>
              <w:rPr>
                <w:rFonts w:ascii="Arial" w:cs="Arial" w:eastAsia="Arial" w:hAnsi="Arial"/>
                <w:sz w:val="12"/>
                <w:szCs w:val="12"/>
                <w:color w:val="auto"/>
              </w:rPr>
              <w:t>459,099</w:t>
            </w:r>
          </w:p>
        </w:tc>
        <w:tc>
          <w:tcPr>
            <w:tcW w:w="180" w:type="dxa"/>
            <w:vAlign w:val="bottom"/>
          </w:tcPr>
          <w:p>
            <w:pPr>
              <w:spacing w:after="0"/>
              <w:rPr>
                <w:sz w:val="11"/>
                <w:szCs w:val="11"/>
                <w:color w:val="auto"/>
              </w:rPr>
            </w:pPr>
          </w:p>
        </w:tc>
        <w:tc>
          <w:tcPr>
            <w:tcW w:w="700" w:type="dxa"/>
            <w:vAlign w:val="bottom"/>
            <w:tcBorders>
              <w:top w:val="single" w:sz="8" w:color="auto"/>
              <w:bottom w:val="single" w:sz="8" w:color="auto"/>
            </w:tcBorders>
          </w:tcPr>
          <w:p>
            <w:pPr>
              <w:jc w:val="right"/>
              <w:spacing w:after="0" w:line="136" w:lineRule="exact"/>
              <w:rPr>
                <w:sz w:val="20"/>
                <w:szCs w:val="20"/>
                <w:color w:val="auto"/>
              </w:rPr>
            </w:pPr>
            <w:r>
              <w:rPr>
                <w:rFonts w:ascii="Arial" w:cs="Arial" w:eastAsia="Arial" w:hAnsi="Arial"/>
                <w:sz w:val="12"/>
                <w:szCs w:val="12"/>
                <w:color w:val="auto"/>
              </w:rPr>
              <w:t>121,001,793</w:t>
            </w:r>
          </w:p>
        </w:tc>
        <w:tc>
          <w:tcPr>
            <w:tcW w:w="180" w:type="dxa"/>
            <w:vAlign w:val="bottom"/>
          </w:tcPr>
          <w:p>
            <w:pPr>
              <w:spacing w:after="0"/>
              <w:rPr>
                <w:sz w:val="11"/>
                <w:szCs w:val="11"/>
                <w:color w:val="auto"/>
              </w:rPr>
            </w:pPr>
          </w:p>
        </w:tc>
        <w:tc>
          <w:tcPr>
            <w:tcW w:w="680" w:type="dxa"/>
            <w:vAlign w:val="bottom"/>
            <w:tcBorders>
              <w:top w:val="single" w:sz="8" w:color="auto"/>
              <w:bottom w:val="single" w:sz="8" w:color="auto"/>
            </w:tcBorders>
          </w:tcPr>
          <w:p>
            <w:pPr>
              <w:jc w:val="right"/>
              <w:spacing w:after="0" w:line="136" w:lineRule="exact"/>
              <w:rPr>
                <w:sz w:val="20"/>
                <w:szCs w:val="20"/>
                <w:color w:val="auto"/>
              </w:rPr>
            </w:pPr>
            <w:r>
              <w:rPr>
                <w:rFonts w:ascii="Arial" w:cs="Arial" w:eastAsia="Arial" w:hAnsi="Arial"/>
                <w:sz w:val="12"/>
                <w:szCs w:val="12"/>
                <w:color w:val="auto"/>
              </w:rPr>
              <w:t>18,685,667</w:t>
            </w:r>
          </w:p>
        </w:tc>
        <w:tc>
          <w:tcPr>
            <w:tcW w:w="180" w:type="dxa"/>
            <w:vAlign w:val="bottom"/>
          </w:tcPr>
          <w:p>
            <w:pPr>
              <w:spacing w:after="0"/>
              <w:rPr>
                <w:sz w:val="11"/>
                <w:szCs w:val="11"/>
                <w:color w:val="auto"/>
              </w:rPr>
            </w:pPr>
          </w:p>
        </w:tc>
        <w:tc>
          <w:tcPr>
            <w:tcW w:w="640" w:type="dxa"/>
            <w:vAlign w:val="bottom"/>
            <w:tcBorders>
              <w:top w:val="single" w:sz="8" w:color="auto"/>
              <w:bottom w:val="single" w:sz="8" w:color="auto"/>
            </w:tcBorders>
          </w:tcPr>
          <w:p>
            <w:pPr>
              <w:jc w:val="right"/>
              <w:spacing w:after="0" w:line="136" w:lineRule="exact"/>
              <w:rPr>
                <w:sz w:val="20"/>
                <w:szCs w:val="20"/>
                <w:color w:val="auto"/>
              </w:rPr>
            </w:pPr>
            <w:r>
              <w:rPr>
                <w:rFonts w:ascii="Arial" w:cs="Arial" w:eastAsia="Arial" w:hAnsi="Arial"/>
                <w:sz w:val="12"/>
                <w:szCs w:val="12"/>
                <w:color w:val="auto"/>
              </w:rPr>
              <w:t>5,118,420</w:t>
            </w:r>
          </w:p>
        </w:tc>
        <w:tc>
          <w:tcPr>
            <w:tcW w:w="200" w:type="dxa"/>
            <w:vAlign w:val="bottom"/>
          </w:tcPr>
          <w:p>
            <w:pPr>
              <w:spacing w:after="0"/>
              <w:rPr>
                <w:sz w:val="11"/>
                <w:szCs w:val="11"/>
                <w:color w:val="auto"/>
              </w:rPr>
            </w:pPr>
          </w:p>
        </w:tc>
        <w:tc>
          <w:tcPr>
            <w:tcW w:w="700" w:type="dxa"/>
            <w:vAlign w:val="bottom"/>
            <w:tcBorders>
              <w:top w:val="single" w:sz="8" w:color="auto"/>
              <w:bottom w:val="single" w:sz="8" w:color="auto"/>
            </w:tcBorders>
          </w:tcPr>
          <w:p>
            <w:pPr>
              <w:jc w:val="right"/>
              <w:spacing w:after="0" w:line="136" w:lineRule="exact"/>
              <w:rPr>
                <w:sz w:val="20"/>
                <w:szCs w:val="20"/>
                <w:color w:val="auto"/>
              </w:rPr>
            </w:pPr>
            <w:r>
              <w:rPr>
                <w:rFonts w:ascii="Arial" w:cs="Arial" w:eastAsia="Arial" w:hAnsi="Arial"/>
                <w:sz w:val="12"/>
                <w:szCs w:val="12"/>
                <w:color w:val="auto"/>
              </w:rPr>
              <w:t>150,222,600</w:t>
            </w:r>
          </w:p>
        </w:tc>
        <w:tc>
          <w:tcPr>
            <w:tcW w:w="2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r>
      <w:tr>
        <w:trPr>
          <w:trHeight w:val="20"/>
        </w:trPr>
        <w:tc>
          <w:tcPr>
            <w:tcW w:w="15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- 122 -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15875</wp:posOffset>
            </wp:positionV>
            <wp:extent cx="725170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51700" cy="8255"/>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type w:val="continuous"/>
        </w:sectPr>
      </w:pPr>
    </w:p>
    <w:bookmarkStart w:id="128" w:name="page129"/>
    <w:bookmarkEnd w:id="128"/>
    <w:p>
      <w:pPr>
        <w:spacing w:after="0"/>
        <w:rPr>
          <w:sz w:val="20"/>
          <w:szCs w:val="20"/>
          <w:color w:val="auto"/>
        </w:rPr>
      </w:pPr>
      <w:r>
        <w:rPr>
          <w:rFonts w:ascii="Arial" w:cs="Arial" w:eastAsia="Arial" w:hAnsi="Arial"/>
          <w:sz w:val="15"/>
          <w:szCs w:val="15"/>
          <w:color w:val="auto"/>
        </w:rPr>
        <w:t>As of December 31, 2017 and 2016 financial instruments with exposure to credit risk were distributed by the following geographical areas:</w:t>
      </w:r>
    </w:p>
    <w:p>
      <w:pPr>
        <w:spacing w:after="0" w:line="251" w:lineRule="exact"/>
        <w:rPr>
          <w:sz w:val="20"/>
          <w:szCs w:val="20"/>
          <w:color w:val="auto"/>
        </w:rPr>
      </w:pPr>
    </w:p>
    <w:p>
      <w:pPr>
        <w:ind w:left="3520"/>
        <w:spacing w:after="0"/>
        <w:tabs>
          <w:tab w:leader="none" w:pos="8680" w:val="left"/>
        </w:tabs>
        <w:rPr>
          <w:sz w:val="20"/>
          <w:szCs w:val="20"/>
          <w:color w:val="auto"/>
        </w:rPr>
      </w:pPr>
      <w:r>
        <w:rPr>
          <w:rFonts w:ascii="Arial" w:cs="Arial" w:eastAsia="Arial" w:hAnsi="Arial"/>
          <w:sz w:val="12"/>
          <w:szCs w:val="12"/>
          <w:b w:val="1"/>
          <w:bCs w:val="1"/>
          <w:color w:val="auto"/>
        </w:rPr>
        <w:t>2017</w:t>
      </w:r>
      <w:r>
        <w:rPr>
          <w:sz w:val="20"/>
          <w:szCs w:val="20"/>
          <w:color w:val="auto"/>
        </w:rPr>
        <w:tab/>
      </w:r>
      <w:r>
        <w:rPr>
          <w:rFonts w:ascii="Arial" w:cs="Arial" w:eastAsia="Arial" w:hAnsi="Arial"/>
          <w:sz w:val="12"/>
          <w:szCs w:val="12"/>
          <w:b w:val="1"/>
          <w:bCs w:val="1"/>
          <w:color w:val="auto"/>
        </w:rPr>
        <w:t>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728345</wp:posOffset>
            </wp:positionH>
            <wp:positionV relativeFrom="paragraph">
              <wp:posOffset>6350</wp:posOffset>
            </wp:positionV>
            <wp:extent cx="6476365"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476365" cy="8255"/>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p>
      <w:pPr>
        <w:spacing w:after="0" w:line="19" w:lineRule="exact"/>
        <w:rPr>
          <w:sz w:val="20"/>
          <w:szCs w:val="20"/>
          <w:color w:val="auto"/>
        </w:rPr>
      </w:pPr>
    </w:p>
    <w:p>
      <w:pPr>
        <w:jc w:val="center"/>
        <w:ind w:right="1600"/>
        <w:spacing w:after="0"/>
        <w:rPr>
          <w:sz w:val="20"/>
          <w:szCs w:val="20"/>
          <w:color w:val="auto"/>
        </w:rPr>
      </w:pPr>
      <w:r>
        <w:rPr>
          <w:rFonts w:ascii="Arial" w:cs="Arial" w:eastAsia="Arial" w:hAnsi="Arial"/>
          <w:sz w:val="10"/>
          <w:szCs w:val="10"/>
          <w:b w:val="1"/>
          <w:bCs w:val="1"/>
          <w:color w:val="auto"/>
        </w:rPr>
        <w:t>Designated at fair value through</w:t>
      </w:r>
    </w:p>
    <w:p>
      <w:pPr>
        <w:spacing w:after="0" w:line="11" w:lineRule="exact"/>
        <w:rPr>
          <w:sz w:val="20"/>
          <w:szCs w:val="20"/>
          <w:color w:val="auto"/>
        </w:rPr>
      </w:pPr>
    </w:p>
    <w:p>
      <w:pPr>
        <w:jc w:val="center"/>
        <w:ind w:right="1580"/>
        <w:spacing w:after="0"/>
        <w:rPr>
          <w:sz w:val="20"/>
          <w:szCs w:val="20"/>
          <w:color w:val="auto"/>
        </w:rPr>
      </w:pPr>
      <w:r>
        <w:rPr>
          <w:rFonts w:ascii="Arial" w:cs="Arial" w:eastAsia="Arial" w:hAnsi="Arial"/>
          <w:sz w:val="12"/>
          <w:szCs w:val="12"/>
          <w:b w:val="1"/>
          <w:bCs w:val="1"/>
          <w:color w:val="auto"/>
        </w:rPr>
        <w:t>profit for loss</w:t>
      </w:r>
    </w:p>
    <w:p>
      <w:pPr>
        <w:spacing w:after="0" w:line="20" w:lineRule="exact"/>
        <w:rPr>
          <w:sz w:val="20"/>
          <w:szCs w:val="20"/>
          <w:color w:val="auto"/>
        </w:rPr>
      </w:pPr>
      <w:r>
        <w:rPr>
          <w:sz w:val="20"/>
          <w:szCs w:val="20"/>
          <w:color w:val="auto"/>
        </w:rPr>
        <w:br w:type="column"/>
      </w:r>
    </w:p>
    <w:p>
      <w:pPr>
        <w:jc w:val="center"/>
        <w:ind w:right="3440"/>
        <w:spacing w:after="0"/>
        <w:rPr>
          <w:sz w:val="20"/>
          <w:szCs w:val="20"/>
          <w:color w:val="auto"/>
        </w:rPr>
      </w:pPr>
      <w:r>
        <w:rPr>
          <w:rFonts w:ascii="Arial" w:cs="Arial" w:eastAsia="Arial" w:hAnsi="Arial"/>
          <w:sz w:val="10"/>
          <w:szCs w:val="10"/>
          <w:b w:val="1"/>
          <w:bCs w:val="1"/>
          <w:color w:val="auto"/>
        </w:rPr>
        <w:t>Designated at fair value through</w:t>
      </w:r>
    </w:p>
    <w:p>
      <w:pPr>
        <w:spacing w:after="0" w:line="11" w:lineRule="exact"/>
        <w:rPr>
          <w:sz w:val="20"/>
          <w:szCs w:val="20"/>
          <w:color w:val="auto"/>
        </w:rPr>
      </w:pPr>
    </w:p>
    <w:p>
      <w:pPr>
        <w:jc w:val="center"/>
        <w:ind w:right="3420"/>
        <w:spacing w:after="0"/>
        <w:rPr>
          <w:sz w:val="20"/>
          <w:szCs w:val="20"/>
          <w:color w:val="auto"/>
        </w:rPr>
      </w:pPr>
      <w:r>
        <w:rPr>
          <w:rFonts w:ascii="Arial" w:cs="Arial" w:eastAsia="Arial" w:hAnsi="Arial"/>
          <w:sz w:val="12"/>
          <w:szCs w:val="12"/>
          <w:b w:val="1"/>
          <w:bCs w:val="1"/>
          <w:color w:val="auto"/>
        </w:rPr>
        <w:t>profit for loss</w:t>
      </w:r>
    </w:p>
    <w:p>
      <w:pPr>
        <w:spacing w:after="0" w:line="1" w:lineRule="exact"/>
        <w:rPr>
          <w:sz w:val="20"/>
          <w:szCs w:val="20"/>
          <w:color w:val="auto"/>
        </w:rPr>
      </w:pPr>
    </w:p>
    <w:p>
      <w:pPr>
        <w:sectPr>
          <w:pgSz w:w="11900" w:h="16838" w:orient="portrait"/>
          <w:cols w:equalWidth="0" w:num="2">
            <w:col w:w="5580" w:space="720"/>
            <w:col w:w="5120"/>
          </w:cols>
          <w:pgMar w:left="240" w:top="881" w:right="239" w:bottom="1440" w:gutter="0" w:footer="0" w:header="0"/>
          <w:type w:val="continuous"/>
        </w:sectPr>
      </w:pPr>
    </w:p>
    <w:tbl>
      <w:tblPr>
        <w:tblLayout w:type="fixed"/>
        <w:tblInd w:w="0" w:type="dxa"/>
        <w:tblCellMar>
          <w:top w:w="0" w:type="dxa"/>
          <w:left w:w="0" w:type="dxa"/>
          <w:bottom w:w="0" w:type="dxa"/>
          <w:right w:w="0" w:type="dxa"/>
        </w:tblCellMar>
      </w:tblPr>
      <w:tr>
        <w:trPr>
          <w:trHeight w:val="105"/>
        </w:trPr>
        <w:tc>
          <w:tcPr>
            <w:tcW w:w="1140" w:type="dxa"/>
            <w:vAlign w:val="bottom"/>
          </w:tcPr>
          <w:p>
            <w:pPr>
              <w:spacing w:after="0"/>
              <w:rPr>
                <w:sz w:val="9"/>
                <w:szCs w:val="9"/>
                <w:color w:val="auto"/>
              </w:rPr>
            </w:pPr>
          </w:p>
        </w:tc>
        <w:tc>
          <w:tcPr>
            <w:tcW w:w="1000" w:type="dxa"/>
            <w:vAlign w:val="bottom"/>
            <w:tcBorders>
              <w:top w:val="single" w:sz="8" w:color="auto"/>
            </w:tcBorders>
            <w:gridSpan w:val="2"/>
          </w:tcPr>
          <w:p>
            <w:pPr>
              <w:jc w:val="right"/>
              <w:ind w:right="440"/>
              <w:spacing w:after="0" w:line="105" w:lineRule="exact"/>
              <w:rPr>
                <w:sz w:val="20"/>
                <w:szCs w:val="20"/>
                <w:color w:val="auto"/>
              </w:rPr>
            </w:pPr>
            <w:r>
              <w:rPr>
                <w:rFonts w:ascii="Arial" w:cs="Arial" w:eastAsia="Arial" w:hAnsi="Arial"/>
                <w:sz w:val="12"/>
                <w:szCs w:val="12"/>
                <w:b w:val="1"/>
                <w:bCs w:val="1"/>
                <w:color w:val="auto"/>
              </w:rPr>
              <w:t>Held for</w:t>
            </w:r>
          </w:p>
        </w:tc>
        <w:tc>
          <w:tcPr>
            <w:tcW w:w="720" w:type="dxa"/>
            <w:vAlign w:val="bottom"/>
            <w:tcBorders>
              <w:top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840" w:type="dxa"/>
            <w:vAlign w:val="bottom"/>
            <w:gridSpan w:val="2"/>
          </w:tcPr>
          <w:p>
            <w:pPr>
              <w:jc w:val="right"/>
              <w:ind w:right="200"/>
              <w:spacing w:after="0" w:line="105" w:lineRule="exact"/>
              <w:rPr>
                <w:sz w:val="20"/>
                <w:szCs w:val="20"/>
                <w:color w:val="auto"/>
              </w:rPr>
            </w:pPr>
            <w:r>
              <w:rPr>
                <w:rFonts w:ascii="Arial" w:cs="Arial" w:eastAsia="Arial" w:hAnsi="Arial"/>
                <w:sz w:val="12"/>
                <w:szCs w:val="12"/>
                <w:b w:val="1"/>
                <w:bCs w:val="1"/>
                <w:color w:val="auto"/>
                <w:w w:val="88"/>
              </w:rPr>
              <w:t>Investments</w:t>
            </w:r>
          </w:p>
        </w:tc>
        <w:tc>
          <w:tcPr>
            <w:tcW w:w="800" w:type="dxa"/>
            <w:vAlign w:val="bottom"/>
            <w:gridSpan w:val="2"/>
          </w:tcPr>
          <w:p>
            <w:pPr>
              <w:jc w:val="center"/>
              <w:ind w:right="140"/>
              <w:spacing w:after="0" w:line="105" w:lineRule="exact"/>
              <w:rPr>
                <w:sz w:val="20"/>
                <w:szCs w:val="20"/>
                <w:color w:val="auto"/>
              </w:rPr>
            </w:pPr>
            <w:r>
              <w:rPr>
                <w:rFonts w:ascii="Arial" w:cs="Arial" w:eastAsia="Arial" w:hAnsi="Arial"/>
                <w:sz w:val="12"/>
                <w:szCs w:val="12"/>
                <w:b w:val="1"/>
                <w:bCs w:val="1"/>
                <w:color w:val="auto"/>
                <w:w w:val="88"/>
              </w:rPr>
              <w:t>Investments</w:t>
            </w:r>
          </w:p>
        </w:tc>
        <w:tc>
          <w:tcPr>
            <w:tcW w:w="7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0" w:type="dxa"/>
            <w:vAlign w:val="bottom"/>
            <w:tcBorders>
              <w:top w:val="single" w:sz="8" w:color="auto"/>
            </w:tcBorders>
            <w:gridSpan w:val="2"/>
          </w:tcPr>
          <w:p>
            <w:pPr>
              <w:jc w:val="right"/>
              <w:ind w:right="440"/>
              <w:spacing w:after="0" w:line="105" w:lineRule="exact"/>
              <w:rPr>
                <w:sz w:val="20"/>
                <w:szCs w:val="20"/>
                <w:color w:val="auto"/>
              </w:rPr>
            </w:pPr>
            <w:r>
              <w:rPr>
                <w:rFonts w:ascii="Arial" w:cs="Arial" w:eastAsia="Arial" w:hAnsi="Arial"/>
                <w:sz w:val="12"/>
                <w:szCs w:val="12"/>
                <w:b w:val="1"/>
                <w:bCs w:val="1"/>
                <w:color w:val="auto"/>
              </w:rPr>
              <w:t>Held for</w:t>
            </w:r>
          </w:p>
        </w:tc>
        <w:tc>
          <w:tcPr>
            <w:tcW w:w="700" w:type="dxa"/>
            <w:vAlign w:val="bottom"/>
            <w:tcBorders>
              <w:top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7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60" w:type="dxa"/>
            <w:vAlign w:val="bottom"/>
            <w:gridSpan w:val="2"/>
          </w:tcPr>
          <w:p>
            <w:pPr>
              <w:ind w:left="20"/>
              <w:spacing w:after="0" w:line="105" w:lineRule="exact"/>
              <w:rPr>
                <w:sz w:val="20"/>
                <w:szCs w:val="20"/>
                <w:color w:val="auto"/>
              </w:rPr>
            </w:pPr>
            <w:r>
              <w:rPr>
                <w:rFonts w:ascii="Arial" w:cs="Arial" w:eastAsia="Arial" w:hAnsi="Arial"/>
                <w:sz w:val="12"/>
                <w:szCs w:val="12"/>
                <w:b w:val="1"/>
                <w:bCs w:val="1"/>
                <w:color w:val="auto"/>
              </w:rPr>
              <w:t>Investments</w:t>
            </w:r>
          </w:p>
        </w:tc>
        <w:tc>
          <w:tcPr>
            <w:tcW w:w="800" w:type="dxa"/>
            <w:vAlign w:val="bottom"/>
            <w:gridSpan w:val="2"/>
          </w:tcPr>
          <w:p>
            <w:pPr>
              <w:jc w:val="center"/>
              <w:ind w:right="160"/>
              <w:spacing w:after="0" w:line="105" w:lineRule="exact"/>
              <w:rPr>
                <w:sz w:val="20"/>
                <w:szCs w:val="20"/>
                <w:color w:val="auto"/>
              </w:rPr>
            </w:pPr>
            <w:r>
              <w:rPr>
                <w:rFonts w:ascii="Arial" w:cs="Arial" w:eastAsia="Arial" w:hAnsi="Arial"/>
                <w:sz w:val="12"/>
                <w:szCs w:val="12"/>
                <w:b w:val="1"/>
                <w:bCs w:val="1"/>
                <w:color w:val="auto"/>
                <w:w w:val="91"/>
              </w:rPr>
              <w:t>Investments</w:t>
            </w:r>
          </w:p>
        </w:tc>
        <w:tc>
          <w:tcPr>
            <w:tcW w:w="68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1140" w:type="dxa"/>
            <w:vAlign w:val="bottom"/>
          </w:tcPr>
          <w:p>
            <w:pPr>
              <w:spacing w:after="0"/>
              <w:rPr>
                <w:sz w:val="11"/>
                <w:szCs w:val="11"/>
                <w:color w:val="auto"/>
              </w:rPr>
            </w:pPr>
          </w:p>
        </w:tc>
        <w:tc>
          <w:tcPr>
            <w:tcW w:w="1000" w:type="dxa"/>
            <w:vAlign w:val="bottom"/>
            <w:gridSpan w:val="2"/>
          </w:tcPr>
          <w:p>
            <w:pPr>
              <w:jc w:val="right"/>
              <w:ind w:right="340"/>
              <w:spacing w:after="0" w:line="130" w:lineRule="exact"/>
              <w:rPr>
                <w:sz w:val="20"/>
                <w:szCs w:val="20"/>
                <w:color w:val="auto"/>
              </w:rPr>
            </w:pPr>
            <w:r>
              <w:rPr>
                <w:rFonts w:ascii="Arial" w:cs="Arial" w:eastAsia="Arial" w:hAnsi="Arial"/>
                <w:sz w:val="12"/>
                <w:szCs w:val="12"/>
                <w:b w:val="1"/>
                <w:bCs w:val="1"/>
                <w:color w:val="auto"/>
                <w:w w:val="97"/>
              </w:rPr>
              <w:t>trading and</w:t>
            </w: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Loans and</w:t>
            </w:r>
          </w:p>
        </w:tc>
        <w:tc>
          <w:tcPr>
            <w:tcW w:w="900" w:type="dxa"/>
            <w:vAlign w:val="bottom"/>
            <w:gridSpan w:val="3"/>
          </w:tcPr>
          <w:p>
            <w:pPr>
              <w:jc w:val="center"/>
              <w:ind w:right="80"/>
              <w:spacing w:after="0" w:line="130" w:lineRule="exact"/>
              <w:rPr>
                <w:sz w:val="20"/>
                <w:szCs w:val="20"/>
                <w:color w:val="auto"/>
              </w:rPr>
            </w:pPr>
            <w:r>
              <w:rPr>
                <w:rFonts w:ascii="Arial" w:cs="Arial" w:eastAsia="Arial" w:hAnsi="Arial"/>
                <w:sz w:val="12"/>
                <w:szCs w:val="12"/>
                <w:b w:val="1"/>
                <w:bCs w:val="1"/>
                <w:color w:val="auto"/>
                <w:w w:val="93"/>
              </w:rPr>
              <w:t>available-for-</w:t>
            </w:r>
          </w:p>
        </w:tc>
        <w:tc>
          <w:tcPr>
            <w:tcW w:w="800" w:type="dxa"/>
            <w:vAlign w:val="bottom"/>
            <w:gridSpan w:val="2"/>
          </w:tcPr>
          <w:p>
            <w:pPr>
              <w:jc w:val="center"/>
              <w:ind w:right="160"/>
              <w:spacing w:after="0" w:line="130" w:lineRule="exact"/>
              <w:rPr>
                <w:sz w:val="20"/>
                <w:szCs w:val="20"/>
                <w:color w:val="auto"/>
              </w:rPr>
            </w:pPr>
            <w:r>
              <w:rPr>
                <w:rFonts w:ascii="Arial" w:cs="Arial" w:eastAsia="Arial" w:hAnsi="Arial"/>
                <w:sz w:val="12"/>
                <w:szCs w:val="12"/>
                <w:b w:val="1"/>
                <w:bCs w:val="1"/>
                <w:color w:val="auto"/>
                <w:w w:val="90"/>
              </w:rPr>
              <w:t>held-to-</w:t>
            </w: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gridSpan w:val="2"/>
          </w:tcPr>
          <w:p>
            <w:pPr>
              <w:jc w:val="right"/>
              <w:ind w:right="360"/>
              <w:spacing w:after="0" w:line="130" w:lineRule="exact"/>
              <w:rPr>
                <w:sz w:val="20"/>
                <w:szCs w:val="20"/>
                <w:color w:val="auto"/>
              </w:rPr>
            </w:pPr>
            <w:r>
              <w:rPr>
                <w:rFonts w:ascii="Arial" w:cs="Arial" w:eastAsia="Arial" w:hAnsi="Arial"/>
                <w:sz w:val="12"/>
                <w:szCs w:val="12"/>
                <w:b w:val="1"/>
                <w:bCs w:val="1"/>
                <w:color w:val="auto"/>
                <w:w w:val="94"/>
              </w:rPr>
              <w:t>trading and</w:t>
            </w: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Loans and</w:t>
            </w:r>
          </w:p>
        </w:tc>
        <w:tc>
          <w:tcPr>
            <w:tcW w:w="860" w:type="dxa"/>
            <w:vAlign w:val="bottom"/>
            <w:gridSpan w:val="2"/>
          </w:tcPr>
          <w:p>
            <w:pPr>
              <w:jc w:val="center"/>
              <w:ind w:right="160"/>
              <w:spacing w:after="0" w:line="130" w:lineRule="exact"/>
              <w:rPr>
                <w:sz w:val="20"/>
                <w:szCs w:val="20"/>
                <w:color w:val="auto"/>
              </w:rPr>
            </w:pPr>
            <w:r>
              <w:rPr>
                <w:rFonts w:ascii="Arial" w:cs="Arial" w:eastAsia="Arial" w:hAnsi="Arial"/>
                <w:sz w:val="12"/>
                <w:szCs w:val="12"/>
                <w:b w:val="1"/>
                <w:bCs w:val="1"/>
                <w:color w:val="auto"/>
                <w:w w:val="93"/>
              </w:rPr>
              <w:t>available-for-</w:t>
            </w:r>
          </w:p>
        </w:tc>
        <w:tc>
          <w:tcPr>
            <w:tcW w:w="800" w:type="dxa"/>
            <w:vAlign w:val="bottom"/>
            <w:gridSpan w:val="2"/>
          </w:tcPr>
          <w:p>
            <w:pPr>
              <w:jc w:val="center"/>
              <w:ind w:right="160"/>
              <w:spacing w:after="0" w:line="130" w:lineRule="exact"/>
              <w:rPr>
                <w:sz w:val="20"/>
                <w:szCs w:val="20"/>
                <w:color w:val="auto"/>
              </w:rPr>
            </w:pPr>
            <w:r>
              <w:rPr>
                <w:rFonts w:ascii="Arial" w:cs="Arial" w:eastAsia="Arial" w:hAnsi="Arial"/>
                <w:sz w:val="12"/>
                <w:szCs w:val="12"/>
                <w:b w:val="1"/>
                <w:bCs w:val="1"/>
                <w:color w:val="auto"/>
                <w:w w:val="90"/>
              </w:rPr>
              <w:t>held-to-</w:t>
            </w: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140" w:type="dxa"/>
            <w:vAlign w:val="bottom"/>
          </w:tcPr>
          <w:p>
            <w:pPr>
              <w:spacing w:after="0"/>
              <w:rPr>
                <w:sz w:val="12"/>
                <w:szCs w:val="12"/>
                <w:color w:val="auto"/>
              </w:rPr>
            </w:pPr>
          </w:p>
        </w:tc>
        <w:tc>
          <w:tcPr>
            <w:tcW w:w="1000" w:type="dxa"/>
            <w:vAlign w:val="bottom"/>
            <w:gridSpan w:val="2"/>
          </w:tcPr>
          <w:p>
            <w:pPr>
              <w:jc w:val="right"/>
              <w:ind w:right="420"/>
              <w:spacing w:after="0"/>
              <w:rPr>
                <w:sz w:val="20"/>
                <w:szCs w:val="20"/>
                <w:color w:val="auto"/>
              </w:rPr>
            </w:pPr>
            <w:r>
              <w:rPr>
                <w:rFonts w:ascii="Arial" w:cs="Arial" w:eastAsia="Arial" w:hAnsi="Arial"/>
                <w:sz w:val="12"/>
                <w:szCs w:val="12"/>
                <w:b w:val="1"/>
                <w:bCs w:val="1"/>
                <w:color w:val="auto"/>
              </w:rPr>
              <w:t>hedging</w:t>
            </w:r>
          </w:p>
        </w:tc>
        <w:tc>
          <w:tcPr>
            <w:tcW w:w="860" w:type="dxa"/>
            <w:vAlign w:val="bottom"/>
            <w:gridSpan w:val="2"/>
          </w:tcPr>
          <w:p>
            <w:pPr>
              <w:jc w:val="right"/>
              <w:ind w:right="180"/>
              <w:spacing w:after="0"/>
              <w:rPr>
                <w:sz w:val="20"/>
                <w:szCs w:val="20"/>
                <w:color w:val="auto"/>
              </w:rPr>
            </w:pPr>
            <w:r>
              <w:rPr>
                <w:rFonts w:ascii="Arial" w:cs="Arial" w:eastAsia="Arial" w:hAnsi="Arial"/>
                <w:sz w:val="12"/>
                <w:szCs w:val="12"/>
                <w:b w:val="1"/>
                <w:bCs w:val="1"/>
                <w:color w:val="auto"/>
                <w:w w:val="95"/>
              </w:rPr>
              <w:t>At inception</w:t>
            </w: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receivables</w:t>
            </w:r>
          </w:p>
        </w:tc>
        <w:tc>
          <w:tcPr>
            <w:tcW w:w="60" w:type="dxa"/>
            <w:vAlign w:val="bottom"/>
          </w:tcPr>
          <w:p>
            <w:pPr>
              <w:spacing w:after="0"/>
              <w:rPr>
                <w:sz w:val="12"/>
                <w:szCs w:val="12"/>
                <w:color w:val="auto"/>
              </w:rPr>
            </w:pPr>
          </w:p>
        </w:tc>
        <w:tc>
          <w:tcPr>
            <w:tcW w:w="840" w:type="dxa"/>
            <w:vAlign w:val="bottom"/>
            <w:gridSpan w:val="2"/>
          </w:tcPr>
          <w:p>
            <w:pPr>
              <w:jc w:val="center"/>
              <w:ind w:right="160"/>
              <w:spacing w:after="0"/>
              <w:rPr>
                <w:sz w:val="20"/>
                <w:szCs w:val="20"/>
                <w:color w:val="auto"/>
              </w:rPr>
            </w:pPr>
            <w:r>
              <w:rPr>
                <w:rFonts w:ascii="Arial" w:cs="Arial" w:eastAsia="Arial" w:hAnsi="Arial"/>
                <w:sz w:val="12"/>
                <w:szCs w:val="12"/>
                <w:b w:val="1"/>
                <w:bCs w:val="1"/>
                <w:color w:val="auto"/>
                <w:w w:val="85"/>
              </w:rPr>
              <w:t>sale</w:t>
            </w:r>
          </w:p>
        </w:tc>
        <w:tc>
          <w:tcPr>
            <w:tcW w:w="800" w:type="dxa"/>
            <w:vAlign w:val="bottom"/>
            <w:gridSpan w:val="2"/>
          </w:tcPr>
          <w:p>
            <w:pPr>
              <w:jc w:val="center"/>
              <w:ind w:right="140"/>
              <w:spacing w:after="0"/>
              <w:rPr>
                <w:sz w:val="20"/>
                <w:szCs w:val="20"/>
                <w:color w:val="auto"/>
              </w:rPr>
            </w:pPr>
            <w:r>
              <w:rPr>
                <w:rFonts w:ascii="Arial" w:cs="Arial" w:eastAsia="Arial" w:hAnsi="Arial"/>
                <w:sz w:val="12"/>
                <w:szCs w:val="12"/>
                <w:b w:val="1"/>
                <w:bCs w:val="1"/>
                <w:color w:val="auto"/>
                <w:w w:val="97"/>
              </w:rPr>
              <w:t>maturity</w:t>
            </w:r>
          </w:p>
        </w:tc>
        <w:tc>
          <w:tcPr>
            <w:tcW w:w="860" w:type="dxa"/>
            <w:vAlign w:val="bottom"/>
            <w:gridSpan w:val="2"/>
          </w:tcPr>
          <w:p>
            <w:pPr>
              <w:ind w:left="220"/>
              <w:spacing w:after="0"/>
              <w:rPr>
                <w:sz w:val="20"/>
                <w:szCs w:val="20"/>
                <w:color w:val="auto"/>
              </w:rPr>
            </w:pPr>
            <w:r>
              <w:rPr>
                <w:rFonts w:ascii="Arial" w:cs="Arial" w:eastAsia="Arial" w:hAnsi="Arial"/>
                <w:sz w:val="12"/>
                <w:szCs w:val="12"/>
                <w:b w:val="1"/>
                <w:bCs w:val="1"/>
                <w:color w:val="auto"/>
              </w:rPr>
              <w:t>Total</w:t>
            </w:r>
          </w:p>
        </w:tc>
        <w:tc>
          <w:tcPr>
            <w:tcW w:w="1000" w:type="dxa"/>
            <w:vAlign w:val="bottom"/>
            <w:gridSpan w:val="2"/>
          </w:tcPr>
          <w:p>
            <w:pPr>
              <w:jc w:val="right"/>
              <w:ind w:right="440"/>
              <w:spacing w:after="0"/>
              <w:rPr>
                <w:sz w:val="20"/>
                <w:szCs w:val="20"/>
                <w:color w:val="auto"/>
              </w:rPr>
            </w:pPr>
            <w:r>
              <w:rPr>
                <w:rFonts w:ascii="Arial" w:cs="Arial" w:eastAsia="Arial" w:hAnsi="Arial"/>
                <w:sz w:val="12"/>
                <w:szCs w:val="12"/>
                <w:b w:val="1"/>
                <w:bCs w:val="1"/>
                <w:color w:val="auto"/>
              </w:rPr>
              <w:t>hedging</w:t>
            </w:r>
          </w:p>
        </w:tc>
        <w:tc>
          <w:tcPr>
            <w:tcW w:w="860" w:type="dxa"/>
            <w:vAlign w:val="bottom"/>
            <w:gridSpan w:val="2"/>
          </w:tcPr>
          <w:p>
            <w:pPr>
              <w:jc w:val="center"/>
              <w:ind w:right="160"/>
              <w:spacing w:after="0"/>
              <w:rPr>
                <w:sz w:val="20"/>
                <w:szCs w:val="20"/>
                <w:color w:val="auto"/>
              </w:rPr>
            </w:pPr>
            <w:r>
              <w:rPr>
                <w:rFonts w:ascii="Arial" w:cs="Arial" w:eastAsia="Arial" w:hAnsi="Arial"/>
                <w:sz w:val="12"/>
                <w:szCs w:val="12"/>
                <w:b w:val="1"/>
                <w:bCs w:val="1"/>
                <w:color w:val="auto"/>
                <w:w w:val="89"/>
              </w:rPr>
              <w:t>At inception</w:t>
            </w:r>
          </w:p>
        </w:tc>
        <w:tc>
          <w:tcPr>
            <w:tcW w:w="840" w:type="dxa"/>
            <w:vAlign w:val="bottom"/>
            <w:gridSpan w:val="2"/>
          </w:tcPr>
          <w:p>
            <w:pPr>
              <w:ind w:left="60"/>
              <w:spacing w:after="0"/>
              <w:rPr>
                <w:sz w:val="20"/>
                <w:szCs w:val="20"/>
                <w:color w:val="auto"/>
              </w:rPr>
            </w:pPr>
            <w:r>
              <w:rPr>
                <w:rFonts w:ascii="Arial" w:cs="Arial" w:eastAsia="Arial" w:hAnsi="Arial"/>
                <w:sz w:val="12"/>
                <w:szCs w:val="12"/>
                <w:b w:val="1"/>
                <w:bCs w:val="1"/>
                <w:color w:val="auto"/>
              </w:rPr>
              <w:t>receivables</w:t>
            </w:r>
          </w:p>
        </w:tc>
        <w:tc>
          <w:tcPr>
            <w:tcW w:w="860" w:type="dxa"/>
            <w:vAlign w:val="bottom"/>
            <w:gridSpan w:val="2"/>
          </w:tcPr>
          <w:p>
            <w:pPr>
              <w:jc w:val="center"/>
              <w:ind w:right="160"/>
              <w:spacing w:after="0"/>
              <w:rPr>
                <w:sz w:val="20"/>
                <w:szCs w:val="20"/>
                <w:color w:val="auto"/>
              </w:rPr>
            </w:pPr>
            <w:r>
              <w:rPr>
                <w:rFonts w:ascii="Arial" w:cs="Arial" w:eastAsia="Arial" w:hAnsi="Arial"/>
                <w:sz w:val="12"/>
                <w:szCs w:val="12"/>
                <w:b w:val="1"/>
                <w:bCs w:val="1"/>
                <w:color w:val="auto"/>
                <w:w w:val="76"/>
              </w:rPr>
              <w:t>sale</w:t>
            </w:r>
          </w:p>
        </w:tc>
        <w:tc>
          <w:tcPr>
            <w:tcW w:w="800" w:type="dxa"/>
            <w:vAlign w:val="bottom"/>
            <w:gridSpan w:val="2"/>
          </w:tcPr>
          <w:p>
            <w:pPr>
              <w:jc w:val="center"/>
              <w:ind w:right="180"/>
              <w:spacing w:after="0"/>
              <w:rPr>
                <w:sz w:val="20"/>
                <w:szCs w:val="20"/>
                <w:color w:val="auto"/>
              </w:rPr>
            </w:pPr>
            <w:r>
              <w:rPr>
                <w:rFonts w:ascii="Arial" w:cs="Arial" w:eastAsia="Arial" w:hAnsi="Arial"/>
                <w:sz w:val="12"/>
                <w:szCs w:val="12"/>
                <w:b w:val="1"/>
                <w:bCs w:val="1"/>
                <w:color w:val="auto"/>
                <w:w w:val="97"/>
              </w:rPr>
              <w:t>maturity</w:t>
            </w:r>
          </w:p>
        </w:tc>
        <w:tc>
          <w:tcPr>
            <w:tcW w:w="760" w:type="dxa"/>
            <w:vAlign w:val="bottom"/>
            <w:gridSpan w:val="3"/>
          </w:tcPr>
          <w:p>
            <w:pPr>
              <w:ind w:left="200"/>
              <w:spacing w:after="0"/>
              <w:rPr>
                <w:sz w:val="20"/>
                <w:szCs w:val="20"/>
                <w:color w:val="auto"/>
              </w:rPr>
            </w:pPr>
            <w:r>
              <w:rPr>
                <w:rFonts w:ascii="Arial" w:cs="Arial" w:eastAsia="Arial" w:hAnsi="Arial"/>
                <w:sz w:val="12"/>
                <w:szCs w:val="12"/>
                <w:b w:val="1"/>
                <w:bCs w:val="1"/>
                <w:color w:val="auto"/>
              </w:rPr>
              <w:t>Total</w:t>
            </w:r>
          </w:p>
        </w:tc>
        <w:tc>
          <w:tcPr>
            <w:tcW w:w="0" w:type="dxa"/>
            <w:vAlign w:val="bottom"/>
          </w:tcPr>
          <w:p>
            <w:pPr>
              <w:spacing w:after="0"/>
              <w:rPr>
                <w:sz w:val="1"/>
                <w:szCs w:val="1"/>
                <w:color w:val="auto"/>
              </w:rPr>
            </w:pPr>
          </w:p>
        </w:tc>
      </w:tr>
      <w:tr>
        <w:trPr>
          <w:trHeight w:val="151"/>
        </w:trPr>
        <w:tc>
          <w:tcPr>
            <w:tcW w:w="1140" w:type="dxa"/>
            <w:vAlign w:val="bottom"/>
          </w:tcPr>
          <w:p>
            <w:pPr>
              <w:spacing w:after="0"/>
              <w:rPr>
                <w:sz w:val="13"/>
                <w:szCs w:val="13"/>
                <w:color w:val="auto"/>
              </w:rPr>
            </w:pPr>
          </w:p>
        </w:tc>
        <w:tc>
          <w:tcPr>
            <w:tcW w:w="720" w:type="dxa"/>
            <w:vAlign w:val="bottom"/>
            <w:tcBorders>
              <w:top w:val="single" w:sz="8" w:color="auto"/>
            </w:tcBorders>
          </w:tcPr>
          <w:p>
            <w:pPr>
              <w:jc w:val="right"/>
              <w:ind w:right="119"/>
              <w:spacing w:after="0"/>
              <w:rPr>
                <w:sz w:val="20"/>
                <w:szCs w:val="20"/>
                <w:color w:val="auto"/>
              </w:rPr>
            </w:pPr>
            <w:r>
              <w:rPr>
                <w:rFonts w:ascii="Arial" w:cs="Arial" w:eastAsia="Arial" w:hAnsi="Arial"/>
                <w:sz w:val="12"/>
                <w:szCs w:val="12"/>
                <w:b w:val="1"/>
                <w:bCs w:val="1"/>
                <w:color w:val="auto"/>
              </w:rPr>
              <w:t>S/(000)</w:t>
            </w:r>
          </w:p>
        </w:tc>
        <w:tc>
          <w:tcPr>
            <w:tcW w:w="280" w:type="dxa"/>
            <w:vAlign w:val="bottom"/>
          </w:tcPr>
          <w:p>
            <w:pPr>
              <w:spacing w:after="0"/>
              <w:rPr>
                <w:sz w:val="13"/>
                <w:szCs w:val="13"/>
                <w:color w:val="auto"/>
              </w:rPr>
            </w:pPr>
          </w:p>
        </w:tc>
        <w:tc>
          <w:tcPr>
            <w:tcW w:w="720" w:type="dxa"/>
            <w:vAlign w:val="bottom"/>
            <w:tcBorders>
              <w:top w:val="single" w:sz="8" w:color="auto"/>
            </w:tcBorders>
          </w:tcPr>
          <w:p>
            <w:pPr>
              <w:jc w:val="right"/>
              <w:ind w:right="119"/>
              <w:spacing w:after="0"/>
              <w:rPr>
                <w:sz w:val="20"/>
                <w:szCs w:val="20"/>
                <w:color w:val="auto"/>
              </w:rPr>
            </w:pPr>
            <w:r>
              <w:rPr>
                <w:rFonts w:ascii="Arial" w:cs="Arial" w:eastAsia="Arial" w:hAnsi="Arial"/>
                <w:sz w:val="12"/>
                <w:szCs w:val="12"/>
                <w:b w:val="1"/>
                <w:bCs w:val="1"/>
                <w:color w:val="auto"/>
              </w:rPr>
              <w:t>S/(000)</w:t>
            </w:r>
          </w:p>
        </w:tc>
        <w:tc>
          <w:tcPr>
            <w:tcW w:w="140" w:type="dxa"/>
            <w:vAlign w:val="bottom"/>
          </w:tcPr>
          <w:p>
            <w:pPr>
              <w:spacing w:after="0"/>
              <w:rPr>
                <w:sz w:val="13"/>
                <w:szCs w:val="13"/>
                <w:color w:val="auto"/>
              </w:rPr>
            </w:pPr>
          </w:p>
        </w:tc>
        <w:tc>
          <w:tcPr>
            <w:tcW w:w="660" w:type="dxa"/>
            <w:vAlign w:val="bottom"/>
            <w:tcBorders>
              <w:top w:val="single" w:sz="8" w:color="auto"/>
            </w:tcBorders>
          </w:tcPr>
          <w:p>
            <w:pPr>
              <w:ind w:left="140"/>
              <w:spacing w:after="0"/>
              <w:rPr>
                <w:sz w:val="20"/>
                <w:szCs w:val="20"/>
                <w:color w:val="auto"/>
              </w:rPr>
            </w:pPr>
            <w:r>
              <w:rPr>
                <w:rFonts w:ascii="Arial" w:cs="Arial" w:eastAsia="Arial" w:hAnsi="Arial"/>
                <w:sz w:val="12"/>
                <w:szCs w:val="12"/>
                <w:b w:val="1"/>
                <w:bCs w:val="1"/>
                <w:color w:val="auto"/>
              </w:rPr>
              <w:t>S/(000)</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Borders>
              <w:top w:val="single" w:sz="8" w:color="auto"/>
            </w:tcBorders>
          </w:tcPr>
          <w:p>
            <w:pPr>
              <w:jc w:val="center"/>
              <w:spacing w:after="0"/>
              <w:rPr>
                <w:sz w:val="20"/>
                <w:szCs w:val="20"/>
                <w:color w:val="auto"/>
              </w:rPr>
            </w:pPr>
            <w:r>
              <w:rPr>
                <w:rFonts w:ascii="Arial" w:cs="Arial" w:eastAsia="Arial" w:hAnsi="Arial"/>
                <w:sz w:val="12"/>
                <w:szCs w:val="12"/>
                <w:b w:val="1"/>
                <w:bCs w:val="1"/>
                <w:color w:val="auto"/>
                <w:w w:val="91"/>
              </w:rPr>
              <w:t>S/(000)</w:t>
            </w:r>
          </w:p>
        </w:tc>
        <w:tc>
          <w:tcPr>
            <w:tcW w:w="160" w:type="dxa"/>
            <w:vAlign w:val="bottom"/>
          </w:tcPr>
          <w:p>
            <w:pPr>
              <w:spacing w:after="0"/>
              <w:rPr>
                <w:sz w:val="13"/>
                <w:szCs w:val="13"/>
                <w:color w:val="auto"/>
              </w:rPr>
            </w:pPr>
          </w:p>
        </w:tc>
        <w:tc>
          <w:tcPr>
            <w:tcW w:w="660" w:type="dxa"/>
            <w:vAlign w:val="bottom"/>
            <w:tcBorders>
              <w:top w:val="single" w:sz="8" w:color="auto"/>
            </w:tcBorders>
          </w:tcPr>
          <w:p>
            <w:pPr>
              <w:jc w:val="center"/>
              <w:spacing w:after="0"/>
              <w:rPr>
                <w:sz w:val="20"/>
                <w:szCs w:val="20"/>
                <w:color w:val="auto"/>
              </w:rPr>
            </w:pPr>
            <w:r>
              <w:rPr>
                <w:rFonts w:ascii="Arial" w:cs="Arial" w:eastAsia="Arial" w:hAnsi="Arial"/>
                <w:sz w:val="12"/>
                <w:szCs w:val="12"/>
                <w:b w:val="1"/>
                <w:bCs w:val="1"/>
                <w:color w:val="auto"/>
                <w:w w:val="91"/>
              </w:rPr>
              <w:t>S/(000)</w:t>
            </w:r>
          </w:p>
        </w:tc>
        <w:tc>
          <w:tcPr>
            <w:tcW w:w="140" w:type="dxa"/>
            <w:vAlign w:val="bottom"/>
          </w:tcPr>
          <w:p>
            <w:pPr>
              <w:spacing w:after="0"/>
              <w:rPr>
                <w:sz w:val="13"/>
                <w:szCs w:val="13"/>
                <w:color w:val="auto"/>
              </w:rPr>
            </w:pPr>
          </w:p>
        </w:tc>
        <w:tc>
          <w:tcPr>
            <w:tcW w:w="700" w:type="dxa"/>
            <w:vAlign w:val="bottom"/>
            <w:tcBorders>
              <w:top w:val="single" w:sz="8" w:color="auto"/>
            </w:tcBorders>
          </w:tcPr>
          <w:p>
            <w:pPr>
              <w:jc w:val="right"/>
              <w:ind w:right="99"/>
              <w:spacing w:after="0"/>
              <w:rPr>
                <w:sz w:val="20"/>
                <w:szCs w:val="20"/>
                <w:color w:val="auto"/>
              </w:rPr>
            </w:pPr>
            <w:r>
              <w:rPr>
                <w:rFonts w:ascii="Arial" w:cs="Arial" w:eastAsia="Arial" w:hAnsi="Arial"/>
                <w:sz w:val="12"/>
                <w:szCs w:val="12"/>
                <w:b w:val="1"/>
                <w:bCs w:val="1"/>
                <w:color w:val="auto"/>
              </w:rPr>
              <w:t>S/(000)</w:t>
            </w:r>
          </w:p>
        </w:tc>
        <w:tc>
          <w:tcPr>
            <w:tcW w:w="160" w:type="dxa"/>
            <w:vAlign w:val="bottom"/>
          </w:tcPr>
          <w:p>
            <w:pPr>
              <w:spacing w:after="0"/>
              <w:rPr>
                <w:sz w:val="13"/>
                <w:szCs w:val="13"/>
                <w:color w:val="auto"/>
              </w:rPr>
            </w:pPr>
          </w:p>
        </w:tc>
        <w:tc>
          <w:tcPr>
            <w:tcW w:w="700" w:type="dxa"/>
            <w:vAlign w:val="bottom"/>
            <w:tcBorders>
              <w:top w:val="single" w:sz="8" w:color="auto"/>
            </w:tcBorders>
          </w:tcPr>
          <w:p>
            <w:pPr>
              <w:jc w:val="right"/>
              <w:ind w:right="99"/>
              <w:spacing w:after="0"/>
              <w:rPr>
                <w:sz w:val="20"/>
                <w:szCs w:val="20"/>
                <w:color w:val="auto"/>
              </w:rPr>
            </w:pPr>
            <w:r>
              <w:rPr>
                <w:rFonts w:ascii="Arial" w:cs="Arial" w:eastAsia="Arial" w:hAnsi="Arial"/>
                <w:sz w:val="12"/>
                <w:szCs w:val="12"/>
                <w:b w:val="1"/>
                <w:bCs w:val="1"/>
                <w:color w:val="auto"/>
              </w:rPr>
              <w:t>S/(000)</w:t>
            </w:r>
          </w:p>
        </w:tc>
        <w:tc>
          <w:tcPr>
            <w:tcW w:w="300" w:type="dxa"/>
            <w:vAlign w:val="bottom"/>
          </w:tcPr>
          <w:p>
            <w:pPr>
              <w:spacing w:after="0"/>
              <w:rPr>
                <w:sz w:val="13"/>
                <w:szCs w:val="13"/>
                <w:color w:val="auto"/>
              </w:rPr>
            </w:pPr>
          </w:p>
        </w:tc>
        <w:tc>
          <w:tcPr>
            <w:tcW w:w="700" w:type="dxa"/>
            <w:vAlign w:val="bottom"/>
            <w:tcBorders>
              <w:top w:val="single" w:sz="8" w:color="auto"/>
            </w:tcBorders>
          </w:tcPr>
          <w:p>
            <w:pPr>
              <w:jc w:val="center"/>
              <w:spacing w:after="0"/>
              <w:rPr>
                <w:sz w:val="20"/>
                <w:szCs w:val="20"/>
                <w:color w:val="auto"/>
              </w:rPr>
            </w:pPr>
            <w:r>
              <w:rPr>
                <w:rFonts w:ascii="Arial" w:cs="Arial" w:eastAsia="Arial" w:hAnsi="Arial"/>
                <w:sz w:val="12"/>
                <w:szCs w:val="12"/>
                <w:b w:val="1"/>
                <w:bCs w:val="1"/>
                <w:color w:val="auto"/>
                <w:w w:val="96"/>
              </w:rPr>
              <w:t>S/(000)</w:t>
            </w:r>
          </w:p>
        </w:tc>
        <w:tc>
          <w:tcPr>
            <w:tcW w:w="160" w:type="dxa"/>
            <w:vAlign w:val="bottom"/>
          </w:tcPr>
          <w:p>
            <w:pPr>
              <w:spacing w:after="0"/>
              <w:rPr>
                <w:sz w:val="13"/>
                <w:szCs w:val="13"/>
                <w:color w:val="auto"/>
              </w:rPr>
            </w:pPr>
          </w:p>
        </w:tc>
        <w:tc>
          <w:tcPr>
            <w:tcW w:w="700" w:type="dxa"/>
            <w:vAlign w:val="bottom"/>
            <w:tcBorders>
              <w:top w:val="single" w:sz="8" w:color="auto"/>
            </w:tcBorders>
          </w:tcPr>
          <w:p>
            <w:pPr>
              <w:jc w:val="right"/>
              <w:ind w:right="119"/>
              <w:spacing w:after="0"/>
              <w:rPr>
                <w:sz w:val="20"/>
                <w:szCs w:val="20"/>
                <w:color w:val="auto"/>
              </w:rPr>
            </w:pPr>
            <w:r>
              <w:rPr>
                <w:rFonts w:ascii="Arial" w:cs="Arial" w:eastAsia="Arial" w:hAnsi="Arial"/>
                <w:sz w:val="12"/>
                <w:szCs w:val="12"/>
                <w:b w:val="1"/>
                <w:bCs w:val="1"/>
                <w:color w:val="auto"/>
              </w:rPr>
              <w:t>S/(000)</w:t>
            </w:r>
          </w:p>
        </w:tc>
        <w:tc>
          <w:tcPr>
            <w:tcW w:w="140" w:type="dxa"/>
            <w:vAlign w:val="bottom"/>
          </w:tcPr>
          <w:p>
            <w:pPr>
              <w:spacing w:after="0"/>
              <w:rPr>
                <w:sz w:val="13"/>
                <w:szCs w:val="13"/>
                <w:color w:val="auto"/>
              </w:rPr>
            </w:pPr>
          </w:p>
        </w:tc>
        <w:tc>
          <w:tcPr>
            <w:tcW w:w="700" w:type="dxa"/>
            <w:vAlign w:val="bottom"/>
            <w:tcBorders>
              <w:top w:val="single" w:sz="8" w:color="auto"/>
            </w:tcBorders>
          </w:tcPr>
          <w:p>
            <w:pPr>
              <w:jc w:val="center"/>
              <w:spacing w:after="0"/>
              <w:rPr>
                <w:sz w:val="20"/>
                <w:szCs w:val="20"/>
                <w:color w:val="auto"/>
              </w:rPr>
            </w:pPr>
            <w:r>
              <w:rPr>
                <w:rFonts w:ascii="Arial" w:cs="Arial" w:eastAsia="Arial" w:hAnsi="Arial"/>
                <w:sz w:val="12"/>
                <w:szCs w:val="12"/>
                <w:b w:val="1"/>
                <w:bCs w:val="1"/>
                <w:color w:val="auto"/>
                <w:w w:val="91"/>
              </w:rPr>
              <w:t>S/(000)</w:t>
            </w:r>
          </w:p>
        </w:tc>
        <w:tc>
          <w:tcPr>
            <w:tcW w:w="160" w:type="dxa"/>
            <w:vAlign w:val="bottom"/>
          </w:tcPr>
          <w:p>
            <w:pPr>
              <w:spacing w:after="0"/>
              <w:rPr>
                <w:sz w:val="13"/>
                <w:szCs w:val="13"/>
                <w:color w:val="auto"/>
              </w:rPr>
            </w:pPr>
          </w:p>
        </w:tc>
        <w:tc>
          <w:tcPr>
            <w:tcW w:w="640" w:type="dxa"/>
            <w:vAlign w:val="bottom"/>
            <w:tcBorders>
              <w:top w:val="single" w:sz="8" w:color="auto"/>
            </w:tcBorders>
          </w:tcPr>
          <w:p>
            <w:pPr>
              <w:jc w:val="center"/>
              <w:spacing w:after="0"/>
              <w:rPr>
                <w:sz w:val="20"/>
                <w:szCs w:val="20"/>
                <w:color w:val="auto"/>
              </w:rPr>
            </w:pPr>
            <w:r>
              <w:rPr>
                <w:rFonts w:ascii="Arial" w:cs="Arial" w:eastAsia="Arial" w:hAnsi="Arial"/>
                <w:sz w:val="12"/>
                <w:szCs w:val="12"/>
                <w:b w:val="1"/>
                <w:bCs w:val="1"/>
                <w:color w:val="auto"/>
                <w:w w:val="91"/>
              </w:rPr>
              <w:t>S/(000)</w:t>
            </w:r>
          </w:p>
        </w:tc>
        <w:tc>
          <w:tcPr>
            <w:tcW w:w="160" w:type="dxa"/>
            <w:vAlign w:val="bottom"/>
          </w:tcPr>
          <w:p>
            <w:pPr>
              <w:spacing w:after="0"/>
              <w:rPr>
                <w:sz w:val="13"/>
                <w:szCs w:val="13"/>
                <w:color w:val="auto"/>
              </w:rPr>
            </w:pPr>
          </w:p>
        </w:tc>
        <w:tc>
          <w:tcPr>
            <w:tcW w:w="680" w:type="dxa"/>
            <w:vAlign w:val="bottom"/>
            <w:tcBorders>
              <w:top w:val="single" w:sz="8" w:color="auto"/>
            </w:tcBorders>
          </w:tcPr>
          <w:p>
            <w:pPr>
              <w:jc w:val="right"/>
              <w:ind w:right="99"/>
              <w:spacing w:after="0"/>
              <w:rPr>
                <w:sz w:val="20"/>
                <w:szCs w:val="20"/>
                <w:color w:val="auto"/>
              </w:rPr>
            </w:pPr>
            <w:r>
              <w:rPr>
                <w:rFonts w:ascii="Arial" w:cs="Arial" w:eastAsia="Arial" w:hAnsi="Arial"/>
                <w:sz w:val="12"/>
                <w:szCs w:val="12"/>
                <w:b w:val="1"/>
                <w:bCs w:val="1"/>
                <w:color w:val="auto"/>
              </w:rPr>
              <w:t>S/(000)</w:t>
            </w:r>
          </w:p>
        </w:tc>
        <w:tc>
          <w:tcPr>
            <w:tcW w:w="8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02"/>
        </w:trPr>
        <w:tc>
          <w:tcPr>
            <w:tcW w:w="1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280" w:type="dxa"/>
            <w:vAlign w:val="bottom"/>
          </w:tcPr>
          <w:p>
            <w:pPr>
              <w:spacing w:after="0"/>
              <w:rPr>
                <w:sz w:val="8"/>
                <w:szCs w:val="8"/>
                <w:color w:val="auto"/>
              </w:rPr>
            </w:pPr>
          </w:p>
        </w:tc>
        <w:tc>
          <w:tcPr>
            <w:tcW w:w="7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6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700" w:type="dxa"/>
            <w:vAlign w:val="bottom"/>
          </w:tcPr>
          <w:p>
            <w:pPr>
              <w:spacing w:after="0"/>
              <w:rPr>
                <w:sz w:val="8"/>
                <w:szCs w:val="8"/>
                <w:color w:val="auto"/>
              </w:rPr>
            </w:pPr>
          </w:p>
        </w:tc>
        <w:tc>
          <w:tcPr>
            <w:tcW w:w="160" w:type="dxa"/>
            <w:vAlign w:val="bottom"/>
          </w:tcPr>
          <w:p>
            <w:pPr>
              <w:spacing w:after="0"/>
              <w:rPr>
                <w:sz w:val="8"/>
                <w:szCs w:val="8"/>
                <w:color w:val="auto"/>
              </w:rPr>
            </w:pPr>
          </w:p>
        </w:tc>
        <w:tc>
          <w:tcPr>
            <w:tcW w:w="700" w:type="dxa"/>
            <w:vAlign w:val="bottom"/>
          </w:tcPr>
          <w:p>
            <w:pPr>
              <w:spacing w:after="0"/>
              <w:rPr>
                <w:sz w:val="8"/>
                <w:szCs w:val="8"/>
                <w:color w:val="auto"/>
              </w:rPr>
            </w:pPr>
          </w:p>
        </w:tc>
        <w:tc>
          <w:tcPr>
            <w:tcW w:w="3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60" w:type="dxa"/>
            <w:vAlign w:val="bottom"/>
          </w:tcPr>
          <w:p>
            <w:pPr>
              <w:spacing w:after="0"/>
              <w:rPr>
                <w:sz w:val="8"/>
                <w:szCs w:val="8"/>
                <w:color w:val="auto"/>
              </w:rPr>
            </w:pPr>
          </w:p>
        </w:tc>
        <w:tc>
          <w:tcPr>
            <w:tcW w:w="700" w:type="dxa"/>
            <w:vAlign w:val="bottom"/>
          </w:tcPr>
          <w:p>
            <w:pPr>
              <w:spacing w:after="0"/>
              <w:rPr>
                <w:sz w:val="8"/>
                <w:szCs w:val="8"/>
                <w:color w:val="auto"/>
              </w:rPr>
            </w:pPr>
          </w:p>
        </w:tc>
        <w:tc>
          <w:tcPr>
            <w:tcW w:w="140" w:type="dxa"/>
            <w:vAlign w:val="bottom"/>
          </w:tcPr>
          <w:p>
            <w:pPr>
              <w:spacing w:after="0"/>
              <w:rPr>
                <w:sz w:val="8"/>
                <w:szCs w:val="8"/>
                <w:color w:val="auto"/>
              </w:rPr>
            </w:pPr>
          </w:p>
        </w:tc>
        <w:tc>
          <w:tcPr>
            <w:tcW w:w="7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1140" w:type="dxa"/>
            <w:vAlign w:val="bottom"/>
            <w:shd w:val="clear" w:color="auto" w:fill="CCEEFF"/>
          </w:tcPr>
          <w:p>
            <w:pPr>
              <w:spacing w:after="0" w:line="130" w:lineRule="exact"/>
              <w:rPr>
                <w:sz w:val="20"/>
                <w:szCs w:val="20"/>
                <w:color w:val="auto"/>
              </w:rPr>
            </w:pPr>
            <w:r>
              <w:rPr>
                <w:rFonts w:ascii="Arial" w:cs="Arial" w:eastAsia="Arial" w:hAnsi="Arial"/>
                <w:sz w:val="12"/>
                <w:szCs w:val="12"/>
                <w:color w:val="auto"/>
              </w:rPr>
              <w:t>Peru</w:t>
            </w:r>
          </w:p>
        </w:tc>
        <w:tc>
          <w:tcPr>
            <w:tcW w:w="720" w:type="dxa"/>
            <w:vAlign w:val="bottom"/>
            <w:shd w:val="clear" w:color="auto" w:fill="CCEEFF"/>
          </w:tcPr>
          <w:p>
            <w:pPr>
              <w:jc w:val="right"/>
              <w:spacing w:after="0" w:line="130" w:lineRule="exact"/>
              <w:rPr>
                <w:sz w:val="20"/>
                <w:szCs w:val="20"/>
                <w:color w:val="auto"/>
              </w:rPr>
            </w:pPr>
            <w:r>
              <w:rPr>
                <w:rFonts w:ascii="Arial" w:cs="Arial" w:eastAsia="Arial" w:hAnsi="Arial"/>
                <w:sz w:val="12"/>
                <w:szCs w:val="12"/>
                <w:color w:val="auto"/>
              </w:rPr>
              <w:t>2,394,575</w:t>
            </w:r>
          </w:p>
        </w:tc>
        <w:tc>
          <w:tcPr>
            <w:tcW w:w="28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0" w:lineRule="exact"/>
              <w:rPr>
                <w:sz w:val="20"/>
                <w:szCs w:val="20"/>
                <w:color w:val="auto"/>
              </w:rPr>
            </w:pPr>
            <w:r>
              <w:rPr>
                <w:rFonts w:ascii="Arial" w:cs="Arial" w:eastAsia="Arial" w:hAnsi="Arial"/>
                <w:sz w:val="12"/>
                <w:szCs w:val="12"/>
                <w:color w:val="auto"/>
              </w:rPr>
              <w:t>118,396</w:t>
            </w:r>
          </w:p>
        </w:tc>
        <w:tc>
          <w:tcPr>
            <w:tcW w:w="14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80"/>
              <w:spacing w:after="0" w:line="130" w:lineRule="exact"/>
              <w:rPr>
                <w:sz w:val="20"/>
                <w:szCs w:val="20"/>
                <w:color w:val="auto"/>
              </w:rPr>
            </w:pPr>
            <w:r>
              <w:rPr>
                <w:rFonts w:ascii="Arial" w:cs="Arial" w:eastAsia="Arial" w:hAnsi="Arial"/>
                <w:sz w:val="12"/>
                <w:szCs w:val="12"/>
                <w:color w:val="auto"/>
                <w:w w:val="95"/>
              </w:rPr>
              <w:t>114,046,024</w:t>
            </w:r>
          </w:p>
        </w:tc>
        <w:tc>
          <w:tcPr>
            <w:tcW w:w="900" w:type="dxa"/>
            <w:vAlign w:val="bottom"/>
            <w:gridSpan w:val="3"/>
            <w:shd w:val="clear" w:color="auto" w:fill="CCEEFF"/>
          </w:tcPr>
          <w:p>
            <w:pPr>
              <w:jc w:val="right"/>
              <w:ind w:right="160"/>
              <w:spacing w:after="0" w:line="130" w:lineRule="exact"/>
              <w:rPr>
                <w:sz w:val="20"/>
                <w:szCs w:val="20"/>
                <w:color w:val="auto"/>
              </w:rPr>
            </w:pPr>
            <w:r>
              <w:rPr>
                <w:rFonts w:ascii="Arial" w:cs="Arial" w:eastAsia="Arial" w:hAnsi="Arial"/>
                <w:sz w:val="12"/>
                <w:szCs w:val="12"/>
                <w:color w:val="auto"/>
              </w:rPr>
              <w:t>17,324,374</w:t>
            </w:r>
          </w:p>
        </w:tc>
        <w:tc>
          <w:tcPr>
            <w:tcW w:w="800" w:type="dxa"/>
            <w:vAlign w:val="bottom"/>
            <w:gridSpan w:val="2"/>
            <w:shd w:val="clear" w:color="auto" w:fill="CCEEFF"/>
          </w:tcPr>
          <w:p>
            <w:pPr>
              <w:jc w:val="right"/>
              <w:ind w:right="140"/>
              <w:spacing w:after="0" w:line="130" w:lineRule="exact"/>
              <w:rPr>
                <w:sz w:val="20"/>
                <w:szCs w:val="20"/>
                <w:color w:val="auto"/>
              </w:rPr>
            </w:pPr>
            <w:r>
              <w:rPr>
                <w:rFonts w:ascii="Arial" w:cs="Arial" w:eastAsia="Arial" w:hAnsi="Arial"/>
                <w:sz w:val="12"/>
                <w:szCs w:val="12"/>
                <w:color w:val="auto"/>
              </w:rPr>
              <w:t>3,900,388</w:t>
            </w:r>
          </w:p>
        </w:tc>
        <w:tc>
          <w:tcPr>
            <w:tcW w:w="700" w:type="dxa"/>
            <w:vAlign w:val="bottom"/>
            <w:shd w:val="clear" w:color="auto" w:fill="CCEEFF"/>
          </w:tcPr>
          <w:p>
            <w:pPr>
              <w:jc w:val="right"/>
              <w:spacing w:after="0" w:line="130" w:lineRule="exact"/>
              <w:rPr>
                <w:sz w:val="20"/>
                <w:szCs w:val="20"/>
                <w:color w:val="auto"/>
              </w:rPr>
            </w:pPr>
            <w:r>
              <w:rPr>
                <w:rFonts w:ascii="Arial" w:cs="Arial" w:eastAsia="Arial" w:hAnsi="Arial"/>
                <w:sz w:val="12"/>
                <w:szCs w:val="12"/>
                <w:color w:val="auto"/>
              </w:rPr>
              <w:t>137,783,757</w:t>
            </w:r>
          </w:p>
        </w:tc>
        <w:tc>
          <w:tcPr>
            <w:tcW w:w="160" w:type="dxa"/>
            <w:vAlign w:val="bottom"/>
            <w:shd w:val="clear" w:color="auto" w:fill="CCEEFF"/>
          </w:tcPr>
          <w:p>
            <w:pPr>
              <w:spacing w:after="0"/>
              <w:rPr>
                <w:sz w:val="11"/>
                <w:szCs w:val="11"/>
                <w:color w:val="auto"/>
              </w:rPr>
            </w:pPr>
          </w:p>
        </w:tc>
        <w:tc>
          <w:tcPr>
            <w:tcW w:w="1000" w:type="dxa"/>
            <w:vAlign w:val="bottom"/>
            <w:gridSpan w:val="2"/>
            <w:shd w:val="clear" w:color="auto" w:fill="CCEEFF"/>
          </w:tcPr>
          <w:p>
            <w:pPr>
              <w:jc w:val="right"/>
              <w:ind w:right="300"/>
              <w:spacing w:after="0" w:line="130" w:lineRule="exact"/>
              <w:rPr>
                <w:sz w:val="20"/>
                <w:szCs w:val="20"/>
                <w:color w:val="auto"/>
              </w:rPr>
            </w:pPr>
            <w:r>
              <w:rPr>
                <w:rFonts w:ascii="Arial" w:cs="Arial" w:eastAsia="Arial" w:hAnsi="Arial"/>
                <w:sz w:val="12"/>
                <w:szCs w:val="12"/>
                <w:color w:val="auto"/>
              </w:rPr>
              <w:t>2,661,743</w:t>
            </w:r>
          </w:p>
        </w:tc>
        <w:tc>
          <w:tcPr>
            <w:tcW w:w="860" w:type="dxa"/>
            <w:vAlign w:val="bottom"/>
            <w:gridSpan w:val="2"/>
            <w:shd w:val="clear" w:color="auto" w:fill="CCEEFF"/>
          </w:tcPr>
          <w:p>
            <w:pPr>
              <w:jc w:val="right"/>
              <w:ind w:right="160"/>
              <w:spacing w:after="0" w:line="130" w:lineRule="exact"/>
              <w:rPr>
                <w:sz w:val="20"/>
                <w:szCs w:val="20"/>
                <w:color w:val="auto"/>
              </w:rPr>
            </w:pPr>
            <w:r>
              <w:rPr>
                <w:rFonts w:ascii="Arial" w:cs="Arial" w:eastAsia="Arial" w:hAnsi="Arial"/>
                <w:sz w:val="12"/>
                <w:szCs w:val="12"/>
                <w:color w:val="auto"/>
              </w:rPr>
              <w:t>174,771</w:t>
            </w:r>
          </w:p>
        </w:tc>
        <w:tc>
          <w:tcPr>
            <w:tcW w:w="700" w:type="dxa"/>
            <w:vAlign w:val="bottom"/>
            <w:shd w:val="clear" w:color="auto" w:fill="CCEEFF"/>
          </w:tcPr>
          <w:p>
            <w:pPr>
              <w:jc w:val="right"/>
              <w:spacing w:after="0" w:line="130" w:lineRule="exact"/>
              <w:rPr>
                <w:sz w:val="20"/>
                <w:szCs w:val="20"/>
                <w:color w:val="auto"/>
              </w:rPr>
            </w:pPr>
            <w:r>
              <w:rPr>
                <w:rFonts w:ascii="Arial" w:cs="Arial" w:eastAsia="Arial" w:hAnsi="Arial"/>
                <w:sz w:val="12"/>
                <w:szCs w:val="12"/>
                <w:color w:val="auto"/>
              </w:rPr>
              <w:t>107,315,656</w:t>
            </w:r>
          </w:p>
        </w:tc>
        <w:tc>
          <w:tcPr>
            <w:tcW w:w="14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160"/>
              <w:spacing w:after="0" w:line="130" w:lineRule="exact"/>
              <w:rPr>
                <w:sz w:val="20"/>
                <w:szCs w:val="20"/>
                <w:color w:val="auto"/>
              </w:rPr>
            </w:pPr>
            <w:r>
              <w:rPr>
                <w:rFonts w:ascii="Arial" w:cs="Arial" w:eastAsia="Arial" w:hAnsi="Arial"/>
                <w:sz w:val="12"/>
                <w:szCs w:val="12"/>
                <w:color w:val="auto"/>
              </w:rPr>
              <w:t>11,515,894</w:t>
            </w:r>
          </w:p>
        </w:tc>
        <w:tc>
          <w:tcPr>
            <w:tcW w:w="800" w:type="dxa"/>
            <w:vAlign w:val="bottom"/>
            <w:gridSpan w:val="2"/>
            <w:shd w:val="clear" w:color="auto" w:fill="CCEEFF"/>
          </w:tcPr>
          <w:p>
            <w:pPr>
              <w:jc w:val="right"/>
              <w:ind w:right="160"/>
              <w:spacing w:after="0" w:line="130" w:lineRule="exact"/>
              <w:rPr>
                <w:sz w:val="20"/>
                <w:szCs w:val="20"/>
                <w:color w:val="auto"/>
              </w:rPr>
            </w:pPr>
            <w:r>
              <w:rPr>
                <w:rFonts w:ascii="Arial" w:cs="Arial" w:eastAsia="Arial" w:hAnsi="Arial"/>
                <w:sz w:val="12"/>
                <w:szCs w:val="12"/>
                <w:color w:val="auto"/>
              </w:rPr>
              <w:t>4,606,110</w:t>
            </w:r>
          </w:p>
        </w:tc>
        <w:tc>
          <w:tcPr>
            <w:tcW w:w="700" w:type="dxa"/>
            <w:vAlign w:val="bottom"/>
            <w:gridSpan w:val="2"/>
            <w:shd w:val="clear" w:color="auto" w:fill="CCEEFF"/>
          </w:tcPr>
          <w:p>
            <w:pPr>
              <w:jc w:val="right"/>
              <w:ind w:right="20"/>
              <w:spacing w:after="0" w:line="130" w:lineRule="exact"/>
              <w:rPr>
                <w:sz w:val="20"/>
                <w:szCs w:val="20"/>
                <w:color w:val="auto"/>
              </w:rPr>
            </w:pPr>
            <w:r>
              <w:rPr>
                <w:rFonts w:ascii="Arial" w:cs="Arial" w:eastAsia="Arial" w:hAnsi="Arial"/>
                <w:sz w:val="12"/>
                <w:szCs w:val="12"/>
                <w:color w:val="auto"/>
                <w:w w:val="98"/>
              </w:rPr>
              <w:t>126,274,174</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16"/>
        </w:trPr>
        <w:tc>
          <w:tcPr>
            <w:tcW w:w="1140" w:type="dxa"/>
            <w:vAlign w:val="bottom"/>
          </w:tcPr>
          <w:p>
            <w:pPr>
              <w:spacing w:after="0" w:line="116" w:lineRule="exact"/>
              <w:rPr>
                <w:sz w:val="20"/>
                <w:szCs w:val="20"/>
                <w:color w:val="auto"/>
              </w:rPr>
            </w:pPr>
            <w:r>
              <w:rPr>
                <w:rFonts w:ascii="Arial" w:cs="Arial" w:eastAsia="Arial" w:hAnsi="Arial"/>
                <w:sz w:val="12"/>
                <w:szCs w:val="12"/>
                <w:color w:val="auto"/>
              </w:rPr>
              <w:t>United States of</w:t>
            </w:r>
          </w:p>
        </w:tc>
        <w:tc>
          <w:tcPr>
            <w:tcW w:w="7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1140" w:type="dxa"/>
            <w:vAlign w:val="bottom"/>
          </w:tcPr>
          <w:p>
            <w:pPr>
              <w:spacing w:after="0"/>
              <w:rPr>
                <w:sz w:val="20"/>
                <w:szCs w:val="20"/>
                <w:color w:val="auto"/>
              </w:rPr>
            </w:pPr>
            <w:r>
              <w:rPr>
                <w:rFonts w:ascii="Arial" w:cs="Arial" w:eastAsia="Arial" w:hAnsi="Arial"/>
                <w:sz w:val="12"/>
                <w:szCs w:val="12"/>
                <w:color w:val="auto"/>
              </w:rPr>
              <w:t>America</w:t>
            </w:r>
          </w:p>
        </w:tc>
        <w:tc>
          <w:tcPr>
            <w:tcW w:w="720" w:type="dxa"/>
            <w:vAlign w:val="bottom"/>
          </w:tcPr>
          <w:p>
            <w:pPr>
              <w:jc w:val="right"/>
              <w:spacing w:after="0"/>
              <w:rPr>
                <w:sz w:val="20"/>
                <w:szCs w:val="20"/>
                <w:color w:val="auto"/>
              </w:rPr>
            </w:pPr>
            <w:r>
              <w:rPr>
                <w:rFonts w:ascii="Arial" w:cs="Arial" w:eastAsia="Arial" w:hAnsi="Arial"/>
                <w:sz w:val="12"/>
                <w:szCs w:val="12"/>
                <w:color w:val="auto"/>
              </w:rPr>
              <w:t>195,955</w:t>
            </w:r>
          </w:p>
        </w:tc>
        <w:tc>
          <w:tcPr>
            <w:tcW w:w="28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291,295</w:t>
            </w:r>
          </w:p>
        </w:tc>
        <w:tc>
          <w:tcPr>
            <w:tcW w:w="140" w:type="dxa"/>
            <w:vAlign w:val="bottom"/>
          </w:tcPr>
          <w:p>
            <w:pPr>
              <w:spacing w:after="0"/>
              <w:rPr>
                <w:sz w:val="12"/>
                <w:szCs w:val="12"/>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2"/>
                <w:szCs w:val="12"/>
                <w:color w:val="auto"/>
              </w:rPr>
              <w:t>1,757,745</w:t>
            </w:r>
          </w:p>
        </w:tc>
        <w:tc>
          <w:tcPr>
            <w:tcW w:w="740" w:type="dxa"/>
            <w:vAlign w:val="bottom"/>
            <w:gridSpan w:val="2"/>
          </w:tcPr>
          <w:p>
            <w:pPr>
              <w:jc w:val="right"/>
              <w:spacing w:after="0"/>
              <w:rPr>
                <w:sz w:val="20"/>
                <w:szCs w:val="20"/>
                <w:color w:val="auto"/>
              </w:rPr>
            </w:pPr>
            <w:r>
              <w:rPr>
                <w:rFonts w:ascii="Arial" w:cs="Arial" w:eastAsia="Arial" w:hAnsi="Arial"/>
                <w:sz w:val="12"/>
                <w:szCs w:val="12"/>
                <w:color w:val="auto"/>
              </w:rPr>
              <w:t>3,049,957</w:t>
            </w:r>
          </w:p>
        </w:tc>
        <w:tc>
          <w:tcPr>
            <w:tcW w:w="160" w:type="dxa"/>
            <w:vAlign w:val="bottom"/>
          </w:tcPr>
          <w:p>
            <w:pPr>
              <w:spacing w:after="0"/>
              <w:rPr>
                <w:sz w:val="12"/>
                <w:szCs w:val="12"/>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2"/>
                <w:szCs w:val="12"/>
                <w:color w:val="auto"/>
              </w:rPr>
              <w:t>111,122</w:t>
            </w:r>
          </w:p>
        </w:tc>
        <w:tc>
          <w:tcPr>
            <w:tcW w:w="700" w:type="dxa"/>
            <w:vAlign w:val="bottom"/>
          </w:tcPr>
          <w:p>
            <w:pPr>
              <w:jc w:val="right"/>
              <w:spacing w:after="0"/>
              <w:rPr>
                <w:sz w:val="20"/>
                <w:szCs w:val="20"/>
                <w:color w:val="auto"/>
              </w:rPr>
            </w:pPr>
            <w:r>
              <w:rPr>
                <w:rFonts w:ascii="Arial" w:cs="Arial" w:eastAsia="Arial" w:hAnsi="Arial"/>
                <w:sz w:val="12"/>
                <w:szCs w:val="12"/>
                <w:color w:val="auto"/>
              </w:rPr>
              <w:t>5,406,074</w:t>
            </w:r>
          </w:p>
        </w:tc>
        <w:tc>
          <w:tcPr>
            <w:tcW w:w="160" w:type="dxa"/>
            <w:vAlign w:val="bottom"/>
          </w:tcPr>
          <w:p>
            <w:pPr>
              <w:spacing w:after="0"/>
              <w:rPr>
                <w:sz w:val="12"/>
                <w:szCs w:val="12"/>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2"/>
                <w:szCs w:val="12"/>
                <w:color w:val="auto"/>
              </w:rPr>
              <w:t>235,036</w:t>
            </w:r>
          </w:p>
        </w:tc>
        <w:tc>
          <w:tcPr>
            <w:tcW w:w="860" w:type="dxa"/>
            <w:vAlign w:val="bottom"/>
            <w:gridSpan w:val="2"/>
          </w:tcPr>
          <w:p>
            <w:pPr>
              <w:jc w:val="right"/>
              <w:ind w:right="160"/>
              <w:spacing w:after="0"/>
              <w:rPr>
                <w:sz w:val="20"/>
                <w:szCs w:val="20"/>
                <w:color w:val="auto"/>
              </w:rPr>
            </w:pPr>
            <w:r>
              <w:rPr>
                <w:rFonts w:ascii="Arial" w:cs="Arial" w:eastAsia="Arial" w:hAnsi="Arial"/>
                <w:sz w:val="12"/>
                <w:szCs w:val="12"/>
                <w:color w:val="auto"/>
              </w:rPr>
              <w:t>223,223</w:t>
            </w:r>
          </w:p>
        </w:tc>
        <w:tc>
          <w:tcPr>
            <w:tcW w:w="700" w:type="dxa"/>
            <w:vAlign w:val="bottom"/>
          </w:tcPr>
          <w:p>
            <w:pPr>
              <w:jc w:val="right"/>
              <w:spacing w:after="0"/>
              <w:rPr>
                <w:sz w:val="20"/>
                <w:szCs w:val="20"/>
                <w:color w:val="auto"/>
              </w:rPr>
            </w:pPr>
            <w:r>
              <w:rPr>
                <w:rFonts w:ascii="Arial" w:cs="Arial" w:eastAsia="Arial" w:hAnsi="Arial"/>
                <w:sz w:val="12"/>
                <w:szCs w:val="12"/>
                <w:color w:val="auto"/>
              </w:rPr>
              <w:t>1,722,387</w:t>
            </w:r>
          </w:p>
        </w:tc>
        <w:tc>
          <w:tcPr>
            <w:tcW w:w="140" w:type="dxa"/>
            <w:vAlign w:val="bottom"/>
          </w:tcPr>
          <w:p>
            <w:pPr>
              <w:spacing w:after="0"/>
              <w:rPr>
                <w:sz w:val="12"/>
                <w:szCs w:val="12"/>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2"/>
                <w:szCs w:val="12"/>
                <w:color w:val="auto"/>
              </w:rPr>
              <w:t>2,986,309</w:t>
            </w:r>
          </w:p>
        </w:tc>
        <w:tc>
          <w:tcPr>
            <w:tcW w:w="800" w:type="dxa"/>
            <w:vAlign w:val="bottom"/>
            <w:gridSpan w:val="2"/>
          </w:tcPr>
          <w:p>
            <w:pPr>
              <w:jc w:val="right"/>
              <w:ind w:right="160"/>
              <w:spacing w:after="0"/>
              <w:rPr>
                <w:sz w:val="20"/>
                <w:szCs w:val="20"/>
                <w:color w:val="auto"/>
              </w:rPr>
            </w:pPr>
            <w:r>
              <w:rPr>
                <w:rFonts w:ascii="Arial" w:cs="Arial" w:eastAsia="Arial" w:hAnsi="Arial"/>
                <w:sz w:val="12"/>
                <w:szCs w:val="12"/>
                <w:color w:val="auto"/>
              </w:rPr>
              <w:t>82,536</w:t>
            </w:r>
          </w:p>
        </w:tc>
        <w:tc>
          <w:tcPr>
            <w:tcW w:w="700" w:type="dxa"/>
            <w:vAlign w:val="bottom"/>
            <w:gridSpan w:val="2"/>
          </w:tcPr>
          <w:p>
            <w:pPr>
              <w:jc w:val="right"/>
              <w:ind w:right="20"/>
              <w:spacing w:after="0"/>
              <w:rPr>
                <w:sz w:val="20"/>
                <w:szCs w:val="20"/>
                <w:color w:val="auto"/>
              </w:rPr>
            </w:pPr>
            <w:r>
              <w:rPr>
                <w:rFonts w:ascii="Arial" w:cs="Arial" w:eastAsia="Arial" w:hAnsi="Arial"/>
                <w:sz w:val="12"/>
                <w:szCs w:val="12"/>
                <w:color w:val="auto"/>
              </w:rPr>
              <w:t>5,249,491</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1140" w:type="dxa"/>
            <w:vAlign w:val="bottom"/>
            <w:shd w:val="clear" w:color="auto" w:fill="CCEEFF"/>
          </w:tcPr>
          <w:p>
            <w:pPr>
              <w:spacing w:after="0" w:line="130" w:lineRule="exact"/>
              <w:rPr>
                <w:sz w:val="20"/>
                <w:szCs w:val="20"/>
                <w:color w:val="auto"/>
              </w:rPr>
            </w:pPr>
            <w:r>
              <w:rPr>
                <w:rFonts w:ascii="Arial" w:cs="Arial" w:eastAsia="Arial" w:hAnsi="Arial"/>
                <w:sz w:val="12"/>
                <w:szCs w:val="12"/>
                <w:color w:val="auto"/>
              </w:rPr>
              <w:t>Bolivia</w:t>
            </w:r>
          </w:p>
        </w:tc>
        <w:tc>
          <w:tcPr>
            <w:tcW w:w="1000" w:type="dxa"/>
            <w:vAlign w:val="bottom"/>
            <w:gridSpan w:val="2"/>
            <w:shd w:val="clear" w:color="auto" w:fill="CCEEFF"/>
          </w:tcPr>
          <w:p>
            <w:pPr>
              <w:jc w:val="right"/>
              <w:ind w:right="280"/>
              <w:spacing w:after="0" w:line="130" w:lineRule="exact"/>
              <w:rPr>
                <w:sz w:val="20"/>
                <w:szCs w:val="20"/>
                <w:color w:val="auto"/>
              </w:rPr>
            </w:pPr>
            <w:r>
              <w:rPr>
                <w:rFonts w:ascii="Arial" w:cs="Arial" w:eastAsia="Arial" w:hAnsi="Arial"/>
                <w:sz w:val="12"/>
                <w:szCs w:val="12"/>
                <w:color w:val="auto"/>
              </w:rPr>
              <w:t>13,372</w:t>
            </w:r>
          </w:p>
        </w:tc>
        <w:tc>
          <w:tcPr>
            <w:tcW w:w="860" w:type="dxa"/>
            <w:vAlign w:val="bottom"/>
            <w:gridSpan w:val="2"/>
            <w:shd w:val="clear" w:color="auto" w:fill="CCEEFF"/>
          </w:tcPr>
          <w:p>
            <w:pPr>
              <w:jc w:val="right"/>
              <w:ind w:right="140"/>
              <w:spacing w:after="0" w:line="130" w:lineRule="exact"/>
              <w:rPr>
                <w:sz w:val="20"/>
                <w:szCs w:val="20"/>
                <w:color w:val="auto"/>
              </w:rPr>
            </w:pPr>
            <w:r>
              <w:rPr>
                <w:rFonts w:ascii="Arial" w:cs="Arial" w:eastAsia="Arial" w:hAnsi="Arial"/>
                <w:sz w:val="12"/>
                <w:szCs w:val="12"/>
                <w:color w:val="auto"/>
              </w:rPr>
              <w:t>-</w:t>
            </w:r>
          </w:p>
        </w:tc>
        <w:tc>
          <w:tcPr>
            <w:tcW w:w="740" w:type="dxa"/>
            <w:vAlign w:val="bottom"/>
            <w:gridSpan w:val="2"/>
            <w:shd w:val="clear" w:color="auto" w:fill="CCEEFF"/>
          </w:tcPr>
          <w:p>
            <w:pPr>
              <w:jc w:val="right"/>
              <w:ind w:right="80"/>
              <w:spacing w:after="0" w:line="130" w:lineRule="exact"/>
              <w:rPr>
                <w:sz w:val="20"/>
                <w:szCs w:val="20"/>
                <w:color w:val="auto"/>
              </w:rPr>
            </w:pPr>
            <w:r>
              <w:rPr>
                <w:rFonts w:ascii="Arial" w:cs="Arial" w:eastAsia="Arial" w:hAnsi="Arial"/>
                <w:sz w:val="12"/>
                <w:szCs w:val="12"/>
                <w:color w:val="auto"/>
              </w:rPr>
              <w:t>7,516,991</w:t>
            </w:r>
          </w:p>
        </w:tc>
        <w:tc>
          <w:tcPr>
            <w:tcW w:w="740" w:type="dxa"/>
            <w:vAlign w:val="bottom"/>
            <w:gridSpan w:val="2"/>
            <w:shd w:val="clear" w:color="auto" w:fill="CCEEFF"/>
          </w:tcPr>
          <w:p>
            <w:pPr>
              <w:jc w:val="right"/>
              <w:spacing w:after="0" w:line="130" w:lineRule="exact"/>
              <w:rPr>
                <w:sz w:val="20"/>
                <w:szCs w:val="20"/>
                <w:color w:val="auto"/>
              </w:rPr>
            </w:pPr>
            <w:r>
              <w:rPr>
                <w:rFonts w:ascii="Arial" w:cs="Arial" w:eastAsia="Arial" w:hAnsi="Arial"/>
                <w:sz w:val="12"/>
                <w:szCs w:val="12"/>
                <w:color w:val="auto"/>
              </w:rPr>
              <w:t>1,213,397</w:t>
            </w:r>
          </w:p>
        </w:tc>
        <w:tc>
          <w:tcPr>
            <w:tcW w:w="16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40"/>
              <w:spacing w:after="0" w:line="130" w:lineRule="exact"/>
              <w:rPr>
                <w:sz w:val="20"/>
                <w:szCs w:val="20"/>
                <w:color w:val="auto"/>
              </w:rPr>
            </w:pPr>
            <w:r>
              <w:rPr>
                <w:rFonts w:ascii="Arial" w:cs="Arial" w:eastAsia="Arial" w:hAnsi="Arial"/>
                <w:sz w:val="12"/>
                <w:szCs w:val="12"/>
                <w:color w:val="auto"/>
              </w:rPr>
              <w:t>-</w:t>
            </w:r>
          </w:p>
        </w:tc>
        <w:tc>
          <w:tcPr>
            <w:tcW w:w="700" w:type="dxa"/>
            <w:vAlign w:val="bottom"/>
            <w:shd w:val="clear" w:color="auto" w:fill="CCEEFF"/>
          </w:tcPr>
          <w:p>
            <w:pPr>
              <w:jc w:val="right"/>
              <w:spacing w:after="0" w:line="130" w:lineRule="exact"/>
              <w:rPr>
                <w:sz w:val="20"/>
                <w:szCs w:val="20"/>
                <w:color w:val="auto"/>
              </w:rPr>
            </w:pPr>
            <w:r>
              <w:rPr>
                <w:rFonts w:ascii="Arial" w:cs="Arial" w:eastAsia="Arial" w:hAnsi="Arial"/>
                <w:sz w:val="12"/>
                <w:szCs w:val="12"/>
                <w:color w:val="auto"/>
              </w:rPr>
              <w:t>8,743,760</w:t>
            </w:r>
          </w:p>
        </w:tc>
        <w:tc>
          <w:tcPr>
            <w:tcW w:w="160" w:type="dxa"/>
            <w:vAlign w:val="bottom"/>
            <w:shd w:val="clear" w:color="auto" w:fill="CCEEFF"/>
          </w:tcPr>
          <w:p>
            <w:pPr>
              <w:spacing w:after="0"/>
              <w:rPr>
                <w:sz w:val="11"/>
                <w:szCs w:val="11"/>
                <w:color w:val="auto"/>
              </w:rPr>
            </w:pPr>
          </w:p>
        </w:tc>
        <w:tc>
          <w:tcPr>
            <w:tcW w:w="1000" w:type="dxa"/>
            <w:vAlign w:val="bottom"/>
            <w:gridSpan w:val="2"/>
            <w:shd w:val="clear" w:color="auto" w:fill="CCEEFF"/>
          </w:tcPr>
          <w:p>
            <w:pPr>
              <w:jc w:val="right"/>
              <w:ind w:right="300"/>
              <w:spacing w:after="0" w:line="130" w:lineRule="exact"/>
              <w:rPr>
                <w:sz w:val="20"/>
                <w:szCs w:val="20"/>
                <w:color w:val="auto"/>
              </w:rPr>
            </w:pPr>
            <w:r>
              <w:rPr>
                <w:rFonts w:ascii="Arial" w:cs="Arial" w:eastAsia="Arial" w:hAnsi="Arial"/>
                <w:sz w:val="12"/>
                <w:szCs w:val="12"/>
                <w:color w:val="auto"/>
              </w:rPr>
              <w:t>-</w:t>
            </w:r>
          </w:p>
        </w:tc>
        <w:tc>
          <w:tcPr>
            <w:tcW w:w="860" w:type="dxa"/>
            <w:vAlign w:val="bottom"/>
            <w:gridSpan w:val="2"/>
            <w:shd w:val="clear" w:color="auto" w:fill="CCEEFF"/>
          </w:tcPr>
          <w:p>
            <w:pPr>
              <w:jc w:val="right"/>
              <w:ind w:right="160"/>
              <w:spacing w:after="0" w:line="130" w:lineRule="exact"/>
              <w:rPr>
                <w:sz w:val="20"/>
                <w:szCs w:val="20"/>
                <w:color w:val="auto"/>
              </w:rPr>
            </w:pPr>
            <w:r>
              <w:rPr>
                <w:rFonts w:ascii="Arial" w:cs="Arial" w:eastAsia="Arial" w:hAnsi="Arial"/>
                <w:sz w:val="12"/>
                <w:szCs w:val="12"/>
                <w:color w:val="auto"/>
              </w:rPr>
              <w:t>-</w:t>
            </w:r>
          </w:p>
        </w:tc>
        <w:tc>
          <w:tcPr>
            <w:tcW w:w="700" w:type="dxa"/>
            <w:vAlign w:val="bottom"/>
            <w:shd w:val="clear" w:color="auto" w:fill="CCEEFF"/>
          </w:tcPr>
          <w:p>
            <w:pPr>
              <w:jc w:val="right"/>
              <w:spacing w:after="0" w:line="130" w:lineRule="exact"/>
              <w:rPr>
                <w:sz w:val="20"/>
                <w:szCs w:val="20"/>
                <w:color w:val="auto"/>
              </w:rPr>
            </w:pPr>
            <w:r>
              <w:rPr>
                <w:rFonts w:ascii="Arial" w:cs="Arial" w:eastAsia="Arial" w:hAnsi="Arial"/>
                <w:sz w:val="12"/>
                <w:szCs w:val="12"/>
                <w:color w:val="auto"/>
              </w:rPr>
              <w:t>6,992,985</w:t>
            </w:r>
          </w:p>
        </w:tc>
        <w:tc>
          <w:tcPr>
            <w:tcW w:w="14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160"/>
              <w:spacing w:after="0" w:line="130" w:lineRule="exact"/>
              <w:rPr>
                <w:sz w:val="20"/>
                <w:szCs w:val="20"/>
                <w:color w:val="auto"/>
              </w:rPr>
            </w:pPr>
            <w:r>
              <w:rPr>
                <w:rFonts w:ascii="Arial" w:cs="Arial" w:eastAsia="Arial" w:hAnsi="Arial"/>
                <w:sz w:val="12"/>
                <w:szCs w:val="12"/>
                <w:color w:val="auto"/>
              </w:rPr>
              <w:t>885,013</w:t>
            </w:r>
          </w:p>
        </w:tc>
        <w:tc>
          <w:tcPr>
            <w:tcW w:w="800" w:type="dxa"/>
            <w:vAlign w:val="bottom"/>
            <w:gridSpan w:val="2"/>
            <w:shd w:val="clear" w:color="auto" w:fill="CCEEFF"/>
          </w:tcPr>
          <w:p>
            <w:pPr>
              <w:jc w:val="right"/>
              <w:ind w:right="160"/>
              <w:spacing w:after="0" w:line="130" w:lineRule="exact"/>
              <w:rPr>
                <w:sz w:val="20"/>
                <w:szCs w:val="20"/>
                <w:color w:val="auto"/>
              </w:rPr>
            </w:pPr>
            <w:r>
              <w:rPr>
                <w:rFonts w:ascii="Arial" w:cs="Arial" w:eastAsia="Arial" w:hAnsi="Arial"/>
                <w:sz w:val="12"/>
                <w:szCs w:val="12"/>
                <w:color w:val="auto"/>
              </w:rPr>
              <w:t>-</w:t>
            </w:r>
          </w:p>
        </w:tc>
        <w:tc>
          <w:tcPr>
            <w:tcW w:w="700" w:type="dxa"/>
            <w:vAlign w:val="bottom"/>
            <w:gridSpan w:val="2"/>
            <w:shd w:val="clear" w:color="auto" w:fill="CCEEFF"/>
          </w:tcPr>
          <w:p>
            <w:pPr>
              <w:jc w:val="right"/>
              <w:ind w:right="20"/>
              <w:spacing w:after="0" w:line="130" w:lineRule="exact"/>
              <w:rPr>
                <w:sz w:val="20"/>
                <w:szCs w:val="20"/>
                <w:color w:val="auto"/>
              </w:rPr>
            </w:pPr>
            <w:r>
              <w:rPr>
                <w:rFonts w:ascii="Arial" w:cs="Arial" w:eastAsia="Arial" w:hAnsi="Arial"/>
                <w:sz w:val="12"/>
                <w:szCs w:val="12"/>
                <w:color w:val="auto"/>
              </w:rPr>
              <w:t>7,877,998</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1140" w:type="dxa"/>
            <w:vAlign w:val="bottom"/>
          </w:tcPr>
          <w:p>
            <w:pPr>
              <w:spacing w:after="0" w:line="130" w:lineRule="exact"/>
              <w:rPr>
                <w:sz w:val="20"/>
                <w:szCs w:val="20"/>
                <w:color w:val="auto"/>
              </w:rPr>
            </w:pPr>
            <w:r>
              <w:rPr>
                <w:rFonts w:ascii="Arial" w:cs="Arial" w:eastAsia="Arial" w:hAnsi="Arial"/>
                <w:sz w:val="12"/>
                <w:szCs w:val="12"/>
                <w:color w:val="auto"/>
              </w:rPr>
              <w:t>Colombia</w:t>
            </w:r>
          </w:p>
        </w:tc>
        <w:tc>
          <w:tcPr>
            <w:tcW w:w="720" w:type="dxa"/>
            <w:vAlign w:val="bottom"/>
          </w:tcPr>
          <w:p>
            <w:pPr>
              <w:jc w:val="right"/>
              <w:spacing w:after="0" w:line="130" w:lineRule="exact"/>
              <w:rPr>
                <w:sz w:val="20"/>
                <w:szCs w:val="20"/>
                <w:color w:val="auto"/>
              </w:rPr>
            </w:pPr>
            <w:r>
              <w:rPr>
                <w:rFonts w:ascii="Arial" w:cs="Arial" w:eastAsia="Arial" w:hAnsi="Arial"/>
                <w:sz w:val="12"/>
                <w:szCs w:val="12"/>
                <w:color w:val="auto"/>
              </w:rPr>
              <w:t>1,324,999</w:t>
            </w:r>
          </w:p>
        </w:tc>
        <w:tc>
          <w:tcPr>
            <w:tcW w:w="280" w:type="dxa"/>
            <w:vAlign w:val="bottom"/>
          </w:tcPr>
          <w:p>
            <w:pPr>
              <w:spacing w:after="0"/>
              <w:rPr>
                <w:sz w:val="11"/>
                <w:szCs w:val="11"/>
                <w:color w:val="auto"/>
              </w:rPr>
            </w:pPr>
          </w:p>
        </w:tc>
        <w:tc>
          <w:tcPr>
            <w:tcW w:w="860" w:type="dxa"/>
            <w:vAlign w:val="bottom"/>
            <w:gridSpan w:val="2"/>
          </w:tcPr>
          <w:p>
            <w:pPr>
              <w:jc w:val="right"/>
              <w:ind w:right="140"/>
              <w:spacing w:after="0" w:line="130" w:lineRule="exact"/>
              <w:rPr>
                <w:sz w:val="20"/>
                <w:szCs w:val="20"/>
                <w:color w:val="auto"/>
              </w:rPr>
            </w:pPr>
            <w:r>
              <w:rPr>
                <w:rFonts w:ascii="Arial" w:cs="Arial" w:eastAsia="Arial" w:hAnsi="Arial"/>
                <w:sz w:val="12"/>
                <w:szCs w:val="12"/>
                <w:color w:val="auto"/>
              </w:rPr>
              <w:t>28,510</w:t>
            </w:r>
          </w:p>
        </w:tc>
        <w:tc>
          <w:tcPr>
            <w:tcW w:w="740" w:type="dxa"/>
            <w:vAlign w:val="bottom"/>
            <w:gridSpan w:val="2"/>
          </w:tcPr>
          <w:p>
            <w:pPr>
              <w:jc w:val="right"/>
              <w:ind w:right="80"/>
              <w:spacing w:after="0" w:line="130" w:lineRule="exact"/>
              <w:rPr>
                <w:sz w:val="20"/>
                <w:szCs w:val="20"/>
                <w:color w:val="auto"/>
              </w:rPr>
            </w:pPr>
            <w:r>
              <w:rPr>
                <w:rFonts w:ascii="Arial" w:cs="Arial" w:eastAsia="Arial" w:hAnsi="Arial"/>
                <w:sz w:val="12"/>
                <w:szCs w:val="12"/>
                <w:color w:val="auto"/>
              </w:rPr>
              <w:t>1,619,679</w:t>
            </w:r>
          </w:p>
        </w:tc>
        <w:tc>
          <w:tcPr>
            <w:tcW w:w="900" w:type="dxa"/>
            <w:vAlign w:val="bottom"/>
            <w:gridSpan w:val="3"/>
          </w:tcPr>
          <w:p>
            <w:pPr>
              <w:jc w:val="right"/>
              <w:ind w:right="160"/>
              <w:spacing w:after="0" w:line="130" w:lineRule="exact"/>
              <w:rPr>
                <w:sz w:val="20"/>
                <w:szCs w:val="20"/>
                <w:color w:val="auto"/>
              </w:rPr>
            </w:pPr>
            <w:r>
              <w:rPr>
                <w:rFonts w:ascii="Arial" w:cs="Arial" w:eastAsia="Arial" w:hAnsi="Arial"/>
                <w:sz w:val="12"/>
                <w:szCs w:val="12"/>
                <w:color w:val="auto"/>
              </w:rPr>
              <w:t>590,387</w:t>
            </w:r>
          </w:p>
        </w:tc>
        <w:tc>
          <w:tcPr>
            <w:tcW w:w="800" w:type="dxa"/>
            <w:vAlign w:val="bottom"/>
            <w:gridSpan w:val="2"/>
          </w:tcPr>
          <w:p>
            <w:pPr>
              <w:jc w:val="right"/>
              <w:ind w:right="140"/>
              <w:spacing w:after="0" w:line="130" w:lineRule="exact"/>
              <w:rPr>
                <w:sz w:val="20"/>
                <w:szCs w:val="20"/>
                <w:color w:val="auto"/>
              </w:rPr>
            </w:pPr>
            <w:r>
              <w:rPr>
                <w:rFonts w:ascii="Arial" w:cs="Arial" w:eastAsia="Arial" w:hAnsi="Arial"/>
                <w:sz w:val="12"/>
                <w:szCs w:val="12"/>
                <w:color w:val="auto"/>
              </w:rPr>
              <w:t>138,941</w:t>
            </w:r>
          </w:p>
        </w:tc>
        <w:tc>
          <w:tcPr>
            <w:tcW w:w="700" w:type="dxa"/>
            <w:vAlign w:val="bottom"/>
          </w:tcPr>
          <w:p>
            <w:pPr>
              <w:jc w:val="right"/>
              <w:spacing w:after="0" w:line="130" w:lineRule="exact"/>
              <w:rPr>
                <w:sz w:val="20"/>
                <w:szCs w:val="20"/>
                <w:color w:val="auto"/>
              </w:rPr>
            </w:pPr>
            <w:r>
              <w:rPr>
                <w:rFonts w:ascii="Arial" w:cs="Arial" w:eastAsia="Arial" w:hAnsi="Arial"/>
                <w:sz w:val="12"/>
                <w:szCs w:val="12"/>
                <w:color w:val="auto"/>
              </w:rPr>
              <w:t>3,702,516</w:t>
            </w:r>
          </w:p>
        </w:tc>
        <w:tc>
          <w:tcPr>
            <w:tcW w:w="160" w:type="dxa"/>
            <w:vAlign w:val="bottom"/>
          </w:tcPr>
          <w:p>
            <w:pPr>
              <w:spacing w:after="0"/>
              <w:rPr>
                <w:sz w:val="11"/>
                <w:szCs w:val="11"/>
                <w:color w:val="auto"/>
              </w:rPr>
            </w:pPr>
          </w:p>
        </w:tc>
        <w:tc>
          <w:tcPr>
            <w:tcW w:w="1000" w:type="dxa"/>
            <w:vAlign w:val="bottom"/>
            <w:gridSpan w:val="2"/>
          </w:tcPr>
          <w:p>
            <w:pPr>
              <w:jc w:val="right"/>
              <w:ind w:right="300"/>
              <w:spacing w:after="0" w:line="130" w:lineRule="exact"/>
              <w:rPr>
                <w:sz w:val="20"/>
                <w:szCs w:val="20"/>
                <w:color w:val="auto"/>
              </w:rPr>
            </w:pPr>
            <w:r>
              <w:rPr>
                <w:rFonts w:ascii="Arial" w:cs="Arial" w:eastAsia="Arial" w:hAnsi="Arial"/>
                <w:sz w:val="12"/>
                <w:szCs w:val="12"/>
                <w:color w:val="auto"/>
              </w:rPr>
              <w:t>1,245,998</w:t>
            </w:r>
          </w:p>
        </w:tc>
        <w:tc>
          <w:tcPr>
            <w:tcW w:w="860" w:type="dxa"/>
            <w:vAlign w:val="bottom"/>
            <w:gridSpan w:val="2"/>
          </w:tcPr>
          <w:p>
            <w:pPr>
              <w:jc w:val="right"/>
              <w:ind w:right="160"/>
              <w:spacing w:after="0" w:line="130" w:lineRule="exact"/>
              <w:rPr>
                <w:sz w:val="20"/>
                <w:szCs w:val="20"/>
                <w:color w:val="auto"/>
              </w:rPr>
            </w:pPr>
            <w:r>
              <w:rPr>
                <w:rFonts w:ascii="Arial" w:cs="Arial" w:eastAsia="Arial" w:hAnsi="Arial"/>
                <w:sz w:val="12"/>
                <w:szCs w:val="12"/>
                <w:color w:val="auto"/>
              </w:rPr>
              <w:t>-</w:t>
            </w:r>
          </w:p>
        </w:tc>
        <w:tc>
          <w:tcPr>
            <w:tcW w:w="700" w:type="dxa"/>
            <w:vAlign w:val="bottom"/>
          </w:tcPr>
          <w:p>
            <w:pPr>
              <w:jc w:val="right"/>
              <w:spacing w:after="0" w:line="130" w:lineRule="exact"/>
              <w:rPr>
                <w:sz w:val="20"/>
                <w:szCs w:val="20"/>
                <w:color w:val="auto"/>
              </w:rPr>
            </w:pPr>
            <w:r>
              <w:rPr>
                <w:rFonts w:ascii="Arial" w:cs="Arial" w:eastAsia="Arial" w:hAnsi="Arial"/>
                <w:sz w:val="12"/>
                <w:szCs w:val="12"/>
                <w:color w:val="auto"/>
              </w:rPr>
              <w:t>1,157,154</w:t>
            </w:r>
          </w:p>
        </w:tc>
        <w:tc>
          <w:tcPr>
            <w:tcW w:w="140" w:type="dxa"/>
            <w:vAlign w:val="bottom"/>
          </w:tcPr>
          <w:p>
            <w:pPr>
              <w:spacing w:after="0"/>
              <w:rPr>
                <w:sz w:val="11"/>
                <w:szCs w:val="11"/>
                <w:color w:val="auto"/>
              </w:rPr>
            </w:pPr>
          </w:p>
        </w:tc>
        <w:tc>
          <w:tcPr>
            <w:tcW w:w="860" w:type="dxa"/>
            <w:vAlign w:val="bottom"/>
            <w:gridSpan w:val="2"/>
          </w:tcPr>
          <w:p>
            <w:pPr>
              <w:jc w:val="right"/>
              <w:ind w:right="160"/>
              <w:spacing w:after="0" w:line="130" w:lineRule="exact"/>
              <w:rPr>
                <w:sz w:val="20"/>
                <w:szCs w:val="20"/>
                <w:color w:val="auto"/>
              </w:rPr>
            </w:pPr>
            <w:r>
              <w:rPr>
                <w:rFonts w:ascii="Arial" w:cs="Arial" w:eastAsia="Arial" w:hAnsi="Arial"/>
                <w:sz w:val="12"/>
                <w:szCs w:val="12"/>
                <w:color w:val="auto"/>
              </w:rPr>
              <w:t>780,468</w:t>
            </w:r>
          </w:p>
        </w:tc>
        <w:tc>
          <w:tcPr>
            <w:tcW w:w="640" w:type="dxa"/>
            <w:vAlign w:val="bottom"/>
          </w:tcPr>
          <w:p>
            <w:pPr>
              <w:jc w:val="right"/>
              <w:spacing w:after="0" w:line="130" w:lineRule="exact"/>
              <w:rPr>
                <w:sz w:val="20"/>
                <w:szCs w:val="20"/>
                <w:color w:val="auto"/>
              </w:rPr>
            </w:pPr>
            <w:r>
              <w:rPr>
                <w:rFonts w:ascii="Arial" w:cs="Arial" w:eastAsia="Arial" w:hAnsi="Arial"/>
                <w:sz w:val="12"/>
                <w:szCs w:val="12"/>
                <w:color w:val="auto"/>
              </w:rPr>
              <w:t>150,667</w:t>
            </w:r>
          </w:p>
        </w:tc>
        <w:tc>
          <w:tcPr>
            <w:tcW w:w="160" w:type="dxa"/>
            <w:vAlign w:val="bottom"/>
          </w:tcPr>
          <w:p>
            <w:pPr>
              <w:spacing w:after="0"/>
              <w:rPr>
                <w:sz w:val="11"/>
                <w:szCs w:val="11"/>
                <w:color w:val="auto"/>
              </w:rPr>
            </w:pPr>
          </w:p>
        </w:tc>
        <w:tc>
          <w:tcPr>
            <w:tcW w:w="700" w:type="dxa"/>
            <w:vAlign w:val="bottom"/>
            <w:gridSpan w:val="2"/>
          </w:tcPr>
          <w:p>
            <w:pPr>
              <w:jc w:val="right"/>
              <w:ind w:right="20"/>
              <w:spacing w:after="0" w:line="130" w:lineRule="exact"/>
              <w:rPr>
                <w:sz w:val="20"/>
                <w:szCs w:val="20"/>
                <w:color w:val="auto"/>
              </w:rPr>
            </w:pPr>
            <w:r>
              <w:rPr>
                <w:rFonts w:ascii="Arial" w:cs="Arial" w:eastAsia="Arial" w:hAnsi="Arial"/>
                <w:sz w:val="12"/>
                <w:szCs w:val="12"/>
                <w:color w:val="auto"/>
              </w:rPr>
              <w:t>3,334,287</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1140" w:type="dxa"/>
            <w:vAlign w:val="bottom"/>
            <w:shd w:val="clear" w:color="auto" w:fill="CCEEFF"/>
          </w:tcPr>
          <w:p>
            <w:pPr>
              <w:spacing w:after="0" w:line="130" w:lineRule="exact"/>
              <w:rPr>
                <w:sz w:val="20"/>
                <w:szCs w:val="20"/>
                <w:color w:val="auto"/>
              </w:rPr>
            </w:pPr>
            <w:r>
              <w:rPr>
                <w:rFonts w:ascii="Arial" w:cs="Arial" w:eastAsia="Arial" w:hAnsi="Arial"/>
                <w:sz w:val="12"/>
                <w:szCs w:val="12"/>
                <w:color w:val="auto"/>
              </w:rPr>
              <w:t>Panama</w:t>
            </w:r>
          </w:p>
        </w:tc>
        <w:tc>
          <w:tcPr>
            <w:tcW w:w="720" w:type="dxa"/>
            <w:vAlign w:val="bottom"/>
            <w:shd w:val="clear" w:color="auto" w:fill="CCEEFF"/>
          </w:tcPr>
          <w:p>
            <w:pPr>
              <w:jc w:val="right"/>
              <w:spacing w:after="0" w:line="130" w:lineRule="exact"/>
              <w:rPr>
                <w:sz w:val="20"/>
                <w:szCs w:val="20"/>
                <w:color w:val="auto"/>
              </w:rPr>
            </w:pPr>
            <w:r>
              <w:rPr>
                <w:rFonts w:ascii="Arial" w:cs="Arial" w:eastAsia="Arial" w:hAnsi="Arial"/>
                <w:sz w:val="12"/>
                <w:szCs w:val="12"/>
                <w:color w:val="auto"/>
              </w:rPr>
              <w:t>4,909</w:t>
            </w:r>
          </w:p>
        </w:tc>
        <w:tc>
          <w:tcPr>
            <w:tcW w:w="28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140"/>
              <w:spacing w:after="0" w:line="130" w:lineRule="exact"/>
              <w:rPr>
                <w:sz w:val="20"/>
                <w:szCs w:val="20"/>
                <w:color w:val="auto"/>
              </w:rPr>
            </w:pPr>
            <w:r>
              <w:rPr>
                <w:rFonts w:ascii="Arial" w:cs="Arial" w:eastAsia="Arial" w:hAnsi="Arial"/>
                <w:sz w:val="12"/>
                <w:szCs w:val="12"/>
                <w:color w:val="auto"/>
              </w:rPr>
              <w:t>-</w:t>
            </w:r>
          </w:p>
        </w:tc>
        <w:tc>
          <w:tcPr>
            <w:tcW w:w="740" w:type="dxa"/>
            <w:vAlign w:val="bottom"/>
            <w:gridSpan w:val="2"/>
            <w:shd w:val="clear" w:color="auto" w:fill="CCEEFF"/>
          </w:tcPr>
          <w:p>
            <w:pPr>
              <w:jc w:val="right"/>
              <w:ind w:right="80"/>
              <w:spacing w:after="0" w:line="130" w:lineRule="exact"/>
              <w:rPr>
                <w:sz w:val="20"/>
                <w:szCs w:val="20"/>
                <w:color w:val="auto"/>
              </w:rPr>
            </w:pPr>
            <w:r>
              <w:rPr>
                <w:rFonts w:ascii="Arial" w:cs="Arial" w:eastAsia="Arial" w:hAnsi="Arial"/>
                <w:sz w:val="12"/>
                <w:szCs w:val="12"/>
                <w:color w:val="auto"/>
              </w:rPr>
              <w:t>498,512</w:t>
            </w:r>
          </w:p>
        </w:tc>
        <w:tc>
          <w:tcPr>
            <w:tcW w:w="900" w:type="dxa"/>
            <w:vAlign w:val="bottom"/>
            <w:gridSpan w:val="3"/>
            <w:shd w:val="clear" w:color="auto" w:fill="CCEEFF"/>
          </w:tcPr>
          <w:p>
            <w:pPr>
              <w:jc w:val="right"/>
              <w:ind w:right="160"/>
              <w:spacing w:after="0" w:line="130" w:lineRule="exact"/>
              <w:rPr>
                <w:sz w:val="20"/>
                <w:szCs w:val="20"/>
                <w:color w:val="auto"/>
              </w:rPr>
            </w:pPr>
            <w:r>
              <w:rPr>
                <w:rFonts w:ascii="Arial" w:cs="Arial" w:eastAsia="Arial" w:hAnsi="Arial"/>
                <w:sz w:val="12"/>
                <w:szCs w:val="12"/>
                <w:color w:val="auto"/>
              </w:rPr>
              <w:t>48,531</w:t>
            </w:r>
          </w:p>
        </w:tc>
        <w:tc>
          <w:tcPr>
            <w:tcW w:w="800" w:type="dxa"/>
            <w:vAlign w:val="bottom"/>
            <w:gridSpan w:val="2"/>
            <w:shd w:val="clear" w:color="auto" w:fill="CCEEFF"/>
          </w:tcPr>
          <w:p>
            <w:pPr>
              <w:jc w:val="right"/>
              <w:ind w:right="140"/>
              <w:spacing w:after="0" w:line="130" w:lineRule="exact"/>
              <w:rPr>
                <w:sz w:val="20"/>
                <w:szCs w:val="20"/>
                <w:color w:val="auto"/>
              </w:rPr>
            </w:pPr>
            <w:r>
              <w:rPr>
                <w:rFonts w:ascii="Arial" w:cs="Arial" w:eastAsia="Arial" w:hAnsi="Arial"/>
                <w:sz w:val="12"/>
                <w:szCs w:val="12"/>
                <w:color w:val="auto"/>
              </w:rPr>
              <w:t>-</w:t>
            </w:r>
          </w:p>
        </w:tc>
        <w:tc>
          <w:tcPr>
            <w:tcW w:w="860" w:type="dxa"/>
            <w:vAlign w:val="bottom"/>
            <w:gridSpan w:val="2"/>
            <w:shd w:val="clear" w:color="auto" w:fill="CCEEFF"/>
          </w:tcPr>
          <w:p>
            <w:pPr>
              <w:jc w:val="right"/>
              <w:ind w:right="160"/>
              <w:spacing w:after="0" w:line="130" w:lineRule="exact"/>
              <w:rPr>
                <w:sz w:val="20"/>
                <w:szCs w:val="20"/>
                <w:color w:val="auto"/>
              </w:rPr>
            </w:pPr>
            <w:r>
              <w:rPr>
                <w:rFonts w:ascii="Arial" w:cs="Arial" w:eastAsia="Arial" w:hAnsi="Arial"/>
                <w:sz w:val="12"/>
                <w:szCs w:val="12"/>
                <w:color w:val="auto"/>
              </w:rPr>
              <w:t>551,952</w:t>
            </w:r>
          </w:p>
        </w:tc>
        <w:tc>
          <w:tcPr>
            <w:tcW w:w="1000" w:type="dxa"/>
            <w:vAlign w:val="bottom"/>
            <w:gridSpan w:val="2"/>
            <w:shd w:val="clear" w:color="auto" w:fill="CCEEFF"/>
          </w:tcPr>
          <w:p>
            <w:pPr>
              <w:jc w:val="right"/>
              <w:ind w:right="300"/>
              <w:spacing w:after="0" w:line="130" w:lineRule="exact"/>
              <w:rPr>
                <w:sz w:val="20"/>
                <w:szCs w:val="20"/>
                <w:color w:val="auto"/>
              </w:rPr>
            </w:pPr>
            <w:r>
              <w:rPr>
                <w:rFonts w:ascii="Arial" w:cs="Arial" w:eastAsia="Arial" w:hAnsi="Arial"/>
                <w:sz w:val="12"/>
                <w:szCs w:val="12"/>
                <w:color w:val="auto"/>
              </w:rPr>
              <w:t>65</w:t>
            </w:r>
          </w:p>
        </w:tc>
        <w:tc>
          <w:tcPr>
            <w:tcW w:w="860" w:type="dxa"/>
            <w:vAlign w:val="bottom"/>
            <w:gridSpan w:val="2"/>
            <w:shd w:val="clear" w:color="auto" w:fill="CCEEFF"/>
          </w:tcPr>
          <w:p>
            <w:pPr>
              <w:jc w:val="right"/>
              <w:ind w:right="160"/>
              <w:spacing w:after="0" w:line="130" w:lineRule="exact"/>
              <w:rPr>
                <w:sz w:val="20"/>
                <w:szCs w:val="20"/>
                <w:color w:val="auto"/>
              </w:rPr>
            </w:pPr>
            <w:r>
              <w:rPr>
                <w:rFonts w:ascii="Arial" w:cs="Arial" w:eastAsia="Arial" w:hAnsi="Arial"/>
                <w:sz w:val="12"/>
                <w:szCs w:val="12"/>
                <w:color w:val="auto"/>
              </w:rPr>
              <w:t>-</w:t>
            </w:r>
          </w:p>
        </w:tc>
        <w:tc>
          <w:tcPr>
            <w:tcW w:w="700" w:type="dxa"/>
            <w:vAlign w:val="bottom"/>
            <w:shd w:val="clear" w:color="auto" w:fill="CCEEFF"/>
          </w:tcPr>
          <w:p>
            <w:pPr>
              <w:jc w:val="right"/>
              <w:spacing w:after="0" w:line="130" w:lineRule="exact"/>
              <w:rPr>
                <w:sz w:val="20"/>
                <w:szCs w:val="20"/>
                <w:color w:val="auto"/>
              </w:rPr>
            </w:pPr>
            <w:r>
              <w:rPr>
                <w:rFonts w:ascii="Arial" w:cs="Arial" w:eastAsia="Arial" w:hAnsi="Arial"/>
                <w:sz w:val="12"/>
                <w:szCs w:val="12"/>
                <w:color w:val="auto"/>
              </w:rPr>
              <w:t>660,191</w:t>
            </w:r>
          </w:p>
        </w:tc>
        <w:tc>
          <w:tcPr>
            <w:tcW w:w="14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160"/>
              <w:spacing w:after="0" w:line="130" w:lineRule="exact"/>
              <w:rPr>
                <w:sz w:val="20"/>
                <w:szCs w:val="20"/>
                <w:color w:val="auto"/>
              </w:rPr>
            </w:pPr>
            <w:r>
              <w:rPr>
                <w:rFonts w:ascii="Arial" w:cs="Arial" w:eastAsia="Arial" w:hAnsi="Arial"/>
                <w:sz w:val="12"/>
                <w:szCs w:val="12"/>
                <w:color w:val="auto"/>
              </w:rPr>
              <w:t>65,767</w:t>
            </w:r>
          </w:p>
        </w:tc>
        <w:tc>
          <w:tcPr>
            <w:tcW w:w="800" w:type="dxa"/>
            <w:vAlign w:val="bottom"/>
            <w:gridSpan w:val="2"/>
            <w:shd w:val="clear" w:color="auto" w:fill="CCEEFF"/>
          </w:tcPr>
          <w:p>
            <w:pPr>
              <w:jc w:val="right"/>
              <w:ind w:right="160"/>
              <w:spacing w:after="0" w:line="130" w:lineRule="exact"/>
              <w:rPr>
                <w:sz w:val="20"/>
                <w:szCs w:val="20"/>
                <w:color w:val="auto"/>
              </w:rPr>
            </w:pPr>
            <w:r>
              <w:rPr>
                <w:rFonts w:ascii="Arial" w:cs="Arial" w:eastAsia="Arial" w:hAnsi="Arial"/>
                <w:sz w:val="12"/>
                <w:szCs w:val="12"/>
                <w:color w:val="auto"/>
              </w:rPr>
              <w:t>-</w:t>
            </w:r>
          </w:p>
        </w:tc>
        <w:tc>
          <w:tcPr>
            <w:tcW w:w="700" w:type="dxa"/>
            <w:vAlign w:val="bottom"/>
            <w:gridSpan w:val="2"/>
            <w:shd w:val="clear" w:color="auto" w:fill="CCEEFF"/>
          </w:tcPr>
          <w:p>
            <w:pPr>
              <w:jc w:val="right"/>
              <w:ind w:right="20"/>
              <w:spacing w:after="0" w:line="130" w:lineRule="exact"/>
              <w:rPr>
                <w:sz w:val="20"/>
                <w:szCs w:val="20"/>
                <w:color w:val="auto"/>
              </w:rPr>
            </w:pPr>
            <w:r>
              <w:rPr>
                <w:rFonts w:ascii="Arial" w:cs="Arial" w:eastAsia="Arial" w:hAnsi="Arial"/>
                <w:sz w:val="12"/>
                <w:szCs w:val="12"/>
                <w:color w:val="auto"/>
              </w:rPr>
              <w:t>726,023</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1140" w:type="dxa"/>
            <w:vAlign w:val="bottom"/>
          </w:tcPr>
          <w:p>
            <w:pPr>
              <w:spacing w:after="0" w:line="130" w:lineRule="exact"/>
              <w:rPr>
                <w:sz w:val="20"/>
                <w:szCs w:val="20"/>
                <w:color w:val="auto"/>
              </w:rPr>
            </w:pPr>
            <w:r>
              <w:rPr>
                <w:rFonts w:ascii="Arial" w:cs="Arial" w:eastAsia="Arial" w:hAnsi="Arial"/>
                <w:sz w:val="12"/>
                <w:szCs w:val="12"/>
                <w:color w:val="auto"/>
              </w:rPr>
              <w:t>Chile</w:t>
            </w:r>
          </w:p>
        </w:tc>
        <w:tc>
          <w:tcPr>
            <w:tcW w:w="720" w:type="dxa"/>
            <w:vAlign w:val="bottom"/>
          </w:tcPr>
          <w:p>
            <w:pPr>
              <w:jc w:val="right"/>
              <w:spacing w:after="0" w:line="130" w:lineRule="exact"/>
              <w:rPr>
                <w:sz w:val="20"/>
                <w:szCs w:val="20"/>
                <w:color w:val="auto"/>
              </w:rPr>
            </w:pPr>
            <w:r>
              <w:rPr>
                <w:rFonts w:ascii="Arial" w:cs="Arial" w:eastAsia="Arial" w:hAnsi="Arial"/>
                <w:sz w:val="12"/>
                <w:szCs w:val="12"/>
                <w:color w:val="auto"/>
              </w:rPr>
              <w:t>411,276</w:t>
            </w:r>
          </w:p>
        </w:tc>
        <w:tc>
          <w:tcPr>
            <w:tcW w:w="280" w:type="dxa"/>
            <w:vAlign w:val="bottom"/>
          </w:tcPr>
          <w:p>
            <w:pPr>
              <w:spacing w:after="0"/>
              <w:rPr>
                <w:sz w:val="11"/>
                <w:szCs w:val="11"/>
                <w:color w:val="auto"/>
              </w:rPr>
            </w:pPr>
          </w:p>
        </w:tc>
        <w:tc>
          <w:tcPr>
            <w:tcW w:w="860" w:type="dxa"/>
            <w:vAlign w:val="bottom"/>
            <w:gridSpan w:val="2"/>
          </w:tcPr>
          <w:p>
            <w:pPr>
              <w:jc w:val="right"/>
              <w:ind w:right="140"/>
              <w:spacing w:after="0" w:line="130" w:lineRule="exact"/>
              <w:rPr>
                <w:sz w:val="20"/>
                <w:szCs w:val="20"/>
                <w:color w:val="auto"/>
              </w:rPr>
            </w:pPr>
            <w:r>
              <w:rPr>
                <w:rFonts w:ascii="Arial" w:cs="Arial" w:eastAsia="Arial" w:hAnsi="Arial"/>
                <w:sz w:val="12"/>
                <w:szCs w:val="12"/>
                <w:color w:val="auto"/>
              </w:rPr>
              <w:t>22,154</w:t>
            </w:r>
          </w:p>
        </w:tc>
        <w:tc>
          <w:tcPr>
            <w:tcW w:w="740" w:type="dxa"/>
            <w:vAlign w:val="bottom"/>
            <w:gridSpan w:val="2"/>
          </w:tcPr>
          <w:p>
            <w:pPr>
              <w:jc w:val="right"/>
              <w:ind w:right="80"/>
              <w:spacing w:after="0" w:line="130" w:lineRule="exact"/>
              <w:rPr>
                <w:sz w:val="20"/>
                <w:szCs w:val="20"/>
                <w:color w:val="auto"/>
              </w:rPr>
            </w:pPr>
            <w:r>
              <w:rPr>
                <w:rFonts w:ascii="Arial" w:cs="Arial" w:eastAsia="Arial" w:hAnsi="Arial"/>
                <w:sz w:val="12"/>
                <w:szCs w:val="12"/>
                <w:color w:val="auto"/>
              </w:rPr>
              <w:t>1,906,346</w:t>
            </w:r>
          </w:p>
        </w:tc>
        <w:tc>
          <w:tcPr>
            <w:tcW w:w="900" w:type="dxa"/>
            <w:vAlign w:val="bottom"/>
            <w:gridSpan w:val="3"/>
          </w:tcPr>
          <w:p>
            <w:pPr>
              <w:jc w:val="right"/>
              <w:ind w:right="160"/>
              <w:spacing w:after="0" w:line="130" w:lineRule="exact"/>
              <w:rPr>
                <w:sz w:val="20"/>
                <w:szCs w:val="20"/>
                <w:color w:val="auto"/>
              </w:rPr>
            </w:pPr>
            <w:r>
              <w:rPr>
                <w:rFonts w:ascii="Arial" w:cs="Arial" w:eastAsia="Arial" w:hAnsi="Arial"/>
                <w:sz w:val="12"/>
                <w:szCs w:val="12"/>
                <w:color w:val="auto"/>
              </w:rPr>
              <w:t>379,465</w:t>
            </w:r>
          </w:p>
        </w:tc>
        <w:tc>
          <w:tcPr>
            <w:tcW w:w="800" w:type="dxa"/>
            <w:vAlign w:val="bottom"/>
            <w:gridSpan w:val="2"/>
          </w:tcPr>
          <w:p>
            <w:pPr>
              <w:jc w:val="right"/>
              <w:ind w:right="140"/>
              <w:spacing w:after="0" w:line="130" w:lineRule="exact"/>
              <w:rPr>
                <w:sz w:val="20"/>
                <w:szCs w:val="20"/>
                <w:color w:val="auto"/>
              </w:rPr>
            </w:pPr>
            <w:r>
              <w:rPr>
                <w:rFonts w:ascii="Arial" w:cs="Arial" w:eastAsia="Arial" w:hAnsi="Arial"/>
                <w:sz w:val="12"/>
                <w:szCs w:val="12"/>
                <w:color w:val="auto"/>
              </w:rPr>
              <w:t>72,004</w:t>
            </w:r>
          </w:p>
        </w:tc>
        <w:tc>
          <w:tcPr>
            <w:tcW w:w="700" w:type="dxa"/>
            <w:vAlign w:val="bottom"/>
          </w:tcPr>
          <w:p>
            <w:pPr>
              <w:jc w:val="right"/>
              <w:spacing w:after="0" w:line="130" w:lineRule="exact"/>
              <w:rPr>
                <w:sz w:val="20"/>
                <w:szCs w:val="20"/>
                <w:color w:val="auto"/>
              </w:rPr>
            </w:pPr>
            <w:r>
              <w:rPr>
                <w:rFonts w:ascii="Arial" w:cs="Arial" w:eastAsia="Arial" w:hAnsi="Arial"/>
                <w:sz w:val="12"/>
                <w:szCs w:val="12"/>
                <w:color w:val="auto"/>
              </w:rPr>
              <w:t>2,791,245</w:t>
            </w:r>
          </w:p>
        </w:tc>
        <w:tc>
          <w:tcPr>
            <w:tcW w:w="160" w:type="dxa"/>
            <w:vAlign w:val="bottom"/>
          </w:tcPr>
          <w:p>
            <w:pPr>
              <w:spacing w:after="0"/>
              <w:rPr>
                <w:sz w:val="11"/>
                <w:szCs w:val="11"/>
                <w:color w:val="auto"/>
              </w:rPr>
            </w:pPr>
          </w:p>
        </w:tc>
        <w:tc>
          <w:tcPr>
            <w:tcW w:w="1000" w:type="dxa"/>
            <w:vAlign w:val="bottom"/>
            <w:gridSpan w:val="2"/>
          </w:tcPr>
          <w:p>
            <w:pPr>
              <w:jc w:val="right"/>
              <w:ind w:right="300"/>
              <w:spacing w:after="0" w:line="130" w:lineRule="exact"/>
              <w:rPr>
                <w:sz w:val="20"/>
                <w:szCs w:val="20"/>
                <w:color w:val="auto"/>
              </w:rPr>
            </w:pPr>
            <w:r>
              <w:rPr>
                <w:rFonts w:ascii="Arial" w:cs="Arial" w:eastAsia="Arial" w:hAnsi="Arial"/>
                <w:sz w:val="12"/>
                <w:szCs w:val="12"/>
                <w:color w:val="auto"/>
              </w:rPr>
              <w:t>342,613</w:t>
            </w:r>
          </w:p>
        </w:tc>
        <w:tc>
          <w:tcPr>
            <w:tcW w:w="860" w:type="dxa"/>
            <w:vAlign w:val="bottom"/>
            <w:gridSpan w:val="2"/>
          </w:tcPr>
          <w:p>
            <w:pPr>
              <w:jc w:val="right"/>
              <w:ind w:right="160"/>
              <w:spacing w:after="0" w:line="130" w:lineRule="exact"/>
              <w:rPr>
                <w:sz w:val="20"/>
                <w:szCs w:val="20"/>
                <w:color w:val="auto"/>
              </w:rPr>
            </w:pPr>
            <w:r>
              <w:rPr>
                <w:rFonts w:ascii="Arial" w:cs="Arial" w:eastAsia="Arial" w:hAnsi="Arial"/>
                <w:sz w:val="12"/>
                <w:szCs w:val="12"/>
                <w:color w:val="auto"/>
              </w:rPr>
              <w:t>29,315</w:t>
            </w:r>
          </w:p>
        </w:tc>
        <w:tc>
          <w:tcPr>
            <w:tcW w:w="700" w:type="dxa"/>
            <w:vAlign w:val="bottom"/>
          </w:tcPr>
          <w:p>
            <w:pPr>
              <w:jc w:val="right"/>
              <w:spacing w:after="0" w:line="130" w:lineRule="exact"/>
              <w:rPr>
                <w:sz w:val="20"/>
                <w:szCs w:val="20"/>
                <w:color w:val="auto"/>
              </w:rPr>
            </w:pPr>
            <w:r>
              <w:rPr>
                <w:rFonts w:ascii="Arial" w:cs="Arial" w:eastAsia="Arial" w:hAnsi="Arial"/>
                <w:sz w:val="12"/>
                <w:szCs w:val="12"/>
                <w:color w:val="auto"/>
              </w:rPr>
              <w:t>1,597,426</w:t>
            </w:r>
          </w:p>
        </w:tc>
        <w:tc>
          <w:tcPr>
            <w:tcW w:w="140" w:type="dxa"/>
            <w:vAlign w:val="bottom"/>
          </w:tcPr>
          <w:p>
            <w:pPr>
              <w:spacing w:after="0"/>
              <w:rPr>
                <w:sz w:val="11"/>
                <w:szCs w:val="11"/>
                <w:color w:val="auto"/>
              </w:rPr>
            </w:pPr>
          </w:p>
        </w:tc>
        <w:tc>
          <w:tcPr>
            <w:tcW w:w="860" w:type="dxa"/>
            <w:vAlign w:val="bottom"/>
            <w:gridSpan w:val="2"/>
          </w:tcPr>
          <w:p>
            <w:pPr>
              <w:jc w:val="right"/>
              <w:ind w:right="160"/>
              <w:spacing w:after="0" w:line="130" w:lineRule="exact"/>
              <w:rPr>
                <w:sz w:val="20"/>
                <w:szCs w:val="20"/>
                <w:color w:val="auto"/>
              </w:rPr>
            </w:pPr>
            <w:r>
              <w:rPr>
                <w:rFonts w:ascii="Arial" w:cs="Arial" w:eastAsia="Arial" w:hAnsi="Arial"/>
                <w:sz w:val="12"/>
                <w:szCs w:val="12"/>
                <w:color w:val="auto"/>
              </w:rPr>
              <w:t>838,702</w:t>
            </w:r>
          </w:p>
        </w:tc>
        <w:tc>
          <w:tcPr>
            <w:tcW w:w="800" w:type="dxa"/>
            <w:vAlign w:val="bottom"/>
            <w:gridSpan w:val="2"/>
          </w:tcPr>
          <w:p>
            <w:pPr>
              <w:jc w:val="right"/>
              <w:ind w:right="160"/>
              <w:spacing w:after="0" w:line="130" w:lineRule="exact"/>
              <w:rPr>
                <w:sz w:val="20"/>
                <w:szCs w:val="20"/>
                <w:color w:val="auto"/>
              </w:rPr>
            </w:pPr>
            <w:r>
              <w:rPr>
                <w:rFonts w:ascii="Arial" w:cs="Arial" w:eastAsia="Arial" w:hAnsi="Arial"/>
                <w:sz w:val="12"/>
                <w:szCs w:val="12"/>
                <w:color w:val="auto"/>
              </w:rPr>
              <w:t>69,839</w:t>
            </w:r>
          </w:p>
        </w:tc>
        <w:tc>
          <w:tcPr>
            <w:tcW w:w="700" w:type="dxa"/>
            <w:vAlign w:val="bottom"/>
            <w:gridSpan w:val="2"/>
          </w:tcPr>
          <w:p>
            <w:pPr>
              <w:jc w:val="right"/>
              <w:ind w:right="20"/>
              <w:spacing w:after="0" w:line="130" w:lineRule="exact"/>
              <w:rPr>
                <w:sz w:val="20"/>
                <w:szCs w:val="20"/>
                <w:color w:val="auto"/>
              </w:rPr>
            </w:pPr>
            <w:r>
              <w:rPr>
                <w:rFonts w:ascii="Arial" w:cs="Arial" w:eastAsia="Arial" w:hAnsi="Arial"/>
                <w:sz w:val="12"/>
                <w:szCs w:val="12"/>
                <w:color w:val="auto"/>
              </w:rPr>
              <w:t>2,877,895</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1140" w:type="dxa"/>
            <w:vAlign w:val="bottom"/>
            <w:shd w:val="clear" w:color="auto" w:fill="CCEEFF"/>
          </w:tcPr>
          <w:p>
            <w:pPr>
              <w:spacing w:after="0" w:line="130" w:lineRule="exact"/>
              <w:rPr>
                <w:sz w:val="20"/>
                <w:szCs w:val="20"/>
                <w:color w:val="auto"/>
              </w:rPr>
            </w:pPr>
            <w:r>
              <w:rPr>
                <w:rFonts w:ascii="Arial" w:cs="Arial" w:eastAsia="Arial" w:hAnsi="Arial"/>
                <w:sz w:val="12"/>
                <w:szCs w:val="12"/>
                <w:color w:val="auto"/>
              </w:rPr>
              <w:t>Brazil</w:t>
            </w:r>
          </w:p>
        </w:tc>
        <w:tc>
          <w:tcPr>
            <w:tcW w:w="1000" w:type="dxa"/>
            <w:vAlign w:val="bottom"/>
            <w:gridSpan w:val="2"/>
            <w:shd w:val="clear" w:color="auto" w:fill="CCEEFF"/>
          </w:tcPr>
          <w:p>
            <w:pPr>
              <w:jc w:val="right"/>
              <w:ind w:right="280"/>
              <w:spacing w:after="0" w:line="130" w:lineRule="exact"/>
              <w:rPr>
                <w:sz w:val="20"/>
                <w:szCs w:val="20"/>
                <w:color w:val="auto"/>
              </w:rPr>
            </w:pPr>
            <w:r>
              <w:rPr>
                <w:rFonts w:ascii="Arial" w:cs="Arial" w:eastAsia="Arial" w:hAnsi="Arial"/>
                <w:sz w:val="12"/>
                <w:szCs w:val="12"/>
                <w:color w:val="auto"/>
              </w:rPr>
              <w:t>22,476</w:t>
            </w:r>
          </w:p>
        </w:tc>
        <w:tc>
          <w:tcPr>
            <w:tcW w:w="860" w:type="dxa"/>
            <w:vAlign w:val="bottom"/>
            <w:gridSpan w:val="2"/>
            <w:shd w:val="clear" w:color="auto" w:fill="CCEEFF"/>
          </w:tcPr>
          <w:p>
            <w:pPr>
              <w:jc w:val="right"/>
              <w:ind w:right="140"/>
              <w:spacing w:after="0" w:line="130" w:lineRule="exact"/>
              <w:rPr>
                <w:sz w:val="20"/>
                <w:szCs w:val="20"/>
                <w:color w:val="auto"/>
              </w:rPr>
            </w:pPr>
            <w:r>
              <w:rPr>
                <w:rFonts w:ascii="Arial" w:cs="Arial" w:eastAsia="Arial" w:hAnsi="Arial"/>
                <w:sz w:val="12"/>
                <w:szCs w:val="12"/>
                <w:color w:val="auto"/>
              </w:rPr>
              <w:t>-</w:t>
            </w:r>
          </w:p>
        </w:tc>
        <w:tc>
          <w:tcPr>
            <w:tcW w:w="740" w:type="dxa"/>
            <w:vAlign w:val="bottom"/>
            <w:gridSpan w:val="2"/>
            <w:shd w:val="clear" w:color="auto" w:fill="CCEEFF"/>
          </w:tcPr>
          <w:p>
            <w:pPr>
              <w:jc w:val="right"/>
              <w:ind w:right="80"/>
              <w:spacing w:after="0" w:line="130" w:lineRule="exact"/>
              <w:rPr>
                <w:sz w:val="20"/>
                <w:szCs w:val="20"/>
                <w:color w:val="auto"/>
              </w:rPr>
            </w:pPr>
            <w:r>
              <w:rPr>
                <w:rFonts w:ascii="Arial" w:cs="Arial" w:eastAsia="Arial" w:hAnsi="Arial"/>
                <w:sz w:val="12"/>
                <w:szCs w:val="12"/>
                <w:color w:val="auto"/>
              </w:rPr>
              <w:t>193,120</w:t>
            </w:r>
          </w:p>
        </w:tc>
        <w:tc>
          <w:tcPr>
            <w:tcW w:w="900" w:type="dxa"/>
            <w:vAlign w:val="bottom"/>
            <w:gridSpan w:val="3"/>
            <w:shd w:val="clear" w:color="auto" w:fill="CCEEFF"/>
          </w:tcPr>
          <w:p>
            <w:pPr>
              <w:jc w:val="right"/>
              <w:ind w:right="160"/>
              <w:spacing w:after="0" w:line="130" w:lineRule="exact"/>
              <w:rPr>
                <w:sz w:val="20"/>
                <w:szCs w:val="20"/>
                <w:color w:val="auto"/>
              </w:rPr>
            </w:pPr>
            <w:r>
              <w:rPr>
                <w:rFonts w:ascii="Arial" w:cs="Arial" w:eastAsia="Arial" w:hAnsi="Arial"/>
                <w:sz w:val="12"/>
                <w:szCs w:val="12"/>
                <w:color w:val="auto"/>
              </w:rPr>
              <w:t>44,062</w:t>
            </w:r>
          </w:p>
        </w:tc>
        <w:tc>
          <w:tcPr>
            <w:tcW w:w="800" w:type="dxa"/>
            <w:vAlign w:val="bottom"/>
            <w:gridSpan w:val="2"/>
            <w:shd w:val="clear" w:color="auto" w:fill="CCEEFF"/>
          </w:tcPr>
          <w:p>
            <w:pPr>
              <w:jc w:val="right"/>
              <w:ind w:right="140"/>
              <w:spacing w:after="0" w:line="130" w:lineRule="exact"/>
              <w:rPr>
                <w:sz w:val="20"/>
                <w:szCs w:val="20"/>
                <w:color w:val="auto"/>
              </w:rPr>
            </w:pPr>
            <w:r>
              <w:rPr>
                <w:rFonts w:ascii="Arial" w:cs="Arial" w:eastAsia="Arial" w:hAnsi="Arial"/>
                <w:sz w:val="12"/>
                <w:szCs w:val="12"/>
                <w:color w:val="auto"/>
              </w:rPr>
              <w:t>111,168</w:t>
            </w:r>
          </w:p>
        </w:tc>
        <w:tc>
          <w:tcPr>
            <w:tcW w:w="860" w:type="dxa"/>
            <w:vAlign w:val="bottom"/>
            <w:gridSpan w:val="2"/>
            <w:shd w:val="clear" w:color="auto" w:fill="CCEEFF"/>
          </w:tcPr>
          <w:p>
            <w:pPr>
              <w:jc w:val="right"/>
              <w:ind w:right="160"/>
              <w:spacing w:after="0" w:line="130" w:lineRule="exact"/>
              <w:rPr>
                <w:sz w:val="20"/>
                <w:szCs w:val="20"/>
                <w:color w:val="auto"/>
              </w:rPr>
            </w:pPr>
            <w:r>
              <w:rPr>
                <w:rFonts w:ascii="Arial" w:cs="Arial" w:eastAsia="Arial" w:hAnsi="Arial"/>
                <w:sz w:val="12"/>
                <w:szCs w:val="12"/>
                <w:color w:val="auto"/>
              </w:rPr>
              <w:t>370,826</w:t>
            </w:r>
          </w:p>
        </w:tc>
        <w:tc>
          <w:tcPr>
            <w:tcW w:w="1000" w:type="dxa"/>
            <w:vAlign w:val="bottom"/>
            <w:gridSpan w:val="2"/>
            <w:shd w:val="clear" w:color="auto" w:fill="CCEEFF"/>
          </w:tcPr>
          <w:p>
            <w:pPr>
              <w:jc w:val="right"/>
              <w:ind w:right="300"/>
              <w:spacing w:after="0" w:line="130" w:lineRule="exact"/>
              <w:rPr>
                <w:sz w:val="20"/>
                <w:szCs w:val="20"/>
                <w:color w:val="auto"/>
              </w:rPr>
            </w:pPr>
            <w:r>
              <w:rPr>
                <w:rFonts w:ascii="Arial" w:cs="Arial" w:eastAsia="Arial" w:hAnsi="Arial"/>
                <w:sz w:val="12"/>
                <w:szCs w:val="12"/>
                <w:color w:val="auto"/>
              </w:rPr>
              <w:t>-</w:t>
            </w:r>
          </w:p>
        </w:tc>
        <w:tc>
          <w:tcPr>
            <w:tcW w:w="860" w:type="dxa"/>
            <w:vAlign w:val="bottom"/>
            <w:gridSpan w:val="2"/>
            <w:shd w:val="clear" w:color="auto" w:fill="CCEEFF"/>
          </w:tcPr>
          <w:p>
            <w:pPr>
              <w:jc w:val="right"/>
              <w:ind w:right="160"/>
              <w:spacing w:after="0" w:line="130" w:lineRule="exact"/>
              <w:rPr>
                <w:sz w:val="20"/>
                <w:szCs w:val="20"/>
                <w:color w:val="auto"/>
              </w:rPr>
            </w:pPr>
            <w:r>
              <w:rPr>
                <w:rFonts w:ascii="Arial" w:cs="Arial" w:eastAsia="Arial" w:hAnsi="Arial"/>
                <w:sz w:val="12"/>
                <w:szCs w:val="12"/>
                <w:color w:val="auto"/>
              </w:rPr>
              <w:t>-</w:t>
            </w:r>
          </w:p>
        </w:tc>
        <w:tc>
          <w:tcPr>
            <w:tcW w:w="700" w:type="dxa"/>
            <w:vAlign w:val="bottom"/>
            <w:shd w:val="clear" w:color="auto" w:fill="CCEEFF"/>
          </w:tcPr>
          <w:p>
            <w:pPr>
              <w:jc w:val="right"/>
              <w:spacing w:after="0" w:line="130" w:lineRule="exact"/>
              <w:rPr>
                <w:sz w:val="20"/>
                <w:szCs w:val="20"/>
                <w:color w:val="auto"/>
              </w:rPr>
            </w:pPr>
            <w:r>
              <w:rPr>
                <w:rFonts w:ascii="Arial" w:cs="Arial" w:eastAsia="Arial" w:hAnsi="Arial"/>
                <w:sz w:val="12"/>
                <w:szCs w:val="12"/>
                <w:color w:val="auto"/>
              </w:rPr>
              <w:t>283,056</w:t>
            </w:r>
          </w:p>
        </w:tc>
        <w:tc>
          <w:tcPr>
            <w:tcW w:w="14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160"/>
              <w:spacing w:after="0" w:line="130" w:lineRule="exact"/>
              <w:rPr>
                <w:sz w:val="20"/>
                <w:szCs w:val="20"/>
                <w:color w:val="auto"/>
              </w:rPr>
            </w:pPr>
            <w:r>
              <w:rPr>
                <w:rFonts w:ascii="Arial" w:cs="Arial" w:eastAsia="Arial" w:hAnsi="Arial"/>
                <w:sz w:val="12"/>
                <w:szCs w:val="12"/>
                <w:color w:val="auto"/>
              </w:rPr>
              <w:t>98,022</w:t>
            </w:r>
          </w:p>
        </w:tc>
        <w:tc>
          <w:tcPr>
            <w:tcW w:w="640" w:type="dxa"/>
            <w:vAlign w:val="bottom"/>
            <w:shd w:val="clear" w:color="auto" w:fill="CCEEFF"/>
          </w:tcPr>
          <w:p>
            <w:pPr>
              <w:jc w:val="right"/>
              <w:spacing w:after="0" w:line="130" w:lineRule="exact"/>
              <w:rPr>
                <w:sz w:val="20"/>
                <w:szCs w:val="20"/>
                <w:color w:val="auto"/>
              </w:rPr>
            </w:pPr>
            <w:r>
              <w:rPr>
                <w:rFonts w:ascii="Arial" w:cs="Arial" w:eastAsia="Arial" w:hAnsi="Arial"/>
                <w:sz w:val="12"/>
                <w:szCs w:val="12"/>
                <w:color w:val="auto"/>
              </w:rPr>
              <w:t>121,794</w:t>
            </w:r>
          </w:p>
        </w:tc>
        <w:tc>
          <w:tcPr>
            <w:tcW w:w="16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20"/>
              <w:spacing w:after="0" w:line="130" w:lineRule="exact"/>
              <w:rPr>
                <w:sz w:val="20"/>
                <w:szCs w:val="20"/>
                <w:color w:val="auto"/>
              </w:rPr>
            </w:pPr>
            <w:r>
              <w:rPr>
                <w:rFonts w:ascii="Arial" w:cs="Arial" w:eastAsia="Arial" w:hAnsi="Arial"/>
                <w:sz w:val="12"/>
                <w:szCs w:val="12"/>
                <w:color w:val="auto"/>
              </w:rPr>
              <w:t>502,872</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1140" w:type="dxa"/>
            <w:vAlign w:val="bottom"/>
          </w:tcPr>
          <w:p>
            <w:pPr>
              <w:spacing w:after="0" w:line="130" w:lineRule="exact"/>
              <w:rPr>
                <w:sz w:val="20"/>
                <w:szCs w:val="20"/>
                <w:color w:val="auto"/>
              </w:rPr>
            </w:pPr>
            <w:r>
              <w:rPr>
                <w:rFonts w:ascii="Arial" w:cs="Arial" w:eastAsia="Arial" w:hAnsi="Arial"/>
                <w:sz w:val="12"/>
                <w:szCs w:val="12"/>
                <w:color w:val="auto"/>
              </w:rPr>
              <w:t>México</w:t>
            </w:r>
          </w:p>
        </w:tc>
        <w:tc>
          <w:tcPr>
            <w:tcW w:w="1000" w:type="dxa"/>
            <w:vAlign w:val="bottom"/>
            <w:gridSpan w:val="2"/>
          </w:tcPr>
          <w:p>
            <w:pPr>
              <w:jc w:val="right"/>
              <w:ind w:right="280"/>
              <w:spacing w:after="0" w:line="130" w:lineRule="exact"/>
              <w:rPr>
                <w:sz w:val="20"/>
                <w:szCs w:val="20"/>
                <w:color w:val="auto"/>
              </w:rPr>
            </w:pPr>
            <w:r>
              <w:rPr>
                <w:rFonts w:ascii="Arial" w:cs="Arial" w:eastAsia="Arial" w:hAnsi="Arial"/>
                <w:sz w:val="12"/>
                <w:szCs w:val="12"/>
                <w:color w:val="auto"/>
              </w:rPr>
              <w:t>19,570</w:t>
            </w:r>
          </w:p>
        </w:tc>
        <w:tc>
          <w:tcPr>
            <w:tcW w:w="860" w:type="dxa"/>
            <w:vAlign w:val="bottom"/>
            <w:gridSpan w:val="2"/>
          </w:tcPr>
          <w:p>
            <w:pPr>
              <w:jc w:val="right"/>
              <w:ind w:right="140"/>
              <w:spacing w:after="0" w:line="130" w:lineRule="exact"/>
              <w:rPr>
                <w:sz w:val="20"/>
                <w:szCs w:val="20"/>
                <w:color w:val="auto"/>
              </w:rPr>
            </w:pPr>
            <w:r>
              <w:rPr>
                <w:rFonts w:ascii="Arial" w:cs="Arial" w:eastAsia="Arial" w:hAnsi="Arial"/>
                <w:sz w:val="12"/>
                <w:szCs w:val="12"/>
                <w:color w:val="auto"/>
              </w:rPr>
              <w:t>30,148</w:t>
            </w:r>
          </w:p>
        </w:tc>
        <w:tc>
          <w:tcPr>
            <w:tcW w:w="740" w:type="dxa"/>
            <w:vAlign w:val="bottom"/>
            <w:gridSpan w:val="2"/>
          </w:tcPr>
          <w:p>
            <w:pPr>
              <w:jc w:val="right"/>
              <w:ind w:right="80"/>
              <w:spacing w:after="0" w:line="130" w:lineRule="exact"/>
              <w:rPr>
                <w:sz w:val="20"/>
                <w:szCs w:val="20"/>
                <w:color w:val="auto"/>
              </w:rPr>
            </w:pPr>
            <w:r>
              <w:rPr>
                <w:rFonts w:ascii="Arial" w:cs="Arial" w:eastAsia="Arial" w:hAnsi="Arial"/>
                <w:sz w:val="12"/>
                <w:szCs w:val="12"/>
                <w:color w:val="auto"/>
              </w:rPr>
              <w:t>80,844</w:t>
            </w:r>
          </w:p>
        </w:tc>
        <w:tc>
          <w:tcPr>
            <w:tcW w:w="900" w:type="dxa"/>
            <w:vAlign w:val="bottom"/>
            <w:gridSpan w:val="3"/>
          </w:tcPr>
          <w:p>
            <w:pPr>
              <w:jc w:val="right"/>
              <w:ind w:right="160"/>
              <w:spacing w:after="0" w:line="130" w:lineRule="exact"/>
              <w:rPr>
                <w:sz w:val="20"/>
                <w:szCs w:val="20"/>
                <w:color w:val="auto"/>
              </w:rPr>
            </w:pPr>
            <w:r>
              <w:rPr>
                <w:rFonts w:ascii="Arial" w:cs="Arial" w:eastAsia="Arial" w:hAnsi="Arial"/>
                <w:sz w:val="12"/>
                <w:szCs w:val="12"/>
                <w:color w:val="auto"/>
              </w:rPr>
              <w:t>329,679</w:t>
            </w:r>
          </w:p>
        </w:tc>
        <w:tc>
          <w:tcPr>
            <w:tcW w:w="800" w:type="dxa"/>
            <w:vAlign w:val="bottom"/>
            <w:gridSpan w:val="2"/>
          </w:tcPr>
          <w:p>
            <w:pPr>
              <w:jc w:val="right"/>
              <w:ind w:right="140"/>
              <w:spacing w:after="0" w:line="130" w:lineRule="exact"/>
              <w:rPr>
                <w:sz w:val="20"/>
                <w:szCs w:val="20"/>
                <w:color w:val="auto"/>
              </w:rPr>
            </w:pPr>
            <w:r>
              <w:rPr>
                <w:rFonts w:ascii="Arial" w:cs="Arial" w:eastAsia="Arial" w:hAnsi="Arial"/>
                <w:sz w:val="12"/>
                <w:szCs w:val="12"/>
                <w:color w:val="auto"/>
              </w:rPr>
              <w:t>70,072</w:t>
            </w:r>
          </w:p>
        </w:tc>
        <w:tc>
          <w:tcPr>
            <w:tcW w:w="860" w:type="dxa"/>
            <w:vAlign w:val="bottom"/>
            <w:gridSpan w:val="2"/>
          </w:tcPr>
          <w:p>
            <w:pPr>
              <w:jc w:val="right"/>
              <w:ind w:right="160"/>
              <w:spacing w:after="0" w:line="130" w:lineRule="exact"/>
              <w:rPr>
                <w:sz w:val="20"/>
                <w:szCs w:val="20"/>
                <w:color w:val="auto"/>
              </w:rPr>
            </w:pPr>
            <w:r>
              <w:rPr>
                <w:rFonts w:ascii="Arial" w:cs="Arial" w:eastAsia="Arial" w:hAnsi="Arial"/>
                <w:sz w:val="12"/>
                <w:szCs w:val="12"/>
                <w:color w:val="auto"/>
              </w:rPr>
              <w:t>530,313</w:t>
            </w:r>
          </w:p>
        </w:tc>
        <w:tc>
          <w:tcPr>
            <w:tcW w:w="1000" w:type="dxa"/>
            <w:vAlign w:val="bottom"/>
            <w:gridSpan w:val="2"/>
          </w:tcPr>
          <w:p>
            <w:pPr>
              <w:jc w:val="right"/>
              <w:ind w:right="300"/>
              <w:spacing w:after="0" w:line="130" w:lineRule="exact"/>
              <w:rPr>
                <w:sz w:val="20"/>
                <w:szCs w:val="20"/>
                <w:color w:val="auto"/>
              </w:rPr>
            </w:pPr>
            <w:r>
              <w:rPr>
                <w:rFonts w:ascii="Arial" w:cs="Arial" w:eastAsia="Arial" w:hAnsi="Arial"/>
                <w:sz w:val="12"/>
                <w:szCs w:val="12"/>
                <w:color w:val="auto"/>
              </w:rPr>
              <w:t>-</w:t>
            </w:r>
          </w:p>
        </w:tc>
        <w:tc>
          <w:tcPr>
            <w:tcW w:w="860" w:type="dxa"/>
            <w:vAlign w:val="bottom"/>
            <w:gridSpan w:val="2"/>
          </w:tcPr>
          <w:p>
            <w:pPr>
              <w:jc w:val="right"/>
              <w:ind w:right="160"/>
              <w:spacing w:after="0" w:line="130" w:lineRule="exact"/>
              <w:rPr>
                <w:sz w:val="20"/>
                <w:szCs w:val="20"/>
                <w:color w:val="auto"/>
              </w:rPr>
            </w:pPr>
            <w:r>
              <w:rPr>
                <w:rFonts w:ascii="Arial" w:cs="Arial" w:eastAsia="Arial" w:hAnsi="Arial"/>
                <w:sz w:val="12"/>
                <w:szCs w:val="12"/>
                <w:color w:val="auto"/>
              </w:rPr>
              <w:t>7,654</w:t>
            </w:r>
          </w:p>
        </w:tc>
        <w:tc>
          <w:tcPr>
            <w:tcW w:w="840" w:type="dxa"/>
            <w:vAlign w:val="bottom"/>
            <w:gridSpan w:val="2"/>
          </w:tcPr>
          <w:p>
            <w:pPr>
              <w:jc w:val="right"/>
              <w:ind w:right="140"/>
              <w:spacing w:after="0" w:line="130" w:lineRule="exact"/>
              <w:rPr>
                <w:sz w:val="20"/>
                <w:szCs w:val="20"/>
                <w:color w:val="auto"/>
              </w:rPr>
            </w:pPr>
            <w:r>
              <w:rPr>
                <w:rFonts w:ascii="Arial" w:cs="Arial" w:eastAsia="Arial" w:hAnsi="Arial"/>
                <w:sz w:val="12"/>
                <w:szCs w:val="12"/>
                <w:color w:val="auto"/>
              </w:rPr>
              <w:t>83,792</w:t>
            </w:r>
          </w:p>
        </w:tc>
        <w:tc>
          <w:tcPr>
            <w:tcW w:w="860" w:type="dxa"/>
            <w:vAlign w:val="bottom"/>
            <w:gridSpan w:val="2"/>
          </w:tcPr>
          <w:p>
            <w:pPr>
              <w:jc w:val="right"/>
              <w:ind w:right="160"/>
              <w:spacing w:after="0" w:line="130" w:lineRule="exact"/>
              <w:rPr>
                <w:sz w:val="20"/>
                <w:szCs w:val="20"/>
                <w:color w:val="auto"/>
              </w:rPr>
            </w:pPr>
            <w:r>
              <w:rPr>
                <w:rFonts w:ascii="Arial" w:cs="Arial" w:eastAsia="Arial" w:hAnsi="Arial"/>
                <w:sz w:val="12"/>
                <w:szCs w:val="12"/>
                <w:color w:val="auto"/>
              </w:rPr>
              <w:t>334,116</w:t>
            </w:r>
          </w:p>
        </w:tc>
        <w:tc>
          <w:tcPr>
            <w:tcW w:w="800" w:type="dxa"/>
            <w:vAlign w:val="bottom"/>
            <w:gridSpan w:val="2"/>
          </w:tcPr>
          <w:p>
            <w:pPr>
              <w:jc w:val="right"/>
              <w:ind w:right="160"/>
              <w:spacing w:after="0" w:line="130" w:lineRule="exact"/>
              <w:rPr>
                <w:sz w:val="20"/>
                <w:szCs w:val="20"/>
                <w:color w:val="auto"/>
              </w:rPr>
            </w:pPr>
            <w:r>
              <w:rPr>
                <w:rFonts w:ascii="Arial" w:cs="Arial" w:eastAsia="Arial" w:hAnsi="Arial"/>
                <w:sz w:val="12"/>
                <w:szCs w:val="12"/>
                <w:color w:val="auto"/>
              </w:rPr>
              <w:t>77,423</w:t>
            </w:r>
          </w:p>
        </w:tc>
        <w:tc>
          <w:tcPr>
            <w:tcW w:w="700" w:type="dxa"/>
            <w:vAlign w:val="bottom"/>
            <w:gridSpan w:val="2"/>
          </w:tcPr>
          <w:p>
            <w:pPr>
              <w:jc w:val="right"/>
              <w:ind w:right="20"/>
              <w:spacing w:after="0" w:line="130" w:lineRule="exact"/>
              <w:rPr>
                <w:sz w:val="20"/>
                <w:szCs w:val="20"/>
                <w:color w:val="auto"/>
              </w:rPr>
            </w:pPr>
            <w:r>
              <w:rPr>
                <w:rFonts w:ascii="Arial" w:cs="Arial" w:eastAsia="Arial" w:hAnsi="Arial"/>
                <w:sz w:val="12"/>
                <w:szCs w:val="12"/>
                <w:color w:val="auto"/>
              </w:rPr>
              <w:t>502,985</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1140" w:type="dxa"/>
            <w:vAlign w:val="bottom"/>
            <w:shd w:val="clear" w:color="auto" w:fill="CCEEFF"/>
          </w:tcPr>
          <w:p>
            <w:pPr>
              <w:spacing w:after="0" w:line="130" w:lineRule="exact"/>
              <w:rPr>
                <w:sz w:val="20"/>
                <w:szCs w:val="20"/>
                <w:color w:val="auto"/>
              </w:rPr>
            </w:pPr>
            <w:r>
              <w:rPr>
                <w:rFonts w:ascii="Arial" w:cs="Arial" w:eastAsia="Arial" w:hAnsi="Arial"/>
                <w:sz w:val="12"/>
                <w:szCs w:val="12"/>
                <w:color w:val="auto"/>
              </w:rPr>
              <w:t>Canada</w:t>
            </w:r>
          </w:p>
        </w:tc>
        <w:tc>
          <w:tcPr>
            <w:tcW w:w="1000" w:type="dxa"/>
            <w:vAlign w:val="bottom"/>
            <w:gridSpan w:val="2"/>
            <w:shd w:val="clear" w:color="auto" w:fill="CCEEFF"/>
          </w:tcPr>
          <w:p>
            <w:pPr>
              <w:jc w:val="right"/>
              <w:ind w:right="280"/>
              <w:spacing w:after="0" w:line="130" w:lineRule="exact"/>
              <w:rPr>
                <w:sz w:val="20"/>
                <w:szCs w:val="20"/>
                <w:color w:val="auto"/>
              </w:rPr>
            </w:pPr>
            <w:r>
              <w:rPr>
                <w:rFonts w:ascii="Arial" w:cs="Arial" w:eastAsia="Arial" w:hAnsi="Arial"/>
                <w:sz w:val="12"/>
                <w:szCs w:val="12"/>
                <w:color w:val="auto"/>
              </w:rPr>
              <w:t>14,804</w:t>
            </w:r>
          </w:p>
        </w:tc>
        <w:tc>
          <w:tcPr>
            <w:tcW w:w="860" w:type="dxa"/>
            <w:vAlign w:val="bottom"/>
            <w:gridSpan w:val="2"/>
            <w:shd w:val="clear" w:color="auto" w:fill="CCEEFF"/>
          </w:tcPr>
          <w:p>
            <w:pPr>
              <w:jc w:val="right"/>
              <w:ind w:right="140"/>
              <w:spacing w:after="0" w:line="130" w:lineRule="exact"/>
              <w:rPr>
                <w:sz w:val="20"/>
                <w:szCs w:val="20"/>
                <w:color w:val="auto"/>
              </w:rPr>
            </w:pPr>
            <w:r>
              <w:rPr>
                <w:rFonts w:ascii="Arial" w:cs="Arial" w:eastAsia="Arial" w:hAnsi="Arial"/>
                <w:sz w:val="12"/>
                <w:szCs w:val="12"/>
                <w:color w:val="auto"/>
              </w:rPr>
              <w:t>-</w:t>
            </w:r>
          </w:p>
        </w:tc>
        <w:tc>
          <w:tcPr>
            <w:tcW w:w="740" w:type="dxa"/>
            <w:vAlign w:val="bottom"/>
            <w:gridSpan w:val="2"/>
            <w:shd w:val="clear" w:color="auto" w:fill="CCEEFF"/>
          </w:tcPr>
          <w:p>
            <w:pPr>
              <w:jc w:val="right"/>
              <w:ind w:right="80"/>
              <w:spacing w:after="0" w:line="130" w:lineRule="exact"/>
              <w:rPr>
                <w:sz w:val="20"/>
                <w:szCs w:val="20"/>
                <w:color w:val="auto"/>
              </w:rPr>
            </w:pPr>
            <w:r>
              <w:rPr>
                <w:rFonts w:ascii="Arial" w:cs="Arial" w:eastAsia="Arial" w:hAnsi="Arial"/>
                <w:sz w:val="12"/>
                <w:szCs w:val="12"/>
                <w:color w:val="auto"/>
              </w:rPr>
              <w:t>39,477</w:t>
            </w:r>
          </w:p>
        </w:tc>
        <w:tc>
          <w:tcPr>
            <w:tcW w:w="900" w:type="dxa"/>
            <w:vAlign w:val="bottom"/>
            <w:gridSpan w:val="3"/>
            <w:shd w:val="clear" w:color="auto" w:fill="CCEEFF"/>
          </w:tcPr>
          <w:p>
            <w:pPr>
              <w:jc w:val="right"/>
              <w:ind w:right="160"/>
              <w:spacing w:after="0" w:line="130" w:lineRule="exact"/>
              <w:rPr>
                <w:sz w:val="20"/>
                <w:szCs w:val="20"/>
                <w:color w:val="auto"/>
              </w:rPr>
            </w:pPr>
            <w:r>
              <w:rPr>
                <w:rFonts w:ascii="Arial" w:cs="Arial" w:eastAsia="Arial" w:hAnsi="Arial"/>
                <w:sz w:val="12"/>
                <w:szCs w:val="12"/>
                <w:color w:val="auto"/>
              </w:rPr>
              <w:t>74,533</w:t>
            </w:r>
          </w:p>
        </w:tc>
        <w:tc>
          <w:tcPr>
            <w:tcW w:w="800" w:type="dxa"/>
            <w:vAlign w:val="bottom"/>
            <w:gridSpan w:val="2"/>
            <w:shd w:val="clear" w:color="auto" w:fill="CCEEFF"/>
          </w:tcPr>
          <w:p>
            <w:pPr>
              <w:jc w:val="right"/>
              <w:ind w:right="140"/>
              <w:spacing w:after="0" w:line="130" w:lineRule="exact"/>
              <w:rPr>
                <w:sz w:val="20"/>
                <w:szCs w:val="20"/>
                <w:color w:val="auto"/>
              </w:rPr>
            </w:pPr>
            <w:r>
              <w:rPr>
                <w:rFonts w:ascii="Arial" w:cs="Arial" w:eastAsia="Arial" w:hAnsi="Arial"/>
                <w:sz w:val="12"/>
                <w:szCs w:val="12"/>
                <w:color w:val="auto"/>
              </w:rPr>
              <w:t>-</w:t>
            </w:r>
          </w:p>
        </w:tc>
        <w:tc>
          <w:tcPr>
            <w:tcW w:w="860" w:type="dxa"/>
            <w:vAlign w:val="bottom"/>
            <w:gridSpan w:val="2"/>
            <w:shd w:val="clear" w:color="auto" w:fill="CCEEFF"/>
          </w:tcPr>
          <w:p>
            <w:pPr>
              <w:jc w:val="right"/>
              <w:ind w:right="160"/>
              <w:spacing w:after="0" w:line="130" w:lineRule="exact"/>
              <w:rPr>
                <w:sz w:val="20"/>
                <w:szCs w:val="20"/>
                <w:color w:val="auto"/>
              </w:rPr>
            </w:pPr>
            <w:r>
              <w:rPr>
                <w:rFonts w:ascii="Arial" w:cs="Arial" w:eastAsia="Arial" w:hAnsi="Arial"/>
                <w:sz w:val="12"/>
                <w:szCs w:val="12"/>
                <w:color w:val="auto"/>
              </w:rPr>
              <w:t>128,814</w:t>
            </w:r>
          </w:p>
        </w:tc>
        <w:tc>
          <w:tcPr>
            <w:tcW w:w="1000" w:type="dxa"/>
            <w:vAlign w:val="bottom"/>
            <w:gridSpan w:val="2"/>
            <w:shd w:val="clear" w:color="auto" w:fill="CCEEFF"/>
          </w:tcPr>
          <w:p>
            <w:pPr>
              <w:jc w:val="right"/>
              <w:ind w:right="300"/>
              <w:spacing w:after="0" w:line="130" w:lineRule="exact"/>
              <w:rPr>
                <w:sz w:val="20"/>
                <w:szCs w:val="20"/>
                <w:color w:val="auto"/>
              </w:rPr>
            </w:pPr>
            <w:r>
              <w:rPr>
                <w:rFonts w:ascii="Arial" w:cs="Arial" w:eastAsia="Arial" w:hAnsi="Arial"/>
                <w:sz w:val="12"/>
                <w:szCs w:val="12"/>
                <w:color w:val="auto"/>
              </w:rPr>
              <w:t>5,819</w:t>
            </w:r>
          </w:p>
        </w:tc>
        <w:tc>
          <w:tcPr>
            <w:tcW w:w="860" w:type="dxa"/>
            <w:vAlign w:val="bottom"/>
            <w:gridSpan w:val="2"/>
            <w:shd w:val="clear" w:color="auto" w:fill="CCEEFF"/>
          </w:tcPr>
          <w:p>
            <w:pPr>
              <w:jc w:val="right"/>
              <w:ind w:right="160"/>
              <w:spacing w:after="0" w:line="130" w:lineRule="exact"/>
              <w:rPr>
                <w:sz w:val="20"/>
                <w:szCs w:val="20"/>
                <w:color w:val="auto"/>
              </w:rPr>
            </w:pPr>
            <w:r>
              <w:rPr>
                <w:rFonts w:ascii="Arial" w:cs="Arial" w:eastAsia="Arial" w:hAnsi="Arial"/>
                <w:sz w:val="12"/>
                <w:szCs w:val="12"/>
                <w:color w:val="auto"/>
              </w:rPr>
              <w:t>-</w:t>
            </w:r>
          </w:p>
        </w:tc>
        <w:tc>
          <w:tcPr>
            <w:tcW w:w="840" w:type="dxa"/>
            <w:vAlign w:val="bottom"/>
            <w:gridSpan w:val="2"/>
            <w:shd w:val="clear" w:color="auto" w:fill="CCEEFF"/>
          </w:tcPr>
          <w:p>
            <w:pPr>
              <w:jc w:val="right"/>
              <w:ind w:right="140"/>
              <w:spacing w:after="0" w:line="130" w:lineRule="exact"/>
              <w:rPr>
                <w:sz w:val="20"/>
                <w:szCs w:val="20"/>
                <w:color w:val="auto"/>
              </w:rPr>
            </w:pPr>
            <w:r>
              <w:rPr>
                <w:rFonts w:ascii="Arial" w:cs="Arial" w:eastAsia="Arial" w:hAnsi="Arial"/>
                <w:sz w:val="12"/>
                <w:szCs w:val="12"/>
                <w:color w:val="auto"/>
              </w:rPr>
              <w:t>28,295</w:t>
            </w:r>
          </w:p>
        </w:tc>
        <w:tc>
          <w:tcPr>
            <w:tcW w:w="860" w:type="dxa"/>
            <w:vAlign w:val="bottom"/>
            <w:gridSpan w:val="2"/>
            <w:shd w:val="clear" w:color="auto" w:fill="CCEEFF"/>
          </w:tcPr>
          <w:p>
            <w:pPr>
              <w:jc w:val="right"/>
              <w:ind w:right="160"/>
              <w:spacing w:after="0" w:line="130" w:lineRule="exact"/>
              <w:rPr>
                <w:sz w:val="20"/>
                <w:szCs w:val="20"/>
                <w:color w:val="auto"/>
              </w:rPr>
            </w:pPr>
            <w:r>
              <w:rPr>
                <w:rFonts w:ascii="Arial" w:cs="Arial" w:eastAsia="Arial" w:hAnsi="Arial"/>
                <w:sz w:val="12"/>
                <w:szCs w:val="12"/>
                <w:color w:val="auto"/>
              </w:rPr>
              <w:t>72,102</w:t>
            </w:r>
          </w:p>
        </w:tc>
        <w:tc>
          <w:tcPr>
            <w:tcW w:w="800" w:type="dxa"/>
            <w:vAlign w:val="bottom"/>
            <w:gridSpan w:val="2"/>
            <w:shd w:val="clear" w:color="auto" w:fill="CCEEFF"/>
          </w:tcPr>
          <w:p>
            <w:pPr>
              <w:jc w:val="right"/>
              <w:ind w:right="160"/>
              <w:spacing w:after="0" w:line="130" w:lineRule="exact"/>
              <w:rPr>
                <w:sz w:val="20"/>
                <w:szCs w:val="20"/>
                <w:color w:val="auto"/>
              </w:rPr>
            </w:pPr>
            <w:r>
              <w:rPr>
                <w:rFonts w:ascii="Arial" w:cs="Arial" w:eastAsia="Arial" w:hAnsi="Arial"/>
                <w:sz w:val="12"/>
                <w:szCs w:val="12"/>
                <w:color w:val="auto"/>
              </w:rPr>
              <w:t>-</w:t>
            </w:r>
          </w:p>
        </w:tc>
        <w:tc>
          <w:tcPr>
            <w:tcW w:w="700" w:type="dxa"/>
            <w:vAlign w:val="bottom"/>
            <w:gridSpan w:val="2"/>
            <w:shd w:val="clear" w:color="auto" w:fill="CCEEFF"/>
          </w:tcPr>
          <w:p>
            <w:pPr>
              <w:jc w:val="right"/>
              <w:ind w:right="20"/>
              <w:spacing w:after="0" w:line="130" w:lineRule="exact"/>
              <w:rPr>
                <w:sz w:val="20"/>
                <w:szCs w:val="20"/>
                <w:color w:val="auto"/>
              </w:rPr>
            </w:pPr>
            <w:r>
              <w:rPr>
                <w:rFonts w:ascii="Arial" w:cs="Arial" w:eastAsia="Arial" w:hAnsi="Arial"/>
                <w:sz w:val="12"/>
                <w:szCs w:val="12"/>
                <w:color w:val="auto"/>
              </w:rPr>
              <w:t>106,216</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1140" w:type="dxa"/>
            <w:vAlign w:val="bottom"/>
          </w:tcPr>
          <w:p>
            <w:pPr>
              <w:spacing w:after="0" w:line="130" w:lineRule="exact"/>
              <w:rPr>
                <w:sz w:val="20"/>
                <w:szCs w:val="20"/>
                <w:color w:val="auto"/>
              </w:rPr>
            </w:pPr>
            <w:r>
              <w:rPr>
                <w:rFonts w:ascii="Arial" w:cs="Arial" w:eastAsia="Arial" w:hAnsi="Arial"/>
                <w:sz w:val="12"/>
                <w:szCs w:val="12"/>
                <w:b w:val="1"/>
                <w:bCs w:val="1"/>
                <w:color w:val="auto"/>
              </w:rPr>
              <w:t>Europe:</w:t>
            </w: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1140" w:type="dxa"/>
            <w:vAlign w:val="bottom"/>
            <w:shd w:val="clear" w:color="auto" w:fill="CCEEFF"/>
          </w:tcPr>
          <w:p>
            <w:pPr>
              <w:spacing w:after="0" w:line="130" w:lineRule="exact"/>
              <w:rPr>
                <w:sz w:val="20"/>
                <w:szCs w:val="20"/>
                <w:color w:val="auto"/>
              </w:rPr>
            </w:pPr>
            <w:r>
              <w:rPr>
                <w:rFonts w:ascii="Arial" w:cs="Arial" w:eastAsia="Arial" w:hAnsi="Arial"/>
                <w:sz w:val="12"/>
                <w:szCs w:val="12"/>
                <w:color w:val="auto"/>
              </w:rPr>
              <w:t>United Kingdom</w:t>
            </w:r>
          </w:p>
        </w:tc>
        <w:tc>
          <w:tcPr>
            <w:tcW w:w="720" w:type="dxa"/>
            <w:vAlign w:val="bottom"/>
            <w:shd w:val="clear" w:color="auto" w:fill="CCEEFF"/>
          </w:tcPr>
          <w:p>
            <w:pPr>
              <w:jc w:val="right"/>
              <w:spacing w:after="0" w:line="130" w:lineRule="exact"/>
              <w:rPr>
                <w:sz w:val="20"/>
                <w:szCs w:val="20"/>
                <w:color w:val="auto"/>
              </w:rPr>
            </w:pPr>
            <w:r>
              <w:rPr>
                <w:rFonts w:ascii="Arial" w:cs="Arial" w:eastAsia="Arial" w:hAnsi="Arial"/>
                <w:sz w:val="12"/>
                <w:szCs w:val="12"/>
                <w:color w:val="auto"/>
              </w:rPr>
              <w:t>231,336</w:t>
            </w:r>
          </w:p>
        </w:tc>
        <w:tc>
          <w:tcPr>
            <w:tcW w:w="28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140"/>
              <w:spacing w:after="0" w:line="130" w:lineRule="exact"/>
              <w:rPr>
                <w:sz w:val="20"/>
                <w:szCs w:val="20"/>
                <w:color w:val="auto"/>
              </w:rPr>
            </w:pPr>
            <w:r>
              <w:rPr>
                <w:rFonts w:ascii="Arial" w:cs="Arial" w:eastAsia="Arial" w:hAnsi="Arial"/>
                <w:sz w:val="12"/>
                <w:szCs w:val="12"/>
                <w:color w:val="auto"/>
              </w:rPr>
              <w:t>-</w:t>
            </w:r>
          </w:p>
        </w:tc>
        <w:tc>
          <w:tcPr>
            <w:tcW w:w="740" w:type="dxa"/>
            <w:vAlign w:val="bottom"/>
            <w:gridSpan w:val="2"/>
            <w:shd w:val="clear" w:color="auto" w:fill="CCEEFF"/>
          </w:tcPr>
          <w:p>
            <w:pPr>
              <w:jc w:val="right"/>
              <w:ind w:right="80"/>
              <w:spacing w:after="0" w:line="130" w:lineRule="exact"/>
              <w:rPr>
                <w:sz w:val="20"/>
                <w:szCs w:val="20"/>
                <w:color w:val="auto"/>
              </w:rPr>
            </w:pPr>
            <w:r>
              <w:rPr>
                <w:rFonts w:ascii="Arial" w:cs="Arial" w:eastAsia="Arial" w:hAnsi="Arial"/>
                <w:sz w:val="12"/>
                <w:szCs w:val="12"/>
                <w:color w:val="auto"/>
              </w:rPr>
              <w:t>112,869</w:t>
            </w:r>
          </w:p>
        </w:tc>
        <w:tc>
          <w:tcPr>
            <w:tcW w:w="900" w:type="dxa"/>
            <w:vAlign w:val="bottom"/>
            <w:gridSpan w:val="3"/>
            <w:shd w:val="clear" w:color="auto" w:fill="CCEEFF"/>
          </w:tcPr>
          <w:p>
            <w:pPr>
              <w:jc w:val="right"/>
              <w:ind w:right="160"/>
              <w:spacing w:after="0" w:line="130" w:lineRule="exact"/>
              <w:rPr>
                <w:sz w:val="20"/>
                <w:szCs w:val="20"/>
                <w:color w:val="auto"/>
              </w:rPr>
            </w:pPr>
            <w:r>
              <w:rPr>
                <w:rFonts w:ascii="Arial" w:cs="Arial" w:eastAsia="Arial" w:hAnsi="Arial"/>
                <w:sz w:val="12"/>
                <w:szCs w:val="12"/>
                <w:color w:val="auto"/>
              </w:rPr>
              <w:t>172,932</w:t>
            </w:r>
          </w:p>
        </w:tc>
        <w:tc>
          <w:tcPr>
            <w:tcW w:w="800" w:type="dxa"/>
            <w:vAlign w:val="bottom"/>
            <w:gridSpan w:val="2"/>
            <w:shd w:val="clear" w:color="auto" w:fill="CCEEFF"/>
          </w:tcPr>
          <w:p>
            <w:pPr>
              <w:jc w:val="right"/>
              <w:ind w:right="140"/>
              <w:spacing w:after="0" w:line="130" w:lineRule="exact"/>
              <w:rPr>
                <w:sz w:val="20"/>
                <w:szCs w:val="20"/>
                <w:color w:val="auto"/>
              </w:rPr>
            </w:pPr>
            <w:r>
              <w:rPr>
                <w:rFonts w:ascii="Arial" w:cs="Arial" w:eastAsia="Arial" w:hAnsi="Arial"/>
                <w:sz w:val="12"/>
                <w:szCs w:val="12"/>
                <w:color w:val="auto"/>
              </w:rPr>
              <w:t>3,132</w:t>
            </w:r>
          </w:p>
        </w:tc>
        <w:tc>
          <w:tcPr>
            <w:tcW w:w="860" w:type="dxa"/>
            <w:vAlign w:val="bottom"/>
            <w:gridSpan w:val="2"/>
            <w:shd w:val="clear" w:color="auto" w:fill="CCEEFF"/>
          </w:tcPr>
          <w:p>
            <w:pPr>
              <w:jc w:val="right"/>
              <w:ind w:right="160"/>
              <w:spacing w:after="0" w:line="130" w:lineRule="exact"/>
              <w:rPr>
                <w:sz w:val="20"/>
                <w:szCs w:val="20"/>
                <w:color w:val="auto"/>
              </w:rPr>
            </w:pPr>
            <w:r>
              <w:rPr>
                <w:rFonts w:ascii="Arial" w:cs="Arial" w:eastAsia="Arial" w:hAnsi="Arial"/>
                <w:sz w:val="12"/>
                <w:szCs w:val="12"/>
                <w:color w:val="auto"/>
              </w:rPr>
              <w:t>520,269</w:t>
            </w:r>
          </w:p>
        </w:tc>
        <w:tc>
          <w:tcPr>
            <w:tcW w:w="1000" w:type="dxa"/>
            <w:vAlign w:val="bottom"/>
            <w:gridSpan w:val="2"/>
            <w:shd w:val="clear" w:color="auto" w:fill="CCEEFF"/>
          </w:tcPr>
          <w:p>
            <w:pPr>
              <w:jc w:val="right"/>
              <w:ind w:right="300"/>
              <w:spacing w:after="0" w:line="130" w:lineRule="exact"/>
              <w:rPr>
                <w:sz w:val="20"/>
                <w:szCs w:val="20"/>
                <w:color w:val="auto"/>
              </w:rPr>
            </w:pPr>
            <w:r>
              <w:rPr>
                <w:rFonts w:ascii="Arial" w:cs="Arial" w:eastAsia="Arial" w:hAnsi="Arial"/>
                <w:sz w:val="12"/>
                <w:szCs w:val="12"/>
                <w:color w:val="auto"/>
              </w:rPr>
              <w:t>364,433</w:t>
            </w:r>
          </w:p>
        </w:tc>
        <w:tc>
          <w:tcPr>
            <w:tcW w:w="860" w:type="dxa"/>
            <w:vAlign w:val="bottom"/>
            <w:gridSpan w:val="2"/>
            <w:shd w:val="clear" w:color="auto" w:fill="CCEEFF"/>
          </w:tcPr>
          <w:p>
            <w:pPr>
              <w:jc w:val="right"/>
              <w:ind w:right="160"/>
              <w:spacing w:after="0" w:line="130" w:lineRule="exact"/>
              <w:rPr>
                <w:sz w:val="20"/>
                <w:szCs w:val="20"/>
                <w:color w:val="auto"/>
              </w:rPr>
            </w:pPr>
            <w:r>
              <w:rPr>
                <w:rFonts w:ascii="Arial" w:cs="Arial" w:eastAsia="Arial" w:hAnsi="Arial"/>
                <w:sz w:val="12"/>
                <w:szCs w:val="12"/>
                <w:color w:val="auto"/>
              </w:rPr>
              <w:t>-</w:t>
            </w:r>
          </w:p>
        </w:tc>
        <w:tc>
          <w:tcPr>
            <w:tcW w:w="840" w:type="dxa"/>
            <w:vAlign w:val="bottom"/>
            <w:gridSpan w:val="2"/>
            <w:shd w:val="clear" w:color="auto" w:fill="CCEEFF"/>
          </w:tcPr>
          <w:p>
            <w:pPr>
              <w:jc w:val="right"/>
              <w:ind w:right="140"/>
              <w:spacing w:after="0" w:line="130" w:lineRule="exact"/>
              <w:rPr>
                <w:sz w:val="20"/>
                <w:szCs w:val="20"/>
                <w:color w:val="auto"/>
              </w:rPr>
            </w:pPr>
            <w:r>
              <w:rPr>
                <w:rFonts w:ascii="Arial" w:cs="Arial" w:eastAsia="Arial" w:hAnsi="Arial"/>
                <w:sz w:val="12"/>
                <w:szCs w:val="12"/>
                <w:color w:val="auto"/>
              </w:rPr>
              <w:t>111,019</w:t>
            </w:r>
          </w:p>
        </w:tc>
        <w:tc>
          <w:tcPr>
            <w:tcW w:w="860" w:type="dxa"/>
            <w:vAlign w:val="bottom"/>
            <w:gridSpan w:val="2"/>
            <w:shd w:val="clear" w:color="auto" w:fill="CCEEFF"/>
          </w:tcPr>
          <w:p>
            <w:pPr>
              <w:jc w:val="right"/>
              <w:ind w:right="160"/>
              <w:spacing w:after="0" w:line="130" w:lineRule="exact"/>
              <w:rPr>
                <w:sz w:val="20"/>
                <w:szCs w:val="20"/>
                <w:color w:val="auto"/>
              </w:rPr>
            </w:pPr>
            <w:r>
              <w:rPr>
                <w:rFonts w:ascii="Arial" w:cs="Arial" w:eastAsia="Arial" w:hAnsi="Arial"/>
                <w:sz w:val="12"/>
                <w:szCs w:val="12"/>
                <w:color w:val="auto"/>
              </w:rPr>
              <w:t>129,960</w:t>
            </w:r>
          </w:p>
        </w:tc>
        <w:tc>
          <w:tcPr>
            <w:tcW w:w="640" w:type="dxa"/>
            <w:vAlign w:val="bottom"/>
            <w:shd w:val="clear" w:color="auto" w:fill="CCEEFF"/>
          </w:tcPr>
          <w:p>
            <w:pPr>
              <w:jc w:val="right"/>
              <w:spacing w:after="0" w:line="130" w:lineRule="exact"/>
              <w:rPr>
                <w:sz w:val="20"/>
                <w:szCs w:val="20"/>
                <w:color w:val="auto"/>
              </w:rPr>
            </w:pPr>
            <w:r>
              <w:rPr>
                <w:rFonts w:ascii="Arial" w:cs="Arial" w:eastAsia="Arial" w:hAnsi="Arial"/>
                <w:sz w:val="12"/>
                <w:szCs w:val="12"/>
                <w:color w:val="auto"/>
              </w:rPr>
              <w:t>3,218</w:t>
            </w:r>
          </w:p>
        </w:tc>
        <w:tc>
          <w:tcPr>
            <w:tcW w:w="16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20"/>
              <w:spacing w:after="0" w:line="130" w:lineRule="exact"/>
              <w:rPr>
                <w:sz w:val="20"/>
                <w:szCs w:val="20"/>
                <w:color w:val="auto"/>
              </w:rPr>
            </w:pPr>
            <w:r>
              <w:rPr>
                <w:rFonts w:ascii="Arial" w:cs="Arial" w:eastAsia="Arial" w:hAnsi="Arial"/>
                <w:sz w:val="12"/>
                <w:szCs w:val="12"/>
                <w:color w:val="auto"/>
              </w:rPr>
              <w:t>608,630</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1140" w:type="dxa"/>
            <w:vAlign w:val="bottom"/>
          </w:tcPr>
          <w:p>
            <w:pPr>
              <w:spacing w:after="0" w:line="130" w:lineRule="exact"/>
              <w:rPr>
                <w:sz w:val="20"/>
                <w:szCs w:val="20"/>
                <w:color w:val="auto"/>
              </w:rPr>
            </w:pPr>
            <w:r>
              <w:rPr>
                <w:rFonts w:ascii="Arial" w:cs="Arial" w:eastAsia="Arial" w:hAnsi="Arial"/>
                <w:sz w:val="12"/>
                <w:szCs w:val="12"/>
                <w:color w:val="auto"/>
              </w:rPr>
              <w:t>Others in Europe</w:t>
            </w:r>
          </w:p>
        </w:tc>
        <w:tc>
          <w:tcPr>
            <w:tcW w:w="720" w:type="dxa"/>
            <w:vAlign w:val="bottom"/>
          </w:tcPr>
          <w:p>
            <w:pPr>
              <w:jc w:val="right"/>
              <w:spacing w:after="0" w:line="130" w:lineRule="exact"/>
              <w:rPr>
                <w:sz w:val="20"/>
                <w:szCs w:val="20"/>
                <w:color w:val="auto"/>
              </w:rPr>
            </w:pPr>
            <w:r>
              <w:rPr>
                <w:rFonts w:ascii="Arial" w:cs="Arial" w:eastAsia="Arial" w:hAnsi="Arial"/>
                <w:sz w:val="12"/>
                <w:szCs w:val="12"/>
                <w:color w:val="auto"/>
              </w:rPr>
              <w:t>2,215</w:t>
            </w:r>
          </w:p>
        </w:tc>
        <w:tc>
          <w:tcPr>
            <w:tcW w:w="280" w:type="dxa"/>
            <w:vAlign w:val="bottom"/>
          </w:tcPr>
          <w:p>
            <w:pPr>
              <w:spacing w:after="0"/>
              <w:rPr>
                <w:sz w:val="11"/>
                <w:szCs w:val="11"/>
                <w:color w:val="auto"/>
              </w:rPr>
            </w:pPr>
          </w:p>
        </w:tc>
        <w:tc>
          <w:tcPr>
            <w:tcW w:w="860" w:type="dxa"/>
            <w:vAlign w:val="bottom"/>
            <w:gridSpan w:val="2"/>
          </w:tcPr>
          <w:p>
            <w:pPr>
              <w:jc w:val="right"/>
              <w:ind w:right="140"/>
              <w:spacing w:after="0" w:line="130" w:lineRule="exact"/>
              <w:rPr>
                <w:sz w:val="20"/>
                <w:szCs w:val="20"/>
                <w:color w:val="auto"/>
              </w:rPr>
            </w:pPr>
            <w:r>
              <w:rPr>
                <w:rFonts w:ascii="Arial" w:cs="Arial" w:eastAsia="Arial" w:hAnsi="Arial"/>
                <w:sz w:val="12"/>
                <w:szCs w:val="12"/>
                <w:color w:val="auto"/>
              </w:rPr>
              <w:t>-</w:t>
            </w:r>
          </w:p>
        </w:tc>
        <w:tc>
          <w:tcPr>
            <w:tcW w:w="740" w:type="dxa"/>
            <w:vAlign w:val="bottom"/>
            <w:gridSpan w:val="2"/>
          </w:tcPr>
          <w:p>
            <w:pPr>
              <w:jc w:val="right"/>
              <w:ind w:right="80"/>
              <w:spacing w:after="0" w:line="130" w:lineRule="exact"/>
              <w:rPr>
                <w:sz w:val="20"/>
                <w:szCs w:val="20"/>
                <w:color w:val="auto"/>
              </w:rPr>
            </w:pPr>
            <w:r>
              <w:rPr>
                <w:rFonts w:ascii="Arial" w:cs="Arial" w:eastAsia="Arial" w:hAnsi="Arial"/>
                <w:sz w:val="12"/>
                <w:szCs w:val="12"/>
                <w:color w:val="auto"/>
              </w:rPr>
              <w:t>131,983</w:t>
            </w:r>
          </w:p>
        </w:tc>
        <w:tc>
          <w:tcPr>
            <w:tcW w:w="900" w:type="dxa"/>
            <w:vAlign w:val="bottom"/>
            <w:gridSpan w:val="3"/>
          </w:tcPr>
          <w:p>
            <w:pPr>
              <w:jc w:val="right"/>
              <w:ind w:right="160"/>
              <w:spacing w:after="0" w:line="130" w:lineRule="exact"/>
              <w:rPr>
                <w:sz w:val="20"/>
                <w:szCs w:val="20"/>
                <w:color w:val="auto"/>
              </w:rPr>
            </w:pPr>
            <w:r>
              <w:rPr>
                <w:rFonts w:ascii="Arial" w:cs="Arial" w:eastAsia="Arial" w:hAnsi="Arial"/>
                <w:sz w:val="12"/>
                <w:szCs w:val="12"/>
                <w:color w:val="auto"/>
              </w:rPr>
              <w:t>269,958</w:t>
            </w:r>
          </w:p>
        </w:tc>
        <w:tc>
          <w:tcPr>
            <w:tcW w:w="800" w:type="dxa"/>
            <w:vAlign w:val="bottom"/>
            <w:gridSpan w:val="2"/>
          </w:tcPr>
          <w:p>
            <w:pPr>
              <w:jc w:val="right"/>
              <w:ind w:right="140"/>
              <w:spacing w:after="0" w:line="130" w:lineRule="exact"/>
              <w:rPr>
                <w:sz w:val="20"/>
                <w:szCs w:val="20"/>
                <w:color w:val="auto"/>
              </w:rPr>
            </w:pPr>
            <w:r>
              <w:rPr>
                <w:rFonts w:ascii="Arial" w:cs="Arial" w:eastAsia="Arial" w:hAnsi="Arial"/>
                <w:sz w:val="12"/>
                <w:szCs w:val="12"/>
                <w:color w:val="auto"/>
              </w:rPr>
              <w:t>-</w:t>
            </w:r>
          </w:p>
        </w:tc>
        <w:tc>
          <w:tcPr>
            <w:tcW w:w="860" w:type="dxa"/>
            <w:vAlign w:val="bottom"/>
            <w:gridSpan w:val="2"/>
          </w:tcPr>
          <w:p>
            <w:pPr>
              <w:jc w:val="right"/>
              <w:ind w:right="160"/>
              <w:spacing w:after="0" w:line="130" w:lineRule="exact"/>
              <w:rPr>
                <w:sz w:val="20"/>
                <w:szCs w:val="20"/>
                <w:color w:val="auto"/>
              </w:rPr>
            </w:pPr>
            <w:r>
              <w:rPr>
                <w:rFonts w:ascii="Arial" w:cs="Arial" w:eastAsia="Arial" w:hAnsi="Arial"/>
                <w:sz w:val="12"/>
                <w:szCs w:val="12"/>
                <w:color w:val="auto"/>
              </w:rPr>
              <w:t>404,156</w:t>
            </w:r>
          </w:p>
        </w:tc>
        <w:tc>
          <w:tcPr>
            <w:tcW w:w="1000" w:type="dxa"/>
            <w:vAlign w:val="bottom"/>
            <w:gridSpan w:val="2"/>
          </w:tcPr>
          <w:p>
            <w:pPr>
              <w:jc w:val="right"/>
              <w:ind w:right="300"/>
              <w:spacing w:after="0" w:line="130" w:lineRule="exact"/>
              <w:rPr>
                <w:sz w:val="20"/>
                <w:szCs w:val="20"/>
                <w:color w:val="auto"/>
              </w:rPr>
            </w:pPr>
            <w:r>
              <w:rPr>
                <w:rFonts w:ascii="Arial" w:cs="Arial" w:eastAsia="Arial" w:hAnsi="Arial"/>
                <w:sz w:val="12"/>
                <w:szCs w:val="12"/>
                <w:color w:val="auto"/>
              </w:rPr>
              <w:t>1,605</w:t>
            </w:r>
          </w:p>
        </w:tc>
        <w:tc>
          <w:tcPr>
            <w:tcW w:w="860" w:type="dxa"/>
            <w:vAlign w:val="bottom"/>
            <w:gridSpan w:val="2"/>
          </w:tcPr>
          <w:p>
            <w:pPr>
              <w:jc w:val="right"/>
              <w:ind w:right="160"/>
              <w:spacing w:after="0" w:line="130" w:lineRule="exact"/>
              <w:rPr>
                <w:sz w:val="20"/>
                <w:szCs w:val="20"/>
                <w:color w:val="auto"/>
              </w:rPr>
            </w:pPr>
            <w:r>
              <w:rPr>
                <w:rFonts w:ascii="Arial" w:cs="Arial" w:eastAsia="Arial" w:hAnsi="Arial"/>
                <w:sz w:val="12"/>
                <w:szCs w:val="12"/>
                <w:color w:val="auto"/>
              </w:rPr>
              <w:t>-</w:t>
            </w:r>
          </w:p>
        </w:tc>
        <w:tc>
          <w:tcPr>
            <w:tcW w:w="700" w:type="dxa"/>
            <w:vAlign w:val="bottom"/>
          </w:tcPr>
          <w:p>
            <w:pPr>
              <w:jc w:val="right"/>
              <w:spacing w:after="0" w:line="130" w:lineRule="exact"/>
              <w:rPr>
                <w:sz w:val="20"/>
                <w:szCs w:val="20"/>
                <w:color w:val="auto"/>
              </w:rPr>
            </w:pPr>
            <w:r>
              <w:rPr>
                <w:rFonts w:ascii="Arial" w:cs="Arial" w:eastAsia="Arial" w:hAnsi="Arial"/>
                <w:sz w:val="12"/>
                <w:szCs w:val="12"/>
                <w:color w:val="auto"/>
              </w:rPr>
              <w:t>133,373</w:t>
            </w:r>
          </w:p>
        </w:tc>
        <w:tc>
          <w:tcPr>
            <w:tcW w:w="140" w:type="dxa"/>
            <w:vAlign w:val="bottom"/>
          </w:tcPr>
          <w:p>
            <w:pPr>
              <w:spacing w:after="0"/>
              <w:rPr>
                <w:sz w:val="11"/>
                <w:szCs w:val="11"/>
                <w:color w:val="auto"/>
              </w:rPr>
            </w:pPr>
          </w:p>
        </w:tc>
        <w:tc>
          <w:tcPr>
            <w:tcW w:w="860" w:type="dxa"/>
            <w:vAlign w:val="bottom"/>
            <w:gridSpan w:val="2"/>
          </w:tcPr>
          <w:p>
            <w:pPr>
              <w:jc w:val="right"/>
              <w:ind w:right="160"/>
              <w:spacing w:after="0" w:line="130" w:lineRule="exact"/>
              <w:rPr>
                <w:sz w:val="20"/>
                <w:szCs w:val="20"/>
                <w:color w:val="auto"/>
              </w:rPr>
            </w:pPr>
            <w:r>
              <w:rPr>
                <w:rFonts w:ascii="Arial" w:cs="Arial" w:eastAsia="Arial" w:hAnsi="Arial"/>
                <w:sz w:val="12"/>
                <w:szCs w:val="12"/>
                <w:color w:val="auto"/>
              </w:rPr>
              <w:t>154,668</w:t>
            </w:r>
          </w:p>
        </w:tc>
        <w:tc>
          <w:tcPr>
            <w:tcW w:w="800" w:type="dxa"/>
            <w:vAlign w:val="bottom"/>
            <w:gridSpan w:val="2"/>
          </w:tcPr>
          <w:p>
            <w:pPr>
              <w:jc w:val="right"/>
              <w:ind w:right="160"/>
              <w:spacing w:after="0" w:line="130" w:lineRule="exact"/>
              <w:rPr>
                <w:sz w:val="20"/>
                <w:szCs w:val="20"/>
                <w:color w:val="auto"/>
              </w:rPr>
            </w:pPr>
            <w:r>
              <w:rPr>
                <w:rFonts w:ascii="Arial" w:cs="Arial" w:eastAsia="Arial" w:hAnsi="Arial"/>
                <w:sz w:val="12"/>
                <w:szCs w:val="12"/>
                <w:color w:val="auto"/>
              </w:rPr>
              <w:t>-</w:t>
            </w:r>
          </w:p>
        </w:tc>
        <w:tc>
          <w:tcPr>
            <w:tcW w:w="700" w:type="dxa"/>
            <w:vAlign w:val="bottom"/>
            <w:gridSpan w:val="2"/>
          </w:tcPr>
          <w:p>
            <w:pPr>
              <w:jc w:val="right"/>
              <w:ind w:right="20"/>
              <w:spacing w:after="0" w:line="130" w:lineRule="exact"/>
              <w:rPr>
                <w:sz w:val="20"/>
                <w:szCs w:val="20"/>
                <w:color w:val="auto"/>
              </w:rPr>
            </w:pPr>
            <w:r>
              <w:rPr>
                <w:rFonts w:ascii="Arial" w:cs="Arial" w:eastAsia="Arial" w:hAnsi="Arial"/>
                <w:sz w:val="12"/>
                <w:szCs w:val="12"/>
                <w:color w:val="auto"/>
              </w:rPr>
              <w:t>289,646</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1140" w:type="dxa"/>
            <w:vAlign w:val="bottom"/>
            <w:shd w:val="clear" w:color="auto" w:fill="CCEEFF"/>
          </w:tcPr>
          <w:p>
            <w:pPr>
              <w:spacing w:after="0" w:line="130" w:lineRule="exact"/>
              <w:rPr>
                <w:sz w:val="20"/>
                <w:szCs w:val="20"/>
                <w:color w:val="auto"/>
              </w:rPr>
            </w:pPr>
            <w:r>
              <w:rPr>
                <w:rFonts w:ascii="Arial" w:cs="Arial" w:eastAsia="Arial" w:hAnsi="Arial"/>
                <w:sz w:val="12"/>
                <w:szCs w:val="12"/>
                <w:color w:val="auto"/>
              </w:rPr>
              <w:t>France</w:t>
            </w:r>
          </w:p>
        </w:tc>
        <w:tc>
          <w:tcPr>
            <w:tcW w:w="1000" w:type="dxa"/>
            <w:vAlign w:val="bottom"/>
            <w:gridSpan w:val="2"/>
            <w:shd w:val="clear" w:color="auto" w:fill="CCEEFF"/>
          </w:tcPr>
          <w:p>
            <w:pPr>
              <w:jc w:val="right"/>
              <w:ind w:right="280"/>
              <w:spacing w:after="0" w:line="130" w:lineRule="exact"/>
              <w:rPr>
                <w:sz w:val="20"/>
                <w:szCs w:val="20"/>
                <w:color w:val="auto"/>
              </w:rPr>
            </w:pPr>
            <w:r>
              <w:rPr>
                <w:rFonts w:ascii="Arial" w:cs="Arial" w:eastAsia="Arial" w:hAnsi="Arial"/>
                <w:sz w:val="12"/>
                <w:szCs w:val="12"/>
                <w:color w:val="auto"/>
              </w:rPr>
              <w:t>90,845</w:t>
            </w:r>
          </w:p>
        </w:tc>
        <w:tc>
          <w:tcPr>
            <w:tcW w:w="860" w:type="dxa"/>
            <w:vAlign w:val="bottom"/>
            <w:gridSpan w:val="2"/>
            <w:shd w:val="clear" w:color="auto" w:fill="CCEEFF"/>
          </w:tcPr>
          <w:p>
            <w:pPr>
              <w:jc w:val="right"/>
              <w:ind w:right="140"/>
              <w:spacing w:after="0" w:line="130" w:lineRule="exact"/>
              <w:rPr>
                <w:sz w:val="20"/>
                <w:szCs w:val="20"/>
                <w:color w:val="auto"/>
              </w:rPr>
            </w:pPr>
            <w:r>
              <w:rPr>
                <w:rFonts w:ascii="Arial" w:cs="Arial" w:eastAsia="Arial" w:hAnsi="Arial"/>
                <w:sz w:val="12"/>
                <w:szCs w:val="12"/>
                <w:color w:val="auto"/>
              </w:rPr>
              <w:t>-</w:t>
            </w:r>
          </w:p>
        </w:tc>
        <w:tc>
          <w:tcPr>
            <w:tcW w:w="740" w:type="dxa"/>
            <w:vAlign w:val="bottom"/>
            <w:gridSpan w:val="2"/>
            <w:shd w:val="clear" w:color="auto" w:fill="CCEEFF"/>
          </w:tcPr>
          <w:p>
            <w:pPr>
              <w:jc w:val="right"/>
              <w:ind w:right="80"/>
              <w:spacing w:after="0" w:line="130" w:lineRule="exact"/>
              <w:rPr>
                <w:sz w:val="20"/>
                <w:szCs w:val="20"/>
                <w:color w:val="auto"/>
              </w:rPr>
            </w:pPr>
            <w:r>
              <w:rPr>
                <w:rFonts w:ascii="Arial" w:cs="Arial" w:eastAsia="Arial" w:hAnsi="Arial"/>
                <w:sz w:val="12"/>
                <w:szCs w:val="12"/>
                <w:color w:val="auto"/>
              </w:rPr>
              <w:t>12,883</w:t>
            </w:r>
          </w:p>
        </w:tc>
        <w:tc>
          <w:tcPr>
            <w:tcW w:w="900" w:type="dxa"/>
            <w:vAlign w:val="bottom"/>
            <w:gridSpan w:val="3"/>
            <w:shd w:val="clear" w:color="auto" w:fill="CCEEFF"/>
          </w:tcPr>
          <w:p>
            <w:pPr>
              <w:jc w:val="right"/>
              <w:ind w:right="160"/>
              <w:spacing w:after="0" w:line="130" w:lineRule="exact"/>
              <w:rPr>
                <w:sz w:val="20"/>
                <w:szCs w:val="20"/>
                <w:color w:val="auto"/>
              </w:rPr>
            </w:pPr>
            <w:r>
              <w:rPr>
                <w:rFonts w:ascii="Arial" w:cs="Arial" w:eastAsia="Arial" w:hAnsi="Arial"/>
                <w:sz w:val="12"/>
                <w:szCs w:val="12"/>
                <w:color w:val="auto"/>
              </w:rPr>
              <w:t>48,649</w:t>
            </w:r>
          </w:p>
        </w:tc>
        <w:tc>
          <w:tcPr>
            <w:tcW w:w="800" w:type="dxa"/>
            <w:vAlign w:val="bottom"/>
            <w:gridSpan w:val="2"/>
            <w:shd w:val="clear" w:color="auto" w:fill="CCEEFF"/>
          </w:tcPr>
          <w:p>
            <w:pPr>
              <w:jc w:val="right"/>
              <w:ind w:right="140"/>
              <w:spacing w:after="0" w:line="130" w:lineRule="exact"/>
              <w:rPr>
                <w:sz w:val="20"/>
                <w:szCs w:val="20"/>
                <w:color w:val="auto"/>
              </w:rPr>
            </w:pPr>
            <w:r>
              <w:rPr>
                <w:rFonts w:ascii="Arial" w:cs="Arial" w:eastAsia="Arial" w:hAnsi="Arial"/>
                <w:sz w:val="12"/>
                <w:szCs w:val="12"/>
                <w:color w:val="auto"/>
              </w:rPr>
              <w:t>1,639</w:t>
            </w:r>
          </w:p>
        </w:tc>
        <w:tc>
          <w:tcPr>
            <w:tcW w:w="860" w:type="dxa"/>
            <w:vAlign w:val="bottom"/>
            <w:gridSpan w:val="2"/>
            <w:shd w:val="clear" w:color="auto" w:fill="CCEEFF"/>
          </w:tcPr>
          <w:p>
            <w:pPr>
              <w:jc w:val="right"/>
              <w:ind w:right="160"/>
              <w:spacing w:after="0" w:line="130" w:lineRule="exact"/>
              <w:rPr>
                <w:sz w:val="20"/>
                <w:szCs w:val="20"/>
                <w:color w:val="auto"/>
              </w:rPr>
            </w:pPr>
            <w:r>
              <w:rPr>
                <w:rFonts w:ascii="Arial" w:cs="Arial" w:eastAsia="Arial" w:hAnsi="Arial"/>
                <w:sz w:val="12"/>
                <w:szCs w:val="12"/>
                <w:color w:val="auto"/>
              </w:rPr>
              <w:t>154,016</w:t>
            </w:r>
          </w:p>
        </w:tc>
        <w:tc>
          <w:tcPr>
            <w:tcW w:w="1000" w:type="dxa"/>
            <w:vAlign w:val="bottom"/>
            <w:gridSpan w:val="2"/>
            <w:shd w:val="clear" w:color="auto" w:fill="CCEEFF"/>
          </w:tcPr>
          <w:p>
            <w:pPr>
              <w:jc w:val="right"/>
              <w:ind w:right="300"/>
              <w:spacing w:after="0" w:line="130" w:lineRule="exact"/>
              <w:rPr>
                <w:sz w:val="20"/>
                <w:szCs w:val="20"/>
                <w:color w:val="auto"/>
              </w:rPr>
            </w:pPr>
            <w:r>
              <w:rPr>
                <w:rFonts w:ascii="Arial" w:cs="Arial" w:eastAsia="Arial" w:hAnsi="Arial"/>
                <w:sz w:val="12"/>
                <w:szCs w:val="12"/>
                <w:color w:val="auto"/>
              </w:rPr>
              <w:t>98,556</w:t>
            </w:r>
          </w:p>
        </w:tc>
        <w:tc>
          <w:tcPr>
            <w:tcW w:w="860" w:type="dxa"/>
            <w:vAlign w:val="bottom"/>
            <w:gridSpan w:val="2"/>
            <w:shd w:val="clear" w:color="auto" w:fill="CCEEFF"/>
          </w:tcPr>
          <w:p>
            <w:pPr>
              <w:jc w:val="right"/>
              <w:ind w:right="160"/>
              <w:spacing w:after="0" w:line="130" w:lineRule="exact"/>
              <w:rPr>
                <w:sz w:val="20"/>
                <w:szCs w:val="20"/>
                <w:color w:val="auto"/>
              </w:rPr>
            </w:pPr>
            <w:r>
              <w:rPr>
                <w:rFonts w:ascii="Arial" w:cs="Arial" w:eastAsia="Arial" w:hAnsi="Arial"/>
                <w:sz w:val="12"/>
                <w:szCs w:val="12"/>
                <w:color w:val="auto"/>
              </w:rPr>
              <w:t>-</w:t>
            </w:r>
          </w:p>
        </w:tc>
        <w:tc>
          <w:tcPr>
            <w:tcW w:w="840" w:type="dxa"/>
            <w:vAlign w:val="bottom"/>
            <w:gridSpan w:val="2"/>
            <w:shd w:val="clear" w:color="auto" w:fill="CCEEFF"/>
          </w:tcPr>
          <w:p>
            <w:pPr>
              <w:jc w:val="right"/>
              <w:ind w:right="140"/>
              <w:spacing w:after="0" w:line="130" w:lineRule="exact"/>
              <w:rPr>
                <w:sz w:val="20"/>
                <w:szCs w:val="20"/>
                <w:color w:val="auto"/>
              </w:rPr>
            </w:pPr>
            <w:r>
              <w:rPr>
                <w:rFonts w:ascii="Arial" w:cs="Arial" w:eastAsia="Arial" w:hAnsi="Arial"/>
                <w:sz w:val="12"/>
                <w:szCs w:val="12"/>
                <w:color w:val="auto"/>
              </w:rPr>
              <w:t>23,465</w:t>
            </w:r>
          </w:p>
        </w:tc>
        <w:tc>
          <w:tcPr>
            <w:tcW w:w="860" w:type="dxa"/>
            <w:vAlign w:val="bottom"/>
            <w:gridSpan w:val="2"/>
            <w:shd w:val="clear" w:color="auto" w:fill="CCEEFF"/>
          </w:tcPr>
          <w:p>
            <w:pPr>
              <w:jc w:val="right"/>
              <w:ind w:right="160"/>
              <w:spacing w:after="0" w:line="130" w:lineRule="exact"/>
              <w:rPr>
                <w:sz w:val="20"/>
                <w:szCs w:val="20"/>
                <w:color w:val="auto"/>
              </w:rPr>
            </w:pPr>
            <w:r>
              <w:rPr>
                <w:rFonts w:ascii="Arial" w:cs="Arial" w:eastAsia="Arial" w:hAnsi="Arial"/>
                <w:sz w:val="12"/>
                <w:szCs w:val="12"/>
                <w:color w:val="auto"/>
              </w:rPr>
              <w:t>74,734</w:t>
            </w:r>
          </w:p>
        </w:tc>
        <w:tc>
          <w:tcPr>
            <w:tcW w:w="640" w:type="dxa"/>
            <w:vAlign w:val="bottom"/>
            <w:shd w:val="clear" w:color="auto" w:fill="CCEEFF"/>
          </w:tcPr>
          <w:p>
            <w:pPr>
              <w:jc w:val="right"/>
              <w:spacing w:after="0" w:line="130" w:lineRule="exact"/>
              <w:rPr>
                <w:sz w:val="20"/>
                <w:szCs w:val="20"/>
                <w:color w:val="auto"/>
              </w:rPr>
            </w:pPr>
            <w:r>
              <w:rPr>
                <w:rFonts w:ascii="Arial" w:cs="Arial" w:eastAsia="Arial" w:hAnsi="Arial"/>
                <w:sz w:val="12"/>
                <w:szCs w:val="12"/>
                <w:color w:val="auto"/>
              </w:rPr>
              <w:t>1,708</w:t>
            </w:r>
          </w:p>
        </w:tc>
        <w:tc>
          <w:tcPr>
            <w:tcW w:w="16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20"/>
              <w:spacing w:after="0" w:line="130" w:lineRule="exact"/>
              <w:rPr>
                <w:sz w:val="20"/>
                <w:szCs w:val="20"/>
                <w:color w:val="auto"/>
              </w:rPr>
            </w:pPr>
            <w:r>
              <w:rPr>
                <w:rFonts w:ascii="Arial" w:cs="Arial" w:eastAsia="Arial" w:hAnsi="Arial"/>
                <w:sz w:val="12"/>
                <w:szCs w:val="12"/>
                <w:color w:val="auto"/>
              </w:rPr>
              <w:t>198,463</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1140" w:type="dxa"/>
            <w:vAlign w:val="bottom"/>
          </w:tcPr>
          <w:p>
            <w:pPr>
              <w:spacing w:after="0" w:line="130" w:lineRule="exact"/>
              <w:rPr>
                <w:sz w:val="20"/>
                <w:szCs w:val="20"/>
                <w:color w:val="auto"/>
              </w:rPr>
            </w:pPr>
            <w:r>
              <w:rPr>
                <w:rFonts w:ascii="Arial" w:cs="Arial" w:eastAsia="Arial" w:hAnsi="Arial"/>
                <w:sz w:val="12"/>
                <w:szCs w:val="12"/>
                <w:color w:val="auto"/>
              </w:rPr>
              <w:t>Spain</w:t>
            </w:r>
          </w:p>
        </w:tc>
        <w:tc>
          <w:tcPr>
            <w:tcW w:w="1000" w:type="dxa"/>
            <w:vAlign w:val="bottom"/>
            <w:gridSpan w:val="2"/>
          </w:tcPr>
          <w:p>
            <w:pPr>
              <w:jc w:val="right"/>
              <w:ind w:right="280"/>
              <w:spacing w:after="0" w:line="130" w:lineRule="exact"/>
              <w:rPr>
                <w:sz w:val="20"/>
                <w:szCs w:val="20"/>
                <w:color w:val="auto"/>
              </w:rPr>
            </w:pPr>
            <w:r>
              <w:rPr>
                <w:rFonts w:ascii="Arial" w:cs="Arial" w:eastAsia="Arial" w:hAnsi="Arial"/>
                <w:sz w:val="12"/>
                <w:szCs w:val="12"/>
                <w:color w:val="auto"/>
              </w:rPr>
              <w:t>-</w:t>
            </w:r>
          </w:p>
        </w:tc>
        <w:tc>
          <w:tcPr>
            <w:tcW w:w="860" w:type="dxa"/>
            <w:vAlign w:val="bottom"/>
            <w:gridSpan w:val="2"/>
          </w:tcPr>
          <w:p>
            <w:pPr>
              <w:jc w:val="right"/>
              <w:ind w:right="140"/>
              <w:spacing w:after="0" w:line="130" w:lineRule="exact"/>
              <w:rPr>
                <w:sz w:val="20"/>
                <w:szCs w:val="20"/>
                <w:color w:val="auto"/>
              </w:rPr>
            </w:pPr>
            <w:r>
              <w:rPr>
                <w:rFonts w:ascii="Arial" w:cs="Arial" w:eastAsia="Arial" w:hAnsi="Arial"/>
                <w:sz w:val="12"/>
                <w:szCs w:val="12"/>
                <w:color w:val="auto"/>
              </w:rPr>
              <w:t>-</w:t>
            </w:r>
          </w:p>
        </w:tc>
        <w:tc>
          <w:tcPr>
            <w:tcW w:w="740" w:type="dxa"/>
            <w:vAlign w:val="bottom"/>
            <w:gridSpan w:val="2"/>
          </w:tcPr>
          <w:p>
            <w:pPr>
              <w:jc w:val="right"/>
              <w:ind w:right="80"/>
              <w:spacing w:after="0" w:line="130" w:lineRule="exact"/>
              <w:rPr>
                <w:sz w:val="20"/>
                <w:szCs w:val="20"/>
                <w:color w:val="auto"/>
              </w:rPr>
            </w:pPr>
            <w:r>
              <w:rPr>
                <w:rFonts w:ascii="Arial" w:cs="Arial" w:eastAsia="Arial" w:hAnsi="Arial"/>
                <w:sz w:val="12"/>
                <w:szCs w:val="12"/>
                <w:color w:val="auto"/>
              </w:rPr>
              <w:t>204,100</w:t>
            </w:r>
          </w:p>
        </w:tc>
        <w:tc>
          <w:tcPr>
            <w:tcW w:w="900" w:type="dxa"/>
            <w:vAlign w:val="bottom"/>
            <w:gridSpan w:val="3"/>
          </w:tcPr>
          <w:p>
            <w:pPr>
              <w:jc w:val="right"/>
              <w:ind w:right="160"/>
              <w:spacing w:after="0" w:line="130" w:lineRule="exact"/>
              <w:rPr>
                <w:sz w:val="20"/>
                <w:szCs w:val="20"/>
                <w:color w:val="auto"/>
              </w:rPr>
            </w:pPr>
            <w:r>
              <w:rPr>
                <w:rFonts w:ascii="Arial" w:cs="Arial" w:eastAsia="Arial" w:hAnsi="Arial"/>
                <w:sz w:val="12"/>
                <w:szCs w:val="12"/>
                <w:color w:val="auto"/>
              </w:rPr>
              <w:t>5,048</w:t>
            </w:r>
          </w:p>
        </w:tc>
        <w:tc>
          <w:tcPr>
            <w:tcW w:w="800" w:type="dxa"/>
            <w:vAlign w:val="bottom"/>
            <w:gridSpan w:val="2"/>
          </w:tcPr>
          <w:p>
            <w:pPr>
              <w:jc w:val="right"/>
              <w:ind w:right="140"/>
              <w:spacing w:after="0" w:line="130" w:lineRule="exact"/>
              <w:rPr>
                <w:sz w:val="20"/>
                <w:szCs w:val="20"/>
                <w:color w:val="auto"/>
              </w:rPr>
            </w:pPr>
            <w:r>
              <w:rPr>
                <w:rFonts w:ascii="Arial" w:cs="Arial" w:eastAsia="Arial" w:hAnsi="Arial"/>
                <w:sz w:val="12"/>
                <w:szCs w:val="12"/>
                <w:color w:val="auto"/>
              </w:rPr>
              <w:t>3,269</w:t>
            </w:r>
          </w:p>
        </w:tc>
        <w:tc>
          <w:tcPr>
            <w:tcW w:w="860" w:type="dxa"/>
            <w:vAlign w:val="bottom"/>
            <w:gridSpan w:val="2"/>
          </w:tcPr>
          <w:p>
            <w:pPr>
              <w:jc w:val="right"/>
              <w:ind w:right="160"/>
              <w:spacing w:after="0" w:line="130" w:lineRule="exact"/>
              <w:rPr>
                <w:sz w:val="20"/>
                <w:szCs w:val="20"/>
                <w:color w:val="auto"/>
              </w:rPr>
            </w:pPr>
            <w:r>
              <w:rPr>
                <w:rFonts w:ascii="Arial" w:cs="Arial" w:eastAsia="Arial" w:hAnsi="Arial"/>
                <w:sz w:val="12"/>
                <w:szCs w:val="12"/>
                <w:color w:val="auto"/>
              </w:rPr>
              <w:t>212,417</w:t>
            </w:r>
          </w:p>
        </w:tc>
        <w:tc>
          <w:tcPr>
            <w:tcW w:w="1000" w:type="dxa"/>
            <w:vAlign w:val="bottom"/>
            <w:gridSpan w:val="2"/>
          </w:tcPr>
          <w:p>
            <w:pPr>
              <w:jc w:val="right"/>
              <w:ind w:right="300"/>
              <w:spacing w:after="0" w:line="130" w:lineRule="exact"/>
              <w:rPr>
                <w:sz w:val="20"/>
                <w:szCs w:val="20"/>
                <w:color w:val="auto"/>
              </w:rPr>
            </w:pPr>
            <w:r>
              <w:rPr>
                <w:rFonts w:ascii="Arial" w:cs="Arial" w:eastAsia="Arial" w:hAnsi="Arial"/>
                <w:sz w:val="12"/>
                <w:szCs w:val="12"/>
                <w:color w:val="auto"/>
              </w:rPr>
              <w:t>-</w:t>
            </w:r>
          </w:p>
        </w:tc>
        <w:tc>
          <w:tcPr>
            <w:tcW w:w="860" w:type="dxa"/>
            <w:vAlign w:val="bottom"/>
            <w:gridSpan w:val="2"/>
          </w:tcPr>
          <w:p>
            <w:pPr>
              <w:jc w:val="right"/>
              <w:ind w:right="160"/>
              <w:spacing w:after="0" w:line="130" w:lineRule="exact"/>
              <w:rPr>
                <w:sz w:val="20"/>
                <w:szCs w:val="20"/>
                <w:color w:val="auto"/>
              </w:rPr>
            </w:pPr>
            <w:r>
              <w:rPr>
                <w:rFonts w:ascii="Arial" w:cs="Arial" w:eastAsia="Arial" w:hAnsi="Arial"/>
                <w:sz w:val="12"/>
                <w:szCs w:val="12"/>
                <w:color w:val="auto"/>
              </w:rPr>
              <w:t>-</w:t>
            </w:r>
          </w:p>
        </w:tc>
        <w:tc>
          <w:tcPr>
            <w:tcW w:w="700" w:type="dxa"/>
            <w:vAlign w:val="bottom"/>
          </w:tcPr>
          <w:p>
            <w:pPr>
              <w:jc w:val="right"/>
              <w:spacing w:after="0" w:line="130" w:lineRule="exact"/>
              <w:rPr>
                <w:sz w:val="20"/>
                <w:szCs w:val="20"/>
                <w:color w:val="auto"/>
              </w:rPr>
            </w:pPr>
            <w:r>
              <w:rPr>
                <w:rFonts w:ascii="Arial" w:cs="Arial" w:eastAsia="Arial" w:hAnsi="Arial"/>
                <w:sz w:val="12"/>
                <w:szCs w:val="12"/>
                <w:color w:val="auto"/>
              </w:rPr>
              <w:t>205,334</w:t>
            </w:r>
          </w:p>
        </w:tc>
        <w:tc>
          <w:tcPr>
            <w:tcW w:w="140" w:type="dxa"/>
            <w:vAlign w:val="bottom"/>
          </w:tcPr>
          <w:p>
            <w:pPr>
              <w:spacing w:after="0"/>
              <w:rPr>
                <w:sz w:val="11"/>
                <w:szCs w:val="11"/>
                <w:color w:val="auto"/>
              </w:rPr>
            </w:pPr>
          </w:p>
        </w:tc>
        <w:tc>
          <w:tcPr>
            <w:tcW w:w="860" w:type="dxa"/>
            <w:vAlign w:val="bottom"/>
            <w:gridSpan w:val="2"/>
          </w:tcPr>
          <w:p>
            <w:pPr>
              <w:jc w:val="right"/>
              <w:ind w:right="160"/>
              <w:spacing w:after="0" w:line="130" w:lineRule="exact"/>
              <w:rPr>
                <w:sz w:val="20"/>
                <w:szCs w:val="20"/>
                <w:color w:val="auto"/>
              </w:rPr>
            </w:pPr>
            <w:r>
              <w:rPr>
                <w:rFonts w:ascii="Arial" w:cs="Arial" w:eastAsia="Arial" w:hAnsi="Arial"/>
                <w:sz w:val="12"/>
                <w:szCs w:val="12"/>
                <w:color w:val="auto"/>
              </w:rPr>
              <w:t>6,119</w:t>
            </w:r>
          </w:p>
        </w:tc>
        <w:tc>
          <w:tcPr>
            <w:tcW w:w="640" w:type="dxa"/>
            <w:vAlign w:val="bottom"/>
          </w:tcPr>
          <w:p>
            <w:pPr>
              <w:jc w:val="right"/>
              <w:spacing w:after="0" w:line="130" w:lineRule="exact"/>
              <w:rPr>
                <w:sz w:val="20"/>
                <w:szCs w:val="20"/>
                <w:color w:val="auto"/>
              </w:rPr>
            </w:pPr>
            <w:r>
              <w:rPr>
                <w:rFonts w:ascii="Arial" w:cs="Arial" w:eastAsia="Arial" w:hAnsi="Arial"/>
                <w:sz w:val="12"/>
                <w:szCs w:val="12"/>
                <w:color w:val="auto"/>
              </w:rPr>
              <w:t>3,414</w:t>
            </w:r>
          </w:p>
        </w:tc>
        <w:tc>
          <w:tcPr>
            <w:tcW w:w="160" w:type="dxa"/>
            <w:vAlign w:val="bottom"/>
          </w:tcPr>
          <w:p>
            <w:pPr>
              <w:spacing w:after="0"/>
              <w:rPr>
                <w:sz w:val="11"/>
                <w:szCs w:val="11"/>
                <w:color w:val="auto"/>
              </w:rPr>
            </w:pPr>
          </w:p>
        </w:tc>
        <w:tc>
          <w:tcPr>
            <w:tcW w:w="700" w:type="dxa"/>
            <w:vAlign w:val="bottom"/>
            <w:gridSpan w:val="2"/>
          </w:tcPr>
          <w:p>
            <w:pPr>
              <w:jc w:val="right"/>
              <w:ind w:right="20"/>
              <w:spacing w:after="0" w:line="130" w:lineRule="exact"/>
              <w:rPr>
                <w:sz w:val="20"/>
                <w:szCs w:val="20"/>
                <w:color w:val="auto"/>
              </w:rPr>
            </w:pPr>
            <w:r>
              <w:rPr>
                <w:rFonts w:ascii="Arial" w:cs="Arial" w:eastAsia="Arial" w:hAnsi="Arial"/>
                <w:sz w:val="12"/>
                <w:szCs w:val="12"/>
                <w:color w:val="auto"/>
              </w:rPr>
              <w:t>214,867</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1140" w:type="dxa"/>
            <w:vAlign w:val="bottom"/>
            <w:shd w:val="clear" w:color="auto" w:fill="CCEEFF"/>
          </w:tcPr>
          <w:p>
            <w:pPr>
              <w:spacing w:after="0" w:line="130" w:lineRule="exact"/>
              <w:rPr>
                <w:sz w:val="20"/>
                <w:szCs w:val="20"/>
                <w:color w:val="auto"/>
              </w:rPr>
            </w:pPr>
            <w:r>
              <w:rPr>
                <w:rFonts w:ascii="Arial" w:cs="Arial" w:eastAsia="Arial" w:hAnsi="Arial"/>
                <w:sz w:val="12"/>
                <w:szCs w:val="12"/>
                <w:color w:val="auto"/>
              </w:rPr>
              <w:t>Switzerland</w:t>
            </w:r>
          </w:p>
        </w:tc>
        <w:tc>
          <w:tcPr>
            <w:tcW w:w="1000" w:type="dxa"/>
            <w:vAlign w:val="bottom"/>
            <w:gridSpan w:val="2"/>
            <w:shd w:val="clear" w:color="auto" w:fill="CCEEFF"/>
          </w:tcPr>
          <w:p>
            <w:pPr>
              <w:jc w:val="right"/>
              <w:ind w:right="280"/>
              <w:spacing w:after="0" w:line="130" w:lineRule="exact"/>
              <w:rPr>
                <w:sz w:val="20"/>
                <w:szCs w:val="20"/>
                <w:color w:val="auto"/>
              </w:rPr>
            </w:pPr>
            <w:r>
              <w:rPr>
                <w:rFonts w:ascii="Arial" w:cs="Arial" w:eastAsia="Arial" w:hAnsi="Arial"/>
                <w:sz w:val="12"/>
                <w:szCs w:val="12"/>
                <w:color w:val="auto"/>
              </w:rPr>
              <w:t>231</w:t>
            </w:r>
          </w:p>
        </w:tc>
        <w:tc>
          <w:tcPr>
            <w:tcW w:w="860" w:type="dxa"/>
            <w:vAlign w:val="bottom"/>
            <w:gridSpan w:val="2"/>
            <w:shd w:val="clear" w:color="auto" w:fill="CCEEFF"/>
          </w:tcPr>
          <w:p>
            <w:pPr>
              <w:jc w:val="right"/>
              <w:ind w:right="140"/>
              <w:spacing w:after="0" w:line="130" w:lineRule="exact"/>
              <w:rPr>
                <w:sz w:val="20"/>
                <w:szCs w:val="20"/>
                <w:color w:val="auto"/>
              </w:rPr>
            </w:pPr>
            <w:r>
              <w:rPr>
                <w:rFonts w:ascii="Arial" w:cs="Arial" w:eastAsia="Arial" w:hAnsi="Arial"/>
                <w:sz w:val="12"/>
                <w:szCs w:val="12"/>
                <w:color w:val="auto"/>
              </w:rPr>
              <w:t>-</w:t>
            </w:r>
          </w:p>
        </w:tc>
        <w:tc>
          <w:tcPr>
            <w:tcW w:w="740" w:type="dxa"/>
            <w:vAlign w:val="bottom"/>
            <w:gridSpan w:val="2"/>
            <w:shd w:val="clear" w:color="auto" w:fill="CCEEFF"/>
          </w:tcPr>
          <w:p>
            <w:pPr>
              <w:jc w:val="right"/>
              <w:ind w:right="80"/>
              <w:spacing w:after="0" w:line="130" w:lineRule="exact"/>
              <w:rPr>
                <w:sz w:val="20"/>
                <w:szCs w:val="20"/>
                <w:color w:val="auto"/>
              </w:rPr>
            </w:pPr>
            <w:r>
              <w:rPr>
                <w:rFonts w:ascii="Arial" w:cs="Arial" w:eastAsia="Arial" w:hAnsi="Arial"/>
                <w:sz w:val="12"/>
                <w:szCs w:val="12"/>
                <w:color w:val="auto"/>
              </w:rPr>
              <w:t>89,718</w:t>
            </w:r>
          </w:p>
        </w:tc>
        <w:tc>
          <w:tcPr>
            <w:tcW w:w="900" w:type="dxa"/>
            <w:vAlign w:val="bottom"/>
            <w:gridSpan w:val="3"/>
            <w:shd w:val="clear" w:color="auto" w:fill="CCEEFF"/>
          </w:tcPr>
          <w:p>
            <w:pPr>
              <w:jc w:val="right"/>
              <w:ind w:right="160"/>
              <w:spacing w:after="0" w:line="130" w:lineRule="exact"/>
              <w:rPr>
                <w:sz w:val="20"/>
                <w:szCs w:val="20"/>
                <w:color w:val="auto"/>
              </w:rPr>
            </w:pPr>
            <w:r>
              <w:rPr>
                <w:rFonts w:ascii="Arial" w:cs="Arial" w:eastAsia="Arial" w:hAnsi="Arial"/>
                <w:sz w:val="12"/>
                <w:szCs w:val="12"/>
                <w:color w:val="auto"/>
              </w:rPr>
              <w:t>47,027</w:t>
            </w:r>
          </w:p>
        </w:tc>
        <w:tc>
          <w:tcPr>
            <w:tcW w:w="800" w:type="dxa"/>
            <w:vAlign w:val="bottom"/>
            <w:gridSpan w:val="2"/>
            <w:shd w:val="clear" w:color="auto" w:fill="CCEEFF"/>
          </w:tcPr>
          <w:p>
            <w:pPr>
              <w:jc w:val="right"/>
              <w:ind w:right="140"/>
              <w:spacing w:after="0" w:line="130" w:lineRule="exact"/>
              <w:rPr>
                <w:sz w:val="20"/>
                <w:szCs w:val="20"/>
                <w:color w:val="auto"/>
              </w:rPr>
            </w:pPr>
            <w:r>
              <w:rPr>
                <w:rFonts w:ascii="Arial" w:cs="Arial" w:eastAsia="Arial" w:hAnsi="Arial"/>
                <w:sz w:val="12"/>
                <w:szCs w:val="12"/>
                <w:color w:val="auto"/>
              </w:rPr>
              <w:t>-</w:t>
            </w:r>
          </w:p>
        </w:tc>
        <w:tc>
          <w:tcPr>
            <w:tcW w:w="860" w:type="dxa"/>
            <w:vAlign w:val="bottom"/>
            <w:gridSpan w:val="2"/>
            <w:shd w:val="clear" w:color="auto" w:fill="CCEEFF"/>
          </w:tcPr>
          <w:p>
            <w:pPr>
              <w:jc w:val="right"/>
              <w:ind w:right="160"/>
              <w:spacing w:after="0" w:line="130" w:lineRule="exact"/>
              <w:rPr>
                <w:sz w:val="20"/>
                <w:szCs w:val="20"/>
                <w:color w:val="auto"/>
              </w:rPr>
            </w:pPr>
            <w:r>
              <w:rPr>
                <w:rFonts w:ascii="Arial" w:cs="Arial" w:eastAsia="Arial" w:hAnsi="Arial"/>
                <w:sz w:val="12"/>
                <w:szCs w:val="12"/>
                <w:color w:val="auto"/>
              </w:rPr>
              <w:t>136,976</w:t>
            </w:r>
          </w:p>
        </w:tc>
        <w:tc>
          <w:tcPr>
            <w:tcW w:w="1000" w:type="dxa"/>
            <w:vAlign w:val="bottom"/>
            <w:gridSpan w:val="2"/>
            <w:shd w:val="clear" w:color="auto" w:fill="CCEEFF"/>
          </w:tcPr>
          <w:p>
            <w:pPr>
              <w:jc w:val="right"/>
              <w:ind w:right="300"/>
              <w:spacing w:after="0" w:line="130" w:lineRule="exact"/>
              <w:rPr>
                <w:sz w:val="20"/>
                <w:szCs w:val="20"/>
                <w:color w:val="auto"/>
              </w:rPr>
            </w:pPr>
            <w:r>
              <w:rPr>
                <w:rFonts w:ascii="Arial" w:cs="Arial" w:eastAsia="Arial" w:hAnsi="Arial"/>
                <w:sz w:val="12"/>
                <w:szCs w:val="12"/>
                <w:color w:val="auto"/>
              </w:rPr>
              <w:t>-</w:t>
            </w:r>
          </w:p>
        </w:tc>
        <w:tc>
          <w:tcPr>
            <w:tcW w:w="860" w:type="dxa"/>
            <w:vAlign w:val="bottom"/>
            <w:gridSpan w:val="2"/>
            <w:shd w:val="clear" w:color="auto" w:fill="CCEEFF"/>
          </w:tcPr>
          <w:p>
            <w:pPr>
              <w:jc w:val="right"/>
              <w:ind w:right="160"/>
              <w:spacing w:after="0" w:line="130" w:lineRule="exact"/>
              <w:rPr>
                <w:sz w:val="20"/>
                <w:szCs w:val="20"/>
                <w:color w:val="auto"/>
              </w:rPr>
            </w:pPr>
            <w:r>
              <w:rPr>
                <w:rFonts w:ascii="Arial" w:cs="Arial" w:eastAsia="Arial" w:hAnsi="Arial"/>
                <w:sz w:val="12"/>
                <w:szCs w:val="12"/>
                <w:color w:val="auto"/>
              </w:rPr>
              <w:t>-</w:t>
            </w:r>
          </w:p>
        </w:tc>
        <w:tc>
          <w:tcPr>
            <w:tcW w:w="700" w:type="dxa"/>
            <w:vAlign w:val="bottom"/>
            <w:shd w:val="clear" w:color="auto" w:fill="CCEEFF"/>
          </w:tcPr>
          <w:p>
            <w:pPr>
              <w:jc w:val="right"/>
              <w:spacing w:after="0" w:line="130" w:lineRule="exact"/>
              <w:rPr>
                <w:sz w:val="20"/>
                <w:szCs w:val="20"/>
                <w:color w:val="auto"/>
              </w:rPr>
            </w:pPr>
            <w:r>
              <w:rPr>
                <w:rFonts w:ascii="Arial" w:cs="Arial" w:eastAsia="Arial" w:hAnsi="Arial"/>
                <w:sz w:val="12"/>
                <w:szCs w:val="12"/>
                <w:color w:val="auto"/>
              </w:rPr>
              <w:t>171,335</w:t>
            </w:r>
          </w:p>
        </w:tc>
        <w:tc>
          <w:tcPr>
            <w:tcW w:w="14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160"/>
              <w:spacing w:after="0" w:line="130" w:lineRule="exact"/>
              <w:rPr>
                <w:sz w:val="20"/>
                <w:szCs w:val="20"/>
                <w:color w:val="auto"/>
              </w:rPr>
            </w:pPr>
            <w:r>
              <w:rPr>
                <w:rFonts w:ascii="Arial" w:cs="Arial" w:eastAsia="Arial" w:hAnsi="Arial"/>
                <w:sz w:val="12"/>
                <w:szCs w:val="12"/>
                <w:color w:val="auto"/>
              </w:rPr>
              <w:t>36,065</w:t>
            </w:r>
          </w:p>
        </w:tc>
        <w:tc>
          <w:tcPr>
            <w:tcW w:w="800" w:type="dxa"/>
            <w:vAlign w:val="bottom"/>
            <w:gridSpan w:val="2"/>
            <w:shd w:val="clear" w:color="auto" w:fill="CCEEFF"/>
          </w:tcPr>
          <w:p>
            <w:pPr>
              <w:jc w:val="right"/>
              <w:ind w:right="160"/>
              <w:spacing w:after="0" w:line="130" w:lineRule="exact"/>
              <w:rPr>
                <w:sz w:val="20"/>
                <w:szCs w:val="20"/>
                <w:color w:val="auto"/>
              </w:rPr>
            </w:pPr>
            <w:r>
              <w:rPr>
                <w:rFonts w:ascii="Arial" w:cs="Arial" w:eastAsia="Arial" w:hAnsi="Arial"/>
                <w:sz w:val="12"/>
                <w:szCs w:val="12"/>
                <w:color w:val="auto"/>
              </w:rPr>
              <w:t>-</w:t>
            </w:r>
          </w:p>
        </w:tc>
        <w:tc>
          <w:tcPr>
            <w:tcW w:w="700" w:type="dxa"/>
            <w:vAlign w:val="bottom"/>
            <w:gridSpan w:val="2"/>
            <w:shd w:val="clear" w:color="auto" w:fill="CCEEFF"/>
          </w:tcPr>
          <w:p>
            <w:pPr>
              <w:jc w:val="right"/>
              <w:ind w:right="20"/>
              <w:spacing w:after="0" w:line="130" w:lineRule="exact"/>
              <w:rPr>
                <w:sz w:val="20"/>
                <w:szCs w:val="20"/>
                <w:color w:val="auto"/>
              </w:rPr>
            </w:pPr>
            <w:r>
              <w:rPr>
                <w:rFonts w:ascii="Arial" w:cs="Arial" w:eastAsia="Arial" w:hAnsi="Arial"/>
                <w:sz w:val="12"/>
                <w:szCs w:val="12"/>
                <w:color w:val="auto"/>
              </w:rPr>
              <w:t>207,400</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1140" w:type="dxa"/>
            <w:vAlign w:val="bottom"/>
          </w:tcPr>
          <w:p>
            <w:pPr>
              <w:spacing w:after="0" w:line="130" w:lineRule="exact"/>
              <w:rPr>
                <w:sz w:val="20"/>
                <w:szCs w:val="20"/>
                <w:color w:val="auto"/>
              </w:rPr>
            </w:pPr>
            <w:r>
              <w:rPr>
                <w:rFonts w:ascii="Arial" w:cs="Arial" w:eastAsia="Arial" w:hAnsi="Arial"/>
                <w:sz w:val="12"/>
                <w:szCs w:val="12"/>
                <w:color w:val="auto"/>
              </w:rPr>
              <w:t>The Netherlands</w:t>
            </w:r>
          </w:p>
        </w:tc>
        <w:tc>
          <w:tcPr>
            <w:tcW w:w="1000" w:type="dxa"/>
            <w:vAlign w:val="bottom"/>
            <w:gridSpan w:val="2"/>
          </w:tcPr>
          <w:p>
            <w:pPr>
              <w:jc w:val="right"/>
              <w:ind w:right="280"/>
              <w:spacing w:after="0" w:line="130" w:lineRule="exact"/>
              <w:rPr>
                <w:sz w:val="20"/>
                <w:szCs w:val="20"/>
                <w:color w:val="auto"/>
              </w:rPr>
            </w:pPr>
            <w:r>
              <w:rPr>
                <w:rFonts w:ascii="Arial" w:cs="Arial" w:eastAsia="Arial" w:hAnsi="Arial"/>
                <w:sz w:val="12"/>
                <w:szCs w:val="12"/>
                <w:color w:val="auto"/>
              </w:rPr>
              <w:t>-</w:t>
            </w:r>
          </w:p>
        </w:tc>
        <w:tc>
          <w:tcPr>
            <w:tcW w:w="860" w:type="dxa"/>
            <w:vAlign w:val="bottom"/>
            <w:gridSpan w:val="2"/>
          </w:tcPr>
          <w:p>
            <w:pPr>
              <w:jc w:val="right"/>
              <w:ind w:right="140"/>
              <w:spacing w:after="0" w:line="130" w:lineRule="exact"/>
              <w:rPr>
                <w:sz w:val="20"/>
                <w:szCs w:val="20"/>
                <w:color w:val="auto"/>
              </w:rPr>
            </w:pPr>
            <w:r>
              <w:rPr>
                <w:rFonts w:ascii="Arial" w:cs="Arial" w:eastAsia="Arial" w:hAnsi="Arial"/>
                <w:sz w:val="12"/>
                <w:szCs w:val="12"/>
                <w:color w:val="auto"/>
              </w:rPr>
              <w:t>-</w:t>
            </w:r>
          </w:p>
        </w:tc>
        <w:tc>
          <w:tcPr>
            <w:tcW w:w="740" w:type="dxa"/>
            <w:vAlign w:val="bottom"/>
            <w:gridSpan w:val="2"/>
          </w:tcPr>
          <w:p>
            <w:pPr>
              <w:jc w:val="right"/>
              <w:ind w:right="80"/>
              <w:spacing w:after="0" w:line="130" w:lineRule="exact"/>
              <w:rPr>
                <w:sz w:val="20"/>
                <w:szCs w:val="20"/>
                <w:color w:val="auto"/>
              </w:rPr>
            </w:pPr>
            <w:r>
              <w:rPr>
                <w:rFonts w:ascii="Arial" w:cs="Arial" w:eastAsia="Arial" w:hAnsi="Arial"/>
                <w:sz w:val="12"/>
                <w:szCs w:val="12"/>
                <w:color w:val="auto"/>
              </w:rPr>
              <w:t>-</w:t>
            </w:r>
          </w:p>
        </w:tc>
        <w:tc>
          <w:tcPr>
            <w:tcW w:w="900" w:type="dxa"/>
            <w:vAlign w:val="bottom"/>
            <w:gridSpan w:val="3"/>
          </w:tcPr>
          <w:p>
            <w:pPr>
              <w:jc w:val="right"/>
              <w:ind w:right="160"/>
              <w:spacing w:after="0" w:line="130" w:lineRule="exact"/>
              <w:rPr>
                <w:sz w:val="20"/>
                <w:szCs w:val="20"/>
                <w:color w:val="auto"/>
              </w:rPr>
            </w:pPr>
            <w:r>
              <w:rPr>
                <w:rFonts w:ascii="Arial" w:cs="Arial" w:eastAsia="Arial" w:hAnsi="Arial"/>
                <w:sz w:val="12"/>
                <w:szCs w:val="12"/>
                <w:color w:val="auto"/>
              </w:rPr>
              <w:t>54,251</w:t>
            </w:r>
          </w:p>
        </w:tc>
        <w:tc>
          <w:tcPr>
            <w:tcW w:w="800" w:type="dxa"/>
            <w:vAlign w:val="bottom"/>
            <w:gridSpan w:val="2"/>
          </w:tcPr>
          <w:p>
            <w:pPr>
              <w:jc w:val="right"/>
              <w:ind w:right="140"/>
              <w:spacing w:after="0" w:line="130" w:lineRule="exact"/>
              <w:rPr>
                <w:sz w:val="20"/>
                <w:szCs w:val="20"/>
                <w:color w:val="auto"/>
              </w:rPr>
            </w:pPr>
            <w:r>
              <w:rPr>
                <w:rFonts w:ascii="Arial" w:cs="Arial" w:eastAsia="Arial" w:hAnsi="Arial"/>
                <w:sz w:val="12"/>
                <w:szCs w:val="12"/>
                <w:color w:val="auto"/>
              </w:rPr>
              <w:t>-</w:t>
            </w:r>
          </w:p>
        </w:tc>
        <w:tc>
          <w:tcPr>
            <w:tcW w:w="860" w:type="dxa"/>
            <w:vAlign w:val="bottom"/>
            <w:gridSpan w:val="2"/>
          </w:tcPr>
          <w:p>
            <w:pPr>
              <w:jc w:val="right"/>
              <w:ind w:right="160"/>
              <w:spacing w:after="0" w:line="130" w:lineRule="exact"/>
              <w:rPr>
                <w:sz w:val="20"/>
                <w:szCs w:val="20"/>
                <w:color w:val="auto"/>
              </w:rPr>
            </w:pPr>
            <w:r>
              <w:rPr>
                <w:rFonts w:ascii="Arial" w:cs="Arial" w:eastAsia="Arial" w:hAnsi="Arial"/>
                <w:sz w:val="12"/>
                <w:szCs w:val="12"/>
                <w:color w:val="auto"/>
              </w:rPr>
              <w:t>54,251</w:t>
            </w:r>
          </w:p>
        </w:tc>
        <w:tc>
          <w:tcPr>
            <w:tcW w:w="1000" w:type="dxa"/>
            <w:vAlign w:val="bottom"/>
            <w:gridSpan w:val="2"/>
          </w:tcPr>
          <w:p>
            <w:pPr>
              <w:jc w:val="right"/>
              <w:ind w:right="300"/>
              <w:spacing w:after="0" w:line="130" w:lineRule="exact"/>
              <w:rPr>
                <w:sz w:val="20"/>
                <w:szCs w:val="20"/>
                <w:color w:val="auto"/>
              </w:rPr>
            </w:pPr>
            <w:r>
              <w:rPr>
                <w:rFonts w:ascii="Arial" w:cs="Arial" w:eastAsia="Arial" w:hAnsi="Arial"/>
                <w:sz w:val="12"/>
                <w:szCs w:val="12"/>
                <w:color w:val="auto"/>
              </w:rPr>
              <w:t>-</w:t>
            </w:r>
          </w:p>
        </w:tc>
        <w:tc>
          <w:tcPr>
            <w:tcW w:w="860" w:type="dxa"/>
            <w:vAlign w:val="bottom"/>
            <w:gridSpan w:val="2"/>
          </w:tcPr>
          <w:p>
            <w:pPr>
              <w:jc w:val="right"/>
              <w:ind w:right="160"/>
              <w:spacing w:after="0" w:line="130" w:lineRule="exact"/>
              <w:rPr>
                <w:sz w:val="20"/>
                <w:szCs w:val="20"/>
                <w:color w:val="auto"/>
              </w:rPr>
            </w:pPr>
            <w:r>
              <w:rPr>
                <w:rFonts w:ascii="Arial" w:cs="Arial" w:eastAsia="Arial" w:hAnsi="Arial"/>
                <w:sz w:val="12"/>
                <w:szCs w:val="12"/>
                <w:color w:val="auto"/>
              </w:rPr>
              <w:t>-</w:t>
            </w:r>
          </w:p>
        </w:tc>
        <w:tc>
          <w:tcPr>
            <w:tcW w:w="840" w:type="dxa"/>
            <w:vAlign w:val="bottom"/>
            <w:gridSpan w:val="2"/>
          </w:tcPr>
          <w:p>
            <w:pPr>
              <w:jc w:val="right"/>
              <w:ind w:right="140"/>
              <w:spacing w:after="0" w:line="130" w:lineRule="exact"/>
              <w:rPr>
                <w:sz w:val="20"/>
                <w:szCs w:val="20"/>
                <w:color w:val="auto"/>
              </w:rPr>
            </w:pPr>
            <w:r>
              <w:rPr>
                <w:rFonts w:ascii="Arial" w:cs="Arial" w:eastAsia="Arial" w:hAnsi="Arial"/>
                <w:sz w:val="12"/>
                <w:szCs w:val="12"/>
                <w:color w:val="auto"/>
              </w:rPr>
              <w:t>-</w:t>
            </w:r>
          </w:p>
        </w:tc>
        <w:tc>
          <w:tcPr>
            <w:tcW w:w="860" w:type="dxa"/>
            <w:vAlign w:val="bottom"/>
            <w:gridSpan w:val="2"/>
          </w:tcPr>
          <w:p>
            <w:pPr>
              <w:jc w:val="right"/>
              <w:ind w:right="160"/>
              <w:spacing w:after="0" w:line="130" w:lineRule="exact"/>
              <w:rPr>
                <w:sz w:val="20"/>
                <w:szCs w:val="20"/>
                <w:color w:val="auto"/>
              </w:rPr>
            </w:pPr>
            <w:r>
              <w:rPr>
                <w:rFonts w:ascii="Arial" w:cs="Arial" w:eastAsia="Arial" w:hAnsi="Arial"/>
                <w:sz w:val="12"/>
                <w:szCs w:val="12"/>
                <w:color w:val="auto"/>
              </w:rPr>
              <w:t>56,136</w:t>
            </w:r>
          </w:p>
        </w:tc>
        <w:tc>
          <w:tcPr>
            <w:tcW w:w="800" w:type="dxa"/>
            <w:vAlign w:val="bottom"/>
            <w:gridSpan w:val="2"/>
          </w:tcPr>
          <w:p>
            <w:pPr>
              <w:jc w:val="right"/>
              <w:ind w:right="160"/>
              <w:spacing w:after="0" w:line="130" w:lineRule="exact"/>
              <w:rPr>
                <w:sz w:val="20"/>
                <w:szCs w:val="20"/>
                <w:color w:val="auto"/>
              </w:rPr>
            </w:pPr>
            <w:r>
              <w:rPr>
                <w:rFonts w:ascii="Arial" w:cs="Arial" w:eastAsia="Arial" w:hAnsi="Arial"/>
                <w:sz w:val="12"/>
                <w:szCs w:val="12"/>
                <w:color w:val="auto"/>
              </w:rPr>
              <w:t>-</w:t>
            </w:r>
          </w:p>
        </w:tc>
        <w:tc>
          <w:tcPr>
            <w:tcW w:w="700" w:type="dxa"/>
            <w:vAlign w:val="bottom"/>
            <w:gridSpan w:val="2"/>
          </w:tcPr>
          <w:p>
            <w:pPr>
              <w:jc w:val="right"/>
              <w:ind w:right="20"/>
              <w:spacing w:after="0" w:line="130" w:lineRule="exact"/>
              <w:rPr>
                <w:sz w:val="20"/>
                <w:szCs w:val="20"/>
                <w:color w:val="auto"/>
              </w:rPr>
            </w:pPr>
            <w:r>
              <w:rPr>
                <w:rFonts w:ascii="Arial" w:cs="Arial" w:eastAsia="Arial" w:hAnsi="Arial"/>
                <w:sz w:val="12"/>
                <w:szCs w:val="12"/>
                <w:color w:val="auto"/>
              </w:rPr>
              <w:t>56,136</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1140" w:type="dxa"/>
            <w:vAlign w:val="bottom"/>
            <w:shd w:val="clear" w:color="auto" w:fill="CCEEFF"/>
          </w:tcPr>
          <w:p>
            <w:pPr>
              <w:spacing w:after="0"/>
              <w:rPr>
                <w:sz w:val="20"/>
                <w:szCs w:val="20"/>
                <w:color w:val="auto"/>
              </w:rPr>
            </w:pPr>
            <w:r>
              <w:rPr>
                <w:rFonts w:ascii="Arial" w:cs="Arial" w:eastAsia="Arial" w:hAnsi="Arial"/>
                <w:sz w:val="12"/>
                <w:szCs w:val="12"/>
                <w:color w:val="auto"/>
              </w:rPr>
              <w:t>Others</w:t>
            </w: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2"/>
                <w:szCs w:val="12"/>
                <w:color w:val="auto"/>
              </w:rPr>
              <w:t>-</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47,182</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2,133,076</w:t>
            </w:r>
          </w:p>
        </w:tc>
        <w:tc>
          <w:tcPr>
            <w:tcW w:w="900" w:type="dxa"/>
            <w:vAlign w:val="bottom"/>
            <w:gridSpan w:val="3"/>
            <w:shd w:val="clear" w:color="auto" w:fill="CCEEFF"/>
          </w:tcPr>
          <w:p>
            <w:pPr>
              <w:jc w:val="right"/>
              <w:ind w:right="160"/>
              <w:spacing w:after="0"/>
              <w:rPr>
                <w:sz w:val="20"/>
                <w:szCs w:val="20"/>
                <w:color w:val="auto"/>
              </w:rPr>
            </w:pPr>
            <w:r>
              <w:rPr>
                <w:rFonts w:ascii="Arial" w:cs="Arial" w:eastAsia="Arial" w:hAnsi="Arial"/>
                <w:sz w:val="12"/>
                <w:szCs w:val="12"/>
                <w:color w:val="auto"/>
              </w:rPr>
              <w:t>771,641</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1,638</w:t>
            </w: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2,953,537</w:t>
            </w:r>
          </w:p>
        </w:tc>
        <w:tc>
          <w:tcPr>
            <w:tcW w:w="1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1,753</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24,136</w:t>
            </w: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516,325</w:t>
            </w:r>
          </w:p>
        </w:tc>
        <w:tc>
          <w:tcPr>
            <w:tcW w:w="1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651,592</w:t>
            </w: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1,711</w:t>
            </w:r>
          </w:p>
        </w:tc>
        <w:tc>
          <w:tcPr>
            <w:tcW w:w="16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1,195,517</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140" w:type="dxa"/>
            <w:vAlign w:val="bottom"/>
            <w:vMerge w:val="restart"/>
          </w:tcPr>
          <w:p>
            <w:pPr>
              <w:spacing w:after="0"/>
              <w:rPr>
                <w:sz w:val="20"/>
                <w:szCs w:val="20"/>
                <w:color w:val="auto"/>
              </w:rPr>
            </w:pPr>
            <w:r>
              <w:rPr>
                <w:rFonts w:ascii="Arial" w:cs="Arial" w:eastAsia="Arial" w:hAnsi="Arial"/>
                <w:sz w:val="12"/>
                <w:szCs w:val="12"/>
                <w:b w:val="1"/>
                <w:bCs w:val="1"/>
                <w:color w:val="auto"/>
              </w:rPr>
              <w:t>Total</w:t>
            </w:r>
          </w:p>
        </w:tc>
        <w:tc>
          <w:tcPr>
            <w:tcW w:w="7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1140" w:type="dxa"/>
            <w:vAlign w:val="bottom"/>
            <w:vMerge w:val="continue"/>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4,726,563</w:t>
            </w:r>
          </w:p>
        </w:tc>
        <w:tc>
          <w:tcPr>
            <w:tcW w:w="28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537,685</w:t>
            </w:r>
          </w:p>
        </w:tc>
        <w:tc>
          <w:tcPr>
            <w:tcW w:w="140" w:type="dxa"/>
            <w:vAlign w:val="bottom"/>
          </w:tcPr>
          <w:p>
            <w:pPr>
              <w:spacing w:after="0"/>
              <w:rPr>
                <w:sz w:val="12"/>
                <w:szCs w:val="12"/>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2"/>
                <w:szCs w:val="12"/>
                <w:color w:val="auto"/>
                <w:w w:val="95"/>
              </w:rPr>
              <w:t>130,343,367</w:t>
            </w:r>
          </w:p>
        </w:tc>
        <w:tc>
          <w:tcPr>
            <w:tcW w:w="900" w:type="dxa"/>
            <w:vAlign w:val="bottom"/>
            <w:gridSpan w:val="3"/>
          </w:tcPr>
          <w:p>
            <w:pPr>
              <w:jc w:val="right"/>
              <w:ind w:right="160"/>
              <w:spacing w:after="0"/>
              <w:rPr>
                <w:sz w:val="20"/>
                <w:szCs w:val="20"/>
                <w:color w:val="auto"/>
              </w:rPr>
            </w:pPr>
            <w:r>
              <w:rPr>
                <w:rFonts w:ascii="Arial" w:cs="Arial" w:eastAsia="Arial" w:hAnsi="Arial"/>
                <w:sz w:val="12"/>
                <w:szCs w:val="12"/>
                <w:color w:val="auto"/>
              </w:rPr>
              <w:t>24,423,891</w:t>
            </w:r>
          </w:p>
        </w:tc>
        <w:tc>
          <w:tcPr>
            <w:tcW w:w="800" w:type="dxa"/>
            <w:vAlign w:val="bottom"/>
            <w:gridSpan w:val="2"/>
          </w:tcPr>
          <w:p>
            <w:pPr>
              <w:jc w:val="right"/>
              <w:ind w:right="140"/>
              <w:spacing w:after="0"/>
              <w:rPr>
                <w:sz w:val="20"/>
                <w:szCs w:val="20"/>
                <w:color w:val="auto"/>
              </w:rPr>
            </w:pPr>
            <w:r>
              <w:rPr>
                <w:rFonts w:ascii="Arial" w:cs="Arial" w:eastAsia="Arial" w:hAnsi="Arial"/>
                <w:sz w:val="12"/>
                <w:szCs w:val="12"/>
                <w:color w:val="auto"/>
              </w:rPr>
              <w:t>4,413,373</w:t>
            </w:r>
          </w:p>
        </w:tc>
        <w:tc>
          <w:tcPr>
            <w:tcW w:w="700" w:type="dxa"/>
            <w:vAlign w:val="bottom"/>
          </w:tcPr>
          <w:p>
            <w:pPr>
              <w:jc w:val="right"/>
              <w:spacing w:after="0"/>
              <w:rPr>
                <w:sz w:val="20"/>
                <w:szCs w:val="20"/>
                <w:color w:val="auto"/>
              </w:rPr>
            </w:pPr>
            <w:r>
              <w:rPr>
                <w:rFonts w:ascii="Arial" w:cs="Arial" w:eastAsia="Arial" w:hAnsi="Arial"/>
                <w:sz w:val="12"/>
                <w:szCs w:val="12"/>
                <w:color w:val="auto"/>
              </w:rPr>
              <w:t>164,444,879</w:t>
            </w:r>
          </w:p>
        </w:tc>
        <w:tc>
          <w:tcPr>
            <w:tcW w:w="160" w:type="dxa"/>
            <w:vAlign w:val="bottom"/>
          </w:tcPr>
          <w:p>
            <w:pPr>
              <w:spacing w:after="0"/>
              <w:rPr>
                <w:sz w:val="12"/>
                <w:szCs w:val="12"/>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2"/>
                <w:szCs w:val="12"/>
                <w:color w:val="auto"/>
              </w:rPr>
              <w:t>4,957,621</w:t>
            </w:r>
          </w:p>
        </w:tc>
        <w:tc>
          <w:tcPr>
            <w:tcW w:w="860" w:type="dxa"/>
            <w:vAlign w:val="bottom"/>
            <w:gridSpan w:val="2"/>
          </w:tcPr>
          <w:p>
            <w:pPr>
              <w:jc w:val="right"/>
              <w:ind w:right="160"/>
              <w:spacing w:after="0"/>
              <w:rPr>
                <w:sz w:val="20"/>
                <w:szCs w:val="20"/>
                <w:color w:val="auto"/>
              </w:rPr>
            </w:pPr>
            <w:r>
              <w:rPr>
                <w:rFonts w:ascii="Arial" w:cs="Arial" w:eastAsia="Arial" w:hAnsi="Arial"/>
                <w:sz w:val="12"/>
                <w:szCs w:val="12"/>
                <w:color w:val="auto"/>
              </w:rPr>
              <w:t>459,099</w:t>
            </w:r>
          </w:p>
        </w:tc>
        <w:tc>
          <w:tcPr>
            <w:tcW w:w="700" w:type="dxa"/>
            <w:vAlign w:val="bottom"/>
          </w:tcPr>
          <w:p>
            <w:pPr>
              <w:jc w:val="right"/>
              <w:spacing w:after="0"/>
              <w:rPr>
                <w:sz w:val="20"/>
                <w:szCs w:val="20"/>
                <w:color w:val="auto"/>
              </w:rPr>
            </w:pPr>
            <w:r>
              <w:rPr>
                <w:rFonts w:ascii="Arial" w:cs="Arial" w:eastAsia="Arial" w:hAnsi="Arial"/>
                <w:sz w:val="12"/>
                <w:szCs w:val="12"/>
                <w:color w:val="auto"/>
              </w:rPr>
              <w:t>121,001,793</w:t>
            </w:r>
          </w:p>
        </w:tc>
        <w:tc>
          <w:tcPr>
            <w:tcW w:w="140" w:type="dxa"/>
            <w:vAlign w:val="bottom"/>
          </w:tcPr>
          <w:p>
            <w:pPr>
              <w:spacing w:after="0"/>
              <w:rPr>
                <w:sz w:val="12"/>
                <w:szCs w:val="12"/>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2"/>
                <w:szCs w:val="12"/>
                <w:color w:val="auto"/>
              </w:rPr>
              <w:t>18,685,667</w:t>
            </w:r>
          </w:p>
        </w:tc>
        <w:tc>
          <w:tcPr>
            <w:tcW w:w="800" w:type="dxa"/>
            <w:vAlign w:val="bottom"/>
            <w:gridSpan w:val="2"/>
          </w:tcPr>
          <w:p>
            <w:pPr>
              <w:jc w:val="right"/>
              <w:ind w:right="160"/>
              <w:spacing w:after="0"/>
              <w:rPr>
                <w:sz w:val="20"/>
                <w:szCs w:val="20"/>
                <w:color w:val="auto"/>
              </w:rPr>
            </w:pPr>
            <w:r>
              <w:rPr>
                <w:rFonts w:ascii="Arial" w:cs="Arial" w:eastAsia="Arial" w:hAnsi="Arial"/>
                <w:sz w:val="12"/>
                <w:szCs w:val="12"/>
                <w:color w:val="auto"/>
              </w:rPr>
              <w:t>5,118,420</w:t>
            </w:r>
          </w:p>
        </w:tc>
        <w:tc>
          <w:tcPr>
            <w:tcW w:w="700" w:type="dxa"/>
            <w:vAlign w:val="bottom"/>
            <w:gridSpan w:val="2"/>
          </w:tcPr>
          <w:p>
            <w:pPr>
              <w:jc w:val="right"/>
              <w:ind w:right="20"/>
              <w:spacing w:after="0"/>
              <w:rPr>
                <w:sz w:val="20"/>
                <w:szCs w:val="20"/>
                <w:color w:val="auto"/>
              </w:rPr>
            </w:pPr>
            <w:r>
              <w:rPr>
                <w:rFonts w:ascii="Arial" w:cs="Arial" w:eastAsia="Arial" w:hAnsi="Arial"/>
                <w:sz w:val="12"/>
                <w:szCs w:val="12"/>
                <w:color w:val="auto"/>
                <w:w w:val="98"/>
              </w:rPr>
              <w:t>150,222,600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- 123 -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15875</wp:posOffset>
            </wp:positionV>
            <wp:extent cx="725170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51700" cy="8255"/>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type w:val="continuous"/>
        </w:sectPr>
      </w:pPr>
    </w:p>
    <w:bookmarkStart w:id="129" w:name="page130"/>
    <w:bookmarkEnd w:id="129"/>
    <w:p>
      <w:pPr>
        <w:ind w:left="316" w:hanging="316"/>
        <w:spacing w:after="0"/>
        <w:tabs>
          <w:tab w:leader="none" w:pos="316" w:val="left"/>
        </w:tabs>
        <w:numPr>
          <w:ilvl w:val="0"/>
          <w:numId w:val="146"/>
        </w:numPr>
        <w:rPr>
          <w:rFonts w:ascii="Arial" w:cs="Arial" w:eastAsia="Arial" w:hAnsi="Arial"/>
          <w:sz w:val="17"/>
          <w:szCs w:val="17"/>
          <w:color w:val="auto"/>
        </w:rPr>
      </w:pPr>
      <w:r>
        <w:rPr>
          <w:rFonts w:ascii="Arial" w:cs="Arial" w:eastAsia="Arial" w:hAnsi="Arial"/>
          <w:sz w:val="17"/>
          <w:szCs w:val="17"/>
          <w:color w:val="auto"/>
        </w:rPr>
        <w:t>Offsetting financial assets and liabilities -</w:t>
      </w:r>
    </w:p>
    <w:p>
      <w:pPr>
        <w:spacing w:after="0" w:line="220" w:lineRule="exact"/>
        <w:rPr>
          <w:rFonts w:ascii="Arial" w:cs="Arial" w:eastAsia="Arial" w:hAnsi="Arial"/>
          <w:sz w:val="17"/>
          <w:szCs w:val="17"/>
          <w:color w:val="auto"/>
        </w:rPr>
      </w:pPr>
    </w:p>
    <w:p>
      <w:pPr>
        <w:ind w:left="316"/>
        <w:spacing w:after="0"/>
        <w:rPr>
          <w:rFonts w:ascii="Arial" w:cs="Arial" w:eastAsia="Arial" w:hAnsi="Arial"/>
          <w:sz w:val="17"/>
          <w:szCs w:val="17"/>
          <w:color w:val="auto"/>
        </w:rPr>
      </w:pPr>
      <w:r>
        <w:rPr>
          <w:rFonts w:ascii="Arial" w:cs="Arial" w:eastAsia="Arial" w:hAnsi="Arial"/>
          <w:sz w:val="17"/>
          <w:szCs w:val="17"/>
          <w:color w:val="auto"/>
        </w:rPr>
        <w:t>The disclosures set out in the tables below include financial assets and liabilities that:</w:t>
      </w:r>
    </w:p>
    <w:p>
      <w:pPr>
        <w:spacing w:after="0" w:line="220" w:lineRule="exact"/>
        <w:rPr>
          <w:rFonts w:ascii="Arial" w:cs="Arial" w:eastAsia="Arial" w:hAnsi="Arial"/>
          <w:sz w:val="17"/>
          <w:szCs w:val="17"/>
          <w:color w:val="auto"/>
        </w:rPr>
      </w:pPr>
    </w:p>
    <w:p>
      <w:pPr>
        <w:ind w:left="616" w:hanging="304"/>
        <w:spacing w:after="0"/>
        <w:tabs>
          <w:tab w:leader="none" w:pos="616" w:val="left"/>
        </w:tabs>
        <w:numPr>
          <w:ilvl w:val="1"/>
          <w:numId w:val="146"/>
        </w:numPr>
        <w:rPr>
          <w:rFonts w:ascii="Arial" w:cs="Arial" w:eastAsia="Arial" w:hAnsi="Arial"/>
          <w:sz w:val="17"/>
          <w:szCs w:val="17"/>
          <w:color w:val="auto"/>
        </w:rPr>
      </w:pPr>
      <w:r>
        <w:rPr>
          <w:rFonts w:ascii="Arial" w:cs="Arial" w:eastAsia="Arial" w:hAnsi="Arial"/>
          <w:sz w:val="17"/>
          <w:szCs w:val="17"/>
          <w:color w:val="auto"/>
        </w:rPr>
        <w:t>Are offset in the Group’s consolidated statement of financial position; or</w:t>
      </w:r>
    </w:p>
    <w:p>
      <w:pPr>
        <w:spacing w:after="0" w:line="24" w:lineRule="exact"/>
        <w:rPr>
          <w:rFonts w:ascii="Arial" w:cs="Arial" w:eastAsia="Arial" w:hAnsi="Arial"/>
          <w:sz w:val="17"/>
          <w:szCs w:val="17"/>
          <w:color w:val="auto"/>
        </w:rPr>
      </w:pPr>
    </w:p>
    <w:p>
      <w:pPr>
        <w:ind w:left="616" w:hanging="304"/>
        <w:spacing w:after="0" w:line="270" w:lineRule="auto"/>
        <w:tabs>
          <w:tab w:leader="none" w:pos="616" w:val="left"/>
        </w:tabs>
        <w:numPr>
          <w:ilvl w:val="1"/>
          <w:numId w:val="146"/>
        </w:numPr>
        <w:rPr>
          <w:rFonts w:ascii="Arial" w:cs="Arial" w:eastAsia="Arial" w:hAnsi="Arial"/>
          <w:sz w:val="17"/>
          <w:szCs w:val="17"/>
          <w:color w:val="auto"/>
        </w:rPr>
      </w:pPr>
      <w:r>
        <w:rPr>
          <w:rFonts w:ascii="Arial" w:cs="Arial" w:eastAsia="Arial" w:hAnsi="Arial"/>
          <w:sz w:val="17"/>
          <w:szCs w:val="17"/>
          <w:color w:val="auto"/>
        </w:rPr>
        <w:t>Are subject to an enforceable master netting arrangement or similar agreement that covers similar financial statements, irrespective of whether they are offset in the statement of financial position.</w:t>
      </w:r>
    </w:p>
    <w:p>
      <w:pPr>
        <w:spacing w:after="0" w:line="171" w:lineRule="exact"/>
        <w:rPr>
          <w:sz w:val="20"/>
          <w:szCs w:val="20"/>
          <w:color w:val="auto"/>
        </w:rPr>
      </w:pPr>
    </w:p>
    <w:p>
      <w:pPr>
        <w:ind w:left="316" w:right="80"/>
        <w:spacing w:after="0" w:line="265" w:lineRule="auto"/>
        <w:rPr>
          <w:sz w:val="20"/>
          <w:szCs w:val="20"/>
          <w:color w:val="auto"/>
        </w:rPr>
      </w:pPr>
      <w:r>
        <w:rPr>
          <w:rFonts w:ascii="Arial" w:cs="Arial" w:eastAsia="Arial" w:hAnsi="Arial"/>
          <w:sz w:val="17"/>
          <w:szCs w:val="17"/>
          <w:color w:val="auto"/>
        </w:rPr>
        <w:t>The similar agreements include derivative clearing agreements, master repurchase agreements, and master securities lending agreements. Similar financial instruments include derivatives, Accounts receivable from reverse repurchase agreements and security borrowings, payables from repurchase agreements and security lendings and other financial assets and liabilities. Financial instruments such as loans and deposits are not disclosed in the tables below unless they are offset in the statement of financial position.</w:t>
      </w:r>
    </w:p>
    <w:p>
      <w:pPr>
        <w:spacing w:after="0" w:line="176" w:lineRule="exact"/>
        <w:rPr>
          <w:sz w:val="20"/>
          <w:szCs w:val="20"/>
          <w:color w:val="auto"/>
        </w:rPr>
      </w:pPr>
    </w:p>
    <w:p>
      <w:pPr>
        <w:ind w:left="316" w:right="80"/>
        <w:spacing w:after="0" w:line="311" w:lineRule="auto"/>
        <w:rPr>
          <w:sz w:val="20"/>
          <w:szCs w:val="20"/>
          <w:color w:val="auto"/>
        </w:rPr>
      </w:pPr>
      <w:r>
        <w:rPr>
          <w:rFonts w:ascii="Arial" w:cs="Arial" w:eastAsia="Arial" w:hAnsi="Arial"/>
          <w:sz w:val="15"/>
          <w:szCs w:val="15"/>
          <w:color w:val="auto"/>
        </w:rPr>
        <w:t>The offsetting framework agreement issued by the International Swaps and Derivatives Association Inc. (“ISDA”) and similar master netting arrangements do not meet the criteria for offsetting in the statement of financial position, because said agreements were created in order for both parties to have an enforceable offsetting right in cases of default, insolvency or bankruptcy of the Group or the counterparties or following other predetermined events. In addition, the Group and its counterparties do not intend to settle said instruments on a net basis or to realize the assets and settle the liabilities simultaneously.</w:t>
      </w:r>
    </w:p>
    <w:p>
      <w:pPr>
        <w:spacing w:after="0" w:line="145" w:lineRule="exact"/>
        <w:rPr>
          <w:sz w:val="20"/>
          <w:szCs w:val="20"/>
          <w:color w:val="auto"/>
        </w:rPr>
      </w:pPr>
    </w:p>
    <w:p>
      <w:pPr>
        <w:ind w:left="316"/>
        <w:spacing w:after="0"/>
        <w:rPr>
          <w:sz w:val="20"/>
          <w:szCs w:val="20"/>
          <w:color w:val="auto"/>
        </w:rPr>
      </w:pPr>
      <w:r>
        <w:rPr>
          <w:rFonts w:ascii="Arial" w:cs="Arial" w:eastAsia="Arial" w:hAnsi="Arial"/>
          <w:sz w:val="17"/>
          <w:szCs w:val="17"/>
          <w:color w:val="auto"/>
        </w:rPr>
        <w:t>The Group receives and gives collateral in the form of cash and marketable securities in respect of the following transactions:</w:t>
      </w:r>
    </w:p>
    <w:p>
      <w:pPr>
        <w:spacing w:after="0" w:line="220" w:lineRule="exact"/>
        <w:rPr>
          <w:sz w:val="20"/>
          <w:szCs w:val="20"/>
          <w:color w:val="auto"/>
        </w:rPr>
      </w:pPr>
    </w:p>
    <w:p>
      <w:pPr>
        <w:ind w:left="616" w:hanging="304"/>
        <w:spacing w:after="0"/>
        <w:tabs>
          <w:tab w:leader="none" w:pos="616" w:val="left"/>
        </w:tabs>
        <w:numPr>
          <w:ilvl w:val="0"/>
          <w:numId w:val="147"/>
        </w:numPr>
        <w:rPr>
          <w:rFonts w:ascii="Arial" w:cs="Arial" w:eastAsia="Arial" w:hAnsi="Arial"/>
          <w:sz w:val="17"/>
          <w:szCs w:val="17"/>
          <w:color w:val="auto"/>
        </w:rPr>
      </w:pPr>
      <w:r>
        <w:rPr>
          <w:rFonts w:ascii="Arial" w:cs="Arial" w:eastAsia="Arial" w:hAnsi="Arial"/>
          <w:sz w:val="17"/>
          <w:szCs w:val="17"/>
          <w:color w:val="auto"/>
        </w:rPr>
        <w:t>Derivatives;</w:t>
      </w:r>
    </w:p>
    <w:p>
      <w:pPr>
        <w:spacing w:after="0" w:line="24" w:lineRule="exact"/>
        <w:rPr>
          <w:rFonts w:ascii="Arial" w:cs="Arial" w:eastAsia="Arial" w:hAnsi="Arial"/>
          <w:sz w:val="17"/>
          <w:szCs w:val="17"/>
          <w:color w:val="auto"/>
        </w:rPr>
      </w:pPr>
    </w:p>
    <w:p>
      <w:pPr>
        <w:ind w:left="616" w:hanging="304"/>
        <w:spacing w:after="0"/>
        <w:tabs>
          <w:tab w:leader="none" w:pos="616" w:val="left"/>
        </w:tabs>
        <w:numPr>
          <w:ilvl w:val="0"/>
          <w:numId w:val="147"/>
        </w:numPr>
        <w:rPr>
          <w:rFonts w:ascii="Arial" w:cs="Arial" w:eastAsia="Arial" w:hAnsi="Arial"/>
          <w:sz w:val="17"/>
          <w:szCs w:val="17"/>
          <w:color w:val="auto"/>
        </w:rPr>
      </w:pPr>
      <w:r>
        <w:rPr>
          <w:rFonts w:ascii="Arial" w:cs="Arial" w:eastAsia="Arial" w:hAnsi="Arial"/>
          <w:sz w:val="17"/>
          <w:szCs w:val="17"/>
          <w:color w:val="auto"/>
        </w:rPr>
        <w:t>Accounts receivable from reverse repurchase agreements and security borrowings;</w:t>
      </w:r>
    </w:p>
    <w:p>
      <w:pPr>
        <w:spacing w:after="0" w:line="12" w:lineRule="exact"/>
        <w:rPr>
          <w:rFonts w:ascii="Arial" w:cs="Arial" w:eastAsia="Arial" w:hAnsi="Arial"/>
          <w:sz w:val="17"/>
          <w:szCs w:val="17"/>
          <w:color w:val="auto"/>
        </w:rPr>
      </w:pPr>
    </w:p>
    <w:p>
      <w:pPr>
        <w:ind w:left="616" w:hanging="304"/>
        <w:spacing w:after="0"/>
        <w:tabs>
          <w:tab w:leader="none" w:pos="616" w:val="left"/>
        </w:tabs>
        <w:numPr>
          <w:ilvl w:val="0"/>
          <w:numId w:val="147"/>
        </w:numPr>
        <w:rPr>
          <w:rFonts w:ascii="Arial" w:cs="Arial" w:eastAsia="Arial" w:hAnsi="Arial"/>
          <w:sz w:val="17"/>
          <w:szCs w:val="17"/>
          <w:color w:val="auto"/>
        </w:rPr>
      </w:pPr>
      <w:r>
        <w:rPr>
          <w:rFonts w:ascii="Arial" w:cs="Arial" w:eastAsia="Arial" w:hAnsi="Arial"/>
          <w:sz w:val="17"/>
          <w:szCs w:val="17"/>
          <w:color w:val="auto"/>
        </w:rPr>
        <w:t>Payables from repurchase agreements and security lendings; and</w:t>
      </w:r>
    </w:p>
    <w:p>
      <w:pPr>
        <w:spacing w:after="0" w:line="12" w:lineRule="exact"/>
        <w:rPr>
          <w:rFonts w:ascii="Arial" w:cs="Arial" w:eastAsia="Arial" w:hAnsi="Arial"/>
          <w:sz w:val="17"/>
          <w:szCs w:val="17"/>
          <w:color w:val="auto"/>
        </w:rPr>
      </w:pPr>
    </w:p>
    <w:p>
      <w:pPr>
        <w:ind w:left="616" w:hanging="304"/>
        <w:spacing w:after="0"/>
        <w:tabs>
          <w:tab w:leader="none" w:pos="616" w:val="left"/>
        </w:tabs>
        <w:numPr>
          <w:ilvl w:val="0"/>
          <w:numId w:val="147"/>
        </w:numPr>
        <w:rPr>
          <w:rFonts w:ascii="Arial" w:cs="Arial" w:eastAsia="Arial" w:hAnsi="Arial"/>
          <w:sz w:val="17"/>
          <w:szCs w:val="17"/>
          <w:color w:val="auto"/>
        </w:rPr>
      </w:pPr>
      <w:r>
        <w:rPr>
          <w:rFonts w:ascii="Arial" w:cs="Arial" w:eastAsia="Arial" w:hAnsi="Arial"/>
          <w:sz w:val="17"/>
          <w:szCs w:val="17"/>
          <w:color w:val="auto"/>
        </w:rPr>
        <w:t>Other financial assets and liabilities</w:t>
      </w:r>
    </w:p>
    <w:p>
      <w:pPr>
        <w:spacing w:after="0" w:line="208" w:lineRule="exact"/>
        <w:rPr>
          <w:sz w:val="20"/>
          <w:szCs w:val="20"/>
          <w:color w:val="auto"/>
        </w:rPr>
      </w:pPr>
    </w:p>
    <w:p>
      <w:pPr>
        <w:jc w:val="both"/>
        <w:ind w:left="316" w:right="260"/>
        <w:spacing w:after="0" w:line="270" w:lineRule="auto"/>
        <w:rPr>
          <w:sz w:val="20"/>
          <w:szCs w:val="20"/>
          <w:color w:val="auto"/>
        </w:rPr>
      </w:pPr>
      <w:r>
        <w:rPr>
          <w:rFonts w:ascii="Arial" w:cs="Arial" w:eastAsia="Arial" w:hAnsi="Arial"/>
          <w:sz w:val="17"/>
          <w:szCs w:val="17"/>
          <w:color w:val="auto"/>
        </w:rPr>
        <w:t>Such collateral adheres to standard industry terms including, when appropriate, an ISDA Credit Support Annex. This means that securities received/given as collateral can be pledged or sold during the term of the transaction but have to be returned on maturity of the transaction. The terms also give each party the right to terminate the related transactions upon the counterparty’s failure to return the respective collateral.</w:t>
      </w:r>
    </w:p>
    <w:p>
      <w:pPr>
        <w:spacing w:after="0" w:line="380" w:lineRule="exact"/>
        <w:rPr>
          <w:sz w:val="20"/>
          <w:szCs w:val="20"/>
          <w:color w:val="auto"/>
        </w:rPr>
      </w:pPr>
    </w:p>
    <w:p>
      <w:pPr>
        <w:jc w:val="center"/>
        <w:ind w:right="-15"/>
        <w:spacing w:after="0"/>
        <w:rPr>
          <w:sz w:val="20"/>
          <w:szCs w:val="20"/>
          <w:color w:val="auto"/>
        </w:rPr>
      </w:pPr>
      <w:r>
        <w:rPr>
          <w:rFonts w:ascii="Arial" w:cs="Arial" w:eastAsia="Arial" w:hAnsi="Arial"/>
          <w:sz w:val="17"/>
          <w:szCs w:val="17"/>
          <w:color w:val="auto"/>
        </w:rPr>
        <w:t>- 124 -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15875</wp:posOffset>
            </wp:positionV>
            <wp:extent cx="725170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51700" cy="8255"/>
                    </a:xfrm>
                    <a:prstGeom prst="rect">
                      <a:avLst/>
                    </a:prstGeom>
                    <a:noFill/>
                  </pic:spPr>
                </pic:pic>
              </a:graphicData>
            </a:graphic>
          </wp:anchor>
        </w:drawing>
      </w:r>
    </w:p>
    <w:p>
      <w:pPr>
        <w:sectPr>
          <w:pgSz w:w="11900" w:h="16838" w:orient="portrait"/>
          <w:cols w:equalWidth="0" w:num="1">
            <w:col w:w="11416"/>
          </w:cols>
          <w:pgMar w:left="244" w:top="881" w:right="239" w:bottom="1440" w:gutter="0" w:footer="0" w:header="0"/>
        </w:sectPr>
      </w:pPr>
    </w:p>
    <w:bookmarkStart w:id="130" w:name="page131"/>
    <w:bookmarkEnd w:id="130"/>
    <w:p>
      <w:pPr>
        <w:spacing w:after="0"/>
        <w:rPr>
          <w:sz w:val="20"/>
          <w:szCs w:val="20"/>
          <w:color w:val="auto"/>
        </w:rPr>
      </w:pPr>
      <w:r>
        <w:rPr>
          <w:rFonts w:ascii="Arial" w:cs="Arial" w:eastAsia="Arial" w:hAnsi="Arial"/>
          <w:sz w:val="15"/>
          <w:szCs w:val="15"/>
          <w:color w:val="auto"/>
        </w:rPr>
        <w:t>Financial assets subject to offsetting, enforceable master netting arrangements and similar agreements:</w:t>
      </w:r>
    </w:p>
    <w:p>
      <w:pPr>
        <w:sectPr>
          <w:pgSz w:w="11900" w:h="16838" w:orient="portrait"/>
          <w:cols w:equalWidth="0" w:num="1">
            <w:col w:w="11320"/>
          </w:cols>
          <w:pgMar w:left="240" w:top="88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Description</w:t>
      </w:r>
    </w:p>
    <w:p>
      <w:pPr>
        <w:spacing w:after="0" w:line="292" w:lineRule="exact"/>
        <w:rPr>
          <w:sz w:val="20"/>
          <w:szCs w:val="20"/>
          <w:color w:val="auto"/>
        </w:rPr>
      </w:pPr>
    </w:p>
    <w:p>
      <w:pPr>
        <w:spacing w:after="0"/>
        <w:rPr>
          <w:sz w:val="20"/>
          <w:szCs w:val="20"/>
          <w:color w:val="auto"/>
        </w:rPr>
      </w:pPr>
      <w:r>
        <w:rPr>
          <w:rFonts w:ascii="Arial" w:cs="Arial" w:eastAsia="Arial" w:hAnsi="Arial"/>
          <w:sz w:val="14"/>
          <w:szCs w:val="14"/>
          <w:color w:val="auto"/>
        </w:rPr>
        <w:t>Receivables from derivatives</w:t>
      </w:r>
    </w:p>
    <w:p>
      <w:pPr>
        <w:ind w:right="100"/>
        <w:spacing w:after="0" w:line="213" w:lineRule="auto"/>
        <w:rPr>
          <w:sz w:val="20"/>
          <w:szCs w:val="20"/>
          <w:color w:val="auto"/>
        </w:rPr>
      </w:pPr>
      <w:r>
        <w:rPr>
          <w:rFonts w:ascii="Arial" w:cs="Arial" w:eastAsia="Arial" w:hAnsi="Arial"/>
          <w:sz w:val="14"/>
          <w:szCs w:val="14"/>
          <w:color w:val="auto"/>
        </w:rPr>
        <w:t>Cash collateral, reverse repurchase agreements and securities borrowings</w:t>
      </w:r>
    </w:p>
    <w:p>
      <w:pPr>
        <w:spacing w:after="0" w:line="222" w:lineRule="auto"/>
        <w:rPr>
          <w:sz w:val="20"/>
          <w:szCs w:val="20"/>
          <w:color w:val="auto"/>
        </w:rPr>
      </w:pPr>
      <w:r>
        <w:rPr>
          <w:rFonts w:ascii="Arial" w:cs="Arial" w:eastAsia="Arial" w:hAnsi="Arial"/>
          <w:sz w:val="14"/>
          <w:szCs w:val="14"/>
          <w:color w:val="auto"/>
        </w:rPr>
        <w:t>Available-for-sale and held-to-maturity investments pledged as collateral</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Total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Description</w:t>
      </w:r>
    </w:p>
    <w:p>
      <w:pPr>
        <w:spacing w:after="0" w:line="292" w:lineRule="exact"/>
        <w:rPr>
          <w:sz w:val="20"/>
          <w:szCs w:val="20"/>
          <w:color w:val="auto"/>
        </w:rPr>
      </w:pPr>
    </w:p>
    <w:p>
      <w:pPr>
        <w:spacing w:after="0"/>
        <w:rPr>
          <w:sz w:val="20"/>
          <w:szCs w:val="20"/>
          <w:color w:val="auto"/>
        </w:rPr>
      </w:pPr>
      <w:r>
        <w:rPr>
          <w:rFonts w:ascii="Arial" w:cs="Arial" w:eastAsia="Arial" w:hAnsi="Arial"/>
          <w:sz w:val="14"/>
          <w:szCs w:val="14"/>
          <w:color w:val="auto"/>
        </w:rPr>
        <w:t>Receivables from derivatives</w:t>
      </w:r>
    </w:p>
    <w:p>
      <w:pPr>
        <w:ind w:right="100"/>
        <w:spacing w:after="0" w:line="213" w:lineRule="auto"/>
        <w:rPr>
          <w:sz w:val="20"/>
          <w:szCs w:val="20"/>
          <w:color w:val="auto"/>
        </w:rPr>
      </w:pPr>
      <w:r>
        <w:rPr>
          <w:rFonts w:ascii="Arial" w:cs="Arial" w:eastAsia="Arial" w:hAnsi="Arial"/>
          <w:sz w:val="14"/>
          <w:szCs w:val="14"/>
          <w:color w:val="auto"/>
        </w:rPr>
        <w:t>Cash collateral, reverse repurchase agreements and securities borrowings</w:t>
      </w:r>
    </w:p>
    <w:p>
      <w:pPr>
        <w:spacing w:after="0" w:line="222" w:lineRule="auto"/>
        <w:rPr>
          <w:sz w:val="20"/>
          <w:szCs w:val="20"/>
          <w:color w:val="auto"/>
        </w:rPr>
      </w:pPr>
      <w:r>
        <w:rPr>
          <w:rFonts w:ascii="Arial" w:cs="Arial" w:eastAsia="Arial" w:hAnsi="Arial"/>
          <w:sz w:val="14"/>
          <w:szCs w:val="14"/>
          <w:color w:val="auto"/>
        </w:rPr>
        <w:t>Available-for-sale and held-to-maturity investments pledged as collateral</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Total</w:t>
      </w:r>
    </w:p>
    <w:p>
      <w:pPr>
        <w:spacing w:after="0" w:line="20" w:lineRule="exact"/>
        <w:rPr>
          <w:sz w:val="20"/>
          <w:szCs w:val="20"/>
          <w:color w:val="auto"/>
        </w:rPr>
      </w:pPr>
      <w:r>
        <w:rPr>
          <w:sz w:val="20"/>
          <w:szCs w:val="20"/>
          <w:color w:val="auto"/>
        </w:rPr>
        <w:br w:type="column"/>
      </w:r>
    </w:p>
    <w:p>
      <w:pPr>
        <w:spacing w:after="0" w:line="226" w:lineRule="exact"/>
        <w:rPr>
          <w:sz w:val="20"/>
          <w:szCs w:val="20"/>
          <w:color w:val="auto"/>
        </w:rPr>
      </w:pPr>
    </w:p>
    <w:p>
      <w:pPr>
        <w:ind w:left="2940"/>
        <w:spacing w:after="0"/>
        <w:rPr>
          <w:sz w:val="20"/>
          <w:szCs w:val="20"/>
          <w:color w:val="auto"/>
        </w:rPr>
      </w:pPr>
      <w:r>
        <w:rPr>
          <w:rFonts w:ascii="Arial" w:cs="Arial" w:eastAsia="Arial" w:hAnsi="Arial"/>
          <w:sz w:val="14"/>
          <w:szCs w:val="14"/>
          <w:b w:val="1"/>
          <w:bCs w:val="1"/>
          <w:color w:val="auto"/>
        </w:rPr>
        <w:t>As of December 31, 2017</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13"/>
        </w:trPr>
        <w:tc>
          <w:tcPr>
            <w:tcW w:w="1020" w:type="dxa"/>
            <w:vAlign w:val="bottom"/>
            <w:tcBorders>
              <w:top w:val="single" w:sz="8" w:color="auto"/>
            </w:tcBorders>
          </w:tcPr>
          <w:p>
            <w:pPr>
              <w:spacing w:after="0"/>
              <w:rPr>
                <w:sz w:val="9"/>
                <w:szCs w:val="9"/>
                <w:color w:val="auto"/>
              </w:rPr>
            </w:pPr>
          </w:p>
        </w:tc>
        <w:tc>
          <w:tcPr>
            <w:tcW w:w="200" w:type="dxa"/>
            <w:vAlign w:val="bottom"/>
            <w:tcBorders>
              <w:top w:val="single" w:sz="8" w:color="auto"/>
            </w:tcBorders>
          </w:tcPr>
          <w:p>
            <w:pPr>
              <w:spacing w:after="0"/>
              <w:rPr>
                <w:sz w:val="9"/>
                <w:szCs w:val="9"/>
                <w:color w:val="auto"/>
              </w:rPr>
            </w:pPr>
          </w:p>
        </w:tc>
        <w:tc>
          <w:tcPr>
            <w:tcW w:w="1320" w:type="dxa"/>
            <w:vAlign w:val="bottom"/>
            <w:tcBorders>
              <w:top w:val="single" w:sz="8" w:color="auto"/>
            </w:tcBorders>
            <w:gridSpan w:val="2"/>
          </w:tcPr>
          <w:p>
            <w:pPr>
              <w:jc w:val="center"/>
              <w:ind w:right="240"/>
              <w:spacing w:after="0" w:line="114" w:lineRule="exact"/>
              <w:rPr>
                <w:sz w:val="20"/>
                <w:szCs w:val="20"/>
                <w:color w:val="auto"/>
              </w:rPr>
            </w:pPr>
            <w:r>
              <w:rPr>
                <w:rFonts w:ascii="Arial" w:cs="Arial" w:eastAsia="Arial" w:hAnsi="Arial"/>
                <w:sz w:val="13"/>
                <w:szCs w:val="13"/>
                <w:b w:val="1"/>
                <w:bCs w:val="1"/>
                <w:color w:val="auto"/>
                <w:w w:val="93"/>
              </w:rPr>
              <w:t>Gross amounts of</w:t>
            </w:r>
          </w:p>
        </w:tc>
        <w:tc>
          <w:tcPr>
            <w:tcW w:w="1140" w:type="dxa"/>
            <w:vAlign w:val="bottom"/>
            <w:tcBorders>
              <w:top w:val="single" w:sz="8" w:color="auto"/>
            </w:tcBorders>
          </w:tcPr>
          <w:p>
            <w:pPr>
              <w:spacing w:after="0"/>
              <w:rPr>
                <w:sz w:val="9"/>
                <w:szCs w:val="9"/>
                <w:color w:val="auto"/>
              </w:rPr>
            </w:pPr>
          </w:p>
        </w:tc>
        <w:tc>
          <w:tcPr>
            <w:tcW w:w="200" w:type="dxa"/>
            <w:vAlign w:val="bottom"/>
            <w:tcBorders>
              <w:top w:val="single" w:sz="8" w:color="auto"/>
            </w:tcBorders>
          </w:tcPr>
          <w:p>
            <w:pPr>
              <w:spacing w:after="0"/>
              <w:rPr>
                <w:sz w:val="9"/>
                <w:szCs w:val="9"/>
                <w:color w:val="auto"/>
              </w:rPr>
            </w:pPr>
          </w:p>
        </w:tc>
        <w:tc>
          <w:tcPr>
            <w:tcW w:w="1020" w:type="dxa"/>
            <w:vAlign w:val="bottom"/>
            <w:tcBorders>
              <w:top w:val="single" w:sz="8" w:color="auto"/>
            </w:tcBorders>
          </w:tcPr>
          <w:p>
            <w:pPr>
              <w:spacing w:after="0"/>
              <w:rPr>
                <w:sz w:val="9"/>
                <w:szCs w:val="9"/>
                <w:color w:val="auto"/>
              </w:rPr>
            </w:pPr>
          </w:p>
        </w:tc>
        <w:tc>
          <w:tcPr>
            <w:tcW w:w="200" w:type="dxa"/>
            <w:vAlign w:val="bottom"/>
            <w:tcBorders>
              <w:top w:val="single" w:sz="8" w:color="auto"/>
            </w:tcBorders>
          </w:tcPr>
          <w:p>
            <w:pPr>
              <w:spacing w:after="0"/>
              <w:rPr>
                <w:sz w:val="9"/>
                <w:szCs w:val="9"/>
                <w:color w:val="auto"/>
              </w:rPr>
            </w:pPr>
          </w:p>
        </w:tc>
        <w:tc>
          <w:tcPr>
            <w:tcW w:w="1020" w:type="dxa"/>
            <w:vAlign w:val="bottom"/>
            <w:tcBorders>
              <w:top w:val="single" w:sz="8" w:color="auto"/>
            </w:tcBorders>
          </w:tcPr>
          <w:p>
            <w:pPr>
              <w:spacing w:after="0"/>
              <w:rPr>
                <w:sz w:val="9"/>
                <w:szCs w:val="9"/>
                <w:color w:val="auto"/>
              </w:rPr>
            </w:pPr>
          </w:p>
        </w:tc>
        <w:tc>
          <w:tcPr>
            <w:tcW w:w="200" w:type="dxa"/>
            <w:vAlign w:val="bottom"/>
            <w:tcBorders>
              <w:top w:val="single" w:sz="8" w:color="auto"/>
            </w:tcBorders>
          </w:tcPr>
          <w:p>
            <w:pPr>
              <w:spacing w:after="0"/>
              <w:rPr>
                <w:sz w:val="9"/>
                <w:szCs w:val="9"/>
                <w:color w:val="auto"/>
              </w:rPr>
            </w:pPr>
          </w:p>
        </w:tc>
        <w:tc>
          <w:tcPr>
            <w:tcW w:w="1020" w:type="dxa"/>
            <w:vAlign w:val="bottom"/>
            <w:tcBorders>
              <w:top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3"/>
        </w:trPr>
        <w:tc>
          <w:tcPr>
            <w:tcW w:w="10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20" w:type="dxa"/>
            <w:vAlign w:val="bottom"/>
            <w:gridSpan w:val="2"/>
          </w:tcPr>
          <w:p>
            <w:pPr>
              <w:jc w:val="center"/>
              <w:ind w:right="240"/>
              <w:spacing w:after="0" w:line="143" w:lineRule="exact"/>
              <w:rPr>
                <w:sz w:val="20"/>
                <w:szCs w:val="20"/>
                <w:color w:val="auto"/>
              </w:rPr>
            </w:pPr>
            <w:r>
              <w:rPr>
                <w:rFonts w:ascii="Arial" w:cs="Arial" w:eastAsia="Arial" w:hAnsi="Arial"/>
                <w:sz w:val="14"/>
                <w:szCs w:val="14"/>
                <w:b w:val="1"/>
                <w:bCs w:val="1"/>
                <w:color w:val="auto"/>
                <w:w w:val="86"/>
              </w:rPr>
              <w:t>recognized</w:t>
            </w:r>
          </w:p>
        </w:tc>
        <w:tc>
          <w:tcPr>
            <w:tcW w:w="1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10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20" w:type="dxa"/>
            <w:vAlign w:val="bottom"/>
            <w:gridSpan w:val="2"/>
          </w:tcPr>
          <w:p>
            <w:pPr>
              <w:jc w:val="center"/>
              <w:ind w:right="200"/>
              <w:spacing w:after="0" w:line="153" w:lineRule="exact"/>
              <w:rPr>
                <w:sz w:val="20"/>
                <w:szCs w:val="20"/>
                <w:color w:val="auto"/>
              </w:rPr>
            </w:pPr>
            <w:r>
              <w:rPr>
                <w:rFonts w:ascii="Arial" w:cs="Arial" w:eastAsia="Arial" w:hAnsi="Arial"/>
                <w:sz w:val="14"/>
                <w:szCs w:val="14"/>
                <w:b w:val="1"/>
                <w:bCs w:val="1"/>
                <w:color w:val="auto"/>
                <w:w w:val="89"/>
              </w:rPr>
              <w:t>financial liabilities</w:t>
            </w:r>
          </w:p>
        </w:tc>
        <w:tc>
          <w:tcPr>
            <w:tcW w:w="13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89"/>
              </w:rPr>
              <w:t>Net of financial</w:t>
            </w:r>
          </w:p>
        </w:tc>
        <w:tc>
          <w:tcPr>
            <w:tcW w:w="2440" w:type="dxa"/>
            <w:vAlign w:val="bottom"/>
            <w:gridSpan w:val="4"/>
          </w:tcPr>
          <w:p>
            <w:pPr>
              <w:jc w:val="center"/>
              <w:ind w:right="200"/>
              <w:spacing w:after="0" w:line="153" w:lineRule="exact"/>
              <w:rPr>
                <w:sz w:val="20"/>
                <w:szCs w:val="20"/>
                <w:color w:val="auto"/>
              </w:rPr>
            </w:pPr>
            <w:r>
              <w:rPr>
                <w:rFonts w:ascii="Arial" w:cs="Arial" w:eastAsia="Arial" w:hAnsi="Arial"/>
                <w:sz w:val="14"/>
                <w:szCs w:val="14"/>
                <w:b w:val="1"/>
                <w:bCs w:val="1"/>
                <w:color w:val="auto"/>
                <w:w w:val="88"/>
              </w:rPr>
              <w:t>Related amounts not offset in the</w:t>
            </w:r>
          </w:p>
        </w:tc>
        <w:tc>
          <w:tcPr>
            <w:tcW w:w="10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10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20" w:type="dxa"/>
            <w:vAlign w:val="bottom"/>
            <w:gridSpan w:val="2"/>
          </w:tcPr>
          <w:p>
            <w:pPr>
              <w:jc w:val="center"/>
              <w:ind w:right="240"/>
              <w:spacing w:after="0" w:line="143" w:lineRule="exact"/>
              <w:rPr>
                <w:sz w:val="20"/>
                <w:szCs w:val="20"/>
                <w:color w:val="auto"/>
              </w:rPr>
            </w:pPr>
            <w:r>
              <w:rPr>
                <w:rFonts w:ascii="Arial" w:cs="Arial" w:eastAsia="Arial" w:hAnsi="Arial"/>
                <w:sz w:val="14"/>
                <w:szCs w:val="14"/>
                <w:b w:val="1"/>
                <w:bCs w:val="1"/>
                <w:color w:val="auto"/>
                <w:w w:val="88"/>
              </w:rPr>
              <w:t>and offset in the</w:t>
            </w:r>
          </w:p>
        </w:tc>
        <w:tc>
          <w:tcPr>
            <w:tcW w:w="1340" w:type="dxa"/>
            <w:vAlign w:val="bottom"/>
            <w:gridSpan w:val="2"/>
            <w:vMerge w:val="continue"/>
          </w:tcPr>
          <w:p>
            <w:pPr>
              <w:spacing w:after="0"/>
              <w:rPr>
                <w:sz w:val="12"/>
                <w:szCs w:val="12"/>
                <w:color w:val="auto"/>
              </w:rPr>
            </w:pPr>
          </w:p>
        </w:tc>
        <w:tc>
          <w:tcPr>
            <w:tcW w:w="2440" w:type="dxa"/>
            <w:vAlign w:val="bottom"/>
            <w:gridSpan w:val="4"/>
          </w:tcPr>
          <w:p>
            <w:pPr>
              <w:jc w:val="center"/>
              <w:ind w:right="180"/>
              <w:spacing w:after="0" w:line="143" w:lineRule="exact"/>
              <w:rPr>
                <w:sz w:val="20"/>
                <w:szCs w:val="20"/>
                <w:color w:val="auto"/>
              </w:rPr>
            </w:pPr>
            <w:r>
              <w:rPr>
                <w:rFonts w:ascii="Arial" w:cs="Arial" w:eastAsia="Arial" w:hAnsi="Arial"/>
                <w:sz w:val="14"/>
                <w:szCs w:val="14"/>
                <w:b w:val="1"/>
                <w:bCs w:val="1"/>
                <w:color w:val="auto"/>
                <w:w w:val="86"/>
              </w:rPr>
              <w:t>consolidated statement of</w:t>
            </w:r>
          </w:p>
        </w:tc>
        <w:tc>
          <w:tcPr>
            <w:tcW w:w="10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10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3"/>
              </w:rPr>
              <w:t>consolidated</w:t>
            </w:r>
          </w:p>
        </w:tc>
        <w:tc>
          <w:tcPr>
            <w:tcW w:w="13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2"/>
              </w:rPr>
              <w:t>assets presented</w:t>
            </w:r>
          </w:p>
        </w:tc>
        <w:tc>
          <w:tcPr>
            <w:tcW w:w="2440" w:type="dxa"/>
            <w:vAlign w:val="bottom"/>
            <w:gridSpan w:val="4"/>
          </w:tcPr>
          <w:p>
            <w:pPr>
              <w:jc w:val="right"/>
              <w:ind w:right="760"/>
              <w:spacing w:after="0"/>
              <w:rPr>
                <w:sz w:val="20"/>
                <w:szCs w:val="20"/>
                <w:color w:val="auto"/>
              </w:rPr>
            </w:pPr>
            <w:r>
              <w:rPr>
                <w:rFonts w:ascii="Arial" w:cs="Arial" w:eastAsia="Arial" w:hAnsi="Arial"/>
                <w:sz w:val="14"/>
                <w:szCs w:val="14"/>
                <w:b w:val="1"/>
                <w:bCs w:val="1"/>
                <w:color w:val="auto"/>
              </w:rPr>
              <w:t>financial position</w:t>
            </w:r>
          </w:p>
        </w:tc>
        <w:tc>
          <w:tcPr>
            <w:tcW w:w="10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3"/>
        </w:trPr>
        <w:tc>
          <w:tcPr>
            <w:tcW w:w="1220" w:type="dxa"/>
            <w:vAlign w:val="bottom"/>
            <w:gridSpan w:val="2"/>
          </w:tcPr>
          <w:p>
            <w:pPr>
              <w:ind w:left="40"/>
              <w:spacing w:after="0" w:line="114" w:lineRule="exact"/>
              <w:rPr>
                <w:sz w:val="20"/>
                <w:szCs w:val="20"/>
                <w:color w:val="auto"/>
              </w:rPr>
            </w:pPr>
            <w:r>
              <w:rPr>
                <w:rFonts w:ascii="Arial" w:cs="Arial" w:eastAsia="Arial" w:hAnsi="Arial"/>
                <w:sz w:val="13"/>
                <w:szCs w:val="13"/>
                <w:b w:val="1"/>
                <w:bCs w:val="1"/>
                <w:color w:val="auto"/>
              </w:rPr>
              <w:t>Gross amounts</w:t>
            </w:r>
          </w:p>
        </w:tc>
        <w:tc>
          <w:tcPr>
            <w:tcW w:w="1320" w:type="dxa"/>
            <w:vAlign w:val="bottom"/>
            <w:gridSpan w:val="2"/>
          </w:tcPr>
          <w:p>
            <w:pPr>
              <w:jc w:val="center"/>
              <w:ind w:right="240"/>
              <w:spacing w:after="0" w:line="114" w:lineRule="exact"/>
              <w:rPr>
                <w:sz w:val="20"/>
                <w:szCs w:val="20"/>
                <w:color w:val="auto"/>
              </w:rPr>
            </w:pPr>
            <w:r>
              <w:rPr>
                <w:rFonts w:ascii="Arial" w:cs="Arial" w:eastAsia="Arial" w:hAnsi="Arial"/>
                <w:sz w:val="13"/>
                <w:szCs w:val="13"/>
                <w:b w:val="1"/>
                <w:bCs w:val="1"/>
                <w:color w:val="auto"/>
                <w:w w:val="93"/>
              </w:rPr>
              <w:t>statement of</w:t>
            </w:r>
          </w:p>
        </w:tc>
        <w:tc>
          <w:tcPr>
            <w:tcW w:w="1340" w:type="dxa"/>
            <w:vAlign w:val="bottom"/>
            <w:gridSpan w:val="2"/>
          </w:tcPr>
          <w:p>
            <w:pPr>
              <w:jc w:val="center"/>
              <w:ind w:right="200"/>
              <w:spacing w:after="0" w:line="114" w:lineRule="exact"/>
              <w:rPr>
                <w:sz w:val="20"/>
                <w:szCs w:val="20"/>
                <w:color w:val="auto"/>
              </w:rPr>
            </w:pPr>
            <w:r>
              <w:rPr>
                <w:rFonts w:ascii="Arial" w:cs="Arial" w:eastAsia="Arial" w:hAnsi="Arial"/>
                <w:sz w:val="13"/>
                <w:szCs w:val="13"/>
                <w:b w:val="1"/>
                <w:bCs w:val="1"/>
                <w:color w:val="auto"/>
                <w:w w:val="92"/>
              </w:rPr>
              <w:t>in the consolidated</w:t>
            </w:r>
          </w:p>
        </w:tc>
        <w:tc>
          <w:tcPr>
            <w:tcW w:w="1220" w:type="dxa"/>
            <w:vAlign w:val="bottom"/>
            <w:tcBorders>
              <w:top w:val="single" w:sz="8" w:color="auto"/>
            </w:tcBorders>
            <w:gridSpan w:val="2"/>
            <w:vMerge w:val="restart"/>
          </w:tcPr>
          <w:p>
            <w:pPr>
              <w:jc w:val="right"/>
              <w:ind w:right="400"/>
              <w:spacing w:after="0"/>
              <w:rPr>
                <w:sz w:val="20"/>
                <w:szCs w:val="20"/>
                <w:color w:val="auto"/>
              </w:rPr>
            </w:pPr>
            <w:r>
              <w:rPr>
                <w:rFonts w:ascii="Arial" w:cs="Arial" w:eastAsia="Arial" w:hAnsi="Arial"/>
                <w:sz w:val="14"/>
                <w:szCs w:val="14"/>
                <w:b w:val="1"/>
                <w:bCs w:val="1"/>
                <w:color w:val="auto"/>
              </w:rPr>
              <w:t>Financial</w:t>
            </w:r>
          </w:p>
        </w:tc>
        <w:tc>
          <w:tcPr>
            <w:tcW w:w="1020" w:type="dxa"/>
            <w:vAlign w:val="bottom"/>
            <w:tcBorders>
              <w:top w:val="single" w:sz="8" w:color="auto"/>
            </w:tcBorders>
          </w:tcPr>
          <w:p>
            <w:pPr>
              <w:jc w:val="center"/>
              <w:spacing w:after="0" w:line="114" w:lineRule="exact"/>
              <w:rPr>
                <w:sz w:val="20"/>
                <w:szCs w:val="20"/>
                <w:color w:val="auto"/>
              </w:rPr>
            </w:pPr>
            <w:r>
              <w:rPr>
                <w:rFonts w:ascii="Arial" w:cs="Arial" w:eastAsia="Arial" w:hAnsi="Arial"/>
                <w:sz w:val="13"/>
                <w:szCs w:val="13"/>
                <w:b w:val="1"/>
                <w:bCs w:val="1"/>
                <w:color w:val="auto"/>
                <w:w w:val="94"/>
              </w:rPr>
              <w:t>Cash</w:t>
            </w:r>
          </w:p>
        </w:tc>
        <w:tc>
          <w:tcPr>
            <w:tcW w:w="2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3"/>
        </w:trPr>
        <w:tc>
          <w:tcPr>
            <w:tcW w:w="1220" w:type="dxa"/>
            <w:vAlign w:val="bottom"/>
            <w:gridSpan w:val="2"/>
          </w:tcPr>
          <w:p>
            <w:pPr>
              <w:ind w:left="180"/>
              <w:spacing w:after="0" w:line="143" w:lineRule="exact"/>
              <w:rPr>
                <w:sz w:val="20"/>
                <w:szCs w:val="20"/>
                <w:color w:val="auto"/>
              </w:rPr>
            </w:pPr>
            <w:r>
              <w:rPr>
                <w:rFonts w:ascii="Arial" w:cs="Arial" w:eastAsia="Arial" w:hAnsi="Arial"/>
                <w:sz w:val="14"/>
                <w:szCs w:val="14"/>
                <w:b w:val="1"/>
                <w:bCs w:val="1"/>
                <w:color w:val="auto"/>
              </w:rPr>
              <w:t>recognized</w:t>
            </w:r>
          </w:p>
        </w:tc>
        <w:tc>
          <w:tcPr>
            <w:tcW w:w="1320" w:type="dxa"/>
            <w:vAlign w:val="bottom"/>
            <w:gridSpan w:val="2"/>
          </w:tcPr>
          <w:p>
            <w:pPr>
              <w:jc w:val="center"/>
              <w:ind w:right="240"/>
              <w:spacing w:after="0" w:line="143" w:lineRule="exact"/>
              <w:rPr>
                <w:sz w:val="20"/>
                <w:szCs w:val="20"/>
                <w:color w:val="auto"/>
              </w:rPr>
            </w:pPr>
            <w:r>
              <w:rPr>
                <w:rFonts w:ascii="Arial" w:cs="Arial" w:eastAsia="Arial" w:hAnsi="Arial"/>
                <w:sz w:val="14"/>
                <w:szCs w:val="14"/>
                <w:b w:val="1"/>
                <w:bCs w:val="1"/>
                <w:color w:val="auto"/>
                <w:w w:val="91"/>
              </w:rPr>
              <w:t>financial</w:t>
            </w:r>
          </w:p>
        </w:tc>
        <w:tc>
          <w:tcPr>
            <w:tcW w:w="1340" w:type="dxa"/>
            <w:vAlign w:val="bottom"/>
            <w:gridSpan w:val="2"/>
          </w:tcPr>
          <w:p>
            <w:pPr>
              <w:jc w:val="center"/>
              <w:ind w:right="240"/>
              <w:spacing w:after="0" w:line="143" w:lineRule="exact"/>
              <w:rPr>
                <w:sz w:val="20"/>
                <w:szCs w:val="20"/>
                <w:color w:val="auto"/>
              </w:rPr>
            </w:pPr>
            <w:r>
              <w:rPr>
                <w:rFonts w:ascii="Arial" w:cs="Arial" w:eastAsia="Arial" w:hAnsi="Arial"/>
                <w:sz w:val="14"/>
                <w:szCs w:val="14"/>
                <w:b w:val="1"/>
                <w:bCs w:val="1"/>
                <w:color w:val="auto"/>
                <w:w w:val="85"/>
              </w:rPr>
              <w:t>statements of</w:t>
            </w:r>
          </w:p>
        </w:tc>
        <w:tc>
          <w:tcPr>
            <w:tcW w:w="1220" w:type="dxa"/>
            <w:vAlign w:val="bottom"/>
            <w:gridSpan w:val="2"/>
            <w:vMerge w:val="continue"/>
          </w:tcPr>
          <w:p>
            <w:pPr>
              <w:spacing w:after="0"/>
              <w:rPr>
                <w:sz w:val="12"/>
                <w:szCs w:val="12"/>
                <w:color w:val="auto"/>
              </w:rPr>
            </w:pPr>
          </w:p>
        </w:tc>
        <w:tc>
          <w:tcPr>
            <w:tcW w:w="1220" w:type="dxa"/>
            <w:vAlign w:val="bottom"/>
            <w:gridSpan w:val="2"/>
          </w:tcPr>
          <w:p>
            <w:pPr>
              <w:jc w:val="center"/>
              <w:ind w:right="180"/>
              <w:spacing w:after="0" w:line="143" w:lineRule="exact"/>
              <w:rPr>
                <w:sz w:val="20"/>
                <w:szCs w:val="20"/>
                <w:color w:val="auto"/>
              </w:rPr>
            </w:pPr>
            <w:r>
              <w:rPr>
                <w:rFonts w:ascii="Arial" w:cs="Arial" w:eastAsia="Arial" w:hAnsi="Arial"/>
                <w:sz w:val="14"/>
                <w:szCs w:val="14"/>
                <w:b w:val="1"/>
                <w:bCs w:val="1"/>
                <w:color w:val="auto"/>
                <w:w w:val="91"/>
              </w:rPr>
              <w:t>collateral</w:t>
            </w:r>
          </w:p>
        </w:tc>
        <w:tc>
          <w:tcPr>
            <w:tcW w:w="1040" w:type="dxa"/>
            <w:vAlign w:val="bottom"/>
            <w:gridSpan w:val="2"/>
            <w:vMerge w:val="restart"/>
          </w:tcPr>
          <w:p>
            <w:pPr>
              <w:jc w:val="center"/>
              <w:ind w:right="20"/>
              <w:spacing w:after="0"/>
              <w:rPr>
                <w:sz w:val="20"/>
                <w:szCs w:val="20"/>
                <w:color w:val="auto"/>
              </w:rPr>
            </w:pPr>
            <w:r>
              <w:rPr>
                <w:rFonts w:ascii="Arial" w:cs="Arial" w:eastAsia="Arial" w:hAnsi="Arial"/>
                <w:sz w:val="14"/>
                <w:szCs w:val="14"/>
                <w:b w:val="1"/>
                <w:bCs w:val="1"/>
                <w:color w:val="auto"/>
                <w:w w:val="90"/>
              </w:rPr>
              <w:t>Net amount</w:t>
            </w:r>
          </w:p>
        </w:tc>
        <w:tc>
          <w:tcPr>
            <w:tcW w:w="0" w:type="dxa"/>
            <w:vAlign w:val="bottom"/>
          </w:tcPr>
          <w:p>
            <w:pPr>
              <w:spacing w:after="0"/>
              <w:rPr>
                <w:sz w:val="1"/>
                <w:szCs w:val="1"/>
                <w:color w:val="auto"/>
              </w:rPr>
            </w:pPr>
          </w:p>
        </w:tc>
      </w:tr>
      <w:tr>
        <w:trPr>
          <w:trHeight w:val="165"/>
        </w:trPr>
        <w:tc>
          <w:tcPr>
            <w:tcW w:w="1220" w:type="dxa"/>
            <w:vAlign w:val="bottom"/>
            <w:gridSpan w:val="2"/>
          </w:tcPr>
          <w:p>
            <w:pPr>
              <w:ind w:left="60"/>
              <w:spacing w:after="0"/>
              <w:rPr>
                <w:sz w:val="20"/>
                <w:szCs w:val="20"/>
                <w:color w:val="auto"/>
              </w:rPr>
            </w:pPr>
            <w:r>
              <w:rPr>
                <w:rFonts w:ascii="Arial" w:cs="Arial" w:eastAsia="Arial" w:hAnsi="Arial"/>
                <w:sz w:val="14"/>
                <w:szCs w:val="14"/>
                <w:b w:val="1"/>
                <w:bCs w:val="1"/>
                <w:color w:val="auto"/>
              </w:rPr>
              <w:t>financial assets</w:t>
            </w:r>
          </w:p>
        </w:tc>
        <w:tc>
          <w:tcPr>
            <w:tcW w:w="13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3"/>
              </w:rPr>
              <w:t>positions</w:t>
            </w:r>
          </w:p>
        </w:tc>
        <w:tc>
          <w:tcPr>
            <w:tcW w:w="13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8"/>
              </w:rPr>
              <w:t>financial position</w:t>
            </w:r>
          </w:p>
        </w:tc>
        <w:tc>
          <w:tcPr>
            <w:tcW w:w="12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7"/>
              </w:rPr>
              <w:t>instruments</w:t>
            </w:r>
          </w:p>
        </w:tc>
        <w:tc>
          <w:tcPr>
            <w:tcW w:w="12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7"/>
              </w:rPr>
              <w:t>received</w:t>
            </w:r>
          </w:p>
        </w:tc>
        <w:tc>
          <w:tcPr>
            <w:tcW w:w="10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1020" w:type="dxa"/>
            <w:vAlign w:val="bottom"/>
            <w:tcBorders>
              <w:top w:val="single" w:sz="8" w:color="auto"/>
            </w:tcBorders>
          </w:tcPr>
          <w:p>
            <w:pPr>
              <w:jc w:val="right"/>
              <w:ind w:right="231"/>
              <w:spacing w:after="0"/>
              <w:rPr>
                <w:sz w:val="20"/>
                <w:szCs w:val="20"/>
                <w:color w:val="auto"/>
              </w:rPr>
            </w:pPr>
            <w:r>
              <w:rPr>
                <w:rFonts w:ascii="Arial" w:cs="Arial" w:eastAsia="Arial" w:hAnsi="Arial"/>
                <w:sz w:val="14"/>
                <w:szCs w:val="14"/>
                <w:b w:val="1"/>
                <w:bCs w:val="1"/>
                <w:color w:val="auto"/>
              </w:rPr>
              <w:t>S/(000)</w:t>
            </w:r>
          </w:p>
        </w:tc>
        <w:tc>
          <w:tcPr>
            <w:tcW w:w="200" w:type="dxa"/>
            <w:vAlign w:val="bottom"/>
          </w:tcPr>
          <w:p>
            <w:pPr>
              <w:spacing w:after="0"/>
              <w:rPr>
                <w:sz w:val="14"/>
                <w:szCs w:val="14"/>
                <w:color w:val="auto"/>
              </w:rPr>
            </w:pPr>
          </w:p>
        </w:tc>
        <w:tc>
          <w:tcPr>
            <w:tcW w:w="112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S/(000)</w:t>
            </w:r>
          </w:p>
        </w:tc>
        <w:tc>
          <w:tcPr>
            <w:tcW w:w="200" w:type="dxa"/>
            <w:vAlign w:val="bottom"/>
          </w:tcPr>
          <w:p>
            <w:pPr>
              <w:spacing w:after="0"/>
              <w:rPr>
                <w:sz w:val="14"/>
                <w:szCs w:val="14"/>
                <w:color w:val="auto"/>
              </w:rPr>
            </w:pPr>
          </w:p>
        </w:tc>
        <w:tc>
          <w:tcPr>
            <w:tcW w:w="114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S/(000)</w:t>
            </w:r>
          </w:p>
        </w:tc>
        <w:tc>
          <w:tcPr>
            <w:tcW w:w="200" w:type="dxa"/>
            <w:vAlign w:val="bottom"/>
          </w:tcPr>
          <w:p>
            <w:pPr>
              <w:spacing w:after="0"/>
              <w:rPr>
                <w:sz w:val="14"/>
                <w:szCs w:val="14"/>
                <w:color w:val="auto"/>
              </w:rPr>
            </w:pPr>
          </w:p>
        </w:tc>
        <w:tc>
          <w:tcPr>
            <w:tcW w:w="102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S/(000)</w:t>
            </w:r>
          </w:p>
        </w:tc>
        <w:tc>
          <w:tcPr>
            <w:tcW w:w="200" w:type="dxa"/>
            <w:vAlign w:val="bottom"/>
          </w:tcPr>
          <w:p>
            <w:pPr>
              <w:spacing w:after="0"/>
              <w:rPr>
                <w:sz w:val="14"/>
                <w:szCs w:val="14"/>
                <w:color w:val="auto"/>
              </w:rPr>
            </w:pPr>
          </w:p>
        </w:tc>
        <w:tc>
          <w:tcPr>
            <w:tcW w:w="102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S/(000)</w:t>
            </w:r>
          </w:p>
        </w:tc>
        <w:tc>
          <w:tcPr>
            <w:tcW w:w="200" w:type="dxa"/>
            <w:vAlign w:val="bottom"/>
          </w:tcPr>
          <w:p>
            <w:pPr>
              <w:spacing w:after="0"/>
              <w:rPr>
                <w:sz w:val="14"/>
                <w:szCs w:val="14"/>
                <w:color w:val="auto"/>
              </w:rPr>
            </w:pPr>
          </w:p>
        </w:tc>
        <w:tc>
          <w:tcPr>
            <w:tcW w:w="102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S/(000)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3"/>
        </w:trPr>
        <w:tc>
          <w:tcPr>
            <w:tcW w:w="1220" w:type="dxa"/>
            <w:vAlign w:val="bottom"/>
            <w:gridSpan w:val="2"/>
          </w:tcPr>
          <w:p>
            <w:pPr>
              <w:jc w:val="right"/>
              <w:ind w:right="200"/>
              <w:spacing w:after="0"/>
              <w:rPr>
                <w:sz w:val="20"/>
                <w:szCs w:val="20"/>
                <w:color w:val="auto"/>
              </w:rPr>
            </w:pPr>
            <w:r>
              <w:rPr>
                <w:rFonts w:ascii="Arial" w:cs="Arial" w:eastAsia="Arial" w:hAnsi="Arial"/>
                <w:sz w:val="14"/>
                <w:szCs w:val="14"/>
                <w:color w:val="auto"/>
              </w:rPr>
              <w:t>701,826</w:t>
            </w:r>
          </w:p>
        </w:tc>
        <w:tc>
          <w:tcPr>
            <w:tcW w:w="13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340" w:type="dxa"/>
            <w:vAlign w:val="bottom"/>
            <w:gridSpan w:val="2"/>
          </w:tcPr>
          <w:p>
            <w:pPr>
              <w:jc w:val="right"/>
              <w:ind w:right="200"/>
              <w:spacing w:after="0"/>
              <w:rPr>
                <w:sz w:val="20"/>
                <w:szCs w:val="20"/>
                <w:color w:val="auto"/>
              </w:rPr>
            </w:pPr>
            <w:r>
              <w:rPr>
                <w:rFonts w:ascii="Arial" w:cs="Arial" w:eastAsia="Arial" w:hAnsi="Arial"/>
                <w:sz w:val="14"/>
                <w:szCs w:val="14"/>
                <w:color w:val="auto"/>
              </w:rPr>
              <w:t>701,826</w:t>
            </w:r>
          </w:p>
        </w:tc>
        <w:tc>
          <w:tcPr>
            <w:tcW w:w="1220" w:type="dxa"/>
            <w:vAlign w:val="bottom"/>
            <w:gridSpan w:val="2"/>
          </w:tcPr>
          <w:p>
            <w:pPr>
              <w:jc w:val="right"/>
              <w:ind w:right="120"/>
              <w:spacing w:after="0"/>
              <w:rPr>
                <w:sz w:val="20"/>
                <w:szCs w:val="20"/>
                <w:color w:val="auto"/>
              </w:rPr>
            </w:pPr>
            <w:r>
              <w:rPr>
                <w:rFonts w:ascii="Arial" w:cs="Arial" w:eastAsia="Arial" w:hAnsi="Arial"/>
                <w:sz w:val="14"/>
                <w:szCs w:val="14"/>
                <w:color w:val="auto"/>
              </w:rPr>
              <w:t>(86,292)</w:t>
            </w:r>
          </w:p>
        </w:tc>
        <w:tc>
          <w:tcPr>
            <w:tcW w:w="1220" w:type="dxa"/>
            <w:vAlign w:val="bottom"/>
            <w:gridSpan w:val="2"/>
          </w:tcPr>
          <w:p>
            <w:pPr>
              <w:jc w:val="right"/>
              <w:ind w:right="120"/>
              <w:spacing w:after="0"/>
              <w:rPr>
                <w:sz w:val="20"/>
                <w:szCs w:val="20"/>
                <w:color w:val="auto"/>
              </w:rPr>
            </w:pPr>
            <w:r>
              <w:rPr>
                <w:rFonts w:ascii="Arial" w:cs="Arial" w:eastAsia="Arial" w:hAnsi="Arial"/>
                <w:sz w:val="14"/>
                <w:szCs w:val="14"/>
                <w:color w:val="auto"/>
              </w:rPr>
              <w:t>(80,140)</w:t>
            </w:r>
          </w:p>
        </w:tc>
        <w:tc>
          <w:tcPr>
            <w:tcW w:w="1040" w:type="dxa"/>
            <w:vAlign w:val="bottom"/>
            <w:gridSpan w:val="2"/>
          </w:tcPr>
          <w:p>
            <w:pPr>
              <w:jc w:val="right"/>
              <w:ind w:right="20"/>
              <w:spacing w:after="0"/>
              <w:rPr>
                <w:sz w:val="20"/>
                <w:szCs w:val="20"/>
                <w:color w:val="auto"/>
              </w:rPr>
            </w:pPr>
            <w:r>
              <w:rPr>
                <w:rFonts w:ascii="Arial" w:cs="Arial" w:eastAsia="Arial" w:hAnsi="Arial"/>
                <w:sz w:val="14"/>
                <w:szCs w:val="14"/>
                <w:color w:val="auto"/>
              </w:rPr>
              <w:t>535,394</w:t>
            </w:r>
          </w:p>
        </w:tc>
        <w:tc>
          <w:tcPr>
            <w:tcW w:w="0" w:type="dxa"/>
            <w:vAlign w:val="bottom"/>
          </w:tcPr>
          <w:p>
            <w:pPr>
              <w:spacing w:after="0"/>
              <w:rPr>
                <w:sz w:val="1"/>
                <w:szCs w:val="1"/>
                <w:color w:val="auto"/>
              </w:rPr>
            </w:pPr>
          </w:p>
        </w:tc>
      </w:tr>
      <w:tr>
        <w:trPr>
          <w:trHeight w:val="286"/>
        </w:trPr>
        <w:tc>
          <w:tcPr>
            <w:tcW w:w="1220" w:type="dxa"/>
            <w:vAlign w:val="bottom"/>
            <w:gridSpan w:val="2"/>
          </w:tcPr>
          <w:p>
            <w:pPr>
              <w:jc w:val="right"/>
              <w:ind w:right="200"/>
              <w:spacing w:after="0"/>
              <w:rPr>
                <w:sz w:val="20"/>
                <w:szCs w:val="20"/>
                <w:color w:val="auto"/>
              </w:rPr>
            </w:pPr>
            <w:r>
              <w:rPr>
                <w:rFonts w:ascii="Arial" w:cs="Arial" w:eastAsia="Arial" w:hAnsi="Arial"/>
                <w:sz w:val="14"/>
                <w:szCs w:val="14"/>
                <w:color w:val="auto"/>
              </w:rPr>
              <w:t>7,480,420</w:t>
            </w:r>
          </w:p>
        </w:tc>
        <w:tc>
          <w:tcPr>
            <w:tcW w:w="13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340" w:type="dxa"/>
            <w:vAlign w:val="bottom"/>
            <w:gridSpan w:val="2"/>
          </w:tcPr>
          <w:p>
            <w:pPr>
              <w:jc w:val="right"/>
              <w:ind w:right="200"/>
              <w:spacing w:after="0"/>
              <w:rPr>
                <w:sz w:val="20"/>
                <w:szCs w:val="20"/>
                <w:color w:val="auto"/>
              </w:rPr>
            </w:pPr>
            <w:r>
              <w:rPr>
                <w:rFonts w:ascii="Arial" w:cs="Arial" w:eastAsia="Arial" w:hAnsi="Arial"/>
                <w:sz w:val="14"/>
                <w:szCs w:val="14"/>
                <w:color w:val="auto"/>
              </w:rPr>
              <w:t>7,480,420</w:t>
            </w:r>
          </w:p>
        </w:tc>
        <w:tc>
          <w:tcPr>
            <w:tcW w:w="1220" w:type="dxa"/>
            <w:vAlign w:val="bottom"/>
            <w:gridSpan w:val="2"/>
          </w:tcPr>
          <w:p>
            <w:pPr>
              <w:jc w:val="right"/>
              <w:ind w:right="120"/>
              <w:spacing w:after="0"/>
              <w:rPr>
                <w:sz w:val="20"/>
                <w:szCs w:val="20"/>
                <w:color w:val="auto"/>
              </w:rPr>
            </w:pPr>
            <w:r>
              <w:rPr>
                <w:rFonts w:ascii="Arial" w:cs="Arial" w:eastAsia="Arial" w:hAnsi="Arial"/>
                <w:sz w:val="14"/>
                <w:szCs w:val="14"/>
                <w:color w:val="auto"/>
              </w:rPr>
              <w:t>(19,485)</w:t>
            </w:r>
          </w:p>
        </w:tc>
        <w:tc>
          <w:tcPr>
            <w:tcW w:w="1220" w:type="dxa"/>
            <w:vAlign w:val="bottom"/>
            <w:gridSpan w:val="2"/>
          </w:tcPr>
          <w:p>
            <w:pPr>
              <w:jc w:val="right"/>
              <w:ind w:right="120"/>
              <w:spacing w:after="0"/>
              <w:rPr>
                <w:sz w:val="20"/>
                <w:szCs w:val="20"/>
                <w:color w:val="auto"/>
              </w:rPr>
            </w:pPr>
            <w:r>
              <w:rPr>
                <w:rFonts w:ascii="Arial" w:cs="Arial" w:eastAsia="Arial" w:hAnsi="Arial"/>
                <w:sz w:val="14"/>
                <w:szCs w:val="14"/>
                <w:color w:val="auto"/>
              </w:rPr>
              <w:t>(6,660,170)</w:t>
            </w:r>
          </w:p>
        </w:tc>
        <w:tc>
          <w:tcPr>
            <w:tcW w:w="1040" w:type="dxa"/>
            <w:vAlign w:val="bottom"/>
            <w:gridSpan w:val="2"/>
          </w:tcPr>
          <w:p>
            <w:pPr>
              <w:jc w:val="right"/>
              <w:ind w:right="20"/>
              <w:spacing w:after="0"/>
              <w:rPr>
                <w:sz w:val="20"/>
                <w:szCs w:val="20"/>
                <w:color w:val="auto"/>
              </w:rPr>
            </w:pPr>
            <w:r>
              <w:rPr>
                <w:rFonts w:ascii="Arial" w:cs="Arial" w:eastAsia="Arial" w:hAnsi="Arial"/>
                <w:sz w:val="14"/>
                <w:szCs w:val="14"/>
                <w:color w:val="auto"/>
              </w:rPr>
              <w:t>800,765</w:t>
            </w:r>
          </w:p>
        </w:tc>
        <w:tc>
          <w:tcPr>
            <w:tcW w:w="0" w:type="dxa"/>
            <w:vAlign w:val="bottom"/>
          </w:tcPr>
          <w:p>
            <w:pPr>
              <w:spacing w:after="0"/>
              <w:rPr>
                <w:sz w:val="1"/>
                <w:szCs w:val="1"/>
                <w:color w:val="auto"/>
              </w:rPr>
            </w:pPr>
          </w:p>
        </w:tc>
      </w:tr>
      <w:tr>
        <w:trPr>
          <w:trHeight w:val="278"/>
        </w:trPr>
        <w:tc>
          <w:tcPr>
            <w:tcW w:w="1220" w:type="dxa"/>
            <w:vAlign w:val="bottom"/>
            <w:gridSpan w:val="2"/>
          </w:tcPr>
          <w:p>
            <w:pPr>
              <w:jc w:val="right"/>
              <w:ind w:right="200"/>
              <w:spacing w:after="0"/>
              <w:rPr>
                <w:sz w:val="20"/>
                <w:szCs w:val="20"/>
                <w:color w:val="auto"/>
              </w:rPr>
            </w:pPr>
            <w:r>
              <w:rPr>
                <w:rFonts w:ascii="Arial" w:cs="Arial" w:eastAsia="Arial" w:hAnsi="Arial"/>
                <w:sz w:val="14"/>
                <w:szCs w:val="14"/>
                <w:color w:val="auto"/>
              </w:rPr>
              <w:t>5,278,763</w:t>
            </w:r>
          </w:p>
        </w:tc>
        <w:tc>
          <w:tcPr>
            <w:tcW w:w="13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340" w:type="dxa"/>
            <w:vAlign w:val="bottom"/>
            <w:gridSpan w:val="2"/>
          </w:tcPr>
          <w:p>
            <w:pPr>
              <w:jc w:val="right"/>
              <w:ind w:right="200"/>
              <w:spacing w:after="0"/>
              <w:rPr>
                <w:sz w:val="20"/>
                <w:szCs w:val="20"/>
                <w:color w:val="auto"/>
              </w:rPr>
            </w:pPr>
            <w:r>
              <w:rPr>
                <w:rFonts w:ascii="Arial" w:cs="Arial" w:eastAsia="Arial" w:hAnsi="Arial"/>
                <w:sz w:val="14"/>
                <w:szCs w:val="14"/>
                <w:color w:val="auto"/>
              </w:rPr>
              <w:t>5,278,763</w:t>
            </w:r>
          </w:p>
        </w:tc>
        <w:tc>
          <w:tcPr>
            <w:tcW w:w="1220" w:type="dxa"/>
            <w:vAlign w:val="bottom"/>
            <w:gridSpan w:val="2"/>
          </w:tcPr>
          <w:p>
            <w:pPr>
              <w:jc w:val="right"/>
              <w:ind w:right="120"/>
              <w:spacing w:after="0"/>
              <w:rPr>
                <w:sz w:val="20"/>
                <w:szCs w:val="20"/>
                <w:color w:val="auto"/>
              </w:rPr>
            </w:pPr>
            <w:r>
              <w:rPr>
                <w:rFonts w:ascii="Arial" w:cs="Arial" w:eastAsia="Arial" w:hAnsi="Arial"/>
                <w:sz w:val="14"/>
                <w:szCs w:val="14"/>
                <w:color w:val="auto"/>
              </w:rPr>
              <w:t>(4,387,330)</w:t>
            </w: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4"/>
                <w:szCs w:val="24"/>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4"/>
                <w:szCs w:val="14"/>
                <w:color w:val="auto"/>
              </w:rPr>
              <w:t>891,433</w:t>
            </w:r>
          </w:p>
        </w:tc>
        <w:tc>
          <w:tcPr>
            <w:tcW w:w="0" w:type="dxa"/>
            <w:vAlign w:val="bottom"/>
          </w:tcPr>
          <w:p>
            <w:pPr>
              <w:spacing w:after="0"/>
              <w:rPr>
                <w:sz w:val="1"/>
                <w:szCs w:val="1"/>
                <w:color w:val="auto"/>
              </w:rPr>
            </w:pPr>
          </w:p>
        </w:tc>
      </w:tr>
      <w:tr>
        <w:trPr>
          <w:trHeight w:val="156"/>
        </w:trPr>
        <w:tc>
          <w:tcPr>
            <w:tcW w:w="1020" w:type="dxa"/>
            <w:vAlign w:val="bottom"/>
            <w:tcBorders>
              <w:top w:val="single" w:sz="8" w:color="auto"/>
              <w:bottom w:val="single" w:sz="8" w:color="auto"/>
            </w:tcBorders>
          </w:tcPr>
          <w:p>
            <w:pPr>
              <w:jc w:val="right"/>
              <w:spacing w:after="0" w:line="156" w:lineRule="exact"/>
              <w:rPr>
                <w:sz w:val="20"/>
                <w:szCs w:val="20"/>
                <w:color w:val="auto"/>
              </w:rPr>
            </w:pPr>
            <w:r>
              <w:rPr>
                <w:rFonts w:ascii="Arial" w:cs="Arial" w:eastAsia="Arial" w:hAnsi="Arial"/>
                <w:sz w:val="14"/>
                <w:szCs w:val="14"/>
                <w:color w:val="auto"/>
              </w:rPr>
              <w:t>13,461,009</w:t>
            </w:r>
          </w:p>
        </w:tc>
        <w:tc>
          <w:tcPr>
            <w:tcW w:w="200" w:type="dxa"/>
            <w:vAlign w:val="bottom"/>
          </w:tcPr>
          <w:p>
            <w:pPr>
              <w:spacing w:after="0"/>
              <w:rPr>
                <w:sz w:val="13"/>
                <w:szCs w:val="13"/>
                <w:color w:val="auto"/>
              </w:rPr>
            </w:pPr>
          </w:p>
        </w:tc>
        <w:tc>
          <w:tcPr>
            <w:tcW w:w="1120" w:type="dxa"/>
            <w:vAlign w:val="bottom"/>
            <w:tcBorders>
              <w:top w:val="single" w:sz="8" w:color="auto"/>
              <w:bottom w:val="single" w:sz="8" w:color="auto"/>
            </w:tcBorders>
          </w:tcPr>
          <w:p>
            <w:pPr>
              <w:jc w:val="right"/>
              <w:spacing w:after="0" w:line="156"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1140" w:type="dxa"/>
            <w:vAlign w:val="bottom"/>
            <w:tcBorders>
              <w:top w:val="single" w:sz="8" w:color="auto"/>
              <w:bottom w:val="single" w:sz="8" w:color="auto"/>
            </w:tcBorders>
          </w:tcPr>
          <w:p>
            <w:pPr>
              <w:jc w:val="right"/>
              <w:spacing w:after="0" w:line="156" w:lineRule="exact"/>
              <w:rPr>
                <w:sz w:val="20"/>
                <w:szCs w:val="20"/>
                <w:color w:val="auto"/>
              </w:rPr>
            </w:pPr>
            <w:r>
              <w:rPr>
                <w:rFonts w:ascii="Arial" w:cs="Arial" w:eastAsia="Arial" w:hAnsi="Arial"/>
                <w:sz w:val="14"/>
                <w:szCs w:val="14"/>
                <w:color w:val="auto"/>
              </w:rPr>
              <w:t>13,461,009</w:t>
            </w:r>
          </w:p>
        </w:tc>
        <w:tc>
          <w:tcPr>
            <w:tcW w:w="200" w:type="dxa"/>
            <w:vAlign w:val="bottom"/>
          </w:tcPr>
          <w:p>
            <w:pPr>
              <w:spacing w:after="0"/>
              <w:rPr>
                <w:sz w:val="13"/>
                <w:szCs w:val="13"/>
                <w:color w:val="auto"/>
              </w:rPr>
            </w:pPr>
          </w:p>
        </w:tc>
        <w:tc>
          <w:tcPr>
            <w:tcW w:w="1020" w:type="dxa"/>
            <w:vAlign w:val="bottom"/>
            <w:tcBorders>
              <w:top w:val="single" w:sz="8" w:color="auto"/>
              <w:bottom w:val="single" w:sz="8" w:color="auto"/>
            </w:tcBorders>
          </w:tcPr>
          <w:p>
            <w:pPr>
              <w:jc w:val="right"/>
              <w:spacing w:after="0" w:line="156" w:lineRule="exact"/>
              <w:rPr>
                <w:sz w:val="20"/>
                <w:szCs w:val="20"/>
                <w:color w:val="auto"/>
              </w:rPr>
            </w:pPr>
            <w:r>
              <w:rPr>
                <w:rFonts w:ascii="Arial" w:cs="Arial" w:eastAsia="Arial" w:hAnsi="Arial"/>
                <w:sz w:val="14"/>
                <w:szCs w:val="14"/>
                <w:color w:val="auto"/>
              </w:rPr>
              <w:t>(4,493,107</w:t>
            </w:r>
          </w:p>
        </w:tc>
        <w:tc>
          <w:tcPr>
            <w:tcW w:w="200" w:type="dxa"/>
            <w:vAlign w:val="bottom"/>
          </w:tcPr>
          <w:p>
            <w:pPr>
              <w:jc w:val="right"/>
              <w:ind w:right="120"/>
              <w:spacing w:after="0"/>
              <w:rPr>
                <w:sz w:val="20"/>
                <w:szCs w:val="20"/>
                <w:color w:val="auto"/>
              </w:rPr>
            </w:pPr>
            <w:r>
              <w:rPr>
                <w:rFonts w:ascii="Arial" w:cs="Arial" w:eastAsia="Arial" w:hAnsi="Arial"/>
                <w:sz w:val="8"/>
                <w:szCs w:val="8"/>
                <w:color w:val="auto"/>
                <w:w w:val="73"/>
              </w:rPr>
              <w:t>)</w:t>
            </w:r>
          </w:p>
        </w:tc>
        <w:tc>
          <w:tcPr>
            <w:tcW w:w="1020" w:type="dxa"/>
            <w:vAlign w:val="bottom"/>
            <w:tcBorders>
              <w:top w:val="single" w:sz="8" w:color="auto"/>
              <w:bottom w:val="single" w:sz="8" w:color="auto"/>
            </w:tcBorders>
          </w:tcPr>
          <w:p>
            <w:pPr>
              <w:jc w:val="right"/>
              <w:spacing w:after="0" w:line="156" w:lineRule="exact"/>
              <w:rPr>
                <w:sz w:val="20"/>
                <w:szCs w:val="20"/>
                <w:color w:val="auto"/>
              </w:rPr>
            </w:pPr>
            <w:r>
              <w:rPr>
                <w:rFonts w:ascii="Arial" w:cs="Arial" w:eastAsia="Arial" w:hAnsi="Arial"/>
                <w:sz w:val="14"/>
                <w:szCs w:val="14"/>
                <w:color w:val="auto"/>
              </w:rPr>
              <w:t>(6,740,310</w:t>
            </w:r>
          </w:p>
        </w:tc>
        <w:tc>
          <w:tcPr>
            <w:tcW w:w="200" w:type="dxa"/>
            <w:vAlign w:val="bottom"/>
          </w:tcPr>
          <w:p>
            <w:pPr>
              <w:jc w:val="right"/>
              <w:ind w:right="120"/>
              <w:spacing w:after="0"/>
              <w:rPr>
                <w:sz w:val="20"/>
                <w:szCs w:val="20"/>
                <w:color w:val="auto"/>
              </w:rPr>
            </w:pPr>
            <w:r>
              <w:rPr>
                <w:rFonts w:ascii="Arial" w:cs="Arial" w:eastAsia="Arial" w:hAnsi="Arial"/>
                <w:sz w:val="8"/>
                <w:szCs w:val="8"/>
                <w:color w:val="auto"/>
                <w:w w:val="73"/>
              </w:rPr>
              <w:t>)</w:t>
            </w:r>
          </w:p>
        </w:tc>
        <w:tc>
          <w:tcPr>
            <w:tcW w:w="1020" w:type="dxa"/>
            <w:vAlign w:val="bottom"/>
            <w:tcBorders>
              <w:top w:val="single" w:sz="8" w:color="auto"/>
              <w:bottom w:val="single" w:sz="8" w:color="auto"/>
            </w:tcBorders>
          </w:tcPr>
          <w:p>
            <w:pPr>
              <w:jc w:val="right"/>
              <w:spacing w:after="0" w:line="156" w:lineRule="exact"/>
              <w:rPr>
                <w:sz w:val="20"/>
                <w:szCs w:val="20"/>
                <w:color w:val="auto"/>
              </w:rPr>
            </w:pPr>
            <w:r>
              <w:rPr>
                <w:rFonts w:ascii="Arial" w:cs="Arial" w:eastAsia="Arial" w:hAnsi="Arial"/>
                <w:sz w:val="14"/>
                <w:szCs w:val="14"/>
                <w:color w:val="auto"/>
              </w:rPr>
              <w:t>2,227,592</w:t>
            </w:r>
          </w:p>
        </w:tc>
        <w:tc>
          <w:tcPr>
            <w:tcW w:w="2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3"/>
        </w:trPr>
        <w:tc>
          <w:tcPr>
            <w:tcW w:w="10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gridSpan w:val="4"/>
          </w:tcPr>
          <w:p>
            <w:pPr>
              <w:jc w:val="right"/>
              <w:ind w:right="660"/>
              <w:spacing w:after="0"/>
              <w:rPr>
                <w:sz w:val="20"/>
                <w:szCs w:val="20"/>
                <w:color w:val="auto"/>
              </w:rPr>
            </w:pPr>
            <w:r>
              <w:rPr>
                <w:rFonts w:ascii="Arial" w:cs="Arial" w:eastAsia="Arial" w:hAnsi="Arial"/>
                <w:sz w:val="14"/>
                <w:szCs w:val="14"/>
                <w:b w:val="1"/>
                <w:bCs w:val="1"/>
                <w:color w:val="auto"/>
              </w:rPr>
              <w:t>As of December 31, 2016</w:t>
            </w:r>
          </w:p>
        </w:tc>
        <w:tc>
          <w:tcPr>
            <w:tcW w:w="10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3"/>
        </w:trPr>
        <w:tc>
          <w:tcPr>
            <w:tcW w:w="10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320" w:type="dxa"/>
            <w:vAlign w:val="bottom"/>
            <w:gridSpan w:val="2"/>
          </w:tcPr>
          <w:p>
            <w:pPr>
              <w:jc w:val="center"/>
              <w:ind w:right="240"/>
              <w:spacing w:after="0" w:line="114" w:lineRule="exact"/>
              <w:rPr>
                <w:sz w:val="20"/>
                <w:szCs w:val="20"/>
                <w:color w:val="auto"/>
              </w:rPr>
            </w:pPr>
            <w:r>
              <w:rPr>
                <w:rFonts w:ascii="Arial" w:cs="Arial" w:eastAsia="Arial" w:hAnsi="Arial"/>
                <w:sz w:val="13"/>
                <w:szCs w:val="13"/>
                <w:b w:val="1"/>
                <w:bCs w:val="1"/>
                <w:color w:val="auto"/>
                <w:w w:val="93"/>
              </w:rPr>
              <w:t>Gross amounts of</w:t>
            </w:r>
          </w:p>
        </w:tc>
        <w:tc>
          <w:tcPr>
            <w:tcW w:w="1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3"/>
        </w:trPr>
        <w:tc>
          <w:tcPr>
            <w:tcW w:w="10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20" w:type="dxa"/>
            <w:vAlign w:val="bottom"/>
            <w:gridSpan w:val="2"/>
          </w:tcPr>
          <w:p>
            <w:pPr>
              <w:jc w:val="center"/>
              <w:ind w:right="240"/>
              <w:spacing w:after="0" w:line="143" w:lineRule="exact"/>
              <w:rPr>
                <w:sz w:val="20"/>
                <w:szCs w:val="20"/>
                <w:color w:val="auto"/>
              </w:rPr>
            </w:pPr>
            <w:r>
              <w:rPr>
                <w:rFonts w:ascii="Arial" w:cs="Arial" w:eastAsia="Arial" w:hAnsi="Arial"/>
                <w:sz w:val="14"/>
                <w:szCs w:val="14"/>
                <w:b w:val="1"/>
                <w:bCs w:val="1"/>
                <w:color w:val="auto"/>
                <w:w w:val="86"/>
              </w:rPr>
              <w:t>recognized</w:t>
            </w:r>
          </w:p>
        </w:tc>
        <w:tc>
          <w:tcPr>
            <w:tcW w:w="1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10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20" w:type="dxa"/>
            <w:vAlign w:val="bottom"/>
            <w:gridSpan w:val="2"/>
          </w:tcPr>
          <w:p>
            <w:pPr>
              <w:jc w:val="center"/>
              <w:ind w:right="200"/>
              <w:spacing w:after="0" w:line="153" w:lineRule="exact"/>
              <w:rPr>
                <w:sz w:val="20"/>
                <w:szCs w:val="20"/>
                <w:color w:val="auto"/>
              </w:rPr>
            </w:pPr>
            <w:r>
              <w:rPr>
                <w:rFonts w:ascii="Arial" w:cs="Arial" w:eastAsia="Arial" w:hAnsi="Arial"/>
                <w:sz w:val="14"/>
                <w:szCs w:val="14"/>
                <w:b w:val="1"/>
                <w:bCs w:val="1"/>
                <w:color w:val="auto"/>
                <w:w w:val="89"/>
              </w:rPr>
              <w:t>financial liabilities</w:t>
            </w:r>
          </w:p>
        </w:tc>
        <w:tc>
          <w:tcPr>
            <w:tcW w:w="13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89"/>
              </w:rPr>
              <w:t>Net of financial</w:t>
            </w:r>
          </w:p>
        </w:tc>
        <w:tc>
          <w:tcPr>
            <w:tcW w:w="2440" w:type="dxa"/>
            <w:vAlign w:val="bottom"/>
            <w:gridSpan w:val="4"/>
          </w:tcPr>
          <w:p>
            <w:pPr>
              <w:jc w:val="center"/>
              <w:ind w:right="200"/>
              <w:spacing w:after="0" w:line="153" w:lineRule="exact"/>
              <w:rPr>
                <w:sz w:val="20"/>
                <w:szCs w:val="20"/>
                <w:color w:val="auto"/>
              </w:rPr>
            </w:pPr>
            <w:r>
              <w:rPr>
                <w:rFonts w:ascii="Arial" w:cs="Arial" w:eastAsia="Arial" w:hAnsi="Arial"/>
                <w:sz w:val="14"/>
                <w:szCs w:val="14"/>
                <w:b w:val="1"/>
                <w:bCs w:val="1"/>
                <w:color w:val="auto"/>
                <w:w w:val="88"/>
              </w:rPr>
              <w:t>Related amounts not offset in the</w:t>
            </w:r>
          </w:p>
        </w:tc>
        <w:tc>
          <w:tcPr>
            <w:tcW w:w="10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10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20" w:type="dxa"/>
            <w:vAlign w:val="bottom"/>
            <w:gridSpan w:val="2"/>
          </w:tcPr>
          <w:p>
            <w:pPr>
              <w:jc w:val="center"/>
              <w:ind w:right="240"/>
              <w:spacing w:after="0" w:line="143" w:lineRule="exact"/>
              <w:rPr>
                <w:sz w:val="20"/>
                <w:szCs w:val="20"/>
                <w:color w:val="auto"/>
              </w:rPr>
            </w:pPr>
            <w:r>
              <w:rPr>
                <w:rFonts w:ascii="Arial" w:cs="Arial" w:eastAsia="Arial" w:hAnsi="Arial"/>
                <w:sz w:val="14"/>
                <w:szCs w:val="14"/>
                <w:b w:val="1"/>
                <w:bCs w:val="1"/>
                <w:color w:val="auto"/>
                <w:w w:val="88"/>
              </w:rPr>
              <w:t>and offset in the</w:t>
            </w:r>
          </w:p>
        </w:tc>
        <w:tc>
          <w:tcPr>
            <w:tcW w:w="1340" w:type="dxa"/>
            <w:vAlign w:val="bottom"/>
            <w:gridSpan w:val="2"/>
            <w:vMerge w:val="continue"/>
          </w:tcPr>
          <w:p>
            <w:pPr>
              <w:spacing w:after="0"/>
              <w:rPr>
                <w:sz w:val="12"/>
                <w:szCs w:val="12"/>
                <w:color w:val="auto"/>
              </w:rPr>
            </w:pPr>
          </w:p>
        </w:tc>
        <w:tc>
          <w:tcPr>
            <w:tcW w:w="2440" w:type="dxa"/>
            <w:vAlign w:val="bottom"/>
            <w:gridSpan w:val="4"/>
          </w:tcPr>
          <w:p>
            <w:pPr>
              <w:jc w:val="center"/>
              <w:ind w:right="180"/>
              <w:spacing w:after="0" w:line="143" w:lineRule="exact"/>
              <w:rPr>
                <w:sz w:val="20"/>
                <w:szCs w:val="20"/>
                <w:color w:val="auto"/>
              </w:rPr>
            </w:pPr>
            <w:r>
              <w:rPr>
                <w:rFonts w:ascii="Arial" w:cs="Arial" w:eastAsia="Arial" w:hAnsi="Arial"/>
                <w:sz w:val="14"/>
                <w:szCs w:val="14"/>
                <w:b w:val="1"/>
                <w:bCs w:val="1"/>
                <w:color w:val="auto"/>
                <w:w w:val="86"/>
              </w:rPr>
              <w:t>consolidated statement of</w:t>
            </w:r>
          </w:p>
        </w:tc>
        <w:tc>
          <w:tcPr>
            <w:tcW w:w="10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10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3"/>
              </w:rPr>
              <w:t>consolidated</w:t>
            </w:r>
          </w:p>
        </w:tc>
        <w:tc>
          <w:tcPr>
            <w:tcW w:w="13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2"/>
              </w:rPr>
              <w:t>assets presented</w:t>
            </w:r>
          </w:p>
        </w:tc>
        <w:tc>
          <w:tcPr>
            <w:tcW w:w="2440" w:type="dxa"/>
            <w:vAlign w:val="bottom"/>
            <w:gridSpan w:val="4"/>
          </w:tcPr>
          <w:p>
            <w:pPr>
              <w:jc w:val="right"/>
              <w:ind w:right="760"/>
              <w:spacing w:after="0"/>
              <w:rPr>
                <w:sz w:val="20"/>
                <w:szCs w:val="20"/>
                <w:color w:val="auto"/>
              </w:rPr>
            </w:pPr>
            <w:r>
              <w:rPr>
                <w:rFonts w:ascii="Arial" w:cs="Arial" w:eastAsia="Arial" w:hAnsi="Arial"/>
                <w:sz w:val="14"/>
                <w:szCs w:val="14"/>
                <w:b w:val="1"/>
                <w:bCs w:val="1"/>
                <w:color w:val="auto"/>
              </w:rPr>
              <w:t>financial position</w:t>
            </w:r>
          </w:p>
        </w:tc>
        <w:tc>
          <w:tcPr>
            <w:tcW w:w="10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3"/>
        </w:trPr>
        <w:tc>
          <w:tcPr>
            <w:tcW w:w="1220" w:type="dxa"/>
            <w:vAlign w:val="bottom"/>
            <w:gridSpan w:val="2"/>
          </w:tcPr>
          <w:p>
            <w:pPr>
              <w:ind w:left="40"/>
              <w:spacing w:after="0" w:line="114" w:lineRule="exact"/>
              <w:rPr>
                <w:sz w:val="20"/>
                <w:szCs w:val="20"/>
                <w:color w:val="auto"/>
              </w:rPr>
            </w:pPr>
            <w:r>
              <w:rPr>
                <w:rFonts w:ascii="Arial" w:cs="Arial" w:eastAsia="Arial" w:hAnsi="Arial"/>
                <w:sz w:val="13"/>
                <w:szCs w:val="13"/>
                <w:b w:val="1"/>
                <w:bCs w:val="1"/>
                <w:color w:val="auto"/>
              </w:rPr>
              <w:t>Gross amounts</w:t>
            </w:r>
          </w:p>
        </w:tc>
        <w:tc>
          <w:tcPr>
            <w:tcW w:w="1320" w:type="dxa"/>
            <w:vAlign w:val="bottom"/>
            <w:gridSpan w:val="2"/>
          </w:tcPr>
          <w:p>
            <w:pPr>
              <w:jc w:val="center"/>
              <w:ind w:right="240"/>
              <w:spacing w:after="0" w:line="114" w:lineRule="exact"/>
              <w:rPr>
                <w:sz w:val="20"/>
                <w:szCs w:val="20"/>
                <w:color w:val="auto"/>
              </w:rPr>
            </w:pPr>
            <w:r>
              <w:rPr>
                <w:rFonts w:ascii="Arial" w:cs="Arial" w:eastAsia="Arial" w:hAnsi="Arial"/>
                <w:sz w:val="13"/>
                <w:szCs w:val="13"/>
                <w:b w:val="1"/>
                <w:bCs w:val="1"/>
                <w:color w:val="auto"/>
                <w:w w:val="93"/>
              </w:rPr>
              <w:t>statement of</w:t>
            </w:r>
          </w:p>
        </w:tc>
        <w:tc>
          <w:tcPr>
            <w:tcW w:w="1340" w:type="dxa"/>
            <w:vAlign w:val="bottom"/>
            <w:gridSpan w:val="2"/>
          </w:tcPr>
          <w:p>
            <w:pPr>
              <w:jc w:val="center"/>
              <w:ind w:right="200"/>
              <w:spacing w:after="0" w:line="114" w:lineRule="exact"/>
              <w:rPr>
                <w:sz w:val="20"/>
                <w:szCs w:val="20"/>
                <w:color w:val="auto"/>
              </w:rPr>
            </w:pPr>
            <w:r>
              <w:rPr>
                <w:rFonts w:ascii="Arial" w:cs="Arial" w:eastAsia="Arial" w:hAnsi="Arial"/>
                <w:sz w:val="13"/>
                <w:szCs w:val="13"/>
                <w:b w:val="1"/>
                <w:bCs w:val="1"/>
                <w:color w:val="auto"/>
                <w:w w:val="92"/>
              </w:rPr>
              <w:t>in the consolidated</w:t>
            </w:r>
          </w:p>
        </w:tc>
        <w:tc>
          <w:tcPr>
            <w:tcW w:w="1220" w:type="dxa"/>
            <w:vAlign w:val="bottom"/>
            <w:tcBorders>
              <w:top w:val="single" w:sz="8" w:color="auto"/>
            </w:tcBorders>
            <w:gridSpan w:val="2"/>
            <w:vMerge w:val="restart"/>
          </w:tcPr>
          <w:p>
            <w:pPr>
              <w:jc w:val="right"/>
              <w:ind w:right="400"/>
              <w:spacing w:after="0"/>
              <w:rPr>
                <w:sz w:val="20"/>
                <w:szCs w:val="20"/>
                <w:color w:val="auto"/>
              </w:rPr>
            </w:pPr>
            <w:r>
              <w:rPr>
                <w:rFonts w:ascii="Arial" w:cs="Arial" w:eastAsia="Arial" w:hAnsi="Arial"/>
                <w:sz w:val="14"/>
                <w:szCs w:val="14"/>
                <w:b w:val="1"/>
                <w:bCs w:val="1"/>
                <w:color w:val="auto"/>
              </w:rPr>
              <w:t>Financial</w:t>
            </w:r>
          </w:p>
        </w:tc>
        <w:tc>
          <w:tcPr>
            <w:tcW w:w="1020" w:type="dxa"/>
            <w:vAlign w:val="bottom"/>
            <w:tcBorders>
              <w:top w:val="single" w:sz="8" w:color="auto"/>
            </w:tcBorders>
          </w:tcPr>
          <w:p>
            <w:pPr>
              <w:jc w:val="center"/>
              <w:spacing w:after="0" w:line="114" w:lineRule="exact"/>
              <w:rPr>
                <w:sz w:val="20"/>
                <w:szCs w:val="20"/>
                <w:color w:val="auto"/>
              </w:rPr>
            </w:pPr>
            <w:r>
              <w:rPr>
                <w:rFonts w:ascii="Arial" w:cs="Arial" w:eastAsia="Arial" w:hAnsi="Arial"/>
                <w:sz w:val="13"/>
                <w:szCs w:val="13"/>
                <w:b w:val="1"/>
                <w:bCs w:val="1"/>
                <w:color w:val="auto"/>
                <w:w w:val="94"/>
              </w:rPr>
              <w:t>Cash</w:t>
            </w:r>
          </w:p>
        </w:tc>
        <w:tc>
          <w:tcPr>
            <w:tcW w:w="2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3"/>
        </w:trPr>
        <w:tc>
          <w:tcPr>
            <w:tcW w:w="1220" w:type="dxa"/>
            <w:vAlign w:val="bottom"/>
            <w:gridSpan w:val="2"/>
          </w:tcPr>
          <w:p>
            <w:pPr>
              <w:ind w:left="180"/>
              <w:spacing w:after="0" w:line="143" w:lineRule="exact"/>
              <w:rPr>
                <w:sz w:val="20"/>
                <w:szCs w:val="20"/>
                <w:color w:val="auto"/>
              </w:rPr>
            </w:pPr>
            <w:r>
              <w:rPr>
                <w:rFonts w:ascii="Arial" w:cs="Arial" w:eastAsia="Arial" w:hAnsi="Arial"/>
                <w:sz w:val="14"/>
                <w:szCs w:val="14"/>
                <w:b w:val="1"/>
                <w:bCs w:val="1"/>
                <w:color w:val="auto"/>
              </w:rPr>
              <w:t>recognized</w:t>
            </w:r>
          </w:p>
        </w:tc>
        <w:tc>
          <w:tcPr>
            <w:tcW w:w="1320" w:type="dxa"/>
            <w:vAlign w:val="bottom"/>
            <w:gridSpan w:val="2"/>
          </w:tcPr>
          <w:p>
            <w:pPr>
              <w:jc w:val="center"/>
              <w:ind w:right="240"/>
              <w:spacing w:after="0" w:line="143" w:lineRule="exact"/>
              <w:rPr>
                <w:sz w:val="20"/>
                <w:szCs w:val="20"/>
                <w:color w:val="auto"/>
              </w:rPr>
            </w:pPr>
            <w:r>
              <w:rPr>
                <w:rFonts w:ascii="Arial" w:cs="Arial" w:eastAsia="Arial" w:hAnsi="Arial"/>
                <w:sz w:val="14"/>
                <w:szCs w:val="14"/>
                <w:b w:val="1"/>
                <w:bCs w:val="1"/>
                <w:color w:val="auto"/>
                <w:w w:val="91"/>
              </w:rPr>
              <w:t>financial</w:t>
            </w:r>
          </w:p>
        </w:tc>
        <w:tc>
          <w:tcPr>
            <w:tcW w:w="1340" w:type="dxa"/>
            <w:vAlign w:val="bottom"/>
            <w:gridSpan w:val="2"/>
          </w:tcPr>
          <w:p>
            <w:pPr>
              <w:jc w:val="center"/>
              <w:ind w:right="240"/>
              <w:spacing w:after="0" w:line="143" w:lineRule="exact"/>
              <w:rPr>
                <w:sz w:val="20"/>
                <w:szCs w:val="20"/>
                <w:color w:val="auto"/>
              </w:rPr>
            </w:pPr>
            <w:r>
              <w:rPr>
                <w:rFonts w:ascii="Arial" w:cs="Arial" w:eastAsia="Arial" w:hAnsi="Arial"/>
                <w:sz w:val="14"/>
                <w:szCs w:val="14"/>
                <w:b w:val="1"/>
                <w:bCs w:val="1"/>
                <w:color w:val="auto"/>
                <w:w w:val="85"/>
              </w:rPr>
              <w:t>statements of</w:t>
            </w:r>
          </w:p>
        </w:tc>
        <w:tc>
          <w:tcPr>
            <w:tcW w:w="1220" w:type="dxa"/>
            <w:vAlign w:val="bottom"/>
            <w:gridSpan w:val="2"/>
            <w:vMerge w:val="continue"/>
          </w:tcPr>
          <w:p>
            <w:pPr>
              <w:spacing w:after="0"/>
              <w:rPr>
                <w:sz w:val="12"/>
                <w:szCs w:val="12"/>
                <w:color w:val="auto"/>
              </w:rPr>
            </w:pPr>
          </w:p>
        </w:tc>
        <w:tc>
          <w:tcPr>
            <w:tcW w:w="1220" w:type="dxa"/>
            <w:vAlign w:val="bottom"/>
            <w:gridSpan w:val="2"/>
          </w:tcPr>
          <w:p>
            <w:pPr>
              <w:jc w:val="center"/>
              <w:ind w:right="180"/>
              <w:spacing w:after="0" w:line="143" w:lineRule="exact"/>
              <w:rPr>
                <w:sz w:val="20"/>
                <w:szCs w:val="20"/>
                <w:color w:val="auto"/>
              </w:rPr>
            </w:pPr>
            <w:r>
              <w:rPr>
                <w:rFonts w:ascii="Arial" w:cs="Arial" w:eastAsia="Arial" w:hAnsi="Arial"/>
                <w:sz w:val="14"/>
                <w:szCs w:val="14"/>
                <w:b w:val="1"/>
                <w:bCs w:val="1"/>
                <w:color w:val="auto"/>
                <w:w w:val="91"/>
              </w:rPr>
              <w:t>collateral</w:t>
            </w:r>
          </w:p>
        </w:tc>
        <w:tc>
          <w:tcPr>
            <w:tcW w:w="1040" w:type="dxa"/>
            <w:vAlign w:val="bottom"/>
            <w:gridSpan w:val="2"/>
            <w:vMerge w:val="restart"/>
          </w:tcPr>
          <w:p>
            <w:pPr>
              <w:jc w:val="center"/>
              <w:ind w:right="20"/>
              <w:spacing w:after="0"/>
              <w:rPr>
                <w:sz w:val="20"/>
                <w:szCs w:val="20"/>
                <w:color w:val="auto"/>
              </w:rPr>
            </w:pPr>
            <w:r>
              <w:rPr>
                <w:rFonts w:ascii="Arial" w:cs="Arial" w:eastAsia="Arial" w:hAnsi="Arial"/>
                <w:sz w:val="14"/>
                <w:szCs w:val="14"/>
                <w:b w:val="1"/>
                <w:bCs w:val="1"/>
                <w:color w:val="auto"/>
                <w:w w:val="90"/>
              </w:rPr>
              <w:t>Net amount</w:t>
            </w:r>
          </w:p>
        </w:tc>
        <w:tc>
          <w:tcPr>
            <w:tcW w:w="0" w:type="dxa"/>
            <w:vAlign w:val="bottom"/>
          </w:tcPr>
          <w:p>
            <w:pPr>
              <w:spacing w:after="0"/>
              <w:rPr>
                <w:sz w:val="1"/>
                <w:szCs w:val="1"/>
                <w:color w:val="auto"/>
              </w:rPr>
            </w:pPr>
          </w:p>
        </w:tc>
      </w:tr>
      <w:tr>
        <w:trPr>
          <w:trHeight w:val="165"/>
        </w:trPr>
        <w:tc>
          <w:tcPr>
            <w:tcW w:w="1220" w:type="dxa"/>
            <w:vAlign w:val="bottom"/>
            <w:gridSpan w:val="2"/>
          </w:tcPr>
          <w:p>
            <w:pPr>
              <w:ind w:left="60"/>
              <w:spacing w:after="0"/>
              <w:rPr>
                <w:sz w:val="20"/>
                <w:szCs w:val="20"/>
                <w:color w:val="auto"/>
              </w:rPr>
            </w:pPr>
            <w:r>
              <w:rPr>
                <w:rFonts w:ascii="Arial" w:cs="Arial" w:eastAsia="Arial" w:hAnsi="Arial"/>
                <w:sz w:val="14"/>
                <w:szCs w:val="14"/>
                <w:b w:val="1"/>
                <w:bCs w:val="1"/>
                <w:color w:val="auto"/>
              </w:rPr>
              <w:t>financial assets</w:t>
            </w:r>
          </w:p>
        </w:tc>
        <w:tc>
          <w:tcPr>
            <w:tcW w:w="13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3"/>
              </w:rPr>
              <w:t>positions</w:t>
            </w:r>
          </w:p>
        </w:tc>
        <w:tc>
          <w:tcPr>
            <w:tcW w:w="13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8"/>
              </w:rPr>
              <w:t>financial position</w:t>
            </w:r>
          </w:p>
        </w:tc>
        <w:tc>
          <w:tcPr>
            <w:tcW w:w="12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7"/>
              </w:rPr>
              <w:t>instruments</w:t>
            </w:r>
          </w:p>
        </w:tc>
        <w:tc>
          <w:tcPr>
            <w:tcW w:w="12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7"/>
              </w:rPr>
              <w:t>received</w:t>
            </w:r>
          </w:p>
        </w:tc>
        <w:tc>
          <w:tcPr>
            <w:tcW w:w="10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1020" w:type="dxa"/>
            <w:vAlign w:val="bottom"/>
            <w:tcBorders>
              <w:top w:val="single" w:sz="8" w:color="auto"/>
            </w:tcBorders>
          </w:tcPr>
          <w:p>
            <w:pPr>
              <w:jc w:val="right"/>
              <w:ind w:right="231"/>
              <w:spacing w:after="0"/>
              <w:rPr>
                <w:sz w:val="20"/>
                <w:szCs w:val="20"/>
                <w:color w:val="auto"/>
              </w:rPr>
            </w:pPr>
            <w:r>
              <w:rPr>
                <w:rFonts w:ascii="Arial" w:cs="Arial" w:eastAsia="Arial" w:hAnsi="Arial"/>
                <w:sz w:val="14"/>
                <w:szCs w:val="14"/>
                <w:b w:val="1"/>
                <w:bCs w:val="1"/>
                <w:color w:val="auto"/>
              </w:rPr>
              <w:t>S/(000)</w:t>
            </w:r>
          </w:p>
        </w:tc>
        <w:tc>
          <w:tcPr>
            <w:tcW w:w="200" w:type="dxa"/>
            <w:vAlign w:val="bottom"/>
          </w:tcPr>
          <w:p>
            <w:pPr>
              <w:spacing w:after="0"/>
              <w:rPr>
                <w:sz w:val="14"/>
                <w:szCs w:val="14"/>
                <w:color w:val="auto"/>
              </w:rPr>
            </w:pPr>
          </w:p>
        </w:tc>
        <w:tc>
          <w:tcPr>
            <w:tcW w:w="112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S/(000)</w:t>
            </w:r>
          </w:p>
        </w:tc>
        <w:tc>
          <w:tcPr>
            <w:tcW w:w="200" w:type="dxa"/>
            <w:vAlign w:val="bottom"/>
          </w:tcPr>
          <w:p>
            <w:pPr>
              <w:spacing w:after="0"/>
              <w:rPr>
                <w:sz w:val="14"/>
                <w:szCs w:val="14"/>
                <w:color w:val="auto"/>
              </w:rPr>
            </w:pPr>
          </w:p>
        </w:tc>
        <w:tc>
          <w:tcPr>
            <w:tcW w:w="114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S/(000)</w:t>
            </w:r>
          </w:p>
        </w:tc>
        <w:tc>
          <w:tcPr>
            <w:tcW w:w="200" w:type="dxa"/>
            <w:vAlign w:val="bottom"/>
          </w:tcPr>
          <w:p>
            <w:pPr>
              <w:spacing w:after="0"/>
              <w:rPr>
                <w:sz w:val="14"/>
                <w:szCs w:val="14"/>
                <w:color w:val="auto"/>
              </w:rPr>
            </w:pPr>
          </w:p>
        </w:tc>
        <w:tc>
          <w:tcPr>
            <w:tcW w:w="102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S/(000)</w:t>
            </w:r>
          </w:p>
        </w:tc>
        <w:tc>
          <w:tcPr>
            <w:tcW w:w="200" w:type="dxa"/>
            <w:vAlign w:val="bottom"/>
          </w:tcPr>
          <w:p>
            <w:pPr>
              <w:spacing w:after="0"/>
              <w:rPr>
                <w:sz w:val="14"/>
                <w:szCs w:val="14"/>
                <w:color w:val="auto"/>
              </w:rPr>
            </w:pPr>
          </w:p>
        </w:tc>
        <w:tc>
          <w:tcPr>
            <w:tcW w:w="102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S/(000)</w:t>
            </w:r>
          </w:p>
        </w:tc>
        <w:tc>
          <w:tcPr>
            <w:tcW w:w="200" w:type="dxa"/>
            <w:vAlign w:val="bottom"/>
          </w:tcPr>
          <w:p>
            <w:pPr>
              <w:spacing w:after="0"/>
              <w:rPr>
                <w:sz w:val="14"/>
                <w:szCs w:val="14"/>
                <w:color w:val="auto"/>
              </w:rPr>
            </w:pPr>
          </w:p>
        </w:tc>
        <w:tc>
          <w:tcPr>
            <w:tcW w:w="102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S/(000)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3"/>
        </w:trPr>
        <w:tc>
          <w:tcPr>
            <w:tcW w:w="1220" w:type="dxa"/>
            <w:vAlign w:val="bottom"/>
            <w:gridSpan w:val="2"/>
          </w:tcPr>
          <w:p>
            <w:pPr>
              <w:jc w:val="right"/>
              <w:ind w:right="200"/>
              <w:spacing w:after="0"/>
              <w:rPr>
                <w:sz w:val="20"/>
                <w:szCs w:val="20"/>
                <w:color w:val="auto"/>
              </w:rPr>
            </w:pPr>
            <w:r>
              <w:rPr>
                <w:rFonts w:ascii="Arial" w:cs="Arial" w:eastAsia="Arial" w:hAnsi="Arial"/>
                <w:sz w:val="14"/>
                <w:szCs w:val="14"/>
                <w:color w:val="auto"/>
              </w:rPr>
              <w:t>942,602</w:t>
            </w:r>
          </w:p>
        </w:tc>
        <w:tc>
          <w:tcPr>
            <w:tcW w:w="13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340" w:type="dxa"/>
            <w:vAlign w:val="bottom"/>
            <w:gridSpan w:val="2"/>
          </w:tcPr>
          <w:p>
            <w:pPr>
              <w:jc w:val="right"/>
              <w:ind w:right="200"/>
              <w:spacing w:after="0"/>
              <w:rPr>
                <w:sz w:val="20"/>
                <w:szCs w:val="20"/>
                <w:color w:val="auto"/>
              </w:rPr>
            </w:pPr>
            <w:r>
              <w:rPr>
                <w:rFonts w:ascii="Arial" w:cs="Arial" w:eastAsia="Arial" w:hAnsi="Arial"/>
                <w:sz w:val="14"/>
                <w:szCs w:val="14"/>
                <w:color w:val="auto"/>
              </w:rPr>
              <w:t>942,602</w:t>
            </w:r>
          </w:p>
        </w:tc>
        <w:tc>
          <w:tcPr>
            <w:tcW w:w="1220" w:type="dxa"/>
            <w:vAlign w:val="bottom"/>
            <w:gridSpan w:val="2"/>
          </w:tcPr>
          <w:p>
            <w:pPr>
              <w:jc w:val="right"/>
              <w:ind w:right="120"/>
              <w:spacing w:after="0"/>
              <w:rPr>
                <w:sz w:val="20"/>
                <w:szCs w:val="20"/>
                <w:color w:val="auto"/>
              </w:rPr>
            </w:pPr>
            <w:r>
              <w:rPr>
                <w:rFonts w:ascii="Arial" w:cs="Arial" w:eastAsia="Arial" w:hAnsi="Arial"/>
                <w:sz w:val="14"/>
                <w:szCs w:val="14"/>
                <w:color w:val="auto"/>
              </w:rPr>
              <w:t>(416,084)</w:t>
            </w:r>
          </w:p>
        </w:tc>
        <w:tc>
          <w:tcPr>
            <w:tcW w:w="1220" w:type="dxa"/>
            <w:vAlign w:val="bottom"/>
            <w:gridSpan w:val="2"/>
          </w:tcPr>
          <w:p>
            <w:pPr>
              <w:jc w:val="right"/>
              <w:ind w:right="120"/>
              <w:spacing w:after="0"/>
              <w:rPr>
                <w:sz w:val="20"/>
                <w:szCs w:val="20"/>
                <w:color w:val="auto"/>
              </w:rPr>
            </w:pPr>
            <w:r>
              <w:rPr>
                <w:rFonts w:ascii="Arial" w:cs="Arial" w:eastAsia="Arial" w:hAnsi="Arial"/>
                <w:sz w:val="14"/>
                <w:szCs w:val="14"/>
                <w:color w:val="auto"/>
              </w:rPr>
              <w:t>(30,573)</w:t>
            </w:r>
          </w:p>
        </w:tc>
        <w:tc>
          <w:tcPr>
            <w:tcW w:w="1040" w:type="dxa"/>
            <w:vAlign w:val="bottom"/>
            <w:gridSpan w:val="2"/>
          </w:tcPr>
          <w:p>
            <w:pPr>
              <w:jc w:val="right"/>
              <w:ind w:right="20"/>
              <w:spacing w:after="0"/>
              <w:rPr>
                <w:sz w:val="20"/>
                <w:szCs w:val="20"/>
                <w:color w:val="auto"/>
              </w:rPr>
            </w:pPr>
            <w:r>
              <w:rPr>
                <w:rFonts w:ascii="Arial" w:cs="Arial" w:eastAsia="Arial" w:hAnsi="Arial"/>
                <w:sz w:val="14"/>
                <w:szCs w:val="14"/>
                <w:color w:val="auto"/>
              </w:rPr>
              <w:t>495,945</w:t>
            </w:r>
          </w:p>
        </w:tc>
        <w:tc>
          <w:tcPr>
            <w:tcW w:w="0" w:type="dxa"/>
            <w:vAlign w:val="bottom"/>
          </w:tcPr>
          <w:p>
            <w:pPr>
              <w:spacing w:after="0"/>
              <w:rPr>
                <w:sz w:val="1"/>
                <w:szCs w:val="1"/>
                <w:color w:val="auto"/>
              </w:rPr>
            </w:pPr>
          </w:p>
        </w:tc>
      </w:tr>
      <w:tr>
        <w:trPr>
          <w:trHeight w:val="286"/>
        </w:trPr>
        <w:tc>
          <w:tcPr>
            <w:tcW w:w="1220" w:type="dxa"/>
            <w:vAlign w:val="bottom"/>
            <w:gridSpan w:val="2"/>
          </w:tcPr>
          <w:p>
            <w:pPr>
              <w:jc w:val="right"/>
              <w:ind w:right="200"/>
              <w:spacing w:after="0"/>
              <w:rPr>
                <w:sz w:val="20"/>
                <w:szCs w:val="20"/>
                <w:color w:val="auto"/>
              </w:rPr>
            </w:pPr>
            <w:r>
              <w:rPr>
                <w:rFonts w:ascii="Arial" w:cs="Arial" w:eastAsia="Arial" w:hAnsi="Arial"/>
                <w:sz w:val="14"/>
                <w:szCs w:val="14"/>
                <w:color w:val="auto"/>
              </w:rPr>
              <w:t>10,919,624</w:t>
            </w:r>
          </w:p>
        </w:tc>
        <w:tc>
          <w:tcPr>
            <w:tcW w:w="13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340" w:type="dxa"/>
            <w:vAlign w:val="bottom"/>
            <w:gridSpan w:val="2"/>
          </w:tcPr>
          <w:p>
            <w:pPr>
              <w:jc w:val="right"/>
              <w:ind w:right="200"/>
              <w:spacing w:after="0"/>
              <w:rPr>
                <w:sz w:val="20"/>
                <w:szCs w:val="20"/>
                <w:color w:val="auto"/>
              </w:rPr>
            </w:pPr>
            <w:r>
              <w:rPr>
                <w:rFonts w:ascii="Arial" w:cs="Arial" w:eastAsia="Arial" w:hAnsi="Arial"/>
                <w:sz w:val="14"/>
                <w:szCs w:val="14"/>
                <w:color w:val="auto"/>
              </w:rPr>
              <w:t>10,919,624</w:t>
            </w:r>
          </w:p>
        </w:tc>
        <w:tc>
          <w:tcPr>
            <w:tcW w:w="1220" w:type="dxa"/>
            <w:vAlign w:val="bottom"/>
            <w:gridSpan w:val="2"/>
          </w:tcPr>
          <w:p>
            <w:pPr>
              <w:jc w:val="right"/>
              <w:ind w:right="120"/>
              <w:spacing w:after="0"/>
              <w:rPr>
                <w:sz w:val="20"/>
                <w:szCs w:val="20"/>
                <w:color w:val="auto"/>
              </w:rPr>
            </w:pPr>
            <w:r>
              <w:rPr>
                <w:rFonts w:ascii="Arial" w:cs="Arial" w:eastAsia="Arial" w:hAnsi="Arial"/>
                <w:sz w:val="14"/>
                <w:szCs w:val="14"/>
                <w:color w:val="auto"/>
              </w:rPr>
              <w:t>(2,022,625)</w:t>
            </w:r>
          </w:p>
        </w:tc>
        <w:tc>
          <w:tcPr>
            <w:tcW w:w="1220" w:type="dxa"/>
            <w:vAlign w:val="bottom"/>
            <w:gridSpan w:val="2"/>
          </w:tcPr>
          <w:p>
            <w:pPr>
              <w:jc w:val="right"/>
              <w:ind w:right="120"/>
              <w:spacing w:after="0"/>
              <w:rPr>
                <w:sz w:val="20"/>
                <w:szCs w:val="20"/>
                <w:color w:val="auto"/>
              </w:rPr>
            </w:pPr>
            <w:r>
              <w:rPr>
                <w:rFonts w:ascii="Arial" w:cs="Arial" w:eastAsia="Arial" w:hAnsi="Arial"/>
                <w:sz w:val="14"/>
                <w:szCs w:val="14"/>
                <w:color w:val="auto"/>
              </w:rPr>
              <w:t>(7,642,111)</w:t>
            </w:r>
          </w:p>
        </w:tc>
        <w:tc>
          <w:tcPr>
            <w:tcW w:w="1040" w:type="dxa"/>
            <w:vAlign w:val="bottom"/>
            <w:gridSpan w:val="2"/>
          </w:tcPr>
          <w:p>
            <w:pPr>
              <w:jc w:val="right"/>
              <w:ind w:right="20"/>
              <w:spacing w:after="0"/>
              <w:rPr>
                <w:sz w:val="20"/>
                <w:szCs w:val="20"/>
                <w:color w:val="auto"/>
              </w:rPr>
            </w:pPr>
            <w:r>
              <w:rPr>
                <w:rFonts w:ascii="Arial" w:cs="Arial" w:eastAsia="Arial" w:hAnsi="Arial"/>
                <w:sz w:val="14"/>
                <w:szCs w:val="14"/>
                <w:color w:val="auto"/>
              </w:rPr>
              <w:t>1,254,888</w:t>
            </w:r>
          </w:p>
        </w:tc>
        <w:tc>
          <w:tcPr>
            <w:tcW w:w="0" w:type="dxa"/>
            <w:vAlign w:val="bottom"/>
          </w:tcPr>
          <w:p>
            <w:pPr>
              <w:spacing w:after="0"/>
              <w:rPr>
                <w:sz w:val="1"/>
                <w:szCs w:val="1"/>
                <w:color w:val="auto"/>
              </w:rPr>
            </w:pPr>
          </w:p>
        </w:tc>
      </w:tr>
      <w:tr>
        <w:trPr>
          <w:trHeight w:val="278"/>
        </w:trPr>
        <w:tc>
          <w:tcPr>
            <w:tcW w:w="1220" w:type="dxa"/>
            <w:vAlign w:val="bottom"/>
            <w:gridSpan w:val="2"/>
          </w:tcPr>
          <w:p>
            <w:pPr>
              <w:jc w:val="right"/>
              <w:ind w:right="200"/>
              <w:spacing w:after="0"/>
              <w:rPr>
                <w:sz w:val="20"/>
                <w:szCs w:val="20"/>
                <w:color w:val="auto"/>
              </w:rPr>
            </w:pPr>
            <w:r>
              <w:rPr>
                <w:rFonts w:ascii="Arial" w:cs="Arial" w:eastAsia="Arial" w:hAnsi="Arial"/>
                <w:sz w:val="14"/>
                <w:szCs w:val="14"/>
                <w:color w:val="auto"/>
              </w:rPr>
              <w:t>3,849,558</w:t>
            </w:r>
          </w:p>
        </w:tc>
        <w:tc>
          <w:tcPr>
            <w:tcW w:w="13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340" w:type="dxa"/>
            <w:vAlign w:val="bottom"/>
            <w:gridSpan w:val="2"/>
          </w:tcPr>
          <w:p>
            <w:pPr>
              <w:jc w:val="right"/>
              <w:ind w:right="200"/>
              <w:spacing w:after="0"/>
              <w:rPr>
                <w:sz w:val="20"/>
                <w:szCs w:val="20"/>
                <w:color w:val="auto"/>
              </w:rPr>
            </w:pPr>
            <w:r>
              <w:rPr>
                <w:rFonts w:ascii="Arial" w:cs="Arial" w:eastAsia="Arial" w:hAnsi="Arial"/>
                <w:sz w:val="14"/>
                <w:szCs w:val="14"/>
                <w:color w:val="auto"/>
              </w:rPr>
              <w:t>3,849,558</w:t>
            </w:r>
          </w:p>
        </w:tc>
        <w:tc>
          <w:tcPr>
            <w:tcW w:w="1220" w:type="dxa"/>
            <w:vAlign w:val="bottom"/>
            <w:gridSpan w:val="2"/>
          </w:tcPr>
          <w:p>
            <w:pPr>
              <w:jc w:val="right"/>
              <w:ind w:right="120"/>
              <w:spacing w:after="0"/>
              <w:rPr>
                <w:sz w:val="20"/>
                <w:szCs w:val="20"/>
                <w:color w:val="auto"/>
              </w:rPr>
            </w:pPr>
            <w:r>
              <w:rPr>
                <w:rFonts w:ascii="Arial" w:cs="Arial" w:eastAsia="Arial" w:hAnsi="Arial"/>
                <w:sz w:val="14"/>
                <w:szCs w:val="14"/>
                <w:color w:val="auto"/>
              </w:rPr>
              <w:t>(3,719,047)</w:t>
            </w: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4"/>
                <w:szCs w:val="24"/>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4"/>
                <w:szCs w:val="14"/>
                <w:color w:val="auto"/>
              </w:rPr>
              <w:t>130,511</w:t>
            </w:r>
          </w:p>
        </w:tc>
        <w:tc>
          <w:tcPr>
            <w:tcW w:w="0" w:type="dxa"/>
            <w:vAlign w:val="bottom"/>
          </w:tcPr>
          <w:p>
            <w:pPr>
              <w:spacing w:after="0"/>
              <w:rPr>
                <w:sz w:val="1"/>
                <w:szCs w:val="1"/>
                <w:color w:val="auto"/>
              </w:rPr>
            </w:pPr>
          </w:p>
        </w:tc>
      </w:tr>
      <w:tr>
        <w:trPr>
          <w:trHeight w:val="156"/>
        </w:trPr>
        <w:tc>
          <w:tcPr>
            <w:tcW w:w="1020" w:type="dxa"/>
            <w:vAlign w:val="bottom"/>
            <w:tcBorders>
              <w:top w:val="single" w:sz="8" w:color="auto"/>
              <w:bottom w:val="single" w:sz="8" w:color="auto"/>
            </w:tcBorders>
          </w:tcPr>
          <w:p>
            <w:pPr>
              <w:jc w:val="right"/>
              <w:spacing w:after="0" w:line="156" w:lineRule="exact"/>
              <w:rPr>
                <w:sz w:val="20"/>
                <w:szCs w:val="20"/>
                <w:color w:val="auto"/>
              </w:rPr>
            </w:pPr>
            <w:r>
              <w:rPr>
                <w:rFonts w:ascii="Arial" w:cs="Arial" w:eastAsia="Arial" w:hAnsi="Arial"/>
                <w:sz w:val="14"/>
                <w:szCs w:val="14"/>
                <w:color w:val="auto"/>
              </w:rPr>
              <w:t>15,711,784</w:t>
            </w:r>
          </w:p>
        </w:tc>
        <w:tc>
          <w:tcPr>
            <w:tcW w:w="200" w:type="dxa"/>
            <w:vAlign w:val="bottom"/>
          </w:tcPr>
          <w:p>
            <w:pPr>
              <w:spacing w:after="0"/>
              <w:rPr>
                <w:sz w:val="13"/>
                <w:szCs w:val="13"/>
                <w:color w:val="auto"/>
              </w:rPr>
            </w:pPr>
          </w:p>
        </w:tc>
        <w:tc>
          <w:tcPr>
            <w:tcW w:w="1120" w:type="dxa"/>
            <w:vAlign w:val="bottom"/>
            <w:tcBorders>
              <w:top w:val="single" w:sz="8" w:color="auto"/>
              <w:bottom w:val="single" w:sz="8" w:color="auto"/>
            </w:tcBorders>
          </w:tcPr>
          <w:p>
            <w:pPr>
              <w:jc w:val="right"/>
              <w:spacing w:after="0" w:line="156"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1140" w:type="dxa"/>
            <w:vAlign w:val="bottom"/>
            <w:tcBorders>
              <w:top w:val="single" w:sz="8" w:color="auto"/>
              <w:bottom w:val="single" w:sz="8" w:color="auto"/>
            </w:tcBorders>
          </w:tcPr>
          <w:p>
            <w:pPr>
              <w:jc w:val="right"/>
              <w:spacing w:after="0" w:line="156" w:lineRule="exact"/>
              <w:rPr>
                <w:sz w:val="20"/>
                <w:szCs w:val="20"/>
                <w:color w:val="auto"/>
              </w:rPr>
            </w:pPr>
            <w:r>
              <w:rPr>
                <w:rFonts w:ascii="Arial" w:cs="Arial" w:eastAsia="Arial" w:hAnsi="Arial"/>
                <w:sz w:val="14"/>
                <w:szCs w:val="14"/>
                <w:color w:val="auto"/>
              </w:rPr>
              <w:t>15,711,784</w:t>
            </w:r>
          </w:p>
        </w:tc>
        <w:tc>
          <w:tcPr>
            <w:tcW w:w="200" w:type="dxa"/>
            <w:vAlign w:val="bottom"/>
          </w:tcPr>
          <w:p>
            <w:pPr>
              <w:spacing w:after="0"/>
              <w:rPr>
                <w:sz w:val="13"/>
                <w:szCs w:val="13"/>
                <w:color w:val="auto"/>
              </w:rPr>
            </w:pPr>
          </w:p>
        </w:tc>
        <w:tc>
          <w:tcPr>
            <w:tcW w:w="1020" w:type="dxa"/>
            <w:vAlign w:val="bottom"/>
            <w:tcBorders>
              <w:top w:val="single" w:sz="8" w:color="auto"/>
              <w:bottom w:val="single" w:sz="8" w:color="auto"/>
            </w:tcBorders>
          </w:tcPr>
          <w:p>
            <w:pPr>
              <w:jc w:val="right"/>
              <w:spacing w:after="0" w:line="156" w:lineRule="exact"/>
              <w:rPr>
                <w:sz w:val="20"/>
                <w:szCs w:val="20"/>
                <w:color w:val="auto"/>
              </w:rPr>
            </w:pPr>
            <w:r>
              <w:rPr>
                <w:rFonts w:ascii="Arial" w:cs="Arial" w:eastAsia="Arial" w:hAnsi="Arial"/>
                <w:sz w:val="14"/>
                <w:szCs w:val="14"/>
                <w:color w:val="auto"/>
              </w:rPr>
              <w:t>(6,157,756</w:t>
            </w:r>
          </w:p>
        </w:tc>
        <w:tc>
          <w:tcPr>
            <w:tcW w:w="200" w:type="dxa"/>
            <w:vAlign w:val="bottom"/>
          </w:tcPr>
          <w:p>
            <w:pPr>
              <w:jc w:val="right"/>
              <w:ind w:right="120"/>
              <w:spacing w:after="0"/>
              <w:rPr>
                <w:sz w:val="20"/>
                <w:szCs w:val="20"/>
                <w:color w:val="auto"/>
              </w:rPr>
            </w:pPr>
            <w:r>
              <w:rPr>
                <w:rFonts w:ascii="Arial" w:cs="Arial" w:eastAsia="Arial" w:hAnsi="Arial"/>
                <w:sz w:val="8"/>
                <w:szCs w:val="8"/>
                <w:color w:val="auto"/>
                <w:w w:val="73"/>
              </w:rPr>
              <w:t>)</w:t>
            </w:r>
          </w:p>
        </w:tc>
        <w:tc>
          <w:tcPr>
            <w:tcW w:w="1020" w:type="dxa"/>
            <w:vAlign w:val="bottom"/>
            <w:tcBorders>
              <w:top w:val="single" w:sz="8" w:color="auto"/>
              <w:bottom w:val="single" w:sz="8" w:color="auto"/>
            </w:tcBorders>
          </w:tcPr>
          <w:p>
            <w:pPr>
              <w:jc w:val="right"/>
              <w:spacing w:after="0" w:line="156" w:lineRule="exact"/>
              <w:rPr>
                <w:sz w:val="20"/>
                <w:szCs w:val="20"/>
                <w:color w:val="auto"/>
              </w:rPr>
            </w:pPr>
            <w:r>
              <w:rPr>
                <w:rFonts w:ascii="Arial" w:cs="Arial" w:eastAsia="Arial" w:hAnsi="Arial"/>
                <w:sz w:val="14"/>
                <w:szCs w:val="14"/>
                <w:color w:val="auto"/>
              </w:rPr>
              <w:t>(7,672,684</w:t>
            </w:r>
          </w:p>
        </w:tc>
        <w:tc>
          <w:tcPr>
            <w:tcW w:w="200" w:type="dxa"/>
            <w:vAlign w:val="bottom"/>
          </w:tcPr>
          <w:p>
            <w:pPr>
              <w:jc w:val="right"/>
              <w:ind w:right="120"/>
              <w:spacing w:after="0"/>
              <w:rPr>
                <w:sz w:val="20"/>
                <w:szCs w:val="20"/>
                <w:color w:val="auto"/>
              </w:rPr>
            </w:pPr>
            <w:r>
              <w:rPr>
                <w:rFonts w:ascii="Arial" w:cs="Arial" w:eastAsia="Arial" w:hAnsi="Arial"/>
                <w:sz w:val="8"/>
                <w:szCs w:val="8"/>
                <w:color w:val="auto"/>
                <w:w w:val="73"/>
              </w:rPr>
              <w:t>)</w:t>
            </w:r>
          </w:p>
        </w:tc>
        <w:tc>
          <w:tcPr>
            <w:tcW w:w="1040" w:type="dxa"/>
            <w:vAlign w:val="bottom"/>
            <w:tcBorders>
              <w:top w:val="single" w:sz="8" w:color="auto"/>
              <w:bottom w:val="single" w:sz="8" w:color="auto"/>
            </w:tcBorders>
            <w:gridSpan w:val="2"/>
          </w:tcPr>
          <w:p>
            <w:pPr>
              <w:jc w:val="right"/>
              <w:ind w:right="20"/>
              <w:spacing w:after="0" w:line="156" w:lineRule="exact"/>
              <w:rPr>
                <w:sz w:val="20"/>
                <w:szCs w:val="20"/>
                <w:color w:val="auto"/>
              </w:rPr>
            </w:pPr>
            <w:r>
              <w:rPr>
                <w:rFonts w:ascii="Arial" w:cs="Arial" w:eastAsia="Arial" w:hAnsi="Arial"/>
                <w:sz w:val="14"/>
                <w:szCs w:val="14"/>
                <w:color w:val="auto"/>
              </w:rPr>
              <w:t>1,881,344</w:t>
            </w:r>
          </w:p>
        </w:tc>
        <w:tc>
          <w:tcPr>
            <w:tcW w:w="0" w:type="dxa"/>
            <w:vAlign w:val="bottom"/>
          </w:tcPr>
          <w:p>
            <w:pPr>
              <w:spacing w:after="0"/>
              <w:rPr>
                <w:sz w:val="1"/>
                <w:szCs w:val="1"/>
                <w:color w:val="auto"/>
              </w:rPr>
            </w:pPr>
          </w:p>
        </w:tc>
      </w:tr>
      <w:tr>
        <w:trPr>
          <w:trHeight w:val="20"/>
        </w:trPr>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-2524125</wp:posOffset>
            </wp:positionH>
            <wp:positionV relativeFrom="paragraph">
              <wp:posOffset>-2359025</wp:posOffset>
            </wp:positionV>
            <wp:extent cx="7251700" cy="9080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51700" cy="90805"/>
                    </a:xfrm>
                    <a:prstGeom prst="rect">
                      <a:avLst/>
                    </a:prstGeom>
                    <a:noFill/>
                  </pic:spPr>
                </pic:pic>
              </a:graphicData>
            </a:graphic>
          </wp:anchor>
        </w:drawing>
        <w:drawing>
          <wp:anchor simplePos="0" relativeHeight="251657728" behindDoc="1" locked="0" layoutInCell="0" allowOverlap="1">
            <wp:simplePos x="0" y="0"/>
            <wp:positionH relativeFrom="column">
              <wp:posOffset>-2524125</wp:posOffset>
            </wp:positionH>
            <wp:positionV relativeFrom="paragraph">
              <wp:posOffset>-2086610</wp:posOffset>
            </wp:positionV>
            <wp:extent cx="7251700" cy="18986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51700" cy="189865"/>
                    </a:xfrm>
                    <a:prstGeom prst="rect">
                      <a:avLst/>
                    </a:prstGeom>
                    <a:noFill/>
                  </pic:spPr>
                </pic:pic>
              </a:graphicData>
            </a:graphic>
          </wp:anchor>
        </w:drawing>
        <w:drawing>
          <wp:anchor simplePos="0" relativeHeight="251657728" behindDoc="1" locked="0" layoutInCell="0" allowOverlap="1">
            <wp:simplePos x="0" y="0"/>
            <wp:positionH relativeFrom="column">
              <wp:posOffset>-2524125</wp:posOffset>
            </wp:positionH>
            <wp:positionV relativeFrom="paragraph">
              <wp:posOffset>-593090</wp:posOffset>
            </wp:positionV>
            <wp:extent cx="7251700" cy="9080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51700" cy="90805"/>
                    </a:xfrm>
                    <a:prstGeom prst="rect">
                      <a:avLst/>
                    </a:prstGeom>
                    <a:noFill/>
                  </pic:spPr>
                </pic:pic>
              </a:graphicData>
            </a:graphic>
          </wp:anchor>
        </w:drawing>
        <w:drawing>
          <wp:anchor simplePos="0" relativeHeight="251657728" behindDoc="1" locked="0" layoutInCell="0" allowOverlap="1">
            <wp:simplePos x="0" y="0"/>
            <wp:positionH relativeFrom="column">
              <wp:posOffset>-2524125</wp:posOffset>
            </wp:positionH>
            <wp:positionV relativeFrom="paragraph">
              <wp:posOffset>-321310</wp:posOffset>
            </wp:positionV>
            <wp:extent cx="7251700" cy="18986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51700" cy="18986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500" w:space="480"/>
            <w:col w:w="7340"/>
          </w:cols>
          <w:pgMar w:left="240" w:top="881" w:right="339" w:bottom="1440" w:gutter="0" w:footer="0" w:header="0"/>
          <w:type w:val="continuous"/>
        </w:sectPr>
      </w:pPr>
    </w:p>
    <w:p>
      <w:pPr>
        <w:spacing w:after="0" w:line="203"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- 125 -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22860</wp:posOffset>
            </wp:positionV>
            <wp:extent cx="725170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51700" cy="8255"/>
                    </a:xfrm>
                    <a:prstGeom prst="rect">
                      <a:avLst/>
                    </a:prstGeom>
                    <a:noFill/>
                  </pic:spPr>
                </pic:pic>
              </a:graphicData>
            </a:graphic>
          </wp:anchor>
        </w:drawing>
      </w:r>
    </w:p>
    <w:p>
      <w:pPr>
        <w:sectPr>
          <w:pgSz w:w="11900" w:h="16838" w:orient="portrait"/>
          <w:cols w:equalWidth="0" w:num="1">
            <w:col w:w="11320"/>
          </w:cols>
          <w:pgMar w:left="240" w:top="881" w:right="339" w:bottom="1440" w:gutter="0" w:footer="0" w:header="0"/>
          <w:type w:val="continuous"/>
        </w:sectPr>
      </w:pPr>
    </w:p>
    <w:bookmarkStart w:id="131" w:name="page132"/>
    <w:bookmarkEnd w:id="131"/>
    <w:p>
      <w:pPr>
        <w:spacing w:after="0"/>
        <w:rPr>
          <w:sz w:val="20"/>
          <w:szCs w:val="20"/>
          <w:color w:val="auto"/>
        </w:rPr>
      </w:pPr>
      <w:r>
        <w:rPr>
          <w:rFonts w:ascii="Arial" w:cs="Arial" w:eastAsia="Arial" w:hAnsi="Arial"/>
          <w:sz w:val="15"/>
          <w:szCs w:val="15"/>
          <w:color w:val="auto"/>
        </w:rPr>
        <w:t>Financial liabilities subject to offsetting, enforceable master agreements for offsetting and similar agreements:</w:t>
      </w:r>
    </w:p>
    <w:p>
      <w:pPr>
        <w:sectPr>
          <w:pgSz w:w="11900" w:h="16838" w:orient="portrait"/>
          <w:cols w:equalWidth="0" w:num="1">
            <w:col w:w="11380"/>
          </w:cols>
          <w:pgMar w:left="240" w:top="881" w:right="2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Description</w:t>
      </w:r>
    </w:p>
    <w:p>
      <w:pPr>
        <w:spacing w:after="0" w:line="149" w:lineRule="exact"/>
        <w:rPr>
          <w:sz w:val="20"/>
          <w:szCs w:val="20"/>
          <w:color w:val="auto"/>
        </w:rPr>
      </w:pPr>
    </w:p>
    <w:p>
      <w:pPr>
        <w:spacing w:after="0"/>
        <w:rPr>
          <w:sz w:val="20"/>
          <w:szCs w:val="20"/>
          <w:color w:val="auto"/>
        </w:rPr>
      </w:pPr>
      <w:r>
        <w:rPr>
          <w:rFonts w:ascii="Arial" w:cs="Arial" w:eastAsia="Arial" w:hAnsi="Arial"/>
          <w:sz w:val="14"/>
          <w:szCs w:val="14"/>
          <w:color w:val="auto"/>
        </w:rPr>
        <w:t>Payables from derivatives</w:t>
      </w:r>
    </w:p>
    <w:p>
      <w:pPr>
        <w:spacing w:after="0" w:line="222" w:lineRule="auto"/>
        <w:rPr>
          <w:sz w:val="20"/>
          <w:szCs w:val="20"/>
          <w:color w:val="auto"/>
        </w:rPr>
      </w:pPr>
      <w:r>
        <w:rPr>
          <w:rFonts w:ascii="Arial" w:cs="Arial" w:eastAsia="Arial" w:hAnsi="Arial"/>
          <w:sz w:val="14"/>
          <w:szCs w:val="14"/>
          <w:color w:val="auto"/>
        </w:rPr>
        <w:t>Payables from repurchase agreements and security lendings</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Total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Description</w:t>
      </w:r>
    </w:p>
    <w:p>
      <w:pPr>
        <w:spacing w:after="0" w:line="149" w:lineRule="exact"/>
        <w:rPr>
          <w:sz w:val="20"/>
          <w:szCs w:val="20"/>
          <w:color w:val="auto"/>
        </w:rPr>
      </w:pPr>
    </w:p>
    <w:p>
      <w:pPr>
        <w:spacing w:after="0"/>
        <w:rPr>
          <w:sz w:val="20"/>
          <w:szCs w:val="20"/>
          <w:color w:val="auto"/>
        </w:rPr>
      </w:pPr>
      <w:r>
        <w:rPr>
          <w:rFonts w:ascii="Arial" w:cs="Arial" w:eastAsia="Arial" w:hAnsi="Arial"/>
          <w:sz w:val="14"/>
          <w:szCs w:val="14"/>
          <w:color w:val="auto"/>
        </w:rPr>
        <w:t>Payables from derivatives</w:t>
      </w:r>
    </w:p>
    <w:p>
      <w:pPr>
        <w:spacing w:after="0" w:line="222" w:lineRule="auto"/>
        <w:rPr>
          <w:sz w:val="20"/>
          <w:szCs w:val="20"/>
          <w:color w:val="auto"/>
        </w:rPr>
      </w:pPr>
      <w:r>
        <w:rPr>
          <w:rFonts w:ascii="Arial" w:cs="Arial" w:eastAsia="Arial" w:hAnsi="Arial"/>
          <w:sz w:val="14"/>
          <w:szCs w:val="14"/>
          <w:color w:val="auto"/>
        </w:rPr>
        <w:t>Payables from repurchase agreements and security lendings</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Total</w:t>
      </w:r>
    </w:p>
    <w:p>
      <w:pPr>
        <w:spacing w:after="0" w:line="20" w:lineRule="exact"/>
        <w:rPr>
          <w:sz w:val="20"/>
          <w:szCs w:val="20"/>
          <w:color w:val="auto"/>
        </w:rPr>
      </w:pPr>
      <w:r>
        <w:rPr>
          <w:sz w:val="20"/>
          <w:szCs w:val="20"/>
          <w:color w:val="auto"/>
        </w:rPr>
        <w:br w:type="column"/>
      </w:r>
    </w:p>
    <w:p>
      <w:pPr>
        <w:spacing w:after="0" w:line="226" w:lineRule="exact"/>
        <w:rPr>
          <w:sz w:val="20"/>
          <w:szCs w:val="20"/>
          <w:color w:val="auto"/>
        </w:rPr>
      </w:pPr>
    </w:p>
    <w:p>
      <w:pPr>
        <w:jc w:val="center"/>
        <w:ind w:right="60"/>
        <w:spacing w:after="0"/>
        <w:rPr>
          <w:sz w:val="20"/>
          <w:szCs w:val="20"/>
          <w:color w:val="auto"/>
        </w:rPr>
      </w:pPr>
      <w:r>
        <w:rPr>
          <w:rFonts w:ascii="Arial" w:cs="Arial" w:eastAsia="Arial" w:hAnsi="Arial"/>
          <w:sz w:val="14"/>
          <w:szCs w:val="14"/>
          <w:b w:val="1"/>
          <w:bCs w:val="1"/>
          <w:color w:val="auto"/>
        </w:rPr>
        <w:t>As of December 31, 2017</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13"/>
        </w:trPr>
        <w:tc>
          <w:tcPr>
            <w:tcW w:w="280" w:type="dxa"/>
            <w:vAlign w:val="bottom"/>
            <w:tcBorders>
              <w:top w:val="single" w:sz="8" w:color="auto"/>
            </w:tcBorders>
          </w:tcPr>
          <w:p>
            <w:pPr>
              <w:spacing w:after="0"/>
              <w:rPr>
                <w:sz w:val="9"/>
                <w:szCs w:val="9"/>
                <w:color w:val="auto"/>
              </w:rPr>
            </w:pPr>
          </w:p>
        </w:tc>
        <w:tc>
          <w:tcPr>
            <w:tcW w:w="920" w:type="dxa"/>
            <w:vAlign w:val="bottom"/>
            <w:tcBorders>
              <w:top w:val="single" w:sz="8" w:color="auto"/>
            </w:tcBorders>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1340" w:type="dxa"/>
            <w:vAlign w:val="bottom"/>
            <w:tcBorders>
              <w:top w:val="single" w:sz="8" w:color="auto"/>
            </w:tcBorders>
            <w:gridSpan w:val="5"/>
          </w:tcPr>
          <w:p>
            <w:pPr>
              <w:jc w:val="center"/>
              <w:ind w:right="180"/>
              <w:spacing w:after="0" w:line="114" w:lineRule="exact"/>
              <w:rPr>
                <w:sz w:val="20"/>
                <w:szCs w:val="20"/>
                <w:color w:val="auto"/>
              </w:rPr>
            </w:pPr>
            <w:r>
              <w:rPr>
                <w:rFonts w:ascii="Arial" w:cs="Arial" w:eastAsia="Arial" w:hAnsi="Arial"/>
                <w:sz w:val="13"/>
                <w:szCs w:val="13"/>
                <w:b w:val="1"/>
                <w:bCs w:val="1"/>
                <w:color w:val="auto"/>
                <w:w w:val="93"/>
              </w:rPr>
              <w:t>Gross amounts of</w:t>
            </w:r>
          </w:p>
        </w:tc>
        <w:tc>
          <w:tcPr>
            <w:tcW w:w="20" w:type="dxa"/>
            <w:vAlign w:val="bottom"/>
            <w:tcBorders>
              <w:top w:val="single" w:sz="8" w:color="auto"/>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1300" w:type="dxa"/>
            <w:vAlign w:val="bottom"/>
            <w:tcBorders>
              <w:top w:val="single" w:sz="8" w:color="auto"/>
            </w:tcBorders>
            <w:gridSpan w:val="3"/>
          </w:tcPr>
          <w:p>
            <w:pPr>
              <w:jc w:val="center"/>
              <w:ind w:right="280"/>
              <w:spacing w:after="0" w:line="114" w:lineRule="exact"/>
              <w:rPr>
                <w:sz w:val="20"/>
                <w:szCs w:val="20"/>
                <w:color w:val="auto"/>
              </w:rPr>
            </w:pPr>
            <w:r>
              <w:rPr>
                <w:rFonts w:ascii="Arial" w:cs="Arial" w:eastAsia="Arial" w:hAnsi="Arial"/>
                <w:sz w:val="13"/>
                <w:szCs w:val="13"/>
                <w:b w:val="1"/>
                <w:bCs w:val="1"/>
                <w:color w:val="auto"/>
                <w:w w:val="95"/>
              </w:rPr>
              <w:t>Net amounts of</w:t>
            </w:r>
          </w:p>
        </w:tc>
        <w:tc>
          <w:tcPr>
            <w:tcW w:w="80" w:type="dxa"/>
            <w:vAlign w:val="bottom"/>
            <w:tcBorders>
              <w:top w:val="single" w:sz="8" w:color="auto"/>
            </w:tcBorders>
          </w:tcPr>
          <w:p>
            <w:pPr>
              <w:spacing w:after="0"/>
              <w:rPr>
                <w:sz w:val="9"/>
                <w:szCs w:val="9"/>
                <w:color w:val="auto"/>
              </w:rPr>
            </w:pPr>
          </w:p>
        </w:tc>
        <w:tc>
          <w:tcPr>
            <w:tcW w:w="1220" w:type="dxa"/>
            <w:vAlign w:val="bottom"/>
            <w:tcBorders>
              <w:top w:val="single" w:sz="8" w:color="auto"/>
            </w:tcBorders>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1320" w:type="dxa"/>
            <w:vAlign w:val="bottom"/>
            <w:tcBorders>
              <w:top w:val="single" w:sz="8" w:color="auto"/>
            </w:tcBorders>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40" w:type="dxa"/>
            <w:vAlign w:val="bottom"/>
            <w:tcBorders>
              <w:top w:val="single" w:sz="8" w:color="auto"/>
            </w:tcBorders>
          </w:tcPr>
          <w:p>
            <w:pPr>
              <w:spacing w:after="0"/>
              <w:rPr>
                <w:sz w:val="9"/>
                <w:szCs w:val="9"/>
                <w:color w:val="auto"/>
              </w:rPr>
            </w:pPr>
          </w:p>
        </w:tc>
        <w:tc>
          <w:tcPr>
            <w:tcW w:w="920" w:type="dxa"/>
            <w:vAlign w:val="bottom"/>
            <w:tcBorders>
              <w:top w:val="single" w:sz="8" w:color="auto"/>
            </w:tcBorders>
          </w:tcPr>
          <w:p>
            <w:pPr>
              <w:spacing w:after="0"/>
              <w:rPr>
                <w:sz w:val="9"/>
                <w:szCs w:val="9"/>
                <w:color w:val="auto"/>
              </w:rPr>
            </w:pPr>
          </w:p>
        </w:tc>
        <w:tc>
          <w:tcPr>
            <w:tcW w:w="20" w:type="dxa"/>
            <w:vAlign w:val="bottom"/>
            <w:tcBorders>
              <w:top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3"/>
        </w:trPr>
        <w:tc>
          <w:tcPr>
            <w:tcW w:w="2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gridSpan w:val="4"/>
          </w:tcPr>
          <w:p>
            <w:pPr>
              <w:jc w:val="center"/>
              <w:ind w:right="260"/>
              <w:spacing w:after="0" w:line="143" w:lineRule="exact"/>
              <w:rPr>
                <w:sz w:val="20"/>
                <w:szCs w:val="20"/>
                <w:color w:val="auto"/>
              </w:rPr>
            </w:pPr>
            <w:r>
              <w:rPr>
                <w:rFonts w:ascii="Arial" w:cs="Arial" w:eastAsia="Arial" w:hAnsi="Arial"/>
                <w:sz w:val="14"/>
                <w:szCs w:val="14"/>
                <w:b w:val="1"/>
                <w:bCs w:val="1"/>
                <w:color w:val="auto"/>
                <w:w w:val="86"/>
              </w:rPr>
              <w:t>recognized</w:t>
            </w:r>
          </w:p>
        </w:tc>
        <w:tc>
          <w:tcPr>
            <w:tcW w:w="20" w:type="dxa"/>
            <w:vAlign w:val="bottom"/>
          </w:tcPr>
          <w:p>
            <w:pPr>
              <w:spacing w:after="0"/>
              <w:rPr>
                <w:sz w:val="12"/>
                <w:szCs w:val="12"/>
                <w:color w:val="auto"/>
              </w:rPr>
            </w:pPr>
          </w:p>
        </w:tc>
        <w:tc>
          <w:tcPr>
            <w:tcW w:w="1440" w:type="dxa"/>
            <w:vAlign w:val="bottom"/>
            <w:gridSpan w:val="4"/>
          </w:tcPr>
          <w:p>
            <w:pPr>
              <w:jc w:val="center"/>
              <w:ind w:right="140"/>
              <w:spacing w:after="0" w:line="143" w:lineRule="exact"/>
              <w:rPr>
                <w:sz w:val="20"/>
                <w:szCs w:val="20"/>
                <w:color w:val="auto"/>
              </w:rPr>
            </w:pPr>
            <w:r>
              <w:rPr>
                <w:rFonts w:ascii="Arial" w:cs="Arial" w:eastAsia="Arial" w:hAnsi="Arial"/>
                <w:sz w:val="14"/>
                <w:szCs w:val="14"/>
                <w:b w:val="1"/>
                <w:bCs w:val="1"/>
                <w:color w:val="auto"/>
                <w:w w:val="91"/>
              </w:rPr>
              <w:t>financial liabilities</w:t>
            </w:r>
          </w:p>
        </w:tc>
        <w:tc>
          <w:tcPr>
            <w:tcW w:w="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40" w:type="dxa"/>
            <w:vAlign w:val="bottom"/>
            <w:gridSpan w:val="5"/>
          </w:tcPr>
          <w:p>
            <w:pPr>
              <w:jc w:val="center"/>
              <w:ind w:right="160"/>
              <w:spacing w:after="0" w:line="143" w:lineRule="exact"/>
              <w:rPr>
                <w:sz w:val="20"/>
                <w:szCs w:val="20"/>
                <w:color w:val="auto"/>
              </w:rPr>
            </w:pPr>
            <w:r>
              <w:rPr>
                <w:rFonts w:ascii="Arial" w:cs="Arial" w:eastAsia="Arial" w:hAnsi="Arial"/>
                <w:sz w:val="14"/>
                <w:szCs w:val="14"/>
                <w:b w:val="1"/>
                <w:bCs w:val="1"/>
                <w:color w:val="auto"/>
                <w:w w:val="87"/>
              </w:rPr>
              <w:t>liabilities and offset</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00" w:type="dxa"/>
            <w:vAlign w:val="bottom"/>
            <w:gridSpan w:val="3"/>
          </w:tcPr>
          <w:p>
            <w:pPr>
              <w:jc w:val="center"/>
              <w:ind w:right="280"/>
              <w:spacing w:after="0" w:line="143" w:lineRule="exact"/>
              <w:rPr>
                <w:sz w:val="20"/>
                <w:szCs w:val="20"/>
                <w:color w:val="auto"/>
              </w:rPr>
            </w:pPr>
            <w:r>
              <w:rPr>
                <w:rFonts w:ascii="Arial" w:cs="Arial" w:eastAsia="Arial" w:hAnsi="Arial"/>
                <w:sz w:val="14"/>
                <w:szCs w:val="14"/>
                <w:b w:val="1"/>
                <w:bCs w:val="1"/>
                <w:color w:val="auto"/>
                <w:w w:val="86"/>
              </w:rPr>
              <w:t>presented in the</w:t>
            </w:r>
          </w:p>
        </w:tc>
        <w:tc>
          <w:tcPr>
            <w:tcW w:w="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1380" w:type="dxa"/>
            <w:vAlign w:val="bottom"/>
            <w:gridSpan w:val="3"/>
          </w:tcPr>
          <w:p>
            <w:pPr>
              <w:ind w:left="140"/>
              <w:spacing w:after="0" w:line="153" w:lineRule="exact"/>
              <w:rPr>
                <w:sz w:val="20"/>
                <w:szCs w:val="20"/>
                <w:color w:val="auto"/>
              </w:rPr>
            </w:pPr>
            <w:r>
              <w:rPr>
                <w:rFonts w:ascii="Arial" w:cs="Arial" w:eastAsia="Arial" w:hAnsi="Arial"/>
                <w:sz w:val="14"/>
                <w:szCs w:val="14"/>
                <w:b w:val="1"/>
                <w:bCs w:val="1"/>
                <w:color w:val="auto"/>
              </w:rPr>
              <w:t>Gross amounts</w:t>
            </w:r>
          </w:p>
        </w:tc>
        <w:tc>
          <w:tcPr>
            <w:tcW w:w="1340" w:type="dxa"/>
            <w:vAlign w:val="bottom"/>
            <w:gridSpan w:val="5"/>
          </w:tcPr>
          <w:p>
            <w:pPr>
              <w:jc w:val="center"/>
              <w:ind w:right="200"/>
              <w:spacing w:after="0" w:line="153" w:lineRule="exact"/>
              <w:rPr>
                <w:sz w:val="20"/>
                <w:szCs w:val="20"/>
                <w:color w:val="auto"/>
              </w:rPr>
            </w:pPr>
            <w:r>
              <w:rPr>
                <w:rFonts w:ascii="Arial" w:cs="Arial" w:eastAsia="Arial" w:hAnsi="Arial"/>
                <w:sz w:val="14"/>
                <w:szCs w:val="14"/>
                <w:b w:val="1"/>
                <w:bCs w:val="1"/>
                <w:color w:val="auto"/>
                <w:w w:val="86"/>
              </w:rPr>
              <w:t>in the consolidated</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00" w:type="dxa"/>
            <w:vAlign w:val="bottom"/>
            <w:gridSpan w:val="3"/>
          </w:tcPr>
          <w:p>
            <w:pPr>
              <w:jc w:val="center"/>
              <w:ind w:right="280"/>
              <w:spacing w:after="0" w:line="153" w:lineRule="exact"/>
              <w:rPr>
                <w:sz w:val="20"/>
                <w:szCs w:val="20"/>
                <w:color w:val="auto"/>
              </w:rPr>
            </w:pPr>
            <w:r>
              <w:rPr>
                <w:rFonts w:ascii="Arial" w:cs="Arial" w:eastAsia="Arial" w:hAnsi="Arial"/>
                <w:sz w:val="14"/>
                <w:szCs w:val="14"/>
                <w:b w:val="1"/>
                <w:bCs w:val="1"/>
                <w:color w:val="auto"/>
                <w:w w:val="85"/>
              </w:rPr>
              <w:t>consolidated</w:t>
            </w:r>
          </w:p>
        </w:tc>
        <w:tc>
          <w:tcPr>
            <w:tcW w:w="80" w:type="dxa"/>
            <w:vAlign w:val="bottom"/>
          </w:tcPr>
          <w:p>
            <w:pPr>
              <w:spacing w:after="0"/>
              <w:rPr>
                <w:sz w:val="13"/>
                <w:szCs w:val="13"/>
                <w:color w:val="auto"/>
              </w:rPr>
            </w:pPr>
          </w:p>
        </w:tc>
        <w:tc>
          <w:tcPr>
            <w:tcW w:w="3100" w:type="dxa"/>
            <w:vAlign w:val="bottom"/>
            <w:gridSpan w:val="9"/>
          </w:tcPr>
          <w:p>
            <w:pPr>
              <w:jc w:val="center"/>
              <w:ind w:right="220"/>
              <w:spacing w:after="0" w:line="153" w:lineRule="exact"/>
              <w:rPr>
                <w:sz w:val="20"/>
                <w:szCs w:val="20"/>
                <w:color w:val="auto"/>
              </w:rPr>
            </w:pPr>
            <w:r>
              <w:rPr>
                <w:rFonts w:ascii="Arial" w:cs="Arial" w:eastAsia="Arial" w:hAnsi="Arial"/>
                <w:sz w:val="14"/>
                <w:szCs w:val="14"/>
                <w:b w:val="1"/>
                <w:bCs w:val="1"/>
                <w:color w:val="auto"/>
                <w:w w:val="87"/>
              </w:rPr>
              <w:t>Related amounts not offset in the consolidated</w:t>
            </w:r>
          </w:p>
        </w:tc>
        <w:tc>
          <w:tcPr>
            <w:tcW w:w="9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38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87"/>
              </w:rPr>
              <w:t>recognized financial</w:t>
            </w:r>
          </w:p>
        </w:tc>
        <w:tc>
          <w:tcPr>
            <w:tcW w:w="80" w:type="dxa"/>
            <w:vAlign w:val="bottom"/>
          </w:tcPr>
          <w:p>
            <w:pPr>
              <w:spacing w:after="0"/>
              <w:rPr>
                <w:sz w:val="14"/>
                <w:szCs w:val="14"/>
                <w:color w:val="auto"/>
              </w:rPr>
            </w:pPr>
          </w:p>
        </w:tc>
        <w:tc>
          <w:tcPr>
            <w:tcW w:w="1260" w:type="dxa"/>
            <w:vAlign w:val="bottom"/>
            <w:gridSpan w:val="4"/>
          </w:tcPr>
          <w:p>
            <w:pPr>
              <w:jc w:val="center"/>
              <w:ind w:right="240"/>
              <w:spacing w:after="0"/>
              <w:rPr>
                <w:sz w:val="20"/>
                <w:szCs w:val="20"/>
                <w:color w:val="auto"/>
              </w:rPr>
            </w:pPr>
            <w:r>
              <w:rPr>
                <w:rFonts w:ascii="Arial" w:cs="Arial" w:eastAsia="Arial" w:hAnsi="Arial"/>
                <w:sz w:val="14"/>
                <w:szCs w:val="14"/>
                <w:b w:val="1"/>
                <w:bCs w:val="1"/>
                <w:color w:val="auto"/>
                <w:w w:val="88"/>
              </w:rPr>
              <w:t>statement of</w:t>
            </w:r>
          </w:p>
        </w:tc>
        <w:tc>
          <w:tcPr>
            <w:tcW w:w="1460" w:type="dxa"/>
            <w:vAlign w:val="bottom"/>
            <w:gridSpan w:val="5"/>
          </w:tcPr>
          <w:p>
            <w:pPr>
              <w:jc w:val="center"/>
              <w:ind w:right="80"/>
              <w:spacing w:after="0"/>
              <w:rPr>
                <w:sz w:val="20"/>
                <w:szCs w:val="20"/>
                <w:color w:val="auto"/>
              </w:rPr>
            </w:pPr>
            <w:r>
              <w:rPr>
                <w:rFonts w:ascii="Arial" w:cs="Arial" w:eastAsia="Arial" w:hAnsi="Arial"/>
                <w:sz w:val="14"/>
                <w:szCs w:val="14"/>
                <w:b w:val="1"/>
                <w:bCs w:val="1"/>
                <w:color w:val="auto"/>
                <w:w w:val="88"/>
              </w:rPr>
              <w:t>statements of financial</w:t>
            </w:r>
          </w:p>
        </w:tc>
        <w:tc>
          <w:tcPr>
            <w:tcW w:w="80" w:type="dxa"/>
            <w:vAlign w:val="bottom"/>
          </w:tcPr>
          <w:p>
            <w:pPr>
              <w:spacing w:after="0"/>
              <w:rPr>
                <w:sz w:val="14"/>
                <w:szCs w:val="14"/>
                <w:color w:val="auto"/>
              </w:rPr>
            </w:pPr>
          </w:p>
        </w:tc>
        <w:tc>
          <w:tcPr>
            <w:tcW w:w="3100" w:type="dxa"/>
            <w:vAlign w:val="bottom"/>
            <w:gridSpan w:val="9"/>
          </w:tcPr>
          <w:p>
            <w:pPr>
              <w:jc w:val="center"/>
              <w:ind w:right="200"/>
              <w:spacing w:after="0"/>
              <w:rPr>
                <w:sz w:val="20"/>
                <w:szCs w:val="20"/>
                <w:color w:val="auto"/>
              </w:rPr>
            </w:pPr>
            <w:r>
              <w:rPr>
                <w:rFonts w:ascii="Arial" w:cs="Arial" w:eastAsia="Arial" w:hAnsi="Arial"/>
                <w:sz w:val="14"/>
                <w:szCs w:val="14"/>
                <w:b w:val="1"/>
                <w:bCs w:val="1"/>
                <w:color w:val="auto"/>
                <w:w w:val="87"/>
              </w:rPr>
              <w:t>statement of financial position</w:t>
            </w:r>
          </w:p>
        </w:tc>
        <w:tc>
          <w:tcPr>
            <w:tcW w:w="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80" w:type="dxa"/>
            <w:vAlign w:val="bottom"/>
          </w:tcPr>
          <w:p>
            <w:pPr>
              <w:spacing w:after="0"/>
              <w:rPr>
                <w:sz w:val="12"/>
                <w:szCs w:val="12"/>
                <w:color w:val="auto"/>
              </w:rPr>
            </w:pPr>
          </w:p>
        </w:tc>
        <w:tc>
          <w:tcPr>
            <w:tcW w:w="110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0"/>
              </w:rPr>
              <w:t>liabilities</w:t>
            </w:r>
          </w:p>
        </w:tc>
        <w:tc>
          <w:tcPr>
            <w:tcW w:w="80" w:type="dxa"/>
            <w:vAlign w:val="bottom"/>
          </w:tcPr>
          <w:p>
            <w:pPr>
              <w:spacing w:after="0"/>
              <w:rPr>
                <w:sz w:val="12"/>
                <w:szCs w:val="12"/>
                <w:color w:val="auto"/>
              </w:rPr>
            </w:pPr>
          </w:p>
        </w:tc>
        <w:tc>
          <w:tcPr>
            <w:tcW w:w="1260" w:type="dxa"/>
            <w:vAlign w:val="bottom"/>
            <w:gridSpan w:val="4"/>
          </w:tcPr>
          <w:p>
            <w:pPr>
              <w:jc w:val="center"/>
              <w:ind w:right="240"/>
              <w:spacing w:after="0" w:line="149" w:lineRule="exact"/>
              <w:rPr>
                <w:sz w:val="20"/>
                <w:szCs w:val="20"/>
                <w:color w:val="auto"/>
              </w:rPr>
            </w:pPr>
            <w:r>
              <w:rPr>
                <w:rFonts w:ascii="Arial" w:cs="Arial" w:eastAsia="Arial" w:hAnsi="Arial"/>
                <w:sz w:val="14"/>
                <w:szCs w:val="14"/>
                <w:b w:val="1"/>
                <w:bCs w:val="1"/>
                <w:color w:val="auto"/>
                <w:w w:val="88"/>
              </w:rPr>
              <w:t>financial position</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0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84"/>
              </w:rPr>
              <w:t>position</w:t>
            </w:r>
          </w:p>
        </w:tc>
        <w:tc>
          <w:tcPr>
            <w:tcW w:w="80" w:type="dxa"/>
            <w:vAlign w:val="bottom"/>
          </w:tcPr>
          <w:p>
            <w:pPr>
              <w:spacing w:after="0"/>
              <w:rPr>
                <w:sz w:val="12"/>
                <w:szCs w:val="12"/>
                <w:color w:val="auto"/>
              </w:rPr>
            </w:pPr>
          </w:p>
        </w:tc>
        <w:tc>
          <w:tcPr>
            <w:tcW w:w="1400" w:type="dxa"/>
            <w:vAlign w:val="bottom"/>
            <w:tcBorders>
              <w:top w:val="single" w:sz="8" w:color="auto"/>
            </w:tcBorders>
            <w:gridSpan w:val="3"/>
          </w:tcPr>
          <w:p>
            <w:pPr>
              <w:spacing w:after="0" w:line="149" w:lineRule="exact"/>
              <w:rPr>
                <w:sz w:val="20"/>
                <w:szCs w:val="20"/>
                <w:color w:val="auto"/>
              </w:rPr>
            </w:pPr>
            <w:r>
              <w:rPr>
                <w:rFonts w:ascii="Arial" w:cs="Arial" w:eastAsia="Arial" w:hAnsi="Arial"/>
                <w:sz w:val="14"/>
                <w:szCs w:val="14"/>
                <w:b w:val="1"/>
                <w:bCs w:val="1"/>
                <w:color w:val="auto"/>
                <w:w w:val="95"/>
              </w:rPr>
              <w:t>Financial instruments</w:t>
            </w:r>
          </w:p>
        </w:tc>
        <w:tc>
          <w:tcPr>
            <w:tcW w:w="80" w:type="dxa"/>
            <w:vAlign w:val="bottom"/>
            <w:tcBorders>
              <w:top w:val="single" w:sz="8" w:color="auto"/>
            </w:tcBorders>
          </w:tcPr>
          <w:p>
            <w:pPr>
              <w:spacing w:after="0"/>
              <w:rPr>
                <w:sz w:val="12"/>
                <w:szCs w:val="12"/>
                <w:color w:val="auto"/>
              </w:rPr>
            </w:pPr>
          </w:p>
        </w:tc>
        <w:tc>
          <w:tcPr>
            <w:tcW w:w="1440" w:type="dxa"/>
            <w:vAlign w:val="bottom"/>
            <w:tcBorders>
              <w:top w:val="single" w:sz="8" w:color="auto"/>
            </w:tcBorders>
            <w:gridSpan w:val="3"/>
          </w:tcPr>
          <w:p>
            <w:pPr>
              <w:jc w:val="right"/>
              <w:spacing w:after="0" w:line="149" w:lineRule="exact"/>
              <w:rPr>
                <w:sz w:val="20"/>
                <w:szCs w:val="20"/>
                <w:color w:val="auto"/>
              </w:rPr>
            </w:pPr>
            <w:r>
              <w:rPr>
                <w:rFonts w:ascii="Arial" w:cs="Arial" w:eastAsia="Arial" w:hAnsi="Arial"/>
                <w:sz w:val="14"/>
                <w:szCs w:val="14"/>
                <w:b w:val="1"/>
                <w:bCs w:val="1"/>
                <w:color w:val="auto"/>
                <w:w w:val="90"/>
              </w:rPr>
              <w:t>Cash collateral pledged</w:t>
            </w: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60" w:type="dxa"/>
            <w:vAlign w:val="bottom"/>
            <w:gridSpan w:val="3"/>
          </w:tcPr>
          <w:p>
            <w:pPr>
              <w:ind w:left="120"/>
              <w:spacing w:after="0" w:line="149" w:lineRule="exact"/>
              <w:rPr>
                <w:sz w:val="20"/>
                <w:szCs w:val="20"/>
                <w:color w:val="auto"/>
              </w:rPr>
            </w:pPr>
            <w:r>
              <w:rPr>
                <w:rFonts w:ascii="Arial" w:cs="Arial" w:eastAsia="Arial" w:hAnsi="Arial"/>
                <w:sz w:val="14"/>
                <w:szCs w:val="14"/>
                <w:b w:val="1"/>
                <w:bCs w:val="1"/>
                <w:color w:val="auto"/>
              </w:rPr>
              <w:t>Net amount</w:t>
            </w:r>
          </w:p>
        </w:tc>
        <w:tc>
          <w:tcPr>
            <w:tcW w:w="0" w:type="dxa"/>
            <w:vAlign w:val="bottom"/>
          </w:tcPr>
          <w:p>
            <w:pPr>
              <w:spacing w:after="0"/>
              <w:rPr>
                <w:sz w:val="1"/>
                <w:szCs w:val="1"/>
                <w:color w:val="auto"/>
              </w:rPr>
            </w:pPr>
          </w:p>
        </w:tc>
      </w:tr>
      <w:tr>
        <w:trPr>
          <w:trHeight w:val="117"/>
        </w:trPr>
        <w:tc>
          <w:tcPr>
            <w:tcW w:w="28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tcPr>
          <w:p>
            <w:pPr>
              <w:jc w:val="center"/>
              <w:ind w:right="232"/>
              <w:spacing w:after="0" w:line="118" w:lineRule="exact"/>
              <w:rPr>
                <w:sz w:val="20"/>
                <w:szCs w:val="20"/>
                <w:color w:val="auto"/>
              </w:rPr>
            </w:pPr>
            <w:r>
              <w:rPr>
                <w:rFonts w:ascii="Arial" w:cs="Arial" w:eastAsia="Arial" w:hAnsi="Arial"/>
                <w:sz w:val="13"/>
                <w:szCs w:val="13"/>
                <w:b w:val="1"/>
                <w:bCs w:val="1"/>
                <w:color w:val="auto"/>
                <w:w w:val="98"/>
              </w:rPr>
              <w:t>S/(000)</w:t>
            </w:r>
          </w:p>
        </w:tc>
        <w:tc>
          <w:tcPr>
            <w:tcW w:w="18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tcPr>
          <w:p>
            <w:pPr>
              <w:jc w:val="right"/>
              <w:ind w:right="312"/>
              <w:spacing w:after="0" w:line="118" w:lineRule="exact"/>
              <w:rPr>
                <w:sz w:val="20"/>
                <w:szCs w:val="20"/>
                <w:color w:val="auto"/>
              </w:rPr>
            </w:pPr>
            <w:r>
              <w:rPr>
                <w:rFonts w:ascii="Arial" w:cs="Arial" w:eastAsia="Arial" w:hAnsi="Arial"/>
                <w:sz w:val="13"/>
                <w:szCs w:val="13"/>
                <w:b w:val="1"/>
                <w:bCs w:val="1"/>
                <w:color w:val="auto"/>
              </w:rPr>
              <w:t>S/(000)</w:t>
            </w: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200" w:type="dxa"/>
            <w:vAlign w:val="bottom"/>
            <w:tcBorders>
              <w:top w:val="single" w:sz="8" w:color="auto"/>
            </w:tcBorders>
            <w:gridSpan w:val="2"/>
          </w:tcPr>
          <w:p>
            <w:pPr>
              <w:jc w:val="center"/>
              <w:ind w:right="140"/>
              <w:spacing w:after="0" w:line="118" w:lineRule="exact"/>
              <w:rPr>
                <w:sz w:val="20"/>
                <w:szCs w:val="20"/>
                <w:color w:val="auto"/>
              </w:rPr>
            </w:pPr>
            <w:r>
              <w:rPr>
                <w:rFonts w:ascii="Arial" w:cs="Arial" w:eastAsia="Arial" w:hAnsi="Arial"/>
                <w:sz w:val="13"/>
                <w:szCs w:val="13"/>
                <w:b w:val="1"/>
                <w:bCs w:val="1"/>
                <w:color w:val="auto"/>
                <w:w w:val="98"/>
              </w:rPr>
              <w:t>S/(000)</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80" w:type="dxa"/>
            <w:vAlign w:val="bottom"/>
            <w:tcBorders>
              <w:top w:val="single" w:sz="8" w:color="auto"/>
            </w:tcBorders>
            <w:gridSpan w:val="2"/>
          </w:tcPr>
          <w:p>
            <w:pPr>
              <w:jc w:val="right"/>
              <w:ind w:right="400"/>
              <w:spacing w:after="0" w:line="118" w:lineRule="exact"/>
              <w:rPr>
                <w:sz w:val="20"/>
                <w:szCs w:val="20"/>
                <w:color w:val="auto"/>
              </w:rPr>
            </w:pPr>
            <w:r>
              <w:rPr>
                <w:rFonts w:ascii="Arial" w:cs="Arial" w:eastAsia="Arial" w:hAnsi="Arial"/>
                <w:sz w:val="13"/>
                <w:szCs w:val="13"/>
                <w:b w:val="1"/>
                <w:bCs w:val="1"/>
                <w:color w:val="auto"/>
              </w:rPr>
              <w:t>S/(000)</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380" w:type="dxa"/>
            <w:vAlign w:val="bottom"/>
            <w:tcBorders>
              <w:top w:val="single" w:sz="8" w:color="auto"/>
            </w:tcBorders>
            <w:gridSpan w:val="2"/>
          </w:tcPr>
          <w:p>
            <w:pPr>
              <w:jc w:val="right"/>
              <w:ind w:right="440"/>
              <w:spacing w:after="0" w:line="118" w:lineRule="exact"/>
              <w:rPr>
                <w:sz w:val="20"/>
                <w:szCs w:val="20"/>
                <w:color w:val="auto"/>
              </w:rPr>
            </w:pPr>
            <w:r>
              <w:rPr>
                <w:rFonts w:ascii="Arial" w:cs="Arial" w:eastAsia="Arial" w:hAnsi="Arial"/>
                <w:sz w:val="13"/>
                <w:szCs w:val="13"/>
                <w:b w:val="1"/>
                <w:bCs w:val="1"/>
                <w:color w:val="auto"/>
              </w:rPr>
              <w:t>S/(000)</w:t>
            </w: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40" w:type="dxa"/>
            <w:vAlign w:val="bottom"/>
            <w:tcBorders>
              <w:top w:val="single" w:sz="8" w:color="auto"/>
            </w:tcBorders>
            <w:gridSpan w:val="2"/>
          </w:tcPr>
          <w:p>
            <w:pPr>
              <w:ind w:left="260"/>
              <w:spacing w:after="0" w:line="118" w:lineRule="exact"/>
              <w:rPr>
                <w:sz w:val="20"/>
                <w:szCs w:val="20"/>
                <w:color w:val="auto"/>
              </w:rPr>
            </w:pPr>
            <w:r>
              <w:rPr>
                <w:rFonts w:ascii="Arial" w:cs="Arial" w:eastAsia="Arial" w:hAnsi="Arial"/>
                <w:sz w:val="13"/>
                <w:szCs w:val="13"/>
                <w:b w:val="1"/>
                <w:bCs w:val="1"/>
                <w:color w:val="auto"/>
              </w:rPr>
              <w:t>S/(000)</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1380" w:type="dxa"/>
            <w:vAlign w:val="bottom"/>
            <w:gridSpan w:val="3"/>
          </w:tcPr>
          <w:p>
            <w:pPr>
              <w:jc w:val="right"/>
              <w:ind w:right="180"/>
              <w:spacing w:after="0"/>
              <w:rPr>
                <w:sz w:val="20"/>
                <w:szCs w:val="20"/>
                <w:color w:val="auto"/>
              </w:rPr>
            </w:pPr>
            <w:r>
              <w:rPr>
                <w:rFonts w:ascii="Arial" w:cs="Arial" w:eastAsia="Arial" w:hAnsi="Arial"/>
                <w:sz w:val="14"/>
                <w:szCs w:val="14"/>
                <w:color w:val="auto"/>
              </w:rPr>
              <w:t>636,762</w:t>
            </w:r>
          </w:p>
        </w:tc>
        <w:tc>
          <w:tcPr>
            <w:tcW w:w="80" w:type="dxa"/>
            <w:vAlign w:val="bottom"/>
          </w:tcPr>
          <w:p>
            <w:pPr>
              <w:spacing w:after="0"/>
              <w:rPr>
                <w:sz w:val="15"/>
                <w:szCs w:val="15"/>
                <w:color w:val="auto"/>
              </w:rPr>
            </w:pPr>
          </w:p>
        </w:tc>
        <w:tc>
          <w:tcPr>
            <w:tcW w:w="1240" w:type="dxa"/>
            <w:vAlign w:val="bottom"/>
            <w:gridSpan w:val="3"/>
          </w:tcPr>
          <w:p>
            <w:pPr>
              <w:jc w:val="right"/>
              <w:ind w:right="1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1460" w:type="dxa"/>
            <w:vAlign w:val="bottom"/>
            <w:gridSpan w:val="5"/>
          </w:tcPr>
          <w:p>
            <w:pPr>
              <w:jc w:val="right"/>
              <w:ind w:right="100"/>
              <w:spacing w:after="0"/>
              <w:rPr>
                <w:sz w:val="20"/>
                <w:szCs w:val="20"/>
                <w:color w:val="auto"/>
              </w:rPr>
            </w:pPr>
            <w:r>
              <w:rPr>
                <w:rFonts w:ascii="Arial" w:cs="Arial" w:eastAsia="Arial" w:hAnsi="Arial"/>
                <w:sz w:val="14"/>
                <w:szCs w:val="14"/>
                <w:color w:val="auto"/>
              </w:rPr>
              <w:t>636,762</w:t>
            </w:r>
          </w:p>
        </w:tc>
        <w:tc>
          <w:tcPr>
            <w:tcW w:w="1480" w:type="dxa"/>
            <w:vAlign w:val="bottom"/>
            <w:gridSpan w:val="4"/>
          </w:tcPr>
          <w:p>
            <w:pPr>
              <w:jc w:val="right"/>
              <w:ind w:right="40"/>
              <w:spacing w:after="0"/>
              <w:rPr>
                <w:sz w:val="20"/>
                <w:szCs w:val="20"/>
                <w:color w:val="auto"/>
              </w:rPr>
            </w:pPr>
            <w:r>
              <w:rPr>
                <w:rFonts w:ascii="Arial" w:cs="Arial" w:eastAsia="Arial" w:hAnsi="Arial"/>
                <w:sz w:val="14"/>
                <w:szCs w:val="14"/>
                <w:color w:val="auto"/>
              </w:rPr>
              <w:t>(86,292)</w:t>
            </w:r>
          </w:p>
        </w:tc>
        <w:tc>
          <w:tcPr>
            <w:tcW w:w="1660" w:type="dxa"/>
            <w:vAlign w:val="bottom"/>
            <w:gridSpan w:val="5"/>
          </w:tcPr>
          <w:p>
            <w:pPr>
              <w:jc w:val="right"/>
              <w:ind w:right="60"/>
              <w:spacing w:after="0"/>
              <w:rPr>
                <w:sz w:val="20"/>
                <w:szCs w:val="20"/>
                <w:color w:val="auto"/>
              </w:rPr>
            </w:pPr>
            <w:r>
              <w:rPr>
                <w:rFonts w:ascii="Arial" w:cs="Arial" w:eastAsia="Arial" w:hAnsi="Arial"/>
                <w:sz w:val="14"/>
                <w:szCs w:val="14"/>
                <w:color w:val="auto"/>
              </w:rPr>
              <w:t>(149,846)</w:t>
            </w:r>
          </w:p>
        </w:tc>
        <w:tc>
          <w:tcPr>
            <w:tcW w:w="40" w:type="dxa"/>
            <w:vAlign w:val="bottom"/>
          </w:tcPr>
          <w:p>
            <w:pPr>
              <w:spacing w:after="0"/>
              <w:rPr>
                <w:sz w:val="15"/>
                <w:szCs w:val="15"/>
                <w:color w:val="auto"/>
              </w:rPr>
            </w:pPr>
          </w:p>
        </w:tc>
        <w:tc>
          <w:tcPr>
            <w:tcW w:w="960" w:type="dxa"/>
            <w:vAlign w:val="bottom"/>
            <w:gridSpan w:val="3"/>
          </w:tcPr>
          <w:p>
            <w:pPr>
              <w:ind w:left="480"/>
              <w:spacing w:after="0"/>
              <w:rPr>
                <w:sz w:val="20"/>
                <w:szCs w:val="20"/>
                <w:color w:val="auto"/>
              </w:rPr>
            </w:pPr>
            <w:r>
              <w:rPr>
                <w:rFonts w:ascii="Arial" w:cs="Arial" w:eastAsia="Arial" w:hAnsi="Arial"/>
                <w:sz w:val="14"/>
                <w:szCs w:val="14"/>
                <w:color w:val="auto"/>
                <w:w w:val="90"/>
              </w:rPr>
              <w:t>400,624</w:t>
            </w:r>
          </w:p>
        </w:tc>
        <w:tc>
          <w:tcPr>
            <w:tcW w:w="0" w:type="dxa"/>
            <w:vAlign w:val="bottom"/>
          </w:tcPr>
          <w:p>
            <w:pPr>
              <w:spacing w:after="0"/>
              <w:rPr>
                <w:sz w:val="1"/>
                <w:szCs w:val="1"/>
                <w:color w:val="auto"/>
              </w:rPr>
            </w:pPr>
          </w:p>
        </w:tc>
      </w:tr>
      <w:tr>
        <w:trPr>
          <w:trHeight w:val="278"/>
        </w:trPr>
        <w:tc>
          <w:tcPr>
            <w:tcW w:w="1380" w:type="dxa"/>
            <w:vAlign w:val="bottom"/>
            <w:gridSpan w:val="3"/>
          </w:tcPr>
          <w:p>
            <w:pPr>
              <w:jc w:val="right"/>
              <w:ind w:right="180"/>
              <w:spacing w:after="0"/>
              <w:rPr>
                <w:sz w:val="20"/>
                <w:szCs w:val="20"/>
                <w:color w:val="auto"/>
              </w:rPr>
            </w:pPr>
            <w:r>
              <w:rPr>
                <w:rFonts w:ascii="Arial" w:cs="Arial" w:eastAsia="Arial" w:hAnsi="Arial"/>
                <w:sz w:val="14"/>
                <w:szCs w:val="14"/>
                <w:color w:val="auto"/>
              </w:rPr>
              <w:t>13,415,843</w:t>
            </w:r>
          </w:p>
        </w:tc>
        <w:tc>
          <w:tcPr>
            <w:tcW w:w="80" w:type="dxa"/>
            <w:vAlign w:val="bottom"/>
          </w:tcPr>
          <w:p>
            <w:pPr>
              <w:spacing w:after="0"/>
              <w:rPr>
                <w:sz w:val="24"/>
                <w:szCs w:val="24"/>
                <w:color w:val="auto"/>
              </w:rPr>
            </w:pPr>
          </w:p>
        </w:tc>
        <w:tc>
          <w:tcPr>
            <w:tcW w:w="1240" w:type="dxa"/>
            <w:vAlign w:val="bottom"/>
            <w:gridSpan w:val="3"/>
          </w:tcPr>
          <w:p>
            <w:pPr>
              <w:jc w:val="right"/>
              <w:ind w:right="1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4"/>
                <w:szCs w:val="24"/>
                <w:color w:val="auto"/>
              </w:rPr>
            </w:pPr>
          </w:p>
        </w:tc>
        <w:tc>
          <w:tcPr>
            <w:tcW w:w="1360" w:type="dxa"/>
            <w:vAlign w:val="bottom"/>
            <w:gridSpan w:val="4"/>
          </w:tcPr>
          <w:p>
            <w:pPr>
              <w:jc w:val="right"/>
              <w:spacing w:after="0"/>
              <w:rPr>
                <w:sz w:val="20"/>
                <w:szCs w:val="20"/>
                <w:color w:val="auto"/>
              </w:rPr>
            </w:pPr>
            <w:r>
              <w:rPr>
                <w:rFonts w:ascii="Arial" w:cs="Arial" w:eastAsia="Arial" w:hAnsi="Arial"/>
                <w:sz w:val="14"/>
                <w:szCs w:val="14"/>
                <w:color w:val="auto"/>
              </w:rPr>
              <w:t>13,415,843</w:t>
            </w:r>
          </w:p>
        </w:tc>
        <w:tc>
          <w:tcPr>
            <w:tcW w:w="100" w:type="dxa"/>
            <w:vAlign w:val="bottom"/>
          </w:tcPr>
          <w:p>
            <w:pPr>
              <w:spacing w:after="0"/>
              <w:rPr>
                <w:sz w:val="24"/>
                <w:szCs w:val="24"/>
                <w:color w:val="auto"/>
              </w:rPr>
            </w:pPr>
          </w:p>
        </w:tc>
        <w:tc>
          <w:tcPr>
            <w:tcW w:w="1480" w:type="dxa"/>
            <w:vAlign w:val="bottom"/>
            <w:gridSpan w:val="4"/>
          </w:tcPr>
          <w:p>
            <w:pPr>
              <w:jc w:val="right"/>
              <w:ind w:right="40"/>
              <w:spacing w:after="0"/>
              <w:rPr>
                <w:sz w:val="20"/>
                <w:szCs w:val="20"/>
                <w:color w:val="auto"/>
              </w:rPr>
            </w:pPr>
            <w:r>
              <w:rPr>
                <w:rFonts w:ascii="Arial" w:cs="Arial" w:eastAsia="Arial" w:hAnsi="Arial"/>
                <w:sz w:val="14"/>
                <w:szCs w:val="14"/>
                <w:color w:val="auto"/>
              </w:rPr>
              <w:t>(5,900,903)</w:t>
            </w:r>
          </w:p>
        </w:tc>
        <w:tc>
          <w:tcPr>
            <w:tcW w:w="1660" w:type="dxa"/>
            <w:vAlign w:val="bottom"/>
            <w:gridSpan w:val="5"/>
          </w:tcPr>
          <w:p>
            <w:pPr>
              <w:jc w:val="right"/>
              <w:ind w:right="60"/>
              <w:spacing w:after="0"/>
              <w:rPr>
                <w:sz w:val="20"/>
                <w:szCs w:val="20"/>
                <w:color w:val="auto"/>
              </w:rPr>
            </w:pPr>
            <w:r>
              <w:rPr>
                <w:rFonts w:ascii="Arial" w:cs="Arial" w:eastAsia="Arial" w:hAnsi="Arial"/>
                <w:sz w:val="14"/>
                <w:szCs w:val="14"/>
                <w:color w:val="auto"/>
              </w:rPr>
              <w:t>(6,962,421)</w:t>
            </w:r>
          </w:p>
        </w:tc>
        <w:tc>
          <w:tcPr>
            <w:tcW w:w="40" w:type="dxa"/>
            <w:vAlign w:val="bottom"/>
          </w:tcPr>
          <w:p>
            <w:pPr>
              <w:spacing w:after="0"/>
              <w:rPr>
                <w:sz w:val="24"/>
                <w:szCs w:val="24"/>
                <w:color w:val="auto"/>
              </w:rPr>
            </w:pPr>
          </w:p>
        </w:tc>
        <w:tc>
          <w:tcPr>
            <w:tcW w:w="960" w:type="dxa"/>
            <w:vAlign w:val="bottom"/>
            <w:gridSpan w:val="3"/>
          </w:tcPr>
          <w:p>
            <w:pPr>
              <w:ind w:left="480"/>
              <w:spacing w:after="0"/>
              <w:rPr>
                <w:sz w:val="20"/>
                <w:szCs w:val="20"/>
                <w:color w:val="auto"/>
              </w:rPr>
            </w:pPr>
            <w:r>
              <w:rPr>
                <w:rFonts w:ascii="Arial" w:cs="Arial" w:eastAsia="Arial" w:hAnsi="Arial"/>
                <w:sz w:val="14"/>
                <w:szCs w:val="14"/>
                <w:color w:val="auto"/>
                <w:w w:val="90"/>
              </w:rPr>
              <w:t>552,519</w:t>
            </w:r>
          </w:p>
        </w:tc>
        <w:tc>
          <w:tcPr>
            <w:tcW w:w="0" w:type="dxa"/>
            <w:vAlign w:val="bottom"/>
          </w:tcPr>
          <w:p>
            <w:pPr>
              <w:spacing w:after="0"/>
              <w:rPr>
                <w:sz w:val="1"/>
                <w:szCs w:val="1"/>
                <w:color w:val="auto"/>
              </w:rPr>
            </w:pPr>
          </w:p>
        </w:tc>
      </w:tr>
      <w:tr>
        <w:trPr>
          <w:trHeight w:val="156"/>
        </w:trPr>
        <w:tc>
          <w:tcPr>
            <w:tcW w:w="1200" w:type="dxa"/>
            <w:vAlign w:val="bottom"/>
            <w:tcBorders>
              <w:top w:val="single" w:sz="8" w:color="auto"/>
            </w:tcBorders>
            <w:gridSpan w:val="2"/>
          </w:tcPr>
          <w:p>
            <w:pPr>
              <w:jc w:val="right"/>
              <w:spacing w:after="0" w:line="156" w:lineRule="exact"/>
              <w:rPr>
                <w:sz w:val="20"/>
                <w:szCs w:val="20"/>
                <w:color w:val="auto"/>
              </w:rPr>
            </w:pPr>
            <w:r>
              <w:rPr>
                <w:rFonts w:ascii="Arial" w:cs="Arial" w:eastAsia="Arial" w:hAnsi="Arial"/>
                <w:sz w:val="14"/>
                <w:szCs w:val="14"/>
                <w:color w:val="auto"/>
              </w:rPr>
              <w:t>14,052,605</w:t>
            </w:r>
          </w:p>
        </w:tc>
        <w:tc>
          <w:tcPr>
            <w:tcW w:w="18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gridSpan w:val="2"/>
          </w:tcPr>
          <w:p>
            <w:pPr>
              <w:jc w:val="right"/>
              <w:spacing w:after="0" w:line="156"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340" w:type="dxa"/>
            <w:vAlign w:val="bottom"/>
            <w:tcBorders>
              <w:top w:val="single" w:sz="8" w:color="auto"/>
            </w:tcBorders>
            <w:gridSpan w:val="3"/>
          </w:tcPr>
          <w:p>
            <w:pPr>
              <w:jc w:val="right"/>
              <w:spacing w:after="0" w:line="156" w:lineRule="exact"/>
              <w:rPr>
                <w:sz w:val="20"/>
                <w:szCs w:val="20"/>
                <w:color w:val="auto"/>
              </w:rPr>
            </w:pPr>
            <w:r>
              <w:rPr>
                <w:rFonts w:ascii="Arial" w:cs="Arial" w:eastAsia="Arial" w:hAnsi="Arial"/>
                <w:sz w:val="14"/>
                <w:szCs w:val="14"/>
                <w:color w:val="auto"/>
              </w:rPr>
              <w:t>14,052,605</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80" w:type="dxa"/>
            <w:vAlign w:val="bottom"/>
            <w:tcBorders>
              <w:top w:val="single" w:sz="8" w:color="auto"/>
            </w:tcBorders>
            <w:gridSpan w:val="2"/>
          </w:tcPr>
          <w:p>
            <w:pPr>
              <w:jc w:val="right"/>
              <w:spacing w:after="0" w:line="156" w:lineRule="exact"/>
              <w:rPr>
                <w:sz w:val="20"/>
                <w:szCs w:val="20"/>
                <w:color w:val="auto"/>
              </w:rPr>
            </w:pPr>
            <w:r>
              <w:rPr>
                <w:rFonts w:ascii="Arial" w:cs="Arial" w:eastAsia="Arial" w:hAnsi="Arial"/>
                <w:sz w:val="14"/>
                <w:szCs w:val="14"/>
                <w:color w:val="auto"/>
              </w:rPr>
              <w:t>(5,987,195</w:t>
            </w:r>
          </w:p>
        </w:tc>
        <w:tc>
          <w:tcPr>
            <w:tcW w:w="120" w:type="dxa"/>
            <w:vAlign w:val="bottom"/>
          </w:tcPr>
          <w:p>
            <w:pPr>
              <w:jc w:val="right"/>
              <w:ind w:right="40"/>
              <w:spacing w:after="0"/>
              <w:rPr>
                <w:sz w:val="20"/>
                <w:szCs w:val="20"/>
                <w:color w:val="auto"/>
              </w:rPr>
            </w:pPr>
            <w:r>
              <w:rPr>
                <w:rFonts w:ascii="Arial" w:cs="Arial" w:eastAsia="Arial" w:hAnsi="Arial"/>
                <w:sz w:val="8"/>
                <w:szCs w:val="8"/>
                <w:color w:val="auto"/>
                <w:w w:val="73"/>
              </w:rPr>
              <w:t>)</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380" w:type="dxa"/>
            <w:vAlign w:val="bottom"/>
            <w:tcBorders>
              <w:top w:val="single" w:sz="8" w:color="auto"/>
            </w:tcBorders>
            <w:gridSpan w:val="2"/>
          </w:tcPr>
          <w:p>
            <w:pPr>
              <w:jc w:val="right"/>
              <w:spacing w:after="0" w:line="156" w:lineRule="exact"/>
              <w:rPr>
                <w:sz w:val="20"/>
                <w:szCs w:val="20"/>
                <w:color w:val="auto"/>
              </w:rPr>
            </w:pPr>
            <w:r>
              <w:rPr>
                <w:rFonts w:ascii="Arial" w:cs="Arial" w:eastAsia="Arial" w:hAnsi="Arial"/>
                <w:sz w:val="14"/>
                <w:szCs w:val="14"/>
                <w:color w:val="auto"/>
              </w:rPr>
              <w:t>(7,112,267</w:t>
            </w:r>
          </w:p>
        </w:tc>
        <w:tc>
          <w:tcPr>
            <w:tcW w:w="140" w:type="dxa"/>
            <w:vAlign w:val="bottom"/>
          </w:tcPr>
          <w:p>
            <w:pPr>
              <w:jc w:val="right"/>
              <w:ind w:right="60"/>
              <w:spacing w:after="0"/>
              <w:rPr>
                <w:sz w:val="20"/>
                <w:szCs w:val="20"/>
                <w:color w:val="auto"/>
              </w:rPr>
            </w:pPr>
            <w:r>
              <w:rPr>
                <w:rFonts w:ascii="Arial" w:cs="Arial" w:eastAsia="Arial" w:hAnsi="Arial"/>
                <w:sz w:val="8"/>
                <w:szCs w:val="8"/>
                <w:color w:val="auto"/>
                <w:w w:val="73"/>
              </w:rPr>
              <w:t>)</w:t>
            </w:r>
          </w:p>
        </w:tc>
        <w:tc>
          <w:tcPr>
            <w:tcW w:w="40" w:type="dxa"/>
            <w:vAlign w:val="bottom"/>
          </w:tcPr>
          <w:p>
            <w:pPr>
              <w:spacing w:after="0"/>
              <w:rPr>
                <w:sz w:val="13"/>
                <w:szCs w:val="13"/>
                <w:color w:val="auto"/>
              </w:rPr>
            </w:pPr>
          </w:p>
        </w:tc>
        <w:tc>
          <w:tcPr>
            <w:tcW w:w="960" w:type="dxa"/>
            <w:vAlign w:val="bottom"/>
            <w:tcBorders>
              <w:top w:val="single" w:sz="8" w:color="auto"/>
            </w:tcBorders>
            <w:gridSpan w:val="3"/>
          </w:tcPr>
          <w:p>
            <w:pPr>
              <w:ind w:left="480"/>
              <w:spacing w:after="0" w:line="156" w:lineRule="exact"/>
              <w:rPr>
                <w:sz w:val="20"/>
                <w:szCs w:val="20"/>
                <w:color w:val="auto"/>
              </w:rPr>
            </w:pPr>
            <w:r>
              <w:rPr>
                <w:rFonts w:ascii="Arial" w:cs="Arial" w:eastAsia="Arial" w:hAnsi="Arial"/>
                <w:sz w:val="14"/>
                <w:szCs w:val="14"/>
                <w:color w:val="auto"/>
                <w:w w:val="90"/>
              </w:rPr>
              <w:t>953,143</w:t>
            </w:r>
          </w:p>
        </w:tc>
        <w:tc>
          <w:tcPr>
            <w:tcW w:w="0" w:type="dxa"/>
            <w:vAlign w:val="bottom"/>
          </w:tcPr>
          <w:p>
            <w:pPr>
              <w:spacing w:after="0"/>
              <w:rPr>
                <w:sz w:val="1"/>
                <w:szCs w:val="1"/>
                <w:color w:val="auto"/>
              </w:rPr>
            </w:pPr>
          </w:p>
        </w:tc>
      </w:tr>
      <w:tr>
        <w:trPr>
          <w:trHeight w:val="20"/>
        </w:trPr>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3"/>
        </w:trPr>
        <w:tc>
          <w:tcPr>
            <w:tcW w:w="28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gridSpan w:val="7"/>
          </w:tcPr>
          <w:p>
            <w:pPr>
              <w:jc w:val="right"/>
              <w:ind w:right="620"/>
              <w:spacing w:after="0"/>
              <w:rPr>
                <w:sz w:val="20"/>
                <w:szCs w:val="20"/>
                <w:color w:val="auto"/>
              </w:rPr>
            </w:pPr>
            <w:r>
              <w:rPr>
                <w:rFonts w:ascii="Arial" w:cs="Arial" w:eastAsia="Arial" w:hAnsi="Arial"/>
                <w:sz w:val="14"/>
                <w:szCs w:val="14"/>
                <w:b w:val="1"/>
                <w:bCs w:val="1"/>
                <w:color w:val="auto"/>
              </w:rPr>
              <w:t>As of December 31, 2016</w:t>
            </w:r>
          </w:p>
        </w:tc>
        <w:tc>
          <w:tcPr>
            <w:tcW w:w="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3"/>
        </w:trPr>
        <w:tc>
          <w:tcPr>
            <w:tcW w:w="280" w:type="dxa"/>
            <w:vAlign w:val="bottom"/>
          </w:tcPr>
          <w:p>
            <w:pPr>
              <w:spacing w:after="0"/>
              <w:rPr>
                <w:sz w:val="9"/>
                <w:szCs w:val="9"/>
                <w:color w:val="auto"/>
              </w:rPr>
            </w:pPr>
          </w:p>
        </w:tc>
        <w:tc>
          <w:tcPr>
            <w:tcW w:w="92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80" w:type="dxa"/>
            <w:vAlign w:val="bottom"/>
            <w:gridSpan w:val="3"/>
          </w:tcPr>
          <w:p>
            <w:pPr>
              <w:jc w:val="right"/>
              <w:ind w:right="20"/>
              <w:spacing w:after="0" w:line="114" w:lineRule="exact"/>
              <w:rPr>
                <w:sz w:val="20"/>
                <w:szCs w:val="20"/>
                <w:color w:val="auto"/>
              </w:rPr>
            </w:pPr>
            <w:r>
              <w:rPr>
                <w:rFonts w:ascii="Arial" w:cs="Arial" w:eastAsia="Arial" w:hAnsi="Arial"/>
                <w:sz w:val="13"/>
                <w:szCs w:val="13"/>
                <w:b w:val="1"/>
                <w:bCs w:val="1"/>
                <w:color w:val="auto"/>
                <w:w w:val="93"/>
              </w:rPr>
              <w:t>Gross amounts of</w:t>
            </w: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30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Net amounts of</w:t>
            </w:r>
          </w:p>
        </w:tc>
        <w:tc>
          <w:tcPr>
            <w:tcW w:w="80" w:type="dxa"/>
            <w:vAlign w:val="bottom"/>
          </w:tcPr>
          <w:p>
            <w:pPr>
              <w:spacing w:after="0"/>
              <w:rPr>
                <w:sz w:val="9"/>
                <w:szCs w:val="9"/>
                <w:color w:val="auto"/>
              </w:rPr>
            </w:pPr>
          </w:p>
        </w:tc>
        <w:tc>
          <w:tcPr>
            <w:tcW w:w="122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132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40" w:type="dxa"/>
            <w:vAlign w:val="bottom"/>
          </w:tcPr>
          <w:p>
            <w:pPr>
              <w:spacing w:after="0"/>
              <w:rPr>
                <w:sz w:val="9"/>
                <w:szCs w:val="9"/>
                <w:color w:val="auto"/>
              </w:rPr>
            </w:pPr>
          </w:p>
        </w:tc>
        <w:tc>
          <w:tcPr>
            <w:tcW w:w="9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3"/>
        </w:trPr>
        <w:tc>
          <w:tcPr>
            <w:tcW w:w="2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gridSpan w:val="3"/>
          </w:tcPr>
          <w:p>
            <w:pPr>
              <w:jc w:val="center"/>
              <w:ind w:right="40"/>
              <w:spacing w:after="0" w:line="143" w:lineRule="exact"/>
              <w:rPr>
                <w:sz w:val="20"/>
                <w:szCs w:val="20"/>
                <w:color w:val="auto"/>
              </w:rPr>
            </w:pPr>
            <w:r>
              <w:rPr>
                <w:rFonts w:ascii="Arial" w:cs="Arial" w:eastAsia="Arial" w:hAnsi="Arial"/>
                <w:sz w:val="14"/>
                <w:szCs w:val="14"/>
                <w:b w:val="1"/>
                <w:bCs w:val="1"/>
                <w:color w:val="auto"/>
                <w:w w:val="86"/>
              </w:rPr>
              <w:t>recognized</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0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gridSpan w:val="3"/>
          </w:tcPr>
          <w:p>
            <w:pPr>
              <w:jc w:val="center"/>
              <w:ind w:right="40"/>
              <w:spacing w:after="0" w:line="143" w:lineRule="exact"/>
              <w:rPr>
                <w:sz w:val="20"/>
                <w:szCs w:val="20"/>
                <w:color w:val="auto"/>
              </w:rPr>
            </w:pPr>
            <w:r>
              <w:rPr>
                <w:rFonts w:ascii="Arial" w:cs="Arial" w:eastAsia="Arial" w:hAnsi="Arial"/>
                <w:sz w:val="14"/>
                <w:szCs w:val="14"/>
                <w:b w:val="1"/>
                <w:bCs w:val="1"/>
                <w:color w:val="auto"/>
                <w:w w:val="90"/>
              </w:rPr>
              <w:t>liabilities and</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00" w:type="dxa"/>
            <w:vAlign w:val="bottom"/>
            <w:gridSpan w:val="3"/>
          </w:tcPr>
          <w:p>
            <w:pPr>
              <w:jc w:val="center"/>
              <w:ind w:right="160"/>
              <w:spacing w:after="0" w:line="143" w:lineRule="exact"/>
              <w:rPr>
                <w:sz w:val="20"/>
                <w:szCs w:val="20"/>
                <w:color w:val="auto"/>
              </w:rPr>
            </w:pPr>
            <w:r>
              <w:rPr>
                <w:rFonts w:ascii="Arial" w:cs="Arial" w:eastAsia="Arial" w:hAnsi="Arial"/>
                <w:sz w:val="14"/>
                <w:szCs w:val="14"/>
                <w:b w:val="1"/>
                <w:bCs w:val="1"/>
                <w:color w:val="auto"/>
                <w:w w:val="91"/>
              </w:rPr>
              <w:t>financial liabilities</w:t>
            </w:r>
          </w:p>
        </w:tc>
        <w:tc>
          <w:tcPr>
            <w:tcW w:w="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gridSpan w:val="3"/>
          </w:tcPr>
          <w:p>
            <w:pPr>
              <w:jc w:val="center"/>
              <w:ind w:right="40"/>
              <w:spacing w:after="0" w:line="143" w:lineRule="exact"/>
              <w:rPr>
                <w:sz w:val="20"/>
                <w:szCs w:val="20"/>
                <w:color w:val="auto"/>
              </w:rPr>
            </w:pPr>
            <w:r>
              <w:rPr>
                <w:rFonts w:ascii="Arial" w:cs="Arial" w:eastAsia="Arial" w:hAnsi="Arial"/>
                <w:sz w:val="14"/>
                <w:szCs w:val="14"/>
                <w:b w:val="1"/>
                <w:bCs w:val="1"/>
                <w:color w:val="auto"/>
                <w:w w:val="85"/>
              </w:rPr>
              <w:t>offset in the</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00" w:type="dxa"/>
            <w:vAlign w:val="bottom"/>
            <w:gridSpan w:val="3"/>
          </w:tcPr>
          <w:p>
            <w:pPr>
              <w:jc w:val="center"/>
              <w:ind w:right="200"/>
              <w:spacing w:after="0" w:line="143" w:lineRule="exact"/>
              <w:rPr>
                <w:sz w:val="20"/>
                <w:szCs w:val="20"/>
                <w:color w:val="auto"/>
              </w:rPr>
            </w:pPr>
            <w:r>
              <w:rPr>
                <w:rFonts w:ascii="Arial" w:cs="Arial" w:eastAsia="Arial" w:hAnsi="Arial"/>
                <w:sz w:val="14"/>
                <w:szCs w:val="14"/>
                <w:b w:val="1"/>
                <w:bCs w:val="1"/>
                <w:color w:val="auto"/>
                <w:w w:val="86"/>
              </w:rPr>
              <w:t>presented in the</w:t>
            </w:r>
          </w:p>
        </w:tc>
        <w:tc>
          <w:tcPr>
            <w:tcW w:w="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280" w:type="dxa"/>
            <w:vAlign w:val="bottom"/>
          </w:tcPr>
          <w:p>
            <w:pPr>
              <w:spacing w:after="0"/>
              <w:rPr>
                <w:sz w:val="13"/>
                <w:szCs w:val="13"/>
                <w:color w:val="auto"/>
              </w:rPr>
            </w:pPr>
          </w:p>
        </w:tc>
        <w:tc>
          <w:tcPr>
            <w:tcW w:w="1100" w:type="dxa"/>
            <w:vAlign w:val="bottom"/>
            <w:gridSpan w:val="2"/>
          </w:tcPr>
          <w:p>
            <w:pPr>
              <w:ind w:left="120"/>
              <w:spacing w:after="0" w:line="153" w:lineRule="exact"/>
              <w:rPr>
                <w:sz w:val="20"/>
                <w:szCs w:val="20"/>
                <w:color w:val="auto"/>
              </w:rPr>
            </w:pPr>
            <w:r>
              <w:rPr>
                <w:rFonts w:ascii="Arial" w:cs="Arial" w:eastAsia="Arial" w:hAnsi="Arial"/>
                <w:sz w:val="14"/>
                <w:szCs w:val="14"/>
                <w:b w:val="1"/>
                <w:bCs w:val="1"/>
                <w:color w:val="auto"/>
                <w:w w:val="93"/>
              </w:rPr>
              <w:t>Gross amounts</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gridSpan w:val="3"/>
          </w:tcPr>
          <w:p>
            <w:pPr>
              <w:jc w:val="center"/>
              <w:ind w:right="60"/>
              <w:spacing w:after="0" w:line="153" w:lineRule="exact"/>
              <w:rPr>
                <w:sz w:val="20"/>
                <w:szCs w:val="20"/>
                <w:color w:val="auto"/>
              </w:rPr>
            </w:pPr>
            <w:r>
              <w:rPr>
                <w:rFonts w:ascii="Arial" w:cs="Arial" w:eastAsia="Arial" w:hAnsi="Arial"/>
                <w:sz w:val="14"/>
                <w:szCs w:val="14"/>
                <w:b w:val="1"/>
                <w:bCs w:val="1"/>
                <w:color w:val="auto"/>
                <w:w w:val="85"/>
              </w:rPr>
              <w:t>consolidated</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00" w:type="dxa"/>
            <w:vAlign w:val="bottom"/>
            <w:gridSpan w:val="3"/>
          </w:tcPr>
          <w:p>
            <w:pPr>
              <w:jc w:val="center"/>
              <w:ind w:right="200"/>
              <w:spacing w:after="0" w:line="153" w:lineRule="exact"/>
              <w:rPr>
                <w:sz w:val="20"/>
                <w:szCs w:val="20"/>
                <w:color w:val="auto"/>
              </w:rPr>
            </w:pPr>
            <w:r>
              <w:rPr>
                <w:rFonts w:ascii="Arial" w:cs="Arial" w:eastAsia="Arial" w:hAnsi="Arial"/>
                <w:sz w:val="14"/>
                <w:szCs w:val="14"/>
                <w:b w:val="1"/>
                <w:bCs w:val="1"/>
                <w:color w:val="auto"/>
                <w:w w:val="85"/>
              </w:rPr>
              <w:t>consolidated</w:t>
            </w:r>
          </w:p>
        </w:tc>
        <w:tc>
          <w:tcPr>
            <w:tcW w:w="80" w:type="dxa"/>
            <w:vAlign w:val="bottom"/>
          </w:tcPr>
          <w:p>
            <w:pPr>
              <w:spacing w:after="0"/>
              <w:rPr>
                <w:sz w:val="13"/>
                <w:szCs w:val="13"/>
                <w:color w:val="auto"/>
              </w:rPr>
            </w:pPr>
          </w:p>
        </w:tc>
        <w:tc>
          <w:tcPr>
            <w:tcW w:w="3100" w:type="dxa"/>
            <w:vAlign w:val="bottom"/>
            <w:gridSpan w:val="9"/>
          </w:tcPr>
          <w:p>
            <w:pPr>
              <w:ind w:left="20"/>
              <w:spacing w:after="0" w:line="153" w:lineRule="exact"/>
              <w:rPr>
                <w:sz w:val="20"/>
                <w:szCs w:val="20"/>
                <w:color w:val="auto"/>
              </w:rPr>
            </w:pPr>
            <w:r>
              <w:rPr>
                <w:rFonts w:ascii="Arial" w:cs="Arial" w:eastAsia="Arial" w:hAnsi="Arial"/>
                <w:sz w:val="14"/>
                <w:szCs w:val="14"/>
                <w:b w:val="1"/>
                <w:bCs w:val="1"/>
                <w:color w:val="auto"/>
                <w:w w:val="98"/>
              </w:rPr>
              <w:t>Related amounts not offset in the consolidated</w:t>
            </w:r>
          </w:p>
        </w:tc>
        <w:tc>
          <w:tcPr>
            <w:tcW w:w="9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280" w:type="dxa"/>
            <w:vAlign w:val="bottom"/>
          </w:tcPr>
          <w:p>
            <w:pPr>
              <w:spacing w:after="0"/>
              <w:rPr>
                <w:sz w:val="14"/>
                <w:szCs w:val="14"/>
                <w:color w:val="auto"/>
              </w:rPr>
            </w:pPr>
          </w:p>
        </w:tc>
        <w:tc>
          <w:tcPr>
            <w:tcW w:w="1180" w:type="dxa"/>
            <w:vAlign w:val="bottom"/>
            <w:gridSpan w:val="3"/>
          </w:tcPr>
          <w:p>
            <w:pPr>
              <w:jc w:val="center"/>
              <w:spacing w:after="0"/>
              <w:rPr>
                <w:sz w:val="20"/>
                <w:szCs w:val="20"/>
                <w:color w:val="auto"/>
              </w:rPr>
            </w:pPr>
            <w:r>
              <w:rPr>
                <w:rFonts w:ascii="Arial" w:cs="Arial" w:eastAsia="Arial" w:hAnsi="Arial"/>
                <w:sz w:val="14"/>
                <w:szCs w:val="14"/>
                <w:b w:val="1"/>
                <w:bCs w:val="1"/>
                <w:color w:val="auto"/>
                <w:w w:val="87"/>
              </w:rPr>
              <w:t>recognized financial</w:t>
            </w:r>
          </w:p>
        </w:tc>
        <w:tc>
          <w:tcPr>
            <w:tcW w:w="180" w:type="dxa"/>
            <w:vAlign w:val="bottom"/>
          </w:tcPr>
          <w:p>
            <w:pPr>
              <w:spacing w:after="0"/>
              <w:rPr>
                <w:sz w:val="14"/>
                <w:szCs w:val="14"/>
                <w:color w:val="auto"/>
              </w:rPr>
            </w:pPr>
          </w:p>
        </w:tc>
        <w:tc>
          <w:tcPr>
            <w:tcW w:w="1080" w:type="dxa"/>
            <w:vAlign w:val="bottom"/>
            <w:gridSpan w:val="3"/>
          </w:tcPr>
          <w:p>
            <w:pPr>
              <w:jc w:val="center"/>
              <w:spacing w:after="0"/>
              <w:rPr>
                <w:sz w:val="20"/>
                <w:szCs w:val="20"/>
                <w:color w:val="auto"/>
              </w:rPr>
            </w:pPr>
            <w:r>
              <w:rPr>
                <w:rFonts w:ascii="Arial" w:cs="Arial" w:eastAsia="Arial" w:hAnsi="Arial"/>
                <w:sz w:val="14"/>
                <w:szCs w:val="14"/>
                <w:b w:val="1"/>
                <w:bCs w:val="1"/>
                <w:color w:val="auto"/>
                <w:w w:val="86"/>
              </w:rPr>
              <w:t>statement of</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85"/>
              </w:rPr>
              <w:t>statements of</w:t>
            </w:r>
          </w:p>
        </w:tc>
        <w:tc>
          <w:tcPr>
            <w:tcW w:w="80" w:type="dxa"/>
            <w:vAlign w:val="bottom"/>
          </w:tcPr>
          <w:p>
            <w:pPr>
              <w:spacing w:after="0"/>
              <w:rPr>
                <w:sz w:val="14"/>
                <w:szCs w:val="14"/>
                <w:color w:val="auto"/>
              </w:rPr>
            </w:pPr>
          </w:p>
        </w:tc>
        <w:tc>
          <w:tcPr>
            <w:tcW w:w="3100" w:type="dxa"/>
            <w:vAlign w:val="bottom"/>
            <w:gridSpan w:val="9"/>
          </w:tcPr>
          <w:p>
            <w:pPr>
              <w:ind w:left="500"/>
              <w:spacing w:after="0"/>
              <w:rPr>
                <w:sz w:val="20"/>
                <w:szCs w:val="20"/>
                <w:color w:val="auto"/>
              </w:rPr>
            </w:pPr>
            <w:r>
              <w:rPr>
                <w:rFonts w:ascii="Arial" w:cs="Arial" w:eastAsia="Arial" w:hAnsi="Arial"/>
                <w:sz w:val="14"/>
                <w:szCs w:val="14"/>
                <w:b w:val="1"/>
                <w:bCs w:val="1"/>
                <w:color w:val="auto"/>
              </w:rPr>
              <w:t>statement of financial position</w:t>
            </w:r>
          </w:p>
        </w:tc>
        <w:tc>
          <w:tcPr>
            <w:tcW w:w="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80" w:type="dxa"/>
            <w:vAlign w:val="bottom"/>
          </w:tcPr>
          <w:p>
            <w:pPr>
              <w:spacing w:after="0"/>
              <w:rPr>
                <w:sz w:val="12"/>
                <w:szCs w:val="12"/>
                <w:color w:val="auto"/>
              </w:rPr>
            </w:pPr>
          </w:p>
        </w:tc>
        <w:tc>
          <w:tcPr>
            <w:tcW w:w="1100" w:type="dxa"/>
            <w:vAlign w:val="bottom"/>
            <w:gridSpan w:val="2"/>
          </w:tcPr>
          <w:p>
            <w:pPr>
              <w:jc w:val="center"/>
              <w:ind w:left="12"/>
              <w:spacing w:after="0" w:line="149" w:lineRule="exact"/>
              <w:rPr>
                <w:sz w:val="20"/>
                <w:szCs w:val="20"/>
                <w:color w:val="auto"/>
              </w:rPr>
            </w:pPr>
            <w:r>
              <w:rPr>
                <w:rFonts w:ascii="Arial" w:cs="Arial" w:eastAsia="Arial" w:hAnsi="Arial"/>
                <w:sz w:val="14"/>
                <w:szCs w:val="14"/>
                <w:b w:val="1"/>
                <w:bCs w:val="1"/>
                <w:color w:val="auto"/>
                <w:w w:val="90"/>
              </w:rPr>
              <w:t>liabilities</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88"/>
              </w:rPr>
              <w:t>financial position</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0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88"/>
              </w:rPr>
              <w:t>financial position</w:t>
            </w:r>
          </w:p>
        </w:tc>
        <w:tc>
          <w:tcPr>
            <w:tcW w:w="1480" w:type="dxa"/>
            <w:vAlign w:val="bottom"/>
            <w:tcBorders>
              <w:top w:val="single" w:sz="8" w:color="auto"/>
            </w:tcBorders>
            <w:gridSpan w:val="4"/>
          </w:tcPr>
          <w:p>
            <w:pPr>
              <w:jc w:val="right"/>
              <w:ind w:right="140"/>
              <w:spacing w:after="0" w:line="149" w:lineRule="exact"/>
              <w:rPr>
                <w:sz w:val="20"/>
                <w:szCs w:val="20"/>
                <w:color w:val="auto"/>
              </w:rPr>
            </w:pPr>
            <w:r>
              <w:rPr>
                <w:rFonts w:ascii="Arial" w:cs="Arial" w:eastAsia="Arial" w:hAnsi="Arial"/>
                <w:sz w:val="14"/>
                <w:szCs w:val="14"/>
                <w:b w:val="1"/>
                <w:bCs w:val="1"/>
                <w:color w:val="auto"/>
                <w:w w:val="88"/>
              </w:rPr>
              <w:t>Financial instruments</w:t>
            </w:r>
          </w:p>
        </w:tc>
        <w:tc>
          <w:tcPr>
            <w:tcW w:w="1460" w:type="dxa"/>
            <w:vAlign w:val="bottom"/>
            <w:tcBorders>
              <w:top w:val="single" w:sz="8" w:color="auto"/>
            </w:tcBorders>
            <w:gridSpan w:val="3"/>
          </w:tcPr>
          <w:p>
            <w:pPr>
              <w:jc w:val="right"/>
              <w:spacing w:after="0" w:line="149" w:lineRule="exact"/>
              <w:rPr>
                <w:sz w:val="20"/>
                <w:szCs w:val="20"/>
                <w:color w:val="auto"/>
              </w:rPr>
            </w:pPr>
            <w:r>
              <w:rPr>
                <w:rFonts w:ascii="Arial" w:cs="Arial" w:eastAsia="Arial" w:hAnsi="Arial"/>
                <w:sz w:val="14"/>
                <w:szCs w:val="14"/>
                <w:b w:val="1"/>
                <w:bCs w:val="1"/>
                <w:color w:val="auto"/>
                <w:w w:val="91"/>
              </w:rPr>
              <w:t>Cash collateral pledged</w:t>
            </w:r>
          </w:p>
        </w:tc>
        <w:tc>
          <w:tcPr>
            <w:tcW w:w="240" w:type="dxa"/>
            <w:vAlign w:val="bottom"/>
            <w:gridSpan w:val="3"/>
          </w:tcPr>
          <w:p>
            <w:pPr>
              <w:spacing w:after="0"/>
              <w:rPr>
                <w:sz w:val="12"/>
                <w:szCs w:val="12"/>
                <w:color w:val="auto"/>
              </w:rPr>
            </w:pPr>
          </w:p>
        </w:tc>
        <w:tc>
          <w:tcPr>
            <w:tcW w:w="960" w:type="dxa"/>
            <w:vAlign w:val="bottom"/>
            <w:gridSpan w:val="3"/>
          </w:tcPr>
          <w:p>
            <w:pPr>
              <w:ind w:left="100"/>
              <w:spacing w:after="0" w:line="149" w:lineRule="exact"/>
              <w:rPr>
                <w:sz w:val="20"/>
                <w:szCs w:val="20"/>
                <w:color w:val="auto"/>
              </w:rPr>
            </w:pPr>
            <w:r>
              <w:rPr>
                <w:rFonts w:ascii="Arial" w:cs="Arial" w:eastAsia="Arial" w:hAnsi="Arial"/>
                <w:sz w:val="14"/>
                <w:szCs w:val="14"/>
                <w:b w:val="1"/>
                <w:bCs w:val="1"/>
                <w:color w:val="auto"/>
              </w:rPr>
              <w:t>Net amount</w:t>
            </w:r>
          </w:p>
        </w:tc>
        <w:tc>
          <w:tcPr>
            <w:tcW w:w="0" w:type="dxa"/>
            <w:vAlign w:val="bottom"/>
          </w:tcPr>
          <w:p>
            <w:pPr>
              <w:spacing w:after="0"/>
              <w:rPr>
                <w:sz w:val="1"/>
                <w:szCs w:val="1"/>
                <w:color w:val="auto"/>
              </w:rPr>
            </w:pPr>
          </w:p>
        </w:tc>
      </w:tr>
      <w:tr>
        <w:trPr>
          <w:trHeight w:val="117"/>
        </w:trPr>
        <w:tc>
          <w:tcPr>
            <w:tcW w:w="280" w:type="dxa"/>
            <w:vAlign w:val="bottom"/>
          </w:tcPr>
          <w:p>
            <w:pPr>
              <w:spacing w:after="0"/>
              <w:rPr>
                <w:sz w:val="10"/>
                <w:szCs w:val="10"/>
                <w:color w:val="auto"/>
              </w:rPr>
            </w:pPr>
          </w:p>
        </w:tc>
        <w:tc>
          <w:tcPr>
            <w:tcW w:w="1100" w:type="dxa"/>
            <w:vAlign w:val="bottom"/>
            <w:tcBorders>
              <w:top w:val="single" w:sz="8" w:color="auto"/>
            </w:tcBorders>
            <w:gridSpan w:val="2"/>
          </w:tcPr>
          <w:p>
            <w:pPr>
              <w:jc w:val="center"/>
              <w:ind w:left="12"/>
              <w:spacing w:after="0" w:line="118" w:lineRule="exact"/>
              <w:rPr>
                <w:sz w:val="20"/>
                <w:szCs w:val="20"/>
                <w:color w:val="auto"/>
              </w:rPr>
            </w:pPr>
            <w:r>
              <w:rPr>
                <w:rFonts w:ascii="Arial" w:cs="Arial" w:eastAsia="Arial" w:hAnsi="Arial"/>
                <w:sz w:val="13"/>
                <w:szCs w:val="13"/>
                <w:b w:val="1"/>
                <w:bCs w:val="1"/>
                <w:color w:val="auto"/>
                <w:w w:val="98"/>
              </w:rPr>
              <w:t>S/(000)</w:t>
            </w:r>
          </w:p>
        </w:tc>
        <w:tc>
          <w:tcPr>
            <w:tcW w:w="80" w:type="dxa"/>
            <w:vAlign w:val="bottom"/>
            <w:tcBorders>
              <w:top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1060" w:type="dxa"/>
            <w:vAlign w:val="bottom"/>
            <w:tcBorders>
              <w:top w:val="single" w:sz="8" w:color="auto"/>
            </w:tcBorders>
            <w:gridSpan w:val="2"/>
          </w:tcPr>
          <w:p>
            <w:pPr>
              <w:jc w:val="right"/>
              <w:ind w:right="320"/>
              <w:spacing w:after="0" w:line="118" w:lineRule="exact"/>
              <w:rPr>
                <w:sz w:val="20"/>
                <w:szCs w:val="20"/>
                <w:color w:val="auto"/>
              </w:rPr>
            </w:pPr>
            <w:r>
              <w:rPr>
                <w:rFonts w:ascii="Arial" w:cs="Arial" w:eastAsia="Arial" w:hAnsi="Arial"/>
                <w:sz w:val="13"/>
                <w:szCs w:val="13"/>
                <w:b w:val="1"/>
                <w:bCs w:val="1"/>
                <w:color w:val="auto"/>
              </w:rPr>
              <w:t>S/(000)</w:t>
            </w: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20" w:type="dxa"/>
            <w:vAlign w:val="bottom"/>
            <w:tcBorders>
              <w:top w:val="single" w:sz="8" w:color="auto"/>
            </w:tcBorders>
          </w:tcPr>
          <w:p>
            <w:pPr>
              <w:jc w:val="center"/>
              <w:spacing w:after="0" w:line="118" w:lineRule="exact"/>
              <w:rPr>
                <w:sz w:val="20"/>
                <w:szCs w:val="20"/>
                <w:color w:val="auto"/>
              </w:rPr>
            </w:pPr>
            <w:r>
              <w:rPr>
                <w:rFonts w:ascii="Arial" w:cs="Arial" w:eastAsia="Arial" w:hAnsi="Arial"/>
                <w:sz w:val="13"/>
                <w:szCs w:val="13"/>
                <w:b w:val="1"/>
                <w:bCs w:val="1"/>
                <w:color w:val="auto"/>
                <w:w w:val="98"/>
              </w:rPr>
              <w:t>S/(000)</w:t>
            </w:r>
          </w:p>
        </w:tc>
        <w:tc>
          <w:tcPr>
            <w:tcW w:w="180" w:type="dxa"/>
            <w:vAlign w:val="bottom"/>
            <w:gridSpan w:val="2"/>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220" w:type="dxa"/>
            <w:vAlign w:val="bottom"/>
            <w:tcBorders>
              <w:top w:val="single" w:sz="8" w:color="auto"/>
            </w:tcBorders>
          </w:tcPr>
          <w:p>
            <w:pPr>
              <w:jc w:val="right"/>
              <w:ind w:right="372"/>
              <w:spacing w:after="0" w:line="118" w:lineRule="exact"/>
              <w:rPr>
                <w:sz w:val="20"/>
                <w:szCs w:val="20"/>
                <w:color w:val="auto"/>
              </w:rPr>
            </w:pPr>
            <w:r>
              <w:rPr>
                <w:rFonts w:ascii="Arial" w:cs="Arial" w:eastAsia="Arial" w:hAnsi="Arial"/>
                <w:sz w:val="13"/>
                <w:szCs w:val="13"/>
                <w:b w:val="1"/>
                <w:bCs w:val="1"/>
                <w:color w:val="auto"/>
              </w:rPr>
              <w:t>S/(000)</w:t>
            </w:r>
          </w:p>
        </w:tc>
        <w:tc>
          <w:tcPr>
            <w:tcW w:w="180" w:type="dxa"/>
            <w:vAlign w:val="bottom"/>
            <w:gridSpan w:val="2"/>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1320" w:type="dxa"/>
            <w:vAlign w:val="bottom"/>
            <w:tcBorders>
              <w:top w:val="single" w:sz="8" w:color="auto"/>
            </w:tcBorders>
          </w:tcPr>
          <w:p>
            <w:pPr>
              <w:jc w:val="right"/>
              <w:ind w:right="415"/>
              <w:spacing w:after="0" w:line="118" w:lineRule="exact"/>
              <w:rPr>
                <w:sz w:val="20"/>
                <w:szCs w:val="20"/>
                <w:color w:val="auto"/>
              </w:rPr>
            </w:pPr>
            <w:r>
              <w:rPr>
                <w:rFonts w:ascii="Arial" w:cs="Arial" w:eastAsia="Arial" w:hAnsi="Arial"/>
                <w:sz w:val="13"/>
                <w:szCs w:val="13"/>
                <w:b w:val="1"/>
                <w:bCs w:val="1"/>
                <w:color w:val="auto"/>
              </w:rPr>
              <w:t>S/(000)</w:t>
            </w:r>
          </w:p>
        </w:tc>
        <w:tc>
          <w:tcPr>
            <w:tcW w:w="200" w:type="dxa"/>
            <w:vAlign w:val="bottom"/>
            <w:gridSpan w:val="2"/>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tcPr>
          <w:p>
            <w:pPr>
              <w:ind w:left="240"/>
              <w:spacing w:after="0" w:line="118" w:lineRule="exact"/>
              <w:rPr>
                <w:sz w:val="20"/>
                <w:szCs w:val="20"/>
                <w:color w:val="auto"/>
              </w:rPr>
            </w:pPr>
            <w:r>
              <w:rPr>
                <w:rFonts w:ascii="Arial" w:cs="Arial" w:eastAsia="Arial" w:hAnsi="Arial"/>
                <w:sz w:val="13"/>
                <w:szCs w:val="13"/>
                <w:b w:val="1"/>
                <w:bCs w:val="1"/>
                <w:color w:val="auto"/>
              </w:rPr>
              <w:t>S/(000)</w:t>
            </w:r>
          </w:p>
        </w:tc>
        <w:tc>
          <w:tcPr>
            <w:tcW w:w="4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1460" w:type="dxa"/>
            <w:vAlign w:val="bottom"/>
            <w:gridSpan w:val="4"/>
          </w:tcPr>
          <w:p>
            <w:pPr>
              <w:jc w:val="right"/>
              <w:spacing w:after="0"/>
              <w:rPr>
                <w:sz w:val="20"/>
                <w:szCs w:val="20"/>
                <w:color w:val="auto"/>
              </w:rPr>
            </w:pPr>
            <w:r>
              <w:rPr>
                <w:rFonts w:ascii="Arial" w:cs="Arial" w:eastAsia="Arial" w:hAnsi="Arial"/>
                <w:sz w:val="14"/>
                <w:szCs w:val="14"/>
                <w:color w:val="auto"/>
              </w:rPr>
              <w:t>673,015</w:t>
            </w:r>
          </w:p>
        </w:tc>
        <w:tc>
          <w:tcPr>
            <w:tcW w:w="1260" w:type="dxa"/>
            <w:vAlign w:val="bottom"/>
            <w:gridSpan w:val="4"/>
          </w:tcPr>
          <w:p>
            <w:pPr>
              <w:jc w:val="right"/>
              <w:ind w:right="20"/>
              <w:spacing w:after="0"/>
              <w:rPr>
                <w:sz w:val="20"/>
                <w:szCs w:val="20"/>
                <w:color w:val="auto"/>
              </w:rPr>
            </w:pPr>
            <w:r>
              <w:rPr>
                <w:rFonts w:ascii="Arial" w:cs="Arial" w:eastAsia="Arial" w:hAnsi="Arial"/>
                <w:sz w:val="14"/>
                <w:szCs w:val="14"/>
                <w:color w:val="auto"/>
              </w:rPr>
              <w:t>-</w:t>
            </w:r>
          </w:p>
        </w:tc>
        <w:tc>
          <w:tcPr>
            <w:tcW w:w="1360" w:type="dxa"/>
            <w:vAlign w:val="bottom"/>
            <w:gridSpan w:val="4"/>
          </w:tcPr>
          <w:p>
            <w:pPr>
              <w:jc w:val="right"/>
              <w:ind w:right="80"/>
              <w:spacing w:after="0"/>
              <w:rPr>
                <w:sz w:val="20"/>
                <w:szCs w:val="20"/>
                <w:color w:val="auto"/>
              </w:rPr>
            </w:pPr>
            <w:r>
              <w:rPr>
                <w:rFonts w:ascii="Arial" w:cs="Arial" w:eastAsia="Arial" w:hAnsi="Arial"/>
                <w:sz w:val="14"/>
                <w:szCs w:val="14"/>
                <w:color w:val="auto"/>
              </w:rPr>
              <w:t>673,015</w:t>
            </w:r>
          </w:p>
        </w:tc>
        <w:tc>
          <w:tcPr>
            <w:tcW w:w="100" w:type="dxa"/>
            <w:vAlign w:val="bottom"/>
          </w:tcPr>
          <w:p>
            <w:pPr>
              <w:spacing w:after="0"/>
              <w:rPr>
                <w:sz w:val="15"/>
                <w:szCs w:val="15"/>
                <w:color w:val="auto"/>
              </w:rPr>
            </w:pPr>
          </w:p>
        </w:tc>
        <w:tc>
          <w:tcPr>
            <w:tcW w:w="1360" w:type="dxa"/>
            <w:vAlign w:val="bottom"/>
            <w:gridSpan w:val="3"/>
          </w:tcPr>
          <w:p>
            <w:pPr>
              <w:jc w:val="right"/>
              <w:spacing w:after="0"/>
              <w:rPr>
                <w:sz w:val="20"/>
                <w:szCs w:val="20"/>
                <w:color w:val="auto"/>
              </w:rPr>
            </w:pPr>
            <w:r>
              <w:rPr>
                <w:rFonts w:ascii="Arial" w:cs="Arial" w:eastAsia="Arial" w:hAnsi="Arial"/>
                <w:sz w:val="14"/>
                <w:szCs w:val="14"/>
                <w:color w:val="auto"/>
              </w:rPr>
              <w:t>(416,084)</w:t>
            </w:r>
          </w:p>
        </w:tc>
        <w:tc>
          <w:tcPr>
            <w:tcW w:w="120" w:type="dxa"/>
            <w:vAlign w:val="bottom"/>
          </w:tcPr>
          <w:p>
            <w:pPr>
              <w:spacing w:after="0"/>
              <w:rPr>
                <w:sz w:val="15"/>
                <w:szCs w:val="15"/>
                <w:color w:val="auto"/>
              </w:rPr>
            </w:pPr>
          </w:p>
        </w:tc>
        <w:tc>
          <w:tcPr>
            <w:tcW w:w="1520" w:type="dxa"/>
            <w:vAlign w:val="bottom"/>
            <w:gridSpan w:val="4"/>
          </w:tcPr>
          <w:p>
            <w:pPr>
              <w:jc w:val="right"/>
              <w:spacing w:after="0"/>
              <w:rPr>
                <w:sz w:val="20"/>
                <w:szCs w:val="20"/>
                <w:color w:val="auto"/>
              </w:rPr>
            </w:pPr>
            <w:r>
              <w:rPr>
                <w:rFonts w:ascii="Arial" w:cs="Arial" w:eastAsia="Arial" w:hAnsi="Arial"/>
                <w:sz w:val="14"/>
                <w:szCs w:val="14"/>
                <w:color w:val="auto"/>
              </w:rPr>
              <w:t>(175,788)</w:t>
            </w: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20" w:type="dxa"/>
            <w:vAlign w:val="bottom"/>
          </w:tcPr>
          <w:p>
            <w:pPr>
              <w:ind w:left="540"/>
              <w:spacing w:after="0"/>
              <w:rPr>
                <w:sz w:val="20"/>
                <w:szCs w:val="20"/>
                <w:color w:val="auto"/>
              </w:rPr>
            </w:pPr>
            <w:r>
              <w:rPr>
                <w:rFonts w:ascii="Arial" w:cs="Arial" w:eastAsia="Arial" w:hAnsi="Arial"/>
                <w:sz w:val="14"/>
                <w:szCs w:val="14"/>
                <w:color w:val="auto"/>
                <w:w w:val="83"/>
              </w:rPr>
              <w:t>81,143</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8"/>
        </w:trPr>
        <w:tc>
          <w:tcPr>
            <w:tcW w:w="1460" w:type="dxa"/>
            <w:vAlign w:val="bottom"/>
            <w:gridSpan w:val="4"/>
          </w:tcPr>
          <w:p>
            <w:pPr>
              <w:jc w:val="right"/>
              <w:spacing w:after="0"/>
              <w:rPr>
                <w:sz w:val="20"/>
                <w:szCs w:val="20"/>
                <w:color w:val="auto"/>
              </w:rPr>
            </w:pPr>
            <w:r>
              <w:rPr>
                <w:rFonts w:ascii="Arial" w:cs="Arial" w:eastAsia="Arial" w:hAnsi="Arial"/>
                <w:sz w:val="14"/>
                <w:szCs w:val="14"/>
                <w:color w:val="auto"/>
              </w:rPr>
              <w:t>15,127,999</w:t>
            </w:r>
          </w:p>
        </w:tc>
        <w:tc>
          <w:tcPr>
            <w:tcW w:w="1260" w:type="dxa"/>
            <w:vAlign w:val="bottom"/>
            <w:gridSpan w:val="4"/>
          </w:tcPr>
          <w:p>
            <w:pPr>
              <w:jc w:val="right"/>
              <w:ind w:right="20"/>
              <w:spacing w:after="0"/>
              <w:rPr>
                <w:sz w:val="20"/>
                <w:szCs w:val="20"/>
                <w:color w:val="auto"/>
              </w:rPr>
            </w:pPr>
            <w:r>
              <w:rPr>
                <w:rFonts w:ascii="Arial" w:cs="Arial" w:eastAsia="Arial" w:hAnsi="Arial"/>
                <w:sz w:val="14"/>
                <w:szCs w:val="14"/>
                <w:color w:val="auto"/>
              </w:rPr>
              <w:t>-</w:t>
            </w:r>
          </w:p>
        </w:tc>
        <w:tc>
          <w:tcPr>
            <w:tcW w:w="1360" w:type="dxa"/>
            <w:vAlign w:val="bottom"/>
            <w:gridSpan w:val="4"/>
          </w:tcPr>
          <w:p>
            <w:pPr>
              <w:jc w:val="right"/>
              <w:ind w:right="80"/>
              <w:spacing w:after="0"/>
              <w:rPr>
                <w:sz w:val="20"/>
                <w:szCs w:val="20"/>
                <w:color w:val="auto"/>
              </w:rPr>
            </w:pPr>
            <w:r>
              <w:rPr>
                <w:rFonts w:ascii="Arial" w:cs="Arial" w:eastAsia="Arial" w:hAnsi="Arial"/>
                <w:sz w:val="14"/>
                <w:szCs w:val="14"/>
                <w:color w:val="auto"/>
              </w:rPr>
              <w:t>15,127,999</w:t>
            </w:r>
          </w:p>
        </w:tc>
        <w:tc>
          <w:tcPr>
            <w:tcW w:w="100" w:type="dxa"/>
            <w:vAlign w:val="bottom"/>
          </w:tcPr>
          <w:p>
            <w:pPr>
              <w:spacing w:after="0"/>
              <w:rPr>
                <w:sz w:val="24"/>
                <w:szCs w:val="24"/>
                <w:color w:val="auto"/>
              </w:rPr>
            </w:pPr>
          </w:p>
        </w:tc>
        <w:tc>
          <w:tcPr>
            <w:tcW w:w="1360" w:type="dxa"/>
            <w:vAlign w:val="bottom"/>
            <w:gridSpan w:val="3"/>
          </w:tcPr>
          <w:p>
            <w:pPr>
              <w:jc w:val="right"/>
              <w:spacing w:after="0"/>
              <w:rPr>
                <w:sz w:val="20"/>
                <w:szCs w:val="20"/>
                <w:color w:val="auto"/>
              </w:rPr>
            </w:pPr>
            <w:r>
              <w:rPr>
                <w:rFonts w:ascii="Arial" w:cs="Arial" w:eastAsia="Arial" w:hAnsi="Arial"/>
                <w:sz w:val="14"/>
                <w:szCs w:val="14"/>
                <w:color w:val="auto"/>
              </w:rPr>
              <w:t>(4,476,984)</w:t>
            </w:r>
          </w:p>
        </w:tc>
        <w:tc>
          <w:tcPr>
            <w:tcW w:w="120" w:type="dxa"/>
            <w:vAlign w:val="bottom"/>
          </w:tcPr>
          <w:p>
            <w:pPr>
              <w:spacing w:after="0"/>
              <w:rPr>
                <w:sz w:val="24"/>
                <w:szCs w:val="24"/>
                <w:color w:val="auto"/>
              </w:rPr>
            </w:pPr>
          </w:p>
        </w:tc>
        <w:tc>
          <w:tcPr>
            <w:tcW w:w="1520" w:type="dxa"/>
            <w:vAlign w:val="bottom"/>
            <w:gridSpan w:val="4"/>
          </w:tcPr>
          <w:p>
            <w:pPr>
              <w:jc w:val="right"/>
              <w:spacing w:after="0"/>
              <w:rPr>
                <w:sz w:val="20"/>
                <w:szCs w:val="20"/>
                <w:color w:val="auto"/>
              </w:rPr>
            </w:pPr>
            <w:r>
              <w:rPr>
                <w:rFonts w:ascii="Arial" w:cs="Arial" w:eastAsia="Arial" w:hAnsi="Arial"/>
                <w:sz w:val="14"/>
                <w:szCs w:val="14"/>
                <w:color w:val="auto"/>
              </w:rPr>
              <w:t>(10,621,045)</w:t>
            </w: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20" w:type="dxa"/>
            <w:vAlign w:val="bottom"/>
          </w:tcPr>
          <w:p>
            <w:pPr>
              <w:ind w:left="540"/>
              <w:spacing w:after="0"/>
              <w:rPr>
                <w:sz w:val="20"/>
                <w:szCs w:val="20"/>
                <w:color w:val="auto"/>
              </w:rPr>
            </w:pPr>
            <w:r>
              <w:rPr>
                <w:rFonts w:ascii="Arial" w:cs="Arial" w:eastAsia="Arial" w:hAnsi="Arial"/>
                <w:sz w:val="14"/>
                <w:szCs w:val="14"/>
                <w:color w:val="auto"/>
                <w:w w:val="83"/>
              </w:rPr>
              <w:t>29,970</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280" w:type="dxa"/>
            <w:vAlign w:val="bottom"/>
          </w:tcPr>
          <w:p>
            <w:pPr>
              <w:spacing w:after="0"/>
              <w:rPr>
                <w:sz w:val="13"/>
                <w:szCs w:val="13"/>
                <w:color w:val="auto"/>
              </w:rPr>
            </w:pPr>
          </w:p>
        </w:tc>
        <w:tc>
          <w:tcPr>
            <w:tcW w:w="1180" w:type="dxa"/>
            <w:vAlign w:val="bottom"/>
            <w:tcBorders>
              <w:top w:val="single" w:sz="8" w:color="auto"/>
              <w:bottom w:val="single" w:sz="8" w:color="auto"/>
            </w:tcBorders>
            <w:gridSpan w:val="3"/>
          </w:tcPr>
          <w:p>
            <w:pPr>
              <w:jc w:val="right"/>
              <w:spacing w:after="0" w:line="156" w:lineRule="exact"/>
              <w:rPr>
                <w:sz w:val="20"/>
                <w:szCs w:val="20"/>
                <w:color w:val="auto"/>
              </w:rPr>
            </w:pPr>
            <w:r>
              <w:rPr>
                <w:rFonts w:ascii="Arial" w:cs="Arial" w:eastAsia="Arial" w:hAnsi="Arial"/>
                <w:sz w:val="14"/>
                <w:szCs w:val="14"/>
                <w:color w:val="auto"/>
              </w:rPr>
              <w:t>15,801,014</w:t>
            </w:r>
          </w:p>
        </w:tc>
        <w:tc>
          <w:tcPr>
            <w:tcW w:w="180" w:type="dxa"/>
            <w:vAlign w:val="bottom"/>
          </w:tcPr>
          <w:p>
            <w:pPr>
              <w:spacing w:after="0"/>
              <w:rPr>
                <w:sz w:val="13"/>
                <w:szCs w:val="13"/>
                <w:color w:val="auto"/>
              </w:rPr>
            </w:pPr>
          </w:p>
        </w:tc>
        <w:tc>
          <w:tcPr>
            <w:tcW w:w="1060" w:type="dxa"/>
            <w:vAlign w:val="bottom"/>
            <w:tcBorders>
              <w:top w:val="single" w:sz="8" w:color="auto"/>
              <w:bottom w:val="single" w:sz="8" w:color="auto"/>
            </w:tcBorders>
            <w:gridSpan w:val="2"/>
          </w:tcPr>
          <w:p>
            <w:pPr>
              <w:jc w:val="right"/>
              <w:spacing w:after="0" w:line="156"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160" w:type="dxa"/>
            <w:vAlign w:val="bottom"/>
            <w:gridSpan w:val="2"/>
          </w:tcPr>
          <w:p>
            <w:pPr>
              <w:spacing w:after="0"/>
              <w:rPr>
                <w:sz w:val="13"/>
                <w:szCs w:val="13"/>
                <w:color w:val="auto"/>
              </w:rPr>
            </w:pPr>
          </w:p>
        </w:tc>
        <w:tc>
          <w:tcPr>
            <w:tcW w:w="1120" w:type="dxa"/>
            <w:vAlign w:val="bottom"/>
            <w:tcBorders>
              <w:top w:val="single" w:sz="8" w:color="auto"/>
              <w:bottom w:val="single" w:sz="8" w:color="auto"/>
            </w:tcBorders>
          </w:tcPr>
          <w:p>
            <w:pPr>
              <w:jc w:val="right"/>
              <w:spacing w:after="0" w:line="156" w:lineRule="exact"/>
              <w:rPr>
                <w:sz w:val="20"/>
                <w:szCs w:val="20"/>
                <w:color w:val="auto"/>
              </w:rPr>
            </w:pPr>
            <w:r>
              <w:rPr>
                <w:rFonts w:ascii="Arial" w:cs="Arial" w:eastAsia="Arial" w:hAnsi="Arial"/>
                <w:sz w:val="14"/>
                <w:szCs w:val="14"/>
                <w:color w:val="auto"/>
              </w:rPr>
              <w:t>15,801,014</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00" w:type="dxa"/>
            <w:vAlign w:val="bottom"/>
            <w:tcBorders>
              <w:top w:val="single" w:sz="8" w:color="auto"/>
              <w:bottom w:val="single" w:sz="8" w:color="auto"/>
            </w:tcBorders>
            <w:gridSpan w:val="2"/>
          </w:tcPr>
          <w:p>
            <w:pPr>
              <w:jc w:val="right"/>
              <w:spacing w:after="0" w:line="156" w:lineRule="exact"/>
              <w:rPr>
                <w:sz w:val="20"/>
                <w:szCs w:val="20"/>
                <w:color w:val="auto"/>
              </w:rPr>
            </w:pPr>
            <w:r>
              <w:rPr>
                <w:rFonts w:ascii="Arial" w:cs="Arial" w:eastAsia="Arial" w:hAnsi="Arial"/>
                <w:sz w:val="14"/>
                <w:szCs w:val="14"/>
                <w:color w:val="auto"/>
              </w:rPr>
              <w:t>(4,893,068</w:t>
            </w:r>
          </w:p>
        </w:tc>
        <w:tc>
          <w:tcPr>
            <w:tcW w:w="60" w:type="dxa"/>
            <w:vAlign w:val="bottom"/>
          </w:tcPr>
          <w:p>
            <w:pPr>
              <w:jc w:val="right"/>
              <w:spacing w:after="0"/>
              <w:rPr>
                <w:sz w:val="20"/>
                <w:szCs w:val="20"/>
                <w:color w:val="auto"/>
              </w:rPr>
            </w:pPr>
            <w:r>
              <w:rPr>
                <w:rFonts w:ascii="Arial" w:cs="Arial" w:eastAsia="Arial" w:hAnsi="Arial"/>
                <w:sz w:val="8"/>
                <w:szCs w:val="8"/>
                <w:color w:val="auto"/>
                <w:w w:val="73"/>
              </w:rPr>
              <w:t>)</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80" w:type="dxa"/>
            <w:vAlign w:val="bottom"/>
            <w:tcBorders>
              <w:top w:val="single" w:sz="8" w:color="auto"/>
              <w:bottom w:val="single" w:sz="8" w:color="auto"/>
            </w:tcBorders>
            <w:gridSpan w:val="2"/>
          </w:tcPr>
          <w:p>
            <w:pPr>
              <w:jc w:val="right"/>
              <w:spacing w:after="0" w:line="156" w:lineRule="exact"/>
              <w:rPr>
                <w:sz w:val="20"/>
                <w:szCs w:val="20"/>
                <w:color w:val="auto"/>
              </w:rPr>
            </w:pPr>
            <w:r>
              <w:rPr>
                <w:rFonts w:ascii="Arial" w:cs="Arial" w:eastAsia="Arial" w:hAnsi="Arial"/>
                <w:sz w:val="14"/>
                <w:szCs w:val="14"/>
                <w:color w:val="auto"/>
              </w:rPr>
              <w:t>(10,796,833</w:t>
            </w:r>
          </w:p>
        </w:tc>
        <w:tc>
          <w:tcPr>
            <w:tcW w:w="60" w:type="dxa"/>
            <w:vAlign w:val="bottom"/>
          </w:tcPr>
          <w:p>
            <w:pPr>
              <w:jc w:val="right"/>
              <w:spacing w:after="0"/>
              <w:rPr>
                <w:sz w:val="20"/>
                <w:szCs w:val="20"/>
                <w:color w:val="auto"/>
              </w:rPr>
            </w:pPr>
            <w:r>
              <w:rPr>
                <w:rFonts w:ascii="Arial" w:cs="Arial" w:eastAsia="Arial" w:hAnsi="Arial"/>
                <w:sz w:val="8"/>
                <w:szCs w:val="8"/>
                <w:color w:val="auto"/>
                <w:w w:val="73"/>
              </w:rPr>
              <w:t>)</w:t>
            </w:r>
          </w:p>
        </w:tc>
        <w:tc>
          <w:tcPr>
            <w:tcW w:w="140" w:type="dxa"/>
            <w:vAlign w:val="bottom"/>
          </w:tcPr>
          <w:p>
            <w:pPr>
              <w:spacing w:after="0"/>
              <w:rPr>
                <w:sz w:val="13"/>
                <w:szCs w:val="13"/>
                <w:color w:val="auto"/>
              </w:rPr>
            </w:pPr>
          </w:p>
        </w:tc>
        <w:tc>
          <w:tcPr>
            <w:tcW w:w="40" w:type="dxa"/>
            <w:vAlign w:val="bottom"/>
            <w:tcBorders>
              <w:top w:val="single" w:sz="8" w:color="auto"/>
              <w:bottom w:val="single" w:sz="8" w:color="auto"/>
            </w:tcBorders>
          </w:tcPr>
          <w:p>
            <w:pPr>
              <w:spacing w:after="0"/>
              <w:rPr>
                <w:sz w:val="13"/>
                <w:szCs w:val="13"/>
                <w:color w:val="auto"/>
              </w:rPr>
            </w:pPr>
          </w:p>
        </w:tc>
        <w:tc>
          <w:tcPr>
            <w:tcW w:w="920" w:type="dxa"/>
            <w:vAlign w:val="bottom"/>
            <w:tcBorders>
              <w:top w:val="single" w:sz="8" w:color="auto"/>
              <w:bottom w:val="single" w:sz="8" w:color="auto"/>
            </w:tcBorders>
          </w:tcPr>
          <w:p>
            <w:pPr>
              <w:ind w:left="480"/>
              <w:spacing w:after="0" w:line="156" w:lineRule="exact"/>
              <w:rPr>
                <w:sz w:val="20"/>
                <w:szCs w:val="20"/>
                <w:color w:val="auto"/>
              </w:rPr>
            </w:pPr>
            <w:r>
              <w:rPr>
                <w:rFonts w:ascii="Arial" w:cs="Arial" w:eastAsia="Arial" w:hAnsi="Arial"/>
                <w:sz w:val="14"/>
                <w:szCs w:val="14"/>
                <w:color w:val="auto"/>
                <w:w w:val="82"/>
              </w:rPr>
              <w:t>111,113</w:t>
            </w:r>
          </w:p>
        </w:tc>
        <w:tc>
          <w:tcPr>
            <w:tcW w:w="20" w:type="dxa"/>
            <w:vAlign w:val="bottom"/>
            <w:tcBorders>
              <w:top w:val="single" w:sz="8" w:color="auto"/>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-1927225</wp:posOffset>
            </wp:positionH>
            <wp:positionV relativeFrom="paragraph">
              <wp:posOffset>-1822450</wp:posOffset>
            </wp:positionV>
            <wp:extent cx="7251700" cy="9080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51700" cy="90805"/>
                    </a:xfrm>
                    <a:prstGeom prst="rect">
                      <a:avLst/>
                    </a:prstGeom>
                    <a:noFill/>
                  </pic:spPr>
                </pic:pic>
              </a:graphicData>
            </a:graphic>
          </wp:anchor>
        </w:drawing>
        <w:drawing>
          <wp:anchor simplePos="0" relativeHeight="251657728" behindDoc="1" locked="0" layoutInCell="0" allowOverlap="1">
            <wp:simplePos x="0" y="0"/>
            <wp:positionH relativeFrom="column">
              <wp:posOffset>-1927225</wp:posOffset>
            </wp:positionH>
            <wp:positionV relativeFrom="paragraph">
              <wp:posOffset>-1542415</wp:posOffset>
            </wp:positionV>
            <wp:extent cx="7251700" cy="11557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51700" cy="115570"/>
                    </a:xfrm>
                    <a:prstGeom prst="rect">
                      <a:avLst/>
                    </a:prstGeom>
                    <a:noFill/>
                  </pic:spPr>
                </pic:pic>
              </a:graphicData>
            </a:graphic>
          </wp:anchor>
        </w:drawing>
        <w:drawing>
          <wp:anchor simplePos="0" relativeHeight="251657728" behindDoc="1" locked="0" layoutInCell="0" allowOverlap="1">
            <wp:simplePos x="0" y="0"/>
            <wp:positionH relativeFrom="column">
              <wp:posOffset>-1927225</wp:posOffset>
            </wp:positionH>
            <wp:positionV relativeFrom="paragraph">
              <wp:posOffset>-412115</wp:posOffset>
            </wp:positionV>
            <wp:extent cx="7251700" cy="9080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51700" cy="90805"/>
                    </a:xfrm>
                    <a:prstGeom prst="rect">
                      <a:avLst/>
                    </a:prstGeom>
                    <a:noFill/>
                  </pic:spPr>
                </pic:pic>
              </a:graphicData>
            </a:graphic>
          </wp:anchor>
        </w:drawing>
        <w:drawing>
          <wp:anchor simplePos="0" relativeHeight="251657728" behindDoc="1" locked="0" layoutInCell="0" allowOverlap="1">
            <wp:simplePos x="0" y="0"/>
            <wp:positionH relativeFrom="column">
              <wp:posOffset>-1927225</wp:posOffset>
            </wp:positionH>
            <wp:positionV relativeFrom="paragraph">
              <wp:posOffset>-131445</wp:posOffset>
            </wp:positionV>
            <wp:extent cx="7251700" cy="11557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51700" cy="115570"/>
                    </a:xfrm>
                    <a:prstGeom prst="rect">
                      <a:avLst/>
                    </a:prstGeom>
                    <a:noFill/>
                  </pic:spPr>
                </pic:pic>
              </a:graphicData>
            </a:graphic>
          </wp:anchor>
        </w:drawing>
      </w:r>
    </w:p>
    <w:p>
      <w:pPr>
        <w:spacing w:after="0" w:line="195" w:lineRule="exact"/>
        <w:rPr>
          <w:sz w:val="20"/>
          <w:szCs w:val="20"/>
          <w:color w:val="auto"/>
        </w:rPr>
      </w:pPr>
    </w:p>
    <w:p>
      <w:pPr>
        <w:sectPr>
          <w:pgSz w:w="11900" w:h="16838" w:orient="portrait"/>
          <w:cols w:equalWidth="0" w:num="2">
            <w:col w:w="2800" w:space="240"/>
            <w:col w:w="8340"/>
          </w:cols>
          <w:pgMar w:left="240" w:top="881" w:right="279" w:bottom="1440" w:gutter="0" w:footer="0" w:header="0"/>
          <w:type w:val="continuous"/>
        </w:sectPr>
      </w:pPr>
    </w:p>
    <w:p>
      <w:pPr>
        <w:spacing w:after="0" w:line="285" w:lineRule="auto"/>
        <w:rPr>
          <w:sz w:val="20"/>
          <w:szCs w:val="20"/>
          <w:color w:val="auto"/>
        </w:rPr>
      </w:pPr>
      <w:r>
        <w:rPr>
          <w:rFonts w:ascii="Arial" w:cs="Arial" w:eastAsia="Arial" w:hAnsi="Arial"/>
          <w:sz w:val="17"/>
          <w:szCs w:val="17"/>
          <w:color w:val="auto"/>
        </w:rPr>
        <w:t>The gross amounts of financial assets and liabilities and their net amounts disclosed in the above tables have been measured in the statement of financial position on the following basis:</w:t>
      </w:r>
    </w:p>
    <w:p>
      <w:pPr>
        <w:spacing w:after="0" w:line="159" w:lineRule="exact"/>
        <w:rPr>
          <w:sz w:val="20"/>
          <w:szCs w:val="20"/>
          <w:color w:val="auto"/>
        </w:rPr>
      </w:pPr>
    </w:p>
    <w:p>
      <w:pPr>
        <w:ind w:left="320" w:hanging="316"/>
        <w:spacing w:after="0"/>
        <w:tabs>
          <w:tab w:leader="none" w:pos="320" w:val="left"/>
        </w:tabs>
        <w:numPr>
          <w:ilvl w:val="0"/>
          <w:numId w:val="148"/>
        </w:numPr>
        <w:rPr>
          <w:rFonts w:ascii="Arial" w:cs="Arial" w:eastAsia="Arial" w:hAnsi="Arial"/>
          <w:sz w:val="17"/>
          <w:szCs w:val="17"/>
          <w:color w:val="auto"/>
        </w:rPr>
      </w:pPr>
      <w:r>
        <w:rPr>
          <w:rFonts w:ascii="Arial" w:cs="Arial" w:eastAsia="Arial" w:hAnsi="Arial"/>
          <w:sz w:val="17"/>
          <w:szCs w:val="17"/>
          <w:color w:val="auto"/>
        </w:rPr>
        <w:t>Derivative assets and liabilities are measured at fair value.</w:t>
      </w:r>
    </w:p>
    <w:p>
      <w:pPr>
        <w:spacing w:after="0" w:line="24" w:lineRule="exact"/>
        <w:rPr>
          <w:rFonts w:ascii="Arial" w:cs="Arial" w:eastAsia="Arial" w:hAnsi="Arial"/>
          <w:sz w:val="17"/>
          <w:szCs w:val="17"/>
          <w:color w:val="auto"/>
        </w:rPr>
      </w:pPr>
    </w:p>
    <w:p>
      <w:pPr>
        <w:ind w:left="320" w:right="320" w:hanging="316"/>
        <w:spacing w:after="0" w:line="255" w:lineRule="auto"/>
        <w:tabs>
          <w:tab w:leader="none" w:pos="320" w:val="left"/>
        </w:tabs>
        <w:numPr>
          <w:ilvl w:val="0"/>
          <w:numId w:val="148"/>
        </w:numPr>
        <w:rPr>
          <w:rFonts w:ascii="Arial" w:cs="Arial" w:eastAsia="Arial" w:hAnsi="Arial"/>
          <w:sz w:val="17"/>
          <w:szCs w:val="17"/>
          <w:color w:val="auto"/>
        </w:rPr>
      </w:pPr>
      <w:r>
        <w:rPr>
          <w:rFonts w:ascii="Arial" w:cs="Arial" w:eastAsia="Arial" w:hAnsi="Arial"/>
          <w:sz w:val="17"/>
          <w:szCs w:val="17"/>
          <w:color w:val="auto"/>
        </w:rPr>
        <w:t>Cash collateral and reverse repurchase agreements and security borrowing and payables from repurchase agreements and security lendings are measured at amortized cost.</w:t>
      </w:r>
    </w:p>
    <w:p>
      <w:pPr>
        <w:ind w:left="320" w:hanging="316"/>
        <w:spacing w:after="0"/>
        <w:tabs>
          <w:tab w:leader="none" w:pos="320" w:val="left"/>
        </w:tabs>
        <w:numPr>
          <w:ilvl w:val="0"/>
          <w:numId w:val="148"/>
        </w:numPr>
        <w:rPr>
          <w:rFonts w:ascii="Arial" w:cs="Arial" w:eastAsia="Arial" w:hAnsi="Arial"/>
          <w:sz w:val="17"/>
          <w:szCs w:val="17"/>
          <w:color w:val="auto"/>
        </w:rPr>
      </w:pPr>
      <w:r>
        <w:rPr>
          <w:rFonts w:ascii="Arial" w:cs="Arial" w:eastAsia="Arial" w:hAnsi="Arial"/>
          <w:sz w:val="17"/>
          <w:szCs w:val="17"/>
          <w:color w:val="auto"/>
        </w:rPr>
        <w:t>Financial liabilities are measured at fair value.</w:t>
      </w:r>
    </w:p>
    <w:p>
      <w:pPr>
        <w:spacing w:after="0" w:line="208" w:lineRule="exact"/>
        <w:rPr>
          <w:sz w:val="20"/>
          <w:szCs w:val="20"/>
          <w:color w:val="auto"/>
        </w:rPr>
      </w:pPr>
    </w:p>
    <w:p>
      <w:pPr>
        <w:ind w:right="400"/>
        <w:spacing w:after="0" w:line="322" w:lineRule="auto"/>
        <w:rPr>
          <w:sz w:val="20"/>
          <w:szCs w:val="20"/>
          <w:color w:val="auto"/>
        </w:rPr>
      </w:pPr>
      <w:r>
        <w:rPr>
          <w:rFonts w:ascii="Arial" w:cs="Arial" w:eastAsia="Arial" w:hAnsi="Arial"/>
          <w:sz w:val="15"/>
          <w:szCs w:val="15"/>
          <w:color w:val="auto"/>
        </w:rPr>
        <w:t>The difference between the carrying amount in the consolidated statement of financial position and the amounts presented in the tables above for derivatives (presented in other assets Note 12(b)), cash collateral and reverse repurchase agreement and security borrowing and payables from repurchase agreements and security and financial liabilities measured at fair value through profit or loss are financial instruments outside of the scope of offsetting disclosure.</w:t>
      </w:r>
    </w:p>
    <w:p>
      <w:pPr>
        <w:spacing w:after="0" w:line="345"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- 126 -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15875</wp:posOffset>
            </wp:positionV>
            <wp:extent cx="725170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51700" cy="8255"/>
                    </a:xfrm>
                    <a:prstGeom prst="rect">
                      <a:avLst/>
                    </a:prstGeom>
                    <a:noFill/>
                  </pic:spPr>
                </pic:pic>
              </a:graphicData>
            </a:graphic>
          </wp:anchor>
        </w:drawing>
      </w:r>
    </w:p>
    <w:p>
      <w:pPr>
        <w:sectPr>
          <w:pgSz w:w="11900" w:h="16838" w:orient="portrait"/>
          <w:cols w:equalWidth="0" w:num="1">
            <w:col w:w="11380"/>
          </w:cols>
          <w:pgMar w:left="240" w:top="881" w:right="279" w:bottom="1440" w:gutter="0" w:footer="0" w:header="0"/>
          <w:type w:val="continuous"/>
        </w:sectPr>
      </w:pPr>
    </w:p>
    <w:bookmarkStart w:id="132" w:name="page133"/>
    <w:bookmarkEnd w:id="132"/>
    <w:p>
      <w:pPr>
        <w:spacing w:after="0"/>
        <w:tabs>
          <w:tab w:leader="none" w:pos="500" w:val="left"/>
        </w:tabs>
        <w:rPr>
          <w:sz w:val="20"/>
          <w:szCs w:val="20"/>
          <w:color w:val="auto"/>
        </w:rPr>
      </w:pPr>
      <w:r>
        <w:rPr>
          <w:rFonts w:ascii="Arial" w:cs="Arial" w:eastAsia="Arial" w:hAnsi="Arial"/>
          <w:sz w:val="17"/>
          <w:szCs w:val="17"/>
          <w:b w:val="1"/>
          <w:bCs w:val="1"/>
          <w:color w:val="auto"/>
        </w:rPr>
        <w:t>32.2.</w:t>
      </w:r>
      <w:r>
        <w:rPr>
          <w:sz w:val="20"/>
          <w:szCs w:val="20"/>
          <w:color w:val="auto"/>
        </w:rPr>
        <w:tab/>
      </w:r>
      <w:r>
        <w:rPr>
          <w:rFonts w:ascii="Arial" w:cs="Arial" w:eastAsia="Arial" w:hAnsi="Arial"/>
          <w:sz w:val="16"/>
          <w:szCs w:val="16"/>
          <w:b w:val="1"/>
          <w:bCs w:val="1"/>
          <w:color w:val="auto"/>
        </w:rPr>
        <w:t>Market risk -</w:t>
      </w:r>
    </w:p>
    <w:p>
      <w:pPr>
        <w:spacing w:after="0" w:line="226" w:lineRule="exact"/>
        <w:rPr>
          <w:sz w:val="20"/>
          <w:szCs w:val="20"/>
          <w:color w:val="auto"/>
        </w:rPr>
      </w:pPr>
    </w:p>
    <w:p>
      <w:pPr>
        <w:spacing w:after="0" w:line="265" w:lineRule="auto"/>
        <w:rPr>
          <w:sz w:val="20"/>
          <w:szCs w:val="20"/>
          <w:color w:val="auto"/>
        </w:rPr>
      </w:pPr>
      <w:r>
        <w:rPr>
          <w:rFonts w:ascii="Arial" w:cs="Arial" w:eastAsia="Arial" w:hAnsi="Arial"/>
          <w:sz w:val="17"/>
          <w:szCs w:val="17"/>
          <w:color w:val="auto"/>
        </w:rPr>
        <w:t>The Group takes on exposure to market risks, which is the risk that the fair value or future cash flows of a financial instrument will fluctuate because of changes in market prices. Market risks arise from open positions in interest rates, currency, commodities and equity products; all of which are exposed to general and specific market movements and changes in the level of volatility of prices such as interest rates, credit spreads, foreign exchange rates and equity prices. Due to the nature of the Group’s current activities, commodity price risk is not applicable.</w:t>
      </w:r>
    </w:p>
    <w:p>
      <w:pPr>
        <w:spacing w:after="0" w:line="176" w:lineRule="exact"/>
        <w:rPr>
          <w:sz w:val="20"/>
          <w:szCs w:val="20"/>
          <w:color w:val="auto"/>
        </w:rPr>
      </w:pPr>
    </w:p>
    <w:p>
      <w:pPr>
        <w:jc w:val="both"/>
        <w:ind w:right="140"/>
        <w:spacing w:after="0" w:line="270" w:lineRule="auto"/>
        <w:rPr>
          <w:sz w:val="20"/>
          <w:szCs w:val="20"/>
          <w:color w:val="auto"/>
        </w:rPr>
      </w:pPr>
      <w:r>
        <w:rPr>
          <w:rFonts w:ascii="Arial" w:cs="Arial" w:eastAsia="Arial" w:hAnsi="Arial"/>
          <w:sz w:val="17"/>
          <w:szCs w:val="17"/>
          <w:color w:val="auto"/>
        </w:rPr>
        <w:t>The Group separates exposures to market risk into two groups: (i) those that arise from value fluctuation of trading portfolios due to movements of market rates or prices (Trading Book) and (ii) those that arise from changes in the structural positions of non-trading portfolios due to movements of the interest rates, prices and foreign exchange ratios (Banking Book).</w:t>
      </w:r>
    </w:p>
    <w:p>
      <w:pPr>
        <w:spacing w:after="0" w:line="172" w:lineRule="exact"/>
        <w:rPr>
          <w:sz w:val="20"/>
          <w:szCs w:val="20"/>
          <w:color w:val="auto"/>
        </w:rPr>
      </w:pPr>
    </w:p>
    <w:p>
      <w:pPr>
        <w:ind w:right="300"/>
        <w:spacing w:after="0" w:line="285" w:lineRule="auto"/>
        <w:rPr>
          <w:sz w:val="20"/>
          <w:szCs w:val="20"/>
          <w:color w:val="auto"/>
        </w:rPr>
      </w:pPr>
      <w:r>
        <w:rPr>
          <w:rFonts w:ascii="Arial" w:cs="Arial" w:eastAsia="Arial" w:hAnsi="Arial"/>
          <w:sz w:val="17"/>
          <w:szCs w:val="17"/>
          <w:color w:val="auto"/>
        </w:rPr>
        <w:t>The risks that trading portfolios face are managed through Value at Risk (VaR) historical simulation techniques; while non-trading portfolios (Trading book) are managed using Asset and Liability Management (ALM).</w:t>
      </w:r>
    </w:p>
    <w:p>
      <w:pPr>
        <w:spacing w:after="0" w:line="159" w:lineRule="exact"/>
        <w:rPr>
          <w:sz w:val="20"/>
          <w:szCs w:val="20"/>
          <w:color w:val="auto"/>
        </w:rPr>
      </w:pPr>
    </w:p>
    <w:p>
      <w:pPr>
        <w:ind w:left="320" w:hanging="316"/>
        <w:spacing w:after="0"/>
        <w:tabs>
          <w:tab w:leader="none" w:pos="320" w:val="left"/>
        </w:tabs>
        <w:numPr>
          <w:ilvl w:val="0"/>
          <w:numId w:val="149"/>
        </w:numPr>
        <w:rPr>
          <w:rFonts w:ascii="Arial" w:cs="Arial" w:eastAsia="Arial" w:hAnsi="Arial"/>
          <w:sz w:val="17"/>
          <w:szCs w:val="17"/>
          <w:color w:val="auto"/>
        </w:rPr>
      </w:pPr>
      <w:r>
        <w:rPr>
          <w:rFonts w:ascii="Arial" w:cs="Arial" w:eastAsia="Arial" w:hAnsi="Arial"/>
          <w:sz w:val="17"/>
          <w:szCs w:val="17"/>
          <w:color w:val="auto"/>
        </w:rPr>
        <w:t>Trading Book -</w:t>
      </w:r>
    </w:p>
    <w:p>
      <w:pPr>
        <w:spacing w:after="0" w:line="220" w:lineRule="exact"/>
        <w:rPr>
          <w:rFonts w:ascii="Arial" w:cs="Arial" w:eastAsia="Arial" w:hAnsi="Arial"/>
          <w:sz w:val="17"/>
          <w:szCs w:val="17"/>
          <w:color w:val="auto"/>
        </w:rPr>
      </w:pPr>
    </w:p>
    <w:p>
      <w:pPr>
        <w:ind w:left="320" w:right="200"/>
        <w:spacing w:after="0" w:line="270" w:lineRule="auto"/>
        <w:rPr>
          <w:rFonts w:ascii="Arial" w:cs="Arial" w:eastAsia="Arial" w:hAnsi="Arial"/>
          <w:sz w:val="17"/>
          <w:szCs w:val="17"/>
          <w:color w:val="auto"/>
        </w:rPr>
      </w:pPr>
      <w:r>
        <w:rPr>
          <w:rFonts w:ascii="Arial" w:cs="Arial" w:eastAsia="Arial" w:hAnsi="Arial"/>
          <w:sz w:val="17"/>
          <w:szCs w:val="17"/>
          <w:color w:val="auto"/>
        </w:rPr>
        <w:t>The trading book is characterized for having liquid positions in equities, bonds, foreign currencies and derivatives, arising from market-making transactions where the Group acts as a principal with the clients or with the market. This portfolio includes investments and derivatives classified by Management as held for trading.</w:t>
      </w:r>
    </w:p>
    <w:p>
      <w:pPr>
        <w:spacing w:after="0" w:line="171" w:lineRule="exact"/>
        <w:rPr>
          <w:rFonts w:ascii="Arial" w:cs="Arial" w:eastAsia="Arial" w:hAnsi="Arial"/>
          <w:sz w:val="17"/>
          <w:szCs w:val="17"/>
          <w:color w:val="auto"/>
        </w:rPr>
      </w:pPr>
    </w:p>
    <w:p>
      <w:pPr>
        <w:ind w:left="620" w:hanging="304"/>
        <w:spacing w:after="0"/>
        <w:tabs>
          <w:tab w:leader="none" w:pos="620" w:val="left"/>
        </w:tabs>
        <w:numPr>
          <w:ilvl w:val="1"/>
          <w:numId w:val="149"/>
        </w:numPr>
        <w:rPr>
          <w:rFonts w:ascii="Arial" w:cs="Arial" w:eastAsia="Arial" w:hAnsi="Arial"/>
          <w:sz w:val="17"/>
          <w:szCs w:val="17"/>
          <w:color w:val="auto"/>
        </w:rPr>
      </w:pPr>
      <w:r>
        <w:rPr>
          <w:rFonts w:ascii="Arial" w:cs="Arial" w:eastAsia="Arial" w:hAnsi="Arial"/>
          <w:sz w:val="17"/>
          <w:szCs w:val="17"/>
          <w:color w:val="auto"/>
        </w:rPr>
        <w:t>Value at Risk (VaR) -</w:t>
      </w:r>
    </w:p>
    <w:p>
      <w:pPr>
        <w:spacing w:after="0" w:line="220" w:lineRule="exact"/>
        <w:rPr>
          <w:rFonts w:ascii="Arial" w:cs="Arial" w:eastAsia="Arial" w:hAnsi="Arial"/>
          <w:sz w:val="17"/>
          <w:szCs w:val="17"/>
          <w:color w:val="auto"/>
        </w:rPr>
      </w:pPr>
    </w:p>
    <w:p>
      <w:pPr>
        <w:ind w:left="620" w:right="620"/>
        <w:spacing w:after="0" w:line="355" w:lineRule="auto"/>
        <w:rPr>
          <w:rFonts w:ascii="Arial" w:cs="Arial" w:eastAsia="Arial" w:hAnsi="Arial"/>
          <w:sz w:val="17"/>
          <w:szCs w:val="17"/>
          <w:color w:val="auto"/>
        </w:rPr>
      </w:pPr>
      <w:r>
        <w:rPr>
          <w:rFonts w:ascii="Arial" w:cs="Arial" w:eastAsia="Arial" w:hAnsi="Arial"/>
          <w:sz w:val="15"/>
          <w:szCs w:val="15"/>
          <w:color w:val="auto"/>
        </w:rPr>
        <w:t>The Group applies the VaR approach to its trading portfolio to estimate the market risk of the main positions held and the maximum losses that are expected, based upon a number of assumptions for various changes in market conditions and considering the risk appetite of the subsidiary.</w:t>
      </w:r>
    </w:p>
    <w:p>
      <w:pPr>
        <w:spacing w:after="0" w:line="113" w:lineRule="exact"/>
        <w:rPr>
          <w:rFonts w:ascii="Arial" w:cs="Arial" w:eastAsia="Arial" w:hAnsi="Arial"/>
          <w:sz w:val="17"/>
          <w:szCs w:val="17"/>
          <w:color w:val="auto"/>
        </w:rPr>
      </w:pPr>
    </w:p>
    <w:p>
      <w:pPr>
        <w:ind w:left="620"/>
        <w:spacing w:after="0"/>
        <w:rPr>
          <w:rFonts w:ascii="Arial" w:cs="Arial" w:eastAsia="Arial" w:hAnsi="Arial"/>
          <w:sz w:val="17"/>
          <w:szCs w:val="17"/>
          <w:color w:val="auto"/>
        </w:rPr>
      </w:pPr>
      <w:r>
        <w:rPr>
          <w:rFonts w:ascii="Arial" w:cs="Arial" w:eastAsia="Arial" w:hAnsi="Arial"/>
          <w:sz w:val="16"/>
          <w:szCs w:val="16"/>
          <w:color w:val="auto"/>
        </w:rPr>
        <w:t>Daily calculation of VaR is a statistically-based estimate of the maximum potential loss on the current portfolio from adverse market movements.</w:t>
      </w:r>
    </w:p>
    <w:p>
      <w:pPr>
        <w:spacing w:after="0" w:line="231" w:lineRule="exact"/>
        <w:rPr>
          <w:rFonts w:ascii="Arial" w:cs="Arial" w:eastAsia="Arial" w:hAnsi="Arial"/>
          <w:sz w:val="17"/>
          <w:szCs w:val="17"/>
          <w:color w:val="auto"/>
        </w:rPr>
      </w:pPr>
    </w:p>
    <w:p>
      <w:pPr>
        <w:ind w:left="620" w:right="60"/>
        <w:spacing w:after="0" w:line="270" w:lineRule="auto"/>
        <w:rPr>
          <w:rFonts w:ascii="Arial" w:cs="Arial" w:eastAsia="Arial" w:hAnsi="Arial"/>
          <w:sz w:val="17"/>
          <w:szCs w:val="17"/>
          <w:color w:val="auto"/>
        </w:rPr>
      </w:pPr>
      <w:r>
        <w:rPr>
          <w:rFonts w:ascii="Arial" w:cs="Arial" w:eastAsia="Arial" w:hAnsi="Arial"/>
          <w:sz w:val="17"/>
          <w:szCs w:val="17"/>
          <w:color w:val="auto"/>
        </w:rPr>
        <w:t>The VaR expresses the “maximum” amount the Group might lose, but only to a certain level of confidence (99 percent). There is therefore a specified statistical probability (1 percent) that actual loss could be greater than the VaR estimate. The VaR model assumes a certain “holding period” until positions can be closed (1 - 10 days).</w:t>
      </w:r>
    </w:p>
    <w:p>
      <w:pPr>
        <w:spacing w:after="0" w:line="171" w:lineRule="exact"/>
        <w:rPr>
          <w:rFonts w:ascii="Arial" w:cs="Arial" w:eastAsia="Arial" w:hAnsi="Arial"/>
          <w:sz w:val="17"/>
          <w:szCs w:val="17"/>
          <w:color w:val="auto"/>
        </w:rPr>
      </w:pPr>
    </w:p>
    <w:p>
      <w:pPr>
        <w:ind w:left="620"/>
        <w:spacing w:after="0" w:line="265" w:lineRule="auto"/>
        <w:rPr>
          <w:rFonts w:ascii="Arial" w:cs="Arial" w:eastAsia="Arial" w:hAnsi="Arial"/>
          <w:sz w:val="17"/>
          <w:szCs w:val="17"/>
          <w:color w:val="auto"/>
        </w:rPr>
      </w:pPr>
      <w:r>
        <w:rPr>
          <w:rFonts w:ascii="Arial" w:cs="Arial" w:eastAsia="Arial" w:hAnsi="Arial"/>
          <w:sz w:val="17"/>
          <w:szCs w:val="17"/>
          <w:color w:val="auto"/>
        </w:rPr>
        <w:t>The time horizon used to calculate VaR is one day; however, the one-day VAR is amplified to a 10-day time frame and calculated multiplying the one-day VaR by the square root of 10. This adjustment will be accurate only if the changes in the portfolio in the following days have a normal distribution identical and independent; because of that, the result is multiplied by a non-normality adjustment factor. The limits and consumptions of the VaR are established on the basis of the risk appetite and the trading strategies of each subsidiary.</w:t>
      </w:r>
    </w:p>
    <w:p>
      <w:pPr>
        <w:spacing w:after="0" w:line="176" w:lineRule="exact"/>
        <w:rPr>
          <w:rFonts w:ascii="Arial" w:cs="Arial" w:eastAsia="Arial" w:hAnsi="Arial"/>
          <w:sz w:val="17"/>
          <w:szCs w:val="17"/>
          <w:color w:val="auto"/>
        </w:rPr>
      </w:pPr>
    </w:p>
    <w:p>
      <w:pPr>
        <w:ind w:left="620" w:right="20"/>
        <w:spacing w:after="0" w:line="265" w:lineRule="auto"/>
        <w:rPr>
          <w:rFonts w:ascii="Arial" w:cs="Arial" w:eastAsia="Arial" w:hAnsi="Arial"/>
          <w:sz w:val="17"/>
          <w:szCs w:val="17"/>
          <w:color w:val="auto"/>
        </w:rPr>
      </w:pPr>
      <w:r>
        <w:rPr>
          <w:rFonts w:ascii="Arial" w:cs="Arial" w:eastAsia="Arial" w:hAnsi="Arial"/>
          <w:sz w:val="17"/>
          <w:szCs w:val="17"/>
          <w:color w:val="auto"/>
        </w:rPr>
        <w:t>The assessment of past movements has been based on historical one-year data and 124 market risk factors, which are composed as follows: 25 market curves, 78 stock prices, 12 mutual funds values, 1 volatility series and 8 survival probability curves. The Group applies these historical changes in rates directly to its current positions (a method known as historical simulation). The Management of the Group believes the market risk factors incorporated into its VaR model are adequate to measure the market risk to which the Group’s trading book is exposed.</w:t>
      </w:r>
    </w:p>
    <w:p>
      <w:pPr>
        <w:spacing w:after="0" w:line="383" w:lineRule="exact"/>
        <w:rPr>
          <w:rFonts w:ascii="Arial" w:cs="Arial" w:eastAsia="Arial" w:hAnsi="Arial"/>
          <w:sz w:val="17"/>
          <w:szCs w:val="17"/>
          <w:color w:val="auto"/>
        </w:rPr>
      </w:pPr>
    </w:p>
    <w:p>
      <w:pPr>
        <w:ind w:left="5600" w:hanging="110"/>
        <w:spacing w:after="0"/>
        <w:tabs>
          <w:tab w:leader="none" w:pos="5600" w:val="left"/>
        </w:tabs>
        <w:numPr>
          <w:ilvl w:val="2"/>
          <w:numId w:val="149"/>
        </w:numPr>
        <w:rPr>
          <w:rFonts w:ascii="Arial" w:cs="Arial" w:eastAsia="Arial" w:hAnsi="Arial"/>
          <w:sz w:val="17"/>
          <w:szCs w:val="17"/>
          <w:color w:val="auto"/>
        </w:rPr>
      </w:pPr>
      <w:r>
        <w:rPr>
          <w:rFonts w:ascii="Arial" w:cs="Arial" w:eastAsia="Arial" w:hAnsi="Arial"/>
          <w:sz w:val="17"/>
          <w:szCs w:val="17"/>
          <w:color w:val="auto"/>
        </w:rPr>
        <w:t>127 -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15875</wp:posOffset>
            </wp:positionV>
            <wp:extent cx="725170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51700" cy="8255"/>
                    </a:xfrm>
                    <a:prstGeom prst="rect">
                      <a:avLst/>
                    </a:prstGeom>
                    <a:noFill/>
                  </pic:spPr>
                </pic:pic>
              </a:graphicData>
            </a:graphic>
          </wp:anchor>
        </w:drawing>
      </w:r>
    </w:p>
    <w:p>
      <w:pPr>
        <w:sectPr>
          <w:pgSz w:w="11900" w:h="16838" w:orient="portrait"/>
          <w:cols w:equalWidth="0" w:num="1">
            <w:col w:w="11400"/>
          </w:cols>
          <w:pgMar w:left="240" w:top="875" w:right="259" w:bottom="1440" w:gutter="0" w:footer="0" w:header="0"/>
        </w:sectPr>
      </w:pPr>
    </w:p>
    <w:bookmarkStart w:id="133" w:name="page134"/>
    <w:bookmarkEnd w:id="133"/>
    <w:p>
      <w:pPr>
        <w:ind w:left="616" w:right="260"/>
        <w:spacing w:after="0" w:line="285" w:lineRule="auto"/>
        <w:rPr>
          <w:sz w:val="20"/>
          <w:szCs w:val="20"/>
          <w:color w:val="auto"/>
        </w:rPr>
      </w:pPr>
      <w:r>
        <w:rPr>
          <w:rFonts w:ascii="Arial" w:cs="Arial" w:eastAsia="Arial" w:hAnsi="Arial"/>
          <w:sz w:val="17"/>
          <w:szCs w:val="17"/>
          <w:color w:val="auto"/>
        </w:rPr>
        <w:t>The use of this approach does not prevent losses outside of these limits in the event of more significant market movements. Losses exceeding the VaR figure may occur, on average under normal market conditions, not more than once every hundred days.</w:t>
      </w:r>
    </w:p>
    <w:p>
      <w:pPr>
        <w:spacing w:after="0" w:line="159" w:lineRule="exact"/>
        <w:rPr>
          <w:sz w:val="20"/>
          <w:szCs w:val="20"/>
          <w:color w:val="auto"/>
        </w:rPr>
      </w:pPr>
    </w:p>
    <w:p>
      <w:pPr>
        <w:ind w:left="616"/>
        <w:spacing w:after="0" w:line="270" w:lineRule="auto"/>
        <w:rPr>
          <w:sz w:val="20"/>
          <w:szCs w:val="20"/>
          <w:color w:val="auto"/>
        </w:rPr>
      </w:pPr>
      <w:r>
        <w:rPr>
          <w:rFonts w:ascii="Arial" w:cs="Arial" w:eastAsia="Arial" w:hAnsi="Arial"/>
          <w:sz w:val="17"/>
          <w:szCs w:val="17"/>
          <w:color w:val="auto"/>
        </w:rPr>
        <w:t>VaR limits have been established to control and keep track of all the risks taken. These risks arise from the size of the positions and/or the volatility of the risk factors embedded in each financial instrument. Regular reports are prepared for the Treasury and ALM Risk Committee, the Risk Management Committee and Senior Management.</w:t>
      </w:r>
    </w:p>
    <w:p>
      <w:pPr>
        <w:spacing w:after="0" w:line="172" w:lineRule="exact"/>
        <w:rPr>
          <w:sz w:val="20"/>
          <w:szCs w:val="20"/>
          <w:color w:val="auto"/>
        </w:rPr>
      </w:pPr>
    </w:p>
    <w:p>
      <w:pPr>
        <w:ind w:left="616" w:right="180"/>
        <w:spacing w:after="0" w:line="270" w:lineRule="auto"/>
        <w:rPr>
          <w:sz w:val="20"/>
          <w:szCs w:val="20"/>
          <w:color w:val="auto"/>
        </w:rPr>
      </w:pPr>
      <w:r>
        <w:rPr>
          <w:rFonts w:ascii="Arial" w:cs="Arial" w:eastAsia="Arial" w:hAnsi="Arial"/>
          <w:sz w:val="17"/>
          <w:szCs w:val="17"/>
          <w:color w:val="auto"/>
        </w:rPr>
        <w:t>VaR results are used to generate economic capital estimates by market risk, which are periodically monitored and are part of the overall risk appetite of each subsidiary. Furthermore, at Group level, there is also a limit to the risk appetite of the trading portfolio, which is monitored and informed to the Credicorp Treasury Risks and ALM Committee.</w:t>
      </w:r>
    </w:p>
    <w:p>
      <w:pPr>
        <w:spacing w:after="0" w:line="172" w:lineRule="exact"/>
        <w:rPr>
          <w:sz w:val="20"/>
          <w:szCs w:val="20"/>
          <w:color w:val="auto"/>
        </w:rPr>
      </w:pPr>
    </w:p>
    <w:p>
      <w:pPr>
        <w:ind w:left="616"/>
        <w:spacing w:after="0"/>
        <w:rPr>
          <w:sz w:val="20"/>
          <w:szCs w:val="20"/>
          <w:color w:val="auto"/>
        </w:rPr>
      </w:pPr>
      <w:r>
        <w:rPr>
          <w:rFonts w:ascii="Arial" w:cs="Arial" w:eastAsia="Arial" w:hAnsi="Arial"/>
          <w:sz w:val="15"/>
          <w:szCs w:val="15"/>
          <w:color w:val="auto"/>
        </w:rPr>
        <w:t>In VaR calculation, the effects of the exchange rate are not included because said effects are measured in the net monetary position, see note 32.2 (b)(ii).</w:t>
      </w:r>
    </w:p>
    <w:p>
      <w:pPr>
        <w:spacing w:after="0" w:line="243" w:lineRule="exact"/>
        <w:rPr>
          <w:sz w:val="20"/>
          <w:szCs w:val="20"/>
          <w:color w:val="auto"/>
        </w:rPr>
      </w:pPr>
    </w:p>
    <w:p>
      <w:pPr>
        <w:ind w:left="616"/>
        <w:spacing w:after="0" w:line="270" w:lineRule="auto"/>
        <w:rPr>
          <w:sz w:val="20"/>
          <w:szCs w:val="20"/>
          <w:color w:val="auto"/>
        </w:rPr>
      </w:pPr>
      <w:r>
        <w:rPr>
          <w:rFonts w:ascii="Arial" w:cs="Arial" w:eastAsia="Arial" w:hAnsi="Arial"/>
          <w:sz w:val="17"/>
          <w:szCs w:val="17"/>
          <w:color w:val="auto"/>
        </w:rPr>
        <w:t>The consolidated VaR showed a reduction during the year 2017, due to a lower exposure to the rate risk and price factor, as a result of the reduction in the positions of fixed income, variable income and swaps. The VaR was maintained within the risk appetite limits approved by the Risk Committee of each company of the group, as well as by the Corporate Risk Committee.</w:t>
      </w:r>
    </w:p>
    <w:p>
      <w:pPr>
        <w:spacing w:after="0" w:line="172" w:lineRule="exact"/>
        <w:rPr>
          <w:sz w:val="20"/>
          <w:szCs w:val="20"/>
          <w:color w:val="auto"/>
        </w:rPr>
      </w:pPr>
    </w:p>
    <w:tbl>
      <w:tblPr>
        <w:tblLayout w:type="fixed"/>
        <w:tblInd w:w="616" w:type="dxa"/>
        <w:tblCellMar>
          <w:top w:w="0" w:type="dxa"/>
          <w:left w:w="0" w:type="dxa"/>
          <w:bottom w:w="0" w:type="dxa"/>
          <w:right w:w="0" w:type="dxa"/>
        </w:tblCellMar>
      </w:tblPr>
      <w:tr>
        <w:trPr>
          <w:trHeight w:val="220"/>
        </w:trPr>
        <w:tc>
          <w:tcPr>
            <w:tcW w:w="7980" w:type="dxa"/>
            <w:vAlign w:val="bottom"/>
          </w:tcPr>
          <w:p>
            <w:pPr>
              <w:spacing w:after="0"/>
              <w:rPr>
                <w:sz w:val="20"/>
                <w:szCs w:val="20"/>
                <w:color w:val="auto"/>
              </w:rPr>
            </w:pPr>
            <w:r>
              <w:rPr>
                <w:rFonts w:ascii="Arial" w:cs="Arial" w:eastAsia="Arial" w:hAnsi="Arial"/>
                <w:sz w:val="17"/>
                <w:szCs w:val="17"/>
                <w:color w:val="auto"/>
              </w:rPr>
              <w:t>As of December 31, 2017 and 2016 the Group’s VaR by type of asset is as follows:</w:t>
            </w:r>
          </w:p>
        </w:tc>
        <w:tc>
          <w:tcPr>
            <w:tcW w:w="1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9"/>
        </w:trPr>
        <w:tc>
          <w:tcPr>
            <w:tcW w:w="7980" w:type="dxa"/>
            <w:vAlign w:val="bottom"/>
          </w:tcPr>
          <w:p>
            <w:pPr>
              <w:spacing w:after="0"/>
              <w:rPr>
                <w:sz w:val="24"/>
                <w:szCs w:val="24"/>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89"/>
              </w:rPr>
              <w:t>2017</w:t>
            </w:r>
          </w:p>
        </w:tc>
        <w:tc>
          <w:tcPr>
            <w:tcW w:w="200" w:type="dxa"/>
            <w:vAlign w:val="bottom"/>
          </w:tcPr>
          <w:p>
            <w:pPr>
              <w:spacing w:after="0"/>
              <w:rPr>
                <w:sz w:val="24"/>
                <w:szCs w:val="24"/>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95"/>
              </w:rPr>
              <w:t>2016</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7980" w:type="dxa"/>
            <w:vAlign w:val="bottom"/>
          </w:tcPr>
          <w:p>
            <w:pPr>
              <w:spacing w:after="0"/>
              <w:rPr>
                <w:sz w:val="19"/>
                <w:szCs w:val="19"/>
                <w:color w:val="auto"/>
              </w:rPr>
            </w:pPr>
          </w:p>
        </w:tc>
        <w:tc>
          <w:tcPr>
            <w:tcW w:w="1180" w:type="dxa"/>
            <w:vAlign w:val="bottom"/>
          </w:tcPr>
          <w:p>
            <w:pPr>
              <w:jc w:val="center"/>
              <w:spacing w:after="0"/>
              <w:rPr>
                <w:sz w:val="20"/>
                <w:szCs w:val="20"/>
                <w:color w:val="auto"/>
              </w:rPr>
            </w:pPr>
            <w:r>
              <w:rPr>
                <w:rFonts w:ascii="Arial" w:cs="Arial" w:eastAsia="Arial" w:hAnsi="Arial"/>
                <w:sz w:val="17"/>
                <w:szCs w:val="17"/>
                <w:b w:val="1"/>
                <w:bCs w:val="1"/>
                <w:color w:val="auto"/>
                <w:w w:val="93"/>
              </w:rPr>
              <w:t>S/(000)</w:t>
            </w:r>
          </w:p>
        </w:tc>
        <w:tc>
          <w:tcPr>
            <w:tcW w:w="200" w:type="dxa"/>
            <w:vAlign w:val="bottom"/>
          </w:tcPr>
          <w:p>
            <w:pPr>
              <w:spacing w:after="0"/>
              <w:rPr>
                <w:sz w:val="19"/>
                <w:szCs w:val="19"/>
                <w:color w:val="auto"/>
              </w:rPr>
            </w:pPr>
          </w:p>
        </w:tc>
        <w:tc>
          <w:tcPr>
            <w:tcW w:w="1160" w:type="dxa"/>
            <w:vAlign w:val="bottom"/>
          </w:tcPr>
          <w:p>
            <w:pPr>
              <w:jc w:val="center"/>
              <w:spacing w:after="0"/>
              <w:rPr>
                <w:sz w:val="20"/>
                <w:szCs w:val="20"/>
                <w:color w:val="auto"/>
              </w:rPr>
            </w:pPr>
            <w:r>
              <w:rPr>
                <w:rFonts w:ascii="Arial" w:cs="Arial" w:eastAsia="Arial" w:hAnsi="Arial"/>
                <w:sz w:val="17"/>
                <w:szCs w:val="17"/>
                <w:b w:val="1"/>
                <w:bCs w:val="1"/>
                <w:color w:val="auto"/>
                <w:w w:val="93"/>
              </w:rPr>
              <w:t>S/(000)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79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7980" w:type="dxa"/>
            <w:vAlign w:val="bottom"/>
            <w:shd w:val="clear" w:color="auto" w:fill="CCEEFF"/>
          </w:tcPr>
          <w:p>
            <w:pPr>
              <w:spacing w:after="0"/>
              <w:rPr>
                <w:sz w:val="20"/>
                <w:szCs w:val="20"/>
                <w:color w:val="auto"/>
              </w:rPr>
            </w:pPr>
            <w:r>
              <w:rPr>
                <w:rFonts w:ascii="Arial" w:cs="Arial" w:eastAsia="Arial" w:hAnsi="Arial"/>
                <w:sz w:val="17"/>
                <w:szCs w:val="17"/>
                <w:color w:val="auto"/>
              </w:rPr>
              <w:t>Equity investments</w:t>
            </w: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2,757</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9,624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7980" w:type="dxa"/>
            <w:vAlign w:val="bottom"/>
          </w:tcPr>
          <w:p>
            <w:pPr>
              <w:spacing w:after="0"/>
              <w:rPr>
                <w:sz w:val="20"/>
                <w:szCs w:val="20"/>
                <w:color w:val="auto"/>
              </w:rPr>
            </w:pPr>
            <w:r>
              <w:rPr>
                <w:rFonts w:ascii="Arial" w:cs="Arial" w:eastAsia="Arial" w:hAnsi="Arial"/>
                <w:sz w:val="17"/>
                <w:szCs w:val="17"/>
                <w:color w:val="auto"/>
              </w:rPr>
              <w:t>Debt investments</w:t>
            </w:r>
          </w:p>
        </w:tc>
        <w:tc>
          <w:tcPr>
            <w:tcW w:w="1380" w:type="dxa"/>
            <w:vAlign w:val="bottom"/>
            <w:gridSpan w:val="2"/>
          </w:tcPr>
          <w:p>
            <w:pPr>
              <w:jc w:val="right"/>
              <w:ind w:right="200"/>
              <w:spacing w:after="0"/>
              <w:rPr>
                <w:sz w:val="20"/>
                <w:szCs w:val="20"/>
                <w:color w:val="auto"/>
              </w:rPr>
            </w:pPr>
            <w:r>
              <w:rPr>
                <w:rFonts w:ascii="Arial" w:cs="Arial" w:eastAsia="Arial" w:hAnsi="Arial"/>
                <w:sz w:val="17"/>
                <w:szCs w:val="17"/>
                <w:color w:val="auto"/>
              </w:rPr>
              <w:t>4,504</w:t>
            </w:r>
          </w:p>
        </w:tc>
        <w:tc>
          <w:tcPr>
            <w:tcW w:w="1260" w:type="dxa"/>
            <w:vAlign w:val="bottom"/>
            <w:gridSpan w:val="2"/>
          </w:tcPr>
          <w:p>
            <w:pPr>
              <w:jc w:val="right"/>
              <w:ind w:right="100"/>
              <w:spacing w:after="0"/>
              <w:rPr>
                <w:sz w:val="20"/>
                <w:szCs w:val="20"/>
                <w:color w:val="auto"/>
              </w:rPr>
            </w:pPr>
            <w:r>
              <w:rPr>
                <w:rFonts w:ascii="Arial" w:cs="Arial" w:eastAsia="Arial" w:hAnsi="Arial"/>
                <w:sz w:val="17"/>
                <w:szCs w:val="17"/>
                <w:color w:val="auto"/>
              </w:rPr>
              <w:t>19,371</w:t>
            </w:r>
          </w:p>
        </w:tc>
        <w:tc>
          <w:tcPr>
            <w:tcW w:w="0" w:type="dxa"/>
            <w:vAlign w:val="bottom"/>
          </w:tcPr>
          <w:p>
            <w:pPr>
              <w:spacing w:after="0"/>
              <w:rPr>
                <w:sz w:val="1"/>
                <w:szCs w:val="1"/>
                <w:color w:val="auto"/>
              </w:rPr>
            </w:pPr>
          </w:p>
        </w:tc>
      </w:tr>
      <w:tr>
        <w:trPr>
          <w:trHeight w:val="208"/>
        </w:trPr>
        <w:tc>
          <w:tcPr>
            <w:tcW w:w="7980" w:type="dxa"/>
            <w:vAlign w:val="bottom"/>
            <w:shd w:val="clear" w:color="auto" w:fill="CCEEFF"/>
          </w:tcPr>
          <w:p>
            <w:pPr>
              <w:spacing w:after="0"/>
              <w:rPr>
                <w:sz w:val="20"/>
                <w:szCs w:val="20"/>
                <w:color w:val="auto"/>
              </w:rPr>
            </w:pPr>
            <w:r>
              <w:rPr>
                <w:rFonts w:ascii="Arial" w:cs="Arial" w:eastAsia="Arial" w:hAnsi="Arial"/>
                <w:sz w:val="17"/>
                <w:szCs w:val="17"/>
                <w:color w:val="auto"/>
              </w:rPr>
              <w:t>Swaps</w:t>
            </w: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7,661</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13,045</w:t>
            </w:r>
          </w:p>
        </w:tc>
        <w:tc>
          <w:tcPr>
            <w:tcW w:w="0" w:type="dxa"/>
            <w:vAlign w:val="bottom"/>
          </w:tcPr>
          <w:p>
            <w:pPr>
              <w:spacing w:after="0"/>
              <w:rPr>
                <w:sz w:val="1"/>
                <w:szCs w:val="1"/>
                <w:color w:val="auto"/>
              </w:rPr>
            </w:pPr>
          </w:p>
        </w:tc>
      </w:tr>
      <w:tr>
        <w:trPr>
          <w:trHeight w:val="208"/>
        </w:trPr>
        <w:tc>
          <w:tcPr>
            <w:tcW w:w="7980" w:type="dxa"/>
            <w:vAlign w:val="bottom"/>
          </w:tcPr>
          <w:p>
            <w:pPr>
              <w:spacing w:after="0"/>
              <w:rPr>
                <w:sz w:val="20"/>
                <w:szCs w:val="20"/>
                <w:color w:val="auto"/>
              </w:rPr>
            </w:pPr>
            <w:r>
              <w:rPr>
                <w:rFonts w:ascii="Arial" w:cs="Arial" w:eastAsia="Arial" w:hAnsi="Arial"/>
                <w:sz w:val="17"/>
                <w:szCs w:val="17"/>
                <w:color w:val="auto"/>
              </w:rPr>
              <w:t>Forwards</w:t>
            </w:r>
          </w:p>
        </w:tc>
        <w:tc>
          <w:tcPr>
            <w:tcW w:w="1380" w:type="dxa"/>
            <w:vAlign w:val="bottom"/>
            <w:gridSpan w:val="2"/>
          </w:tcPr>
          <w:p>
            <w:pPr>
              <w:jc w:val="right"/>
              <w:ind w:right="200"/>
              <w:spacing w:after="0"/>
              <w:rPr>
                <w:sz w:val="20"/>
                <w:szCs w:val="20"/>
                <w:color w:val="auto"/>
              </w:rPr>
            </w:pPr>
            <w:r>
              <w:rPr>
                <w:rFonts w:ascii="Arial" w:cs="Arial" w:eastAsia="Arial" w:hAnsi="Arial"/>
                <w:sz w:val="17"/>
                <w:szCs w:val="17"/>
                <w:color w:val="auto"/>
              </w:rPr>
              <w:t>2,111</w:t>
            </w:r>
          </w:p>
        </w:tc>
        <w:tc>
          <w:tcPr>
            <w:tcW w:w="1160" w:type="dxa"/>
            <w:vAlign w:val="bottom"/>
          </w:tcPr>
          <w:p>
            <w:pPr>
              <w:jc w:val="right"/>
              <w:spacing w:after="0"/>
              <w:rPr>
                <w:sz w:val="20"/>
                <w:szCs w:val="20"/>
                <w:color w:val="auto"/>
              </w:rPr>
            </w:pPr>
            <w:r>
              <w:rPr>
                <w:rFonts w:ascii="Arial" w:cs="Arial" w:eastAsia="Arial" w:hAnsi="Arial"/>
                <w:sz w:val="17"/>
                <w:szCs w:val="17"/>
                <w:color w:val="auto"/>
              </w:rPr>
              <w:t>2,470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7980" w:type="dxa"/>
            <w:vAlign w:val="bottom"/>
            <w:shd w:val="clear" w:color="auto" w:fill="CCEEFF"/>
          </w:tcPr>
          <w:p>
            <w:pPr>
              <w:spacing w:after="0"/>
              <w:rPr>
                <w:sz w:val="20"/>
                <w:szCs w:val="20"/>
                <w:color w:val="auto"/>
              </w:rPr>
            </w:pPr>
            <w:r>
              <w:rPr>
                <w:rFonts w:ascii="Arial" w:cs="Arial" w:eastAsia="Arial" w:hAnsi="Arial"/>
                <w:sz w:val="17"/>
                <w:szCs w:val="17"/>
                <w:color w:val="auto"/>
              </w:rPr>
              <w:t>Options</w:t>
            </w: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251</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1,160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7980" w:type="dxa"/>
            <w:vAlign w:val="bottom"/>
          </w:tcPr>
          <w:p>
            <w:pPr>
              <w:spacing w:after="0"/>
              <w:rPr>
                <w:sz w:val="20"/>
                <w:szCs w:val="20"/>
                <w:color w:val="auto"/>
              </w:rPr>
            </w:pPr>
            <w:r>
              <w:rPr>
                <w:rFonts w:ascii="Arial" w:cs="Arial" w:eastAsia="Arial" w:hAnsi="Arial"/>
                <w:sz w:val="17"/>
                <w:szCs w:val="17"/>
                <w:color w:val="auto"/>
              </w:rPr>
              <w:t>Diversification effect</w:t>
            </w:r>
          </w:p>
        </w:tc>
        <w:tc>
          <w:tcPr>
            <w:tcW w:w="1380" w:type="dxa"/>
            <w:vAlign w:val="bottom"/>
            <w:gridSpan w:val="2"/>
          </w:tcPr>
          <w:p>
            <w:pPr>
              <w:jc w:val="right"/>
              <w:ind w:right="140"/>
              <w:spacing w:after="0"/>
              <w:rPr>
                <w:sz w:val="20"/>
                <w:szCs w:val="20"/>
                <w:color w:val="auto"/>
              </w:rPr>
            </w:pPr>
            <w:r>
              <w:rPr>
                <w:rFonts w:ascii="Arial" w:cs="Arial" w:eastAsia="Arial" w:hAnsi="Arial"/>
                <w:sz w:val="17"/>
                <w:szCs w:val="17"/>
                <w:color w:val="auto"/>
              </w:rPr>
              <w:t>(9,884)</w:t>
            </w:r>
          </w:p>
        </w:tc>
        <w:tc>
          <w:tcPr>
            <w:tcW w:w="1260" w:type="dxa"/>
            <w:vAlign w:val="bottom"/>
            <w:gridSpan w:val="2"/>
          </w:tcPr>
          <w:p>
            <w:pPr>
              <w:jc w:val="right"/>
              <w:ind w:right="40"/>
              <w:spacing w:after="0"/>
              <w:rPr>
                <w:sz w:val="20"/>
                <w:szCs w:val="20"/>
                <w:color w:val="auto"/>
              </w:rPr>
            </w:pPr>
            <w:r>
              <w:rPr>
                <w:rFonts w:ascii="Arial" w:cs="Arial" w:eastAsia="Arial" w:hAnsi="Arial"/>
                <w:sz w:val="17"/>
                <w:szCs w:val="17"/>
                <w:color w:val="auto"/>
              </w:rPr>
              <w:t>(19,748)</w:t>
            </w:r>
          </w:p>
        </w:tc>
        <w:tc>
          <w:tcPr>
            <w:tcW w:w="0" w:type="dxa"/>
            <w:vAlign w:val="bottom"/>
          </w:tcPr>
          <w:p>
            <w:pPr>
              <w:spacing w:after="0"/>
              <w:rPr>
                <w:sz w:val="1"/>
                <w:szCs w:val="1"/>
                <w:color w:val="auto"/>
              </w:rPr>
            </w:pPr>
          </w:p>
        </w:tc>
      </w:tr>
      <w:tr>
        <w:trPr>
          <w:trHeight w:val="214"/>
        </w:trPr>
        <w:tc>
          <w:tcPr>
            <w:tcW w:w="79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Consolidated VaR by type of asset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7,400</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25,922</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980" w:type="dxa"/>
            <w:vAlign w:val="bottom"/>
            <w:vMerge w:val="restart"/>
          </w:tcPr>
          <w:p>
            <w:pPr>
              <w:spacing w:after="0"/>
              <w:rPr>
                <w:sz w:val="20"/>
                <w:szCs w:val="20"/>
                <w:color w:val="auto"/>
              </w:rPr>
            </w:pPr>
            <w:r>
              <w:rPr>
                <w:rFonts w:ascii="Arial" w:cs="Arial" w:eastAsia="Arial" w:hAnsi="Arial"/>
                <w:sz w:val="17"/>
                <w:szCs w:val="17"/>
                <w:color w:val="auto"/>
              </w:rPr>
              <w:t>As of December 31, 2017 and 2016, the Group’s VaR by risk type is as follows:</w:t>
            </w:r>
          </w:p>
        </w:tc>
        <w:tc>
          <w:tcPr>
            <w:tcW w:w="11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5"/>
        </w:trPr>
        <w:tc>
          <w:tcPr>
            <w:tcW w:w="7980" w:type="dxa"/>
            <w:vAlign w:val="bottom"/>
            <w:vMerge w:val="continue"/>
          </w:tcPr>
          <w:p>
            <w:pPr>
              <w:spacing w:after="0"/>
              <w:rPr>
                <w:sz w:val="24"/>
                <w:szCs w:val="24"/>
                <w:color w:val="auto"/>
              </w:rPr>
            </w:pPr>
          </w:p>
        </w:tc>
        <w:tc>
          <w:tcPr>
            <w:tcW w:w="1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9"/>
        </w:trPr>
        <w:tc>
          <w:tcPr>
            <w:tcW w:w="7980" w:type="dxa"/>
            <w:vAlign w:val="bottom"/>
          </w:tcPr>
          <w:p>
            <w:pPr>
              <w:spacing w:after="0"/>
              <w:rPr>
                <w:sz w:val="24"/>
                <w:szCs w:val="24"/>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89"/>
              </w:rPr>
              <w:t>2017</w:t>
            </w:r>
          </w:p>
        </w:tc>
        <w:tc>
          <w:tcPr>
            <w:tcW w:w="200" w:type="dxa"/>
            <w:vAlign w:val="bottom"/>
          </w:tcPr>
          <w:p>
            <w:pPr>
              <w:spacing w:after="0"/>
              <w:rPr>
                <w:sz w:val="24"/>
                <w:szCs w:val="24"/>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95"/>
              </w:rPr>
              <w:t>2016</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7980" w:type="dxa"/>
            <w:vAlign w:val="bottom"/>
          </w:tcPr>
          <w:p>
            <w:pPr>
              <w:spacing w:after="0"/>
              <w:rPr>
                <w:sz w:val="19"/>
                <w:szCs w:val="19"/>
                <w:color w:val="auto"/>
              </w:rPr>
            </w:pPr>
          </w:p>
        </w:tc>
        <w:tc>
          <w:tcPr>
            <w:tcW w:w="1180" w:type="dxa"/>
            <w:vAlign w:val="bottom"/>
          </w:tcPr>
          <w:p>
            <w:pPr>
              <w:jc w:val="center"/>
              <w:spacing w:after="0"/>
              <w:rPr>
                <w:sz w:val="20"/>
                <w:szCs w:val="20"/>
                <w:color w:val="auto"/>
              </w:rPr>
            </w:pPr>
            <w:r>
              <w:rPr>
                <w:rFonts w:ascii="Arial" w:cs="Arial" w:eastAsia="Arial" w:hAnsi="Arial"/>
                <w:sz w:val="17"/>
                <w:szCs w:val="17"/>
                <w:b w:val="1"/>
                <w:bCs w:val="1"/>
                <w:color w:val="auto"/>
                <w:w w:val="93"/>
              </w:rPr>
              <w:t>S/(000)</w:t>
            </w:r>
          </w:p>
        </w:tc>
        <w:tc>
          <w:tcPr>
            <w:tcW w:w="200" w:type="dxa"/>
            <w:vAlign w:val="bottom"/>
          </w:tcPr>
          <w:p>
            <w:pPr>
              <w:spacing w:after="0"/>
              <w:rPr>
                <w:sz w:val="19"/>
                <w:szCs w:val="19"/>
                <w:color w:val="auto"/>
              </w:rPr>
            </w:pPr>
          </w:p>
        </w:tc>
        <w:tc>
          <w:tcPr>
            <w:tcW w:w="1160" w:type="dxa"/>
            <w:vAlign w:val="bottom"/>
          </w:tcPr>
          <w:p>
            <w:pPr>
              <w:jc w:val="center"/>
              <w:spacing w:after="0"/>
              <w:rPr>
                <w:sz w:val="20"/>
                <w:szCs w:val="20"/>
                <w:color w:val="auto"/>
              </w:rPr>
            </w:pPr>
            <w:r>
              <w:rPr>
                <w:rFonts w:ascii="Arial" w:cs="Arial" w:eastAsia="Arial" w:hAnsi="Arial"/>
                <w:sz w:val="17"/>
                <w:szCs w:val="17"/>
                <w:b w:val="1"/>
                <w:bCs w:val="1"/>
                <w:color w:val="auto"/>
                <w:w w:val="93"/>
              </w:rPr>
              <w:t>S/(000)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7980" w:type="dxa"/>
            <w:vAlign w:val="bottom"/>
          </w:tcPr>
          <w:p>
            <w:pPr>
              <w:spacing w:after="0"/>
              <w:rPr>
                <w:sz w:val="16"/>
                <w:szCs w:val="16"/>
                <w:color w:val="auto"/>
              </w:rPr>
            </w:pPr>
          </w:p>
        </w:tc>
        <w:tc>
          <w:tcPr>
            <w:tcW w:w="1380" w:type="dxa"/>
            <w:vAlign w:val="bottom"/>
            <w:gridSpan w:val="2"/>
          </w:tcPr>
          <w:p>
            <w:pPr>
              <w:spacing w:after="0"/>
              <w:rPr>
                <w:sz w:val="16"/>
                <w:szCs w:val="16"/>
                <w:color w:val="auto"/>
              </w:rPr>
            </w:pPr>
          </w:p>
        </w:tc>
        <w:tc>
          <w:tcPr>
            <w:tcW w:w="126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7980" w:type="dxa"/>
            <w:vAlign w:val="bottom"/>
            <w:shd w:val="clear" w:color="auto" w:fill="CCEEFF"/>
          </w:tcPr>
          <w:p>
            <w:pPr>
              <w:spacing w:after="0"/>
              <w:rPr>
                <w:sz w:val="20"/>
                <w:szCs w:val="20"/>
                <w:color w:val="auto"/>
              </w:rPr>
            </w:pPr>
            <w:r>
              <w:rPr>
                <w:rFonts w:ascii="Arial" w:cs="Arial" w:eastAsia="Arial" w:hAnsi="Arial"/>
                <w:sz w:val="17"/>
                <w:szCs w:val="17"/>
                <w:color w:val="auto"/>
              </w:rPr>
              <w:t>Interest rate risk</w:t>
            </w: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7,836</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22,553</w:t>
            </w:r>
          </w:p>
        </w:tc>
        <w:tc>
          <w:tcPr>
            <w:tcW w:w="0" w:type="dxa"/>
            <w:vAlign w:val="bottom"/>
          </w:tcPr>
          <w:p>
            <w:pPr>
              <w:spacing w:after="0"/>
              <w:rPr>
                <w:sz w:val="1"/>
                <w:szCs w:val="1"/>
                <w:color w:val="auto"/>
              </w:rPr>
            </w:pPr>
          </w:p>
        </w:tc>
      </w:tr>
      <w:tr>
        <w:trPr>
          <w:trHeight w:val="208"/>
        </w:trPr>
        <w:tc>
          <w:tcPr>
            <w:tcW w:w="7980" w:type="dxa"/>
            <w:vAlign w:val="bottom"/>
          </w:tcPr>
          <w:p>
            <w:pPr>
              <w:spacing w:after="0"/>
              <w:rPr>
                <w:sz w:val="20"/>
                <w:szCs w:val="20"/>
                <w:color w:val="auto"/>
              </w:rPr>
            </w:pPr>
            <w:r>
              <w:rPr>
                <w:rFonts w:ascii="Arial" w:cs="Arial" w:eastAsia="Arial" w:hAnsi="Arial"/>
                <w:sz w:val="17"/>
                <w:szCs w:val="17"/>
                <w:color w:val="auto"/>
              </w:rPr>
              <w:t>Price risk</w:t>
            </w:r>
          </w:p>
        </w:tc>
        <w:tc>
          <w:tcPr>
            <w:tcW w:w="1380" w:type="dxa"/>
            <w:vAlign w:val="bottom"/>
            <w:gridSpan w:val="2"/>
          </w:tcPr>
          <w:p>
            <w:pPr>
              <w:jc w:val="right"/>
              <w:ind w:right="200"/>
              <w:spacing w:after="0"/>
              <w:rPr>
                <w:sz w:val="20"/>
                <w:szCs w:val="20"/>
                <w:color w:val="auto"/>
              </w:rPr>
            </w:pPr>
            <w:r>
              <w:rPr>
                <w:rFonts w:ascii="Arial" w:cs="Arial" w:eastAsia="Arial" w:hAnsi="Arial"/>
                <w:sz w:val="17"/>
                <w:szCs w:val="17"/>
                <w:color w:val="auto"/>
              </w:rPr>
              <w:t>2,759</w:t>
            </w:r>
          </w:p>
        </w:tc>
        <w:tc>
          <w:tcPr>
            <w:tcW w:w="1160" w:type="dxa"/>
            <w:vAlign w:val="bottom"/>
          </w:tcPr>
          <w:p>
            <w:pPr>
              <w:jc w:val="right"/>
              <w:spacing w:after="0"/>
              <w:rPr>
                <w:sz w:val="20"/>
                <w:szCs w:val="20"/>
                <w:color w:val="auto"/>
              </w:rPr>
            </w:pPr>
            <w:r>
              <w:rPr>
                <w:rFonts w:ascii="Arial" w:cs="Arial" w:eastAsia="Arial" w:hAnsi="Arial"/>
                <w:sz w:val="17"/>
                <w:szCs w:val="17"/>
                <w:color w:val="auto"/>
              </w:rPr>
              <w:t>9,623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7980" w:type="dxa"/>
            <w:vAlign w:val="bottom"/>
            <w:shd w:val="clear" w:color="auto" w:fill="CCEEFF"/>
          </w:tcPr>
          <w:p>
            <w:pPr>
              <w:spacing w:after="0"/>
              <w:rPr>
                <w:sz w:val="20"/>
                <w:szCs w:val="20"/>
                <w:color w:val="auto"/>
              </w:rPr>
            </w:pPr>
            <w:r>
              <w:rPr>
                <w:rFonts w:ascii="Arial" w:cs="Arial" w:eastAsia="Arial" w:hAnsi="Arial"/>
                <w:sz w:val="17"/>
                <w:szCs w:val="17"/>
                <w:color w:val="auto"/>
              </w:rPr>
              <w:t>Volatility risk</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319</w:t>
            </w:r>
          </w:p>
        </w:tc>
        <w:tc>
          <w:tcPr>
            <w:tcW w:w="0" w:type="dxa"/>
            <w:vAlign w:val="bottom"/>
          </w:tcPr>
          <w:p>
            <w:pPr>
              <w:spacing w:after="0"/>
              <w:rPr>
                <w:sz w:val="1"/>
                <w:szCs w:val="1"/>
                <w:color w:val="auto"/>
              </w:rPr>
            </w:pPr>
          </w:p>
        </w:tc>
      </w:tr>
      <w:tr>
        <w:trPr>
          <w:trHeight w:val="221"/>
        </w:trPr>
        <w:tc>
          <w:tcPr>
            <w:tcW w:w="7980" w:type="dxa"/>
            <w:vAlign w:val="bottom"/>
          </w:tcPr>
          <w:p>
            <w:pPr>
              <w:spacing w:after="0"/>
              <w:rPr>
                <w:sz w:val="20"/>
                <w:szCs w:val="20"/>
                <w:color w:val="auto"/>
              </w:rPr>
            </w:pPr>
            <w:r>
              <w:rPr>
                <w:rFonts w:ascii="Arial" w:cs="Arial" w:eastAsia="Arial" w:hAnsi="Arial"/>
                <w:sz w:val="17"/>
                <w:szCs w:val="17"/>
                <w:color w:val="auto"/>
              </w:rPr>
              <w:t>Diversification effect</w:t>
            </w:r>
          </w:p>
        </w:tc>
        <w:tc>
          <w:tcPr>
            <w:tcW w:w="1380" w:type="dxa"/>
            <w:vAlign w:val="bottom"/>
            <w:gridSpan w:val="2"/>
          </w:tcPr>
          <w:p>
            <w:pPr>
              <w:jc w:val="right"/>
              <w:ind w:right="140"/>
              <w:spacing w:after="0"/>
              <w:rPr>
                <w:sz w:val="20"/>
                <w:szCs w:val="20"/>
                <w:color w:val="auto"/>
              </w:rPr>
            </w:pPr>
            <w:r>
              <w:rPr>
                <w:rFonts w:ascii="Arial" w:cs="Arial" w:eastAsia="Arial" w:hAnsi="Arial"/>
                <w:sz w:val="17"/>
                <w:szCs w:val="17"/>
                <w:color w:val="auto"/>
              </w:rPr>
              <w:t>(3,195)</w:t>
            </w:r>
          </w:p>
        </w:tc>
        <w:tc>
          <w:tcPr>
            <w:tcW w:w="1260" w:type="dxa"/>
            <w:vAlign w:val="bottom"/>
            <w:gridSpan w:val="2"/>
          </w:tcPr>
          <w:p>
            <w:pPr>
              <w:jc w:val="right"/>
              <w:ind w:right="40"/>
              <w:spacing w:after="0"/>
              <w:rPr>
                <w:sz w:val="20"/>
                <w:szCs w:val="20"/>
                <w:color w:val="auto"/>
              </w:rPr>
            </w:pPr>
            <w:r>
              <w:rPr>
                <w:rFonts w:ascii="Arial" w:cs="Arial" w:eastAsia="Arial" w:hAnsi="Arial"/>
                <w:sz w:val="17"/>
                <w:szCs w:val="17"/>
                <w:color w:val="auto"/>
              </w:rPr>
              <w:t>(6,573)</w:t>
            </w:r>
          </w:p>
        </w:tc>
        <w:tc>
          <w:tcPr>
            <w:tcW w:w="0" w:type="dxa"/>
            <w:vAlign w:val="bottom"/>
          </w:tcPr>
          <w:p>
            <w:pPr>
              <w:spacing w:after="0"/>
              <w:rPr>
                <w:sz w:val="1"/>
                <w:szCs w:val="1"/>
                <w:color w:val="auto"/>
              </w:rPr>
            </w:pPr>
          </w:p>
        </w:tc>
      </w:tr>
      <w:tr>
        <w:trPr>
          <w:trHeight w:val="214"/>
        </w:trPr>
        <w:tc>
          <w:tcPr>
            <w:tcW w:w="79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Consolidated VaR by type of risk</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7,400</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25,922</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98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5" w:lineRule="exact"/>
        <w:rPr>
          <w:sz w:val="20"/>
          <w:szCs w:val="20"/>
          <w:color w:val="auto"/>
        </w:rPr>
      </w:pPr>
    </w:p>
    <w:p>
      <w:pPr>
        <w:ind w:left="316" w:hanging="316"/>
        <w:spacing w:after="0"/>
        <w:tabs>
          <w:tab w:leader="none" w:pos="316" w:val="left"/>
        </w:tabs>
        <w:numPr>
          <w:ilvl w:val="0"/>
          <w:numId w:val="150"/>
        </w:numPr>
        <w:rPr>
          <w:rFonts w:ascii="Arial" w:cs="Arial" w:eastAsia="Arial" w:hAnsi="Arial"/>
          <w:sz w:val="17"/>
          <w:szCs w:val="17"/>
          <w:color w:val="auto"/>
        </w:rPr>
      </w:pPr>
      <w:r>
        <w:rPr>
          <w:rFonts w:ascii="Arial" w:cs="Arial" w:eastAsia="Arial" w:hAnsi="Arial"/>
          <w:sz w:val="17"/>
          <w:szCs w:val="17"/>
          <w:color w:val="auto"/>
        </w:rPr>
        <w:t>ALM Book -</w:t>
      </w:r>
    </w:p>
    <w:p>
      <w:pPr>
        <w:spacing w:after="0" w:line="220" w:lineRule="exact"/>
        <w:rPr>
          <w:rFonts w:ascii="Arial" w:cs="Arial" w:eastAsia="Arial" w:hAnsi="Arial"/>
          <w:sz w:val="17"/>
          <w:szCs w:val="17"/>
          <w:color w:val="auto"/>
        </w:rPr>
      </w:pPr>
    </w:p>
    <w:p>
      <w:pPr>
        <w:ind w:left="316" w:right="460"/>
        <w:spacing w:after="0" w:line="285" w:lineRule="auto"/>
        <w:rPr>
          <w:rFonts w:ascii="Arial" w:cs="Arial" w:eastAsia="Arial" w:hAnsi="Arial"/>
          <w:sz w:val="17"/>
          <w:szCs w:val="17"/>
          <w:color w:val="auto"/>
        </w:rPr>
      </w:pPr>
      <w:r>
        <w:rPr>
          <w:rFonts w:ascii="Arial" w:cs="Arial" w:eastAsia="Arial" w:hAnsi="Arial"/>
          <w:sz w:val="17"/>
          <w:szCs w:val="17"/>
          <w:color w:val="auto"/>
        </w:rPr>
        <w:t>Non-trading portfolios which comprise the Banking Book are exposed to different sensitivities that can bring about a deterioration in the value of assets compared to liabilities and hence to a reduction of its net worth.</w:t>
      </w:r>
    </w:p>
    <w:p>
      <w:pPr>
        <w:spacing w:after="0" w:line="367" w:lineRule="exact"/>
        <w:rPr>
          <w:rFonts w:ascii="Arial" w:cs="Arial" w:eastAsia="Arial" w:hAnsi="Arial"/>
          <w:sz w:val="17"/>
          <w:szCs w:val="17"/>
          <w:color w:val="auto"/>
        </w:rPr>
      </w:pPr>
    </w:p>
    <w:p>
      <w:pPr>
        <w:ind w:left="5596" w:hanging="110"/>
        <w:spacing w:after="0"/>
        <w:tabs>
          <w:tab w:leader="none" w:pos="5596" w:val="left"/>
        </w:tabs>
        <w:numPr>
          <w:ilvl w:val="1"/>
          <w:numId w:val="150"/>
        </w:numPr>
        <w:rPr>
          <w:rFonts w:ascii="Arial" w:cs="Arial" w:eastAsia="Arial" w:hAnsi="Arial"/>
          <w:sz w:val="17"/>
          <w:szCs w:val="17"/>
          <w:color w:val="auto"/>
        </w:rPr>
      </w:pPr>
      <w:r>
        <w:rPr>
          <w:rFonts w:ascii="Arial" w:cs="Arial" w:eastAsia="Arial" w:hAnsi="Arial"/>
          <w:sz w:val="17"/>
          <w:szCs w:val="17"/>
          <w:color w:val="auto"/>
        </w:rPr>
        <w:t>128 -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15875</wp:posOffset>
            </wp:positionV>
            <wp:extent cx="725170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51700" cy="8255"/>
                    </a:xfrm>
                    <a:prstGeom prst="rect">
                      <a:avLst/>
                    </a:prstGeom>
                    <a:noFill/>
                  </pic:spPr>
                </pic:pic>
              </a:graphicData>
            </a:graphic>
          </wp:anchor>
        </w:drawing>
      </w:r>
    </w:p>
    <w:p>
      <w:pPr>
        <w:sectPr>
          <w:pgSz w:w="11900" w:h="16838" w:orient="portrait"/>
          <w:cols w:equalWidth="0" w:num="1">
            <w:col w:w="11276"/>
          </w:cols>
          <w:pgMar w:left="244" w:top="881" w:right="379" w:bottom="1440" w:gutter="0" w:footer="0" w:header="0"/>
        </w:sectPr>
      </w:pPr>
    </w:p>
    <w:bookmarkStart w:id="134" w:name="page135"/>
    <w:bookmarkEnd w:id="134"/>
    <w:p>
      <w:pPr>
        <w:ind w:left="304" w:hanging="304"/>
        <w:spacing w:after="0"/>
        <w:tabs>
          <w:tab w:leader="none" w:pos="304" w:val="left"/>
        </w:tabs>
        <w:numPr>
          <w:ilvl w:val="0"/>
          <w:numId w:val="151"/>
        </w:numPr>
        <w:rPr>
          <w:rFonts w:ascii="Arial" w:cs="Arial" w:eastAsia="Arial" w:hAnsi="Arial"/>
          <w:sz w:val="17"/>
          <w:szCs w:val="17"/>
          <w:color w:val="auto"/>
        </w:rPr>
      </w:pPr>
      <w:r>
        <w:rPr>
          <w:rFonts w:ascii="Arial" w:cs="Arial" w:eastAsia="Arial" w:hAnsi="Arial"/>
          <w:sz w:val="17"/>
          <w:szCs w:val="17"/>
          <w:color w:val="auto"/>
        </w:rPr>
        <w:t>Interest rate risk -</w:t>
      </w:r>
    </w:p>
    <w:p>
      <w:pPr>
        <w:spacing w:after="0" w:line="220" w:lineRule="exact"/>
        <w:rPr>
          <w:rFonts w:ascii="Arial" w:cs="Arial" w:eastAsia="Arial" w:hAnsi="Arial"/>
          <w:sz w:val="17"/>
          <w:szCs w:val="17"/>
          <w:color w:val="auto"/>
        </w:rPr>
      </w:pPr>
    </w:p>
    <w:p>
      <w:pPr>
        <w:ind w:left="304"/>
        <w:spacing w:after="0" w:line="270" w:lineRule="auto"/>
        <w:rPr>
          <w:rFonts w:ascii="Arial" w:cs="Arial" w:eastAsia="Arial" w:hAnsi="Arial"/>
          <w:sz w:val="17"/>
          <w:szCs w:val="17"/>
          <w:color w:val="auto"/>
        </w:rPr>
      </w:pPr>
      <w:r>
        <w:rPr>
          <w:rFonts w:ascii="Arial" w:cs="Arial" w:eastAsia="Arial" w:hAnsi="Arial"/>
          <w:sz w:val="17"/>
          <w:szCs w:val="17"/>
          <w:color w:val="auto"/>
        </w:rPr>
        <w:t>The Banking Book-related interest rate risk arises from eventual changes in interest rates that may adversely affect the expected gains (risk gains) or market value of financial assets and liabilities reported on the balance sheet (Net economic value). The Group assumes the exposure to the interest rate risk that may affect their fair value as well as the cash flow risk of future assets and liabilities.</w:t>
      </w:r>
    </w:p>
    <w:p>
      <w:pPr>
        <w:spacing w:after="0" w:line="171" w:lineRule="exact"/>
        <w:rPr>
          <w:rFonts w:ascii="Arial" w:cs="Arial" w:eastAsia="Arial" w:hAnsi="Arial"/>
          <w:sz w:val="17"/>
          <w:szCs w:val="17"/>
          <w:color w:val="auto"/>
        </w:rPr>
      </w:pPr>
    </w:p>
    <w:p>
      <w:pPr>
        <w:ind w:left="304" w:right="140"/>
        <w:spacing w:after="0" w:line="285" w:lineRule="auto"/>
        <w:rPr>
          <w:rFonts w:ascii="Arial" w:cs="Arial" w:eastAsia="Arial" w:hAnsi="Arial"/>
          <w:sz w:val="17"/>
          <w:szCs w:val="17"/>
          <w:color w:val="auto"/>
        </w:rPr>
      </w:pPr>
      <w:r>
        <w:rPr>
          <w:rFonts w:ascii="Arial" w:cs="Arial" w:eastAsia="Arial" w:hAnsi="Arial"/>
          <w:sz w:val="17"/>
          <w:szCs w:val="17"/>
          <w:color w:val="auto"/>
        </w:rPr>
        <w:t>The Risk Committee sets the guidelines regarding the level of unmatched repricing of interest rates that can be tolerated, which is periodically monitored through ALCO.</w:t>
      </w:r>
    </w:p>
    <w:p>
      <w:pPr>
        <w:spacing w:after="0" w:line="159" w:lineRule="exact"/>
        <w:rPr>
          <w:rFonts w:ascii="Arial" w:cs="Arial" w:eastAsia="Arial" w:hAnsi="Arial"/>
          <w:sz w:val="17"/>
          <w:szCs w:val="17"/>
          <w:color w:val="auto"/>
        </w:rPr>
      </w:pPr>
    </w:p>
    <w:p>
      <w:pPr>
        <w:ind w:left="304" w:right="140"/>
        <w:spacing w:after="0" w:line="285" w:lineRule="auto"/>
        <w:rPr>
          <w:rFonts w:ascii="Arial" w:cs="Arial" w:eastAsia="Arial" w:hAnsi="Arial"/>
          <w:sz w:val="17"/>
          <w:szCs w:val="17"/>
          <w:color w:val="auto"/>
        </w:rPr>
      </w:pPr>
      <w:r>
        <w:rPr>
          <w:rFonts w:ascii="Arial" w:cs="Arial" w:eastAsia="Arial" w:hAnsi="Arial"/>
          <w:sz w:val="17"/>
          <w:szCs w:val="17"/>
          <w:color w:val="auto"/>
        </w:rPr>
        <w:t>Corporate policies include guidelines for the management of the Group’s exposure to the interest rate risk. These guidelines are implemented considering the features of each segment of business in which the Group entities operate.</w:t>
      </w:r>
    </w:p>
    <w:p>
      <w:pPr>
        <w:spacing w:after="0" w:line="159" w:lineRule="exact"/>
        <w:rPr>
          <w:rFonts w:ascii="Arial" w:cs="Arial" w:eastAsia="Arial" w:hAnsi="Arial"/>
          <w:sz w:val="17"/>
          <w:szCs w:val="17"/>
          <w:color w:val="auto"/>
        </w:rPr>
      </w:pPr>
    </w:p>
    <w:p>
      <w:pPr>
        <w:ind w:left="304" w:right="180"/>
        <w:spacing w:after="0" w:line="265" w:lineRule="auto"/>
        <w:rPr>
          <w:rFonts w:ascii="Arial" w:cs="Arial" w:eastAsia="Arial" w:hAnsi="Arial"/>
          <w:sz w:val="17"/>
          <w:szCs w:val="17"/>
          <w:color w:val="auto"/>
        </w:rPr>
      </w:pPr>
      <w:r>
        <w:rPr>
          <w:rFonts w:ascii="Arial" w:cs="Arial" w:eastAsia="Arial" w:hAnsi="Arial"/>
          <w:sz w:val="17"/>
          <w:szCs w:val="17"/>
          <w:color w:val="auto"/>
        </w:rPr>
        <w:t>In this regard, Group companies that are exposed to the interest rate risk are those that have yields based on interest, such as credits, investments and technical reserves. Interest rate risk management in BCP Peru, BCP Bolivia, MiBanco, Atlantic Security Bank and Pacífico Grupo Asegurador is carried out by performing a repricing gap analysis, sensitivity analysis of the financial margin (GER) and sensitivity analysis of the net economic value (VEN). These calculations consider different rate shocks in stress scenarios.</w:t>
      </w:r>
    </w:p>
    <w:p>
      <w:pPr>
        <w:spacing w:after="0" w:line="176" w:lineRule="exact"/>
        <w:rPr>
          <w:rFonts w:ascii="Arial" w:cs="Arial" w:eastAsia="Arial" w:hAnsi="Arial"/>
          <w:sz w:val="17"/>
          <w:szCs w:val="17"/>
          <w:color w:val="auto"/>
        </w:rPr>
      </w:pPr>
    </w:p>
    <w:p>
      <w:pPr>
        <w:ind w:left="304"/>
        <w:spacing w:after="0"/>
        <w:rPr>
          <w:rFonts w:ascii="Arial" w:cs="Arial" w:eastAsia="Arial" w:hAnsi="Arial"/>
          <w:sz w:val="17"/>
          <w:szCs w:val="17"/>
          <w:color w:val="auto"/>
        </w:rPr>
      </w:pPr>
      <w:r>
        <w:rPr>
          <w:rFonts w:ascii="Arial" w:cs="Arial" w:eastAsia="Arial" w:hAnsi="Arial"/>
          <w:sz w:val="17"/>
          <w:szCs w:val="17"/>
          <w:color w:val="auto"/>
        </w:rPr>
        <w:t>Analysis of repricing gap -</w:t>
      </w:r>
    </w:p>
    <w:p>
      <w:pPr>
        <w:spacing w:after="0" w:line="220" w:lineRule="exact"/>
        <w:rPr>
          <w:rFonts w:ascii="Arial" w:cs="Arial" w:eastAsia="Arial" w:hAnsi="Arial"/>
          <w:sz w:val="17"/>
          <w:szCs w:val="17"/>
          <w:color w:val="auto"/>
        </w:rPr>
      </w:pPr>
    </w:p>
    <w:p>
      <w:pPr>
        <w:ind w:left="304" w:right="220"/>
        <w:spacing w:after="0" w:line="318" w:lineRule="auto"/>
        <w:rPr>
          <w:rFonts w:ascii="Arial" w:cs="Arial" w:eastAsia="Arial" w:hAnsi="Arial"/>
          <w:sz w:val="17"/>
          <w:szCs w:val="17"/>
          <w:color w:val="auto"/>
        </w:rPr>
      </w:pPr>
      <w:r>
        <w:rPr>
          <w:rFonts w:ascii="Arial" w:cs="Arial" w:eastAsia="Arial" w:hAnsi="Arial"/>
          <w:sz w:val="16"/>
          <w:szCs w:val="16"/>
          <w:color w:val="auto"/>
        </w:rPr>
        <w:t>The repricing gap analysis is intended to measure the interest rate risk exposure when the bank’s interest-sensitive liabilities exceed its interest-sensitive assets. By this analysis, management can identify the tranches in which the interest rate variations may have a potential impact.</w:t>
      </w:r>
    </w:p>
    <w:p>
      <w:pPr>
        <w:spacing w:after="0" w:line="343" w:lineRule="exact"/>
        <w:rPr>
          <w:rFonts w:ascii="Arial" w:cs="Arial" w:eastAsia="Arial" w:hAnsi="Arial"/>
          <w:sz w:val="17"/>
          <w:szCs w:val="17"/>
          <w:color w:val="auto"/>
        </w:rPr>
      </w:pPr>
    </w:p>
    <w:p>
      <w:pPr>
        <w:ind w:left="5284" w:hanging="110"/>
        <w:spacing w:after="0"/>
        <w:tabs>
          <w:tab w:leader="none" w:pos="5284" w:val="left"/>
        </w:tabs>
        <w:numPr>
          <w:ilvl w:val="1"/>
          <w:numId w:val="151"/>
        </w:numPr>
        <w:rPr>
          <w:rFonts w:ascii="Arial" w:cs="Arial" w:eastAsia="Arial" w:hAnsi="Arial"/>
          <w:sz w:val="17"/>
          <w:szCs w:val="17"/>
          <w:color w:val="auto"/>
        </w:rPr>
      </w:pPr>
      <w:r>
        <w:rPr>
          <w:rFonts w:ascii="Arial" w:cs="Arial" w:eastAsia="Arial" w:hAnsi="Arial"/>
          <w:sz w:val="17"/>
          <w:szCs w:val="17"/>
          <w:color w:val="auto"/>
        </w:rPr>
        <w:t>129 -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-197485</wp:posOffset>
            </wp:positionH>
            <wp:positionV relativeFrom="paragraph">
              <wp:posOffset>15875</wp:posOffset>
            </wp:positionV>
            <wp:extent cx="725170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51700" cy="8255"/>
                    </a:xfrm>
                    <a:prstGeom prst="rect">
                      <a:avLst/>
                    </a:prstGeom>
                    <a:noFill/>
                  </pic:spPr>
                </pic:pic>
              </a:graphicData>
            </a:graphic>
          </wp:anchor>
        </w:drawing>
      </w:r>
    </w:p>
    <w:p>
      <w:pPr>
        <w:sectPr>
          <w:pgSz w:w="11900" w:h="16838" w:orient="portrait"/>
          <w:cols w:equalWidth="0" w:num="1">
            <w:col w:w="11064"/>
          </w:cols>
          <w:pgMar w:left="556" w:top="881" w:right="279" w:bottom="1440" w:gutter="0" w:footer="0" w:header="0"/>
        </w:sectPr>
      </w:pPr>
    </w:p>
    <w:bookmarkStart w:id="135" w:name="page136"/>
    <w:bookmarkEnd w:id="135"/>
    <w:p>
      <w:pPr>
        <w:ind w:right="80"/>
        <w:spacing w:after="0" w:line="285" w:lineRule="auto"/>
        <w:rPr>
          <w:sz w:val="20"/>
          <w:szCs w:val="20"/>
          <w:color w:val="auto"/>
        </w:rPr>
      </w:pPr>
      <w:r>
        <w:rPr>
          <w:rFonts w:ascii="Arial" w:cs="Arial" w:eastAsia="Arial" w:hAnsi="Arial"/>
          <w:sz w:val="17"/>
          <w:szCs w:val="17"/>
          <w:color w:val="auto"/>
        </w:rPr>
        <w:t>The table below summarizes the Group’s exposure to interest rate risks. It includes the Group’s financial instruments at carrying amounts, categorized by the earlier of contractual re-pricing or maturity dates: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3520" w:type="dxa"/>
            <w:vAlign w:val="bottom"/>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3360" w:type="dxa"/>
            <w:vAlign w:val="bottom"/>
            <w:tcBorders>
              <w:bottom w:val="single" w:sz="8" w:color="auto"/>
            </w:tcBorders>
            <w:gridSpan w:val="6"/>
          </w:tcPr>
          <w:p>
            <w:pPr>
              <w:jc w:val="right"/>
              <w:ind w:right="960"/>
              <w:spacing w:after="0"/>
              <w:rPr>
                <w:sz w:val="20"/>
                <w:szCs w:val="20"/>
                <w:color w:val="auto"/>
              </w:rPr>
            </w:pPr>
            <w:r>
              <w:rPr>
                <w:rFonts w:ascii="Arial" w:cs="Arial" w:eastAsia="Arial" w:hAnsi="Arial"/>
                <w:sz w:val="17"/>
                <w:szCs w:val="17"/>
                <w:b w:val="1"/>
                <w:bCs w:val="1"/>
                <w:color w:val="auto"/>
              </w:rPr>
              <w:t>At December 31, 2017</w:t>
            </w:r>
          </w:p>
        </w:tc>
        <w:tc>
          <w:tcPr>
            <w:tcW w:w="96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2"/>
        </w:trPr>
        <w:tc>
          <w:tcPr>
            <w:tcW w:w="3520" w:type="dxa"/>
            <w:vAlign w:val="bottom"/>
          </w:tcPr>
          <w:p>
            <w:pPr>
              <w:spacing w:after="0"/>
              <w:rPr>
                <w:sz w:val="15"/>
                <w:szCs w:val="15"/>
                <w:color w:val="auto"/>
              </w:rPr>
            </w:pPr>
          </w:p>
        </w:tc>
        <w:tc>
          <w:tcPr>
            <w:tcW w:w="1100" w:type="dxa"/>
            <w:vAlign w:val="bottom"/>
            <w:gridSpan w:val="2"/>
          </w:tcPr>
          <w:p>
            <w:pPr>
              <w:jc w:val="right"/>
              <w:ind w:right="339"/>
              <w:spacing w:after="0" w:line="183" w:lineRule="exact"/>
              <w:rPr>
                <w:sz w:val="20"/>
                <w:szCs w:val="20"/>
                <w:color w:val="auto"/>
              </w:rPr>
            </w:pPr>
            <w:r>
              <w:rPr>
                <w:rFonts w:ascii="Arial" w:cs="Arial" w:eastAsia="Arial" w:hAnsi="Arial"/>
                <w:sz w:val="17"/>
                <w:szCs w:val="17"/>
                <w:b w:val="1"/>
                <w:bCs w:val="1"/>
                <w:color w:val="auto"/>
              </w:rPr>
              <w:t>Up to 1</w:t>
            </w:r>
          </w:p>
        </w:tc>
        <w:tc>
          <w:tcPr>
            <w:tcW w:w="9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gridSpan w:val="2"/>
          </w:tcPr>
          <w:p>
            <w:pPr>
              <w:ind w:left="180"/>
              <w:spacing w:after="0" w:line="183" w:lineRule="exact"/>
              <w:rPr>
                <w:sz w:val="20"/>
                <w:szCs w:val="20"/>
                <w:color w:val="auto"/>
              </w:rPr>
            </w:pPr>
            <w:r>
              <w:rPr>
                <w:rFonts w:ascii="Arial" w:cs="Arial" w:eastAsia="Arial" w:hAnsi="Arial"/>
                <w:sz w:val="17"/>
                <w:szCs w:val="17"/>
                <w:b w:val="1"/>
                <w:bCs w:val="1"/>
                <w:color w:val="auto"/>
              </w:rPr>
              <w:t>3 to 12</w:t>
            </w:r>
          </w:p>
        </w:tc>
        <w:tc>
          <w:tcPr>
            <w:tcW w:w="9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gridSpan w:val="2"/>
          </w:tcPr>
          <w:p>
            <w:pPr>
              <w:jc w:val="center"/>
              <w:ind w:right="220"/>
              <w:spacing w:after="0" w:line="183" w:lineRule="exact"/>
              <w:rPr>
                <w:sz w:val="20"/>
                <w:szCs w:val="20"/>
                <w:color w:val="auto"/>
              </w:rPr>
            </w:pPr>
            <w:r>
              <w:rPr>
                <w:rFonts w:ascii="Arial" w:cs="Arial" w:eastAsia="Arial" w:hAnsi="Arial"/>
                <w:sz w:val="17"/>
                <w:szCs w:val="17"/>
                <w:b w:val="1"/>
                <w:bCs w:val="1"/>
                <w:color w:val="auto"/>
                <w:w w:val="94"/>
              </w:rPr>
              <w:t>More than 5</w:t>
            </w:r>
          </w:p>
        </w:tc>
        <w:tc>
          <w:tcPr>
            <w:tcW w:w="1160" w:type="dxa"/>
            <w:vAlign w:val="bottom"/>
            <w:gridSpan w:val="2"/>
          </w:tcPr>
          <w:p>
            <w:pPr>
              <w:jc w:val="center"/>
              <w:ind w:right="119"/>
              <w:spacing w:after="0" w:line="183" w:lineRule="exact"/>
              <w:rPr>
                <w:sz w:val="20"/>
                <w:szCs w:val="20"/>
                <w:color w:val="auto"/>
              </w:rPr>
            </w:pPr>
            <w:r>
              <w:rPr>
                <w:rFonts w:ascii="Arial" w:cs="Arial" w:eastAsia="Arial" w:hAnsi="Arial"/>
                <w:sz w:val="17"/>
                <w:szCs w:val="17"/>
                <w:b w:val="1"/>
                <w:bCs w:val="1"/>
                <w:color w:val="auto"/>
                <w:w w:val="91"/>
              </w:rPr>
              <w:t>Non-interest</w:t>
            </w: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3520" w:type="dxa"/>
            <w:vAlign w:val="bottom"/>
          </w:tcPr>
          <w:p>
            <w:pPr>
              <w:spacing w:after="0"/>
              <w:rPr>
                <w:sz w:val="19"/>
                <w:szCs w:val="19"/>
                <w:color w:val="auto"/>
              </w:rPr>
            </w:pPr>
          </w:p>
        </w:tc>
        <w:tc>
          <w:tcPr>
            <w:tcW w:w="1100" w:type="dxa"/>
            <w:vAlign w:val="bottom"/>
            <w:gridSpan w:val="2"/>
          </w:tcPr>
          <w:p>
            <w:pPr>
              <w:jc w:val="right"/>
              <w:ind w:right="339"/>
              <w:spacing w:after="0"/>
              <w:rPr>
                <w:sz w:val="20"/>
                <w:szCs w:val="20"/>
                <w:color w:val="auto"/>
              </w:rPr>
            </w:pPr>
            <w:r>
              <w:rPr>
                <w:rFonts w:ascii="Arial" w:cs="Arial" w:eastAsia="Arial" w:hAnsi="Arial"/>
                <w:sz w:val="17"/>
                <w:szCs w:val="17"/>
                <w:b w:val="1"/>
                <w:bCs w:val="1"/>
                <w:color w:val="auto"/>
              </w:rPr>
              <w:t>month</w:t>
            </w:r>
          </w:p>
        </w:tc>
        <w:tc>
          <w:tcPr>
            <w:tcW w:w="1200" w:type="dxa"/>
            <w:vAlign w:val="bottom"/>
            <w:gridSpan w:val="2"/>
          </w:tcPr>
          <w:p>
            <w:pPr>
              <w:jc w:val="right"/>
              <w:ind w:right="119"/>
              <w:spacing w:after="0"/>
              <w:rPr>
                <w:sz w:val="20"/>
                <w:szCs w:val="20"/>
                <w:color w:val="auto"/>
              </w:rPr>
            </w:pPr>
            <w:r>
              <w:rPr>
                <w:rFonts w:ascii="Arial" w:cs="Arial" w:eastAsia="Arial" w:hAnsi="Arial"/>
                <w:sz w:val="17"/>
                <w:szCs w:val="17"/>
                <w:b w:val="1"/>
                <w:bCs w:val="1"/>
                <w:color w:val="auto"/>
                <w:w w:val="88"/>
              </w:rPr>
              <w:t>1 to 3 months</w:t>
            </w:r>
          </w:p>
        </w:tc>
        <w:tc>
          <w:tcPr>
            <w:tcW w:w="1100" w:type="dxa"/>
            <w:vAlign w:val="bottom"/>
            <w:gridSpan w:val="2"/>
          </w:tcPr>
          <w:p>
            <w:pPr>
              <w:ind w:left="160"/>
              <w:spacing w:after="0"/>
              <w:rPr>
                <w:sz w:val="20"/>
                <w:szCs w:val="20"/>
                <w:color w:val="auto"/>
              </w:rPr>
            </w:pPr>
            <w:r>
              <w:rPr>
                <w:rFonts w:ascii="Arial" w:cs="Arial" w:eastAsia="Arial" w:hAnsi="Arial"/>
                <w:sz w:val="17"/>
                <w:szCs w:val="17"/>
                <w:b w:val="1"/>
                <w:bCs w:val="1"/>
                <w:color w:val="auto"/>
              </w:rPr>
              <w:t>months</w:t>
            </w:r>
          </w:p>
        </w:tc>
        <w:tc>
          <w:tcPr>
            <w:tcW w:w="1100" w:type="dxa"/>
            <w:vAlign w:val="bottom"/>
            <w:gridSpan w:val="2"/>
          </w:tcPr>
          <w:p>
            <w:pPr>
              <w:jc w:val="right"/>
              <w:ind w:right="159"/>
              <w:spacing w:after="0"/>
              <w:rPr>
                <w:sz w:val="20"/>
                <w:szCs w:val="20"/>
                <w:color w:val="auto"/>
              </w:rPr>
            </w:pPr>
            <w:r>
              <w:rPr>
                <w:rFonts w:ascii="Arial" w:cs="Arial" w:eastAsia="Arial" w:hAnsi="Arial"/>
                <w:sz w:val="17"/>
                <w:szCs w:val="17"/>
                <w:b w:val="1"/>
                <w:bCs w:val="1"/>
                <w:color w:val="auto"/>
                <w:w w:val="89"/>
              </w:rPr>
              <w:t>1 to 5 years</w:t>
            </w:r>
          </w:p>
        </w:tc>
        <w:tc>
          <w:tcPr>
            <w:tcW w:w="1160" w:type="dxa"/>
            <w:vAlign w:val="bottom"/>
            <w:gridSpan w:val="2"/>
          </w:tcPr>
          <w:p>
            <w:pPr>
              <w:jc w:val="center"/>
              <w:ind w:right="200"/>
              <w:spacing w:after="0"/>
              <w:rPr>
                <w:sz w:val="20"/>
                <w:szCs w:val="20"/>
                <w:color w:val="auto"/>
              </w:rPr>
            </w:pPr>
            <w:r>
              <w:rPr>
                <w:rFonts w:ascii="Arial" w:cs="Arial" w:eastAsia="Arial" w:hAnsi="Arial"/>
                <w:sz w:val="17"/>
                <w:szCs w:val="17"/>
                <w:b w:val="1"/>
                <w:bCs w:val="1"/>
                <w:color w:val="auto"/>
                <w:w w:val="89"/>
              </w:rPr>
              <w:t>years</w:t>
            </w:r>
          </w:p>
        </w:tc>
        <w:tc>
          <w:tcPr>
            <w:tcW w:w="1160" w:type="dxa"/>
            <w:vAlign w:val="bottom"/>
            <w:gridSpan w:val="2"/>
          </w:tcPr>
          <w:p>
            <w:pPr>
              <w:jc w:val="center"/>
              <w:ind w:right="119"/>
              <w:spacing w:after="0"/>
              <w:rPr>
                <w:sz w:val="20"/>
                <w:szCs w:val="20"/>
                <w:color w:val="auto"/>
              </w:rPr>
            </w:pPr>
            <w:r>
              <w:rPr>
                <w:rFonts w:ascii="Arial" w:cs="Arial" w:eastAsia="Arial" w:hAnsi="Arial"/>
                <w:sz w:val="17"/>
                <w:szCs w:val="17"/>
                <w:b w:val="1"/>
                <w:bCs w:val="1"/>
                <w:color w:val="auto"/>
                <w:w w:val="91"/>
              </w:rPr>
              <w:t>bearing</w:t>
            </w:r>
          </w:p>
        </w:tc>
        <w:tc>
          <w:tcPr>
            <w:tcW w:w="1080" w:type="dxa"/>
            <w:vAlign w:val="bottom"/>
            <w:gridSpan w:val="2"/>
          </w:tcPr>
          <w:p>
            <w:pPr>
              <w:jc w:val="right"/>
              <w:ind w:right="319"/>
              <w:spacing w:after="0"/>
              <w:rPr>
                <w:sz w:val="20"/>
                <w:szCs w:val="20"/>
                <w:color w:val="auto"/>
              </w:rPr>
            </w:pPr>
            <w:r>
              <w:rPr>
                <w:rFonts w:ascii="Arial" w:cs="Arial" w:eastAsia="Arial" w:hAnsi="Arial"/>
                <w:sz w:val="17"/>
                <w:szCs w:val="17"/>
                <w:b w:val="1"/>
                <w:bCs w:val="1"/>
                <w:color w:val="auto"/>
              </w:rPr>
              <w:t>Total</w:t>
            </w:r>
          </w:p>
        </w:tc>
        <w:tc>
          <w:tcPr>
            <w:tcW w:w="0" w:type="dxa"/>
            <w:vAlign w:val="bottom"/>
          </w:tcPr>
          <w:p>
            <w:pPr>
              <w:spacing w:after="0"/>
              <w:rPr>
                <w:sz w:val="1"/>
                <w:szCs w:val="1"/>
                <w:color w:val="auto"/>
              </w:rPr>
            </w:pPr>
          </w:p>
        </w:tc>
      </w:tr>
      <w:tr>
        <w:trPr>
          <w:trHeight w:val="201"/>
        </w:trPr>
        <w:tc>
          <w:tcPr>
            <w:tcW w:w="3520" w:type="dxa"/>
            <w:vAlign w:val="bottom"/>
          </w:tcPr>
          <w:p>
            <w:pPr>
              <w:spacing w:after="0"/>
              <w:rPr>
                <w:sz w:val="17"/>
                <w:szCs w:val="17"/>
                <w:color w:val="auto"/>
              </w:rPr>
            </w:pPr>
          </w:p>
        </w:tc>
        <w:tc>
          <w:tcPr>
            <w:tcW w:w="880" w:type="dxa"/>
            <w:vAlign w:val="bottom"/>
            <w:tcBorders>
              <w:top w:val="single" w:sz="8" w:color="auto"/>
            </w:tcBorders>
          </w:tcPr>
          <w:p>
            <w:pPr>
              <w:jc w:val="right"/>
              <w:ind w:right="93"/>
              <w:spacing w:after="0"/>
              <w:rPr>
                <w:sz w:val="20"/>
                <w:szCs w:val="20"/>
                <w:color w:val="auto"/>
              </w:rPr>
            </w:pPr>
            <w:r>
              <w:rPr>
                <w:rFonts w:ascii="Arial" w:cs="Arial" w:eastAsia="Arial" w:hAnsi="Arial"/>
                <w:sz w:val="17"/>
                <w:szCs w:val="17"/>
                <w:b w:val="1"/>
                <w:bCs w:val="1"/>
                <w:color w:val="auto"/>
              </w:rPr>
              <w:t>S/(000)</w:t>
            </w:r>
          </w:p>
        </w:tc>
        <w:tc>
          <w:tcPr>
            <w:tcW w:w="220" w:type="dxa"/>
            <w:vAlign w:val="bottom"/>
          </w:tcPr>
          <w:p>
            <w:pPr>
              <w:spacing w:after="0"/>
              <w:rPr>
                <w:sz w:val="17"/>
                <w:szCs w:val="17"/>
                <w:color w:val="auto"/>
              </w:rPr>
            </w:pPr>
          </w:p>
        </w:tc>
        <w:tc>
          <w:tcPr>
            <w:tcW w:w="980" w:type="dxa"/>
            <w:vAlign w:val="bottom"/>
            <w:tcBorders>
              <w:top w:val="single" w:sz="8" w:color="auto"/>
            </w:tcBorders>
          </w:tcPr>
          <w:p>
            <w:pPr>
              <w:jc w:val="right"/>
              <w:ind w:right="153"/>
              <w:spacing w:after="0"/>
              <w:rPr>
                <w:sz w:val="20"/>
                <w:szCs w:val="20"/>
                <w:color w:val="auto"/>
              </w:rPr>
            </w:pPr>
            <w:r>
              <w:rPr>
                <w:rFonts w:ascii="Arial" w:cs="Arial" w:eastAsia="Arial" w:hAnsi="Arial"/>
                <w:sz w:val="17"/>
                <w:szCs w:val="17"/>
                <w:b w:val="1"/>
                <w:bCs w:val="1"/>
                <w:color w:val="auto"/>
              </w:rPr>
              <w:t>S/(000)</w:t>
            </w:r>
          </w:p>
        </w:tc>
        <w:tc>
          <w:tcPr>
            <w:tcW w:w="220" w:type="dxa"/>
            <w:vAlign w:val="bottom"/>
          </w:tcPr>
          <w:p>
            <w:pPr>
              <w:spacing w:after="0"/>
              <w:rPr>
                <w:sz w:val="17"/>
                <w:szCs w:val="17"/>
                <w:color w:val="auto"/>
              </w:rPr>
            </w:pPr>
          </w:p>
        </w:tc>
        <w:tc>
          <w:tcPr>
            <w:tcW w:w="880" w:type="dxa"/>
            <w:vAlign w:val="bottom"/>
            <w:tcBorders>
              <w:top w:val="single" w:sz="8" w:color="auto"/>
            </w:tcBorders>
          </w:tcPr>
          <w:p>
            <w:pPr>
              <w:ind w:left="180"/>
              <w:spacing w:after="0"/>
              <w:rPr>
                <w:sz w:val="20"/>
                <w:szCs w:val="20"/>
                <w:color w:val="auto"/>
              </w:rPr>
            </w:pPr>
            <w:r>
              <w:rPr>
                <w:rFonts w:ascii="Arial" w:cs="Arial" w:eastAsia="Arial" w:hAnsi="Arial"/>
                <w:sz w:val="17"/>
                <w:szCs w:val="17"/>
                <w:b w:val="1"/>
                <w:bCs w:val="1"/>
                <w:color w:val="auto"/>
              </w:rPr>
              <w:t>S/(000)</w:t>
            </w:r>
          </w:p>
        </w:tc>
        <w:tc>
          <w:tcPr>
            <w:tcW w:w="220" w:type="dxa"/>
            <w:vAlign w:val="bottom"/>
          </w:tcPr>
          <w:p>
            <w:pPr>
              <w:spacing w:after="0"/>
              <w:rPr>
                <w:sz w:val="17"/>
                <w:szCs w:val="17"/>
                <w:color w:val="auto"/>
              </w:rPr>
            </w:pPr>
          </w:p>
        </w:tc>
        <w:tc>
          <w:tcPr>
            <w:tcW w:w="900" w:type="dxa"/>
            <w:vAlign w:val="bottom"/>
            <w:tcBorders>
              <w:top w:val="single" w:sz="8" w:color="auto"/>
            </w:tcBorders>
          </w:tcPr>
          <w:p>
            <w:pPr>
              <w:jc w:val="right"/>
              <w:ind w:right="113"/>
              <w:spacing w:after="0"/>
              <w:rPr>
                <w:sz w:val="20"/>
                <w:szCs w:val="20"/>
                <w:color w:val="auto"/>
              </w:rPr>
            </w:pPr>
            <w:r>
              <w:rPr>
                <w:rFonts w:ascii="Arial" w:cs="Arial" w:eastAsia="Arial" w:hAnsi="Arial"/>
                <w:sz w:val="17"/>
                <w:szCs w:val="17"/>
                <w:b w:val="1"/>
                <w:bCs w:val="1"/>
                <w:color w:val="auto"/>
              </w:rPr>
              <w:t>S/(000)</w:t>
            </w:r>
          </w:p>
        </w:tc>
        <w:tc>
          <w:tcPr>
            <w:tcW w:w="200" w:type="dxa"/>
            <w:vAlign w:val="bottom"/>
          </w:tcPr>
          <w:p>
            <w:pPr>
              <w:spacing w:after="0"/>
              <w:rPr>
                <w:sz w:val="17"/>
                <w:szCs w:val="17"/>
                <w:color w:val="auto"/>
              </w:rPr>
            </w:pPr>
          </w:p>
        </w:tc>
        <w:tc>
          <w:tcPr>
            <w:tcW w:w="940" w:type="dxa"/>
            <w:vAlign w:val="bottom"/>
            <w:tcBorders>
              <w:top w:val="single" w:sz="8" w:color="auto"/>
            </w:tcBorders>
          </w:tcPr>
          <w:p>
            <w:pPr>
              <w:jc w:val="center"/>
              <w:spacing w:after="0"/>
              <w:rPr>
                <w:sz w:val="20"/>
                <w:szCs w:val="20"/>
                <w:color w:val="auto"/>
              </w:rPr>
            </w:pPr>
            <w:r>
              <w:rPr>
                <w:rFonts w:ascii="Arial" w:cs="Arial" w:eastAsia="Arial" w:hAnsi="Arial"/>
                <w:sz w:val="17"/>
                <w:szCs w:val="17"/>
                <w:b w:val="1"/>
                <w:bCs w:val="1"/>
                <w:color w:val="auto"/>
                <w:w w:val="93"/>
              </w:rPr>
              <w:t>S/(000)</w:t>
            </w:r>
          </w:p>
        </w:tc>
        <w:tc>
          <w:tcPr>
            <w:tcW w:w="220" w:type="dxa"/>
            <w:vAlign w:val="bottom"/>
          </w:tcPr>
          <w:p>
            <w:pPr>
              <w:spacing w:after="0"/>
              <w:rPr>
                <w:sz w:val="17"/>
                <w:szCs w:val="17"/>
                <w:color w:val="auto"/>
              </w:rPr>
            </w:pPr>
          </w:p>
        </w:tc>
        <w:tc>
          <w:tcPr>
            <w:tcW w:w="960" w:type="dxa"/>
            <w:vAlign w:val="bottom"/>
            <w:tcBorders>
              <w:top w:val="single" w:sz="8" w:color="auto"/>
            </w:tcBorders>
          </w:tcPr>
          <w:p>
            <w:pPr>
              <w:jc w:val="center"/>
              <w:spacing w:after="0"/>
              <w:rPr>
                <w:sz w:val="20"/>
                <w:szCs w:val="20"/>
                <w:color w:val="auto"/>
              </w:rPr>
            </w:pPr>
            <w:r>
              <w:rPr>
                <w:rFonts w:ascii="Arial" w:cs="Arial" w:eastAsia="Arial" w:hAnsi="Arial"/>
                <w:sz w:val="17"/>
                <w:szCs w:val="17"/>
                <w:b w:val="1"/>
                <w:bCs w:val="1"/>
                <w:color w:val="auto"/>
                <w:w w:val="89"/>
              </w:rPr>
              <w:t>S/000</w:t>
            </w:r>
          </w:p>
        </w:tc>
        <w:tc>
          <w:tcPr>
            <w:tcW w:w="200" w:type="dxa"/>
            <w:vAlign w:val="bottom"/>
          </w:tcPr>
          <w:p>
            <w:pPr>
              <w:spacing w:after="0"/>
              <w:rPr>
                <w:sz w:val="17"/>
                <w:szCs w:val="17"/>
                <w:color w:val="auto"/>
              </w:rPr>
            </w:pPr>
          </w:p>
        </w:tc>
        <w:tc>
          <w:tcPr>
            <w:tcW w:w="980" w:type="dxa"/>
            <w:vAlign w:val="bottom"/>
            <w:tcBorders>
              <w:top w:val="single" w:sz="8" w:color="auto"/>
            </w:tcBorders>
          </w:tcPr>
          <w:p>
            <w:pPr>
              <w:jc w:val="right"/>
              <w:ind w:right="133"/>
              <w:spacing w:after="0"/>
              <w:rPr>
                <w:sz w:val="20"/>
                <w:szCs w:val="20"/>
                <w:color w:val="auto"/>
              </w:rPr>
            </w:pPr>
            <w:r>
              <w:rPr>
                <w:rFonts w:ascii="Arial" w:cs="Arial" w:eastAsia="Arial" w:hAnsi="Arial"/>
                <w:sz w:val="17"/>
                <w:szCs w:val="17"/>
                <w:b w:val="1"/>
                <w:bCs w:val="1"/>
                <w:color w:val="auto"/>
              </w:rPr>
              <w:t>S/(000)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352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Assets</w:t>
            </w: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3520" w:type="dxa"/>
            <w:vAlign w:val="bottom"/>
          </w:tcPr>
          <w:p>
            <w:pPr>
              <w:spacing w:after="0"/>
              <w:rPr>
                <w:sz w:val="20"/>
                <w:szCs w:val="20"/>
                <w:color w:val="auto"/>
              </w:rPr>
            </w:pPr>
            <w:r>
              <w:rPr>
                <w:rFonts w:ascii="Arial" w:cs="Arial" w:eastAsia="Arial" w:hAnsi="Arial"/>
                <w:sz w:val="17"/>
                <w:szCs w:val="17"/>
                <w:color w:val="auto"/>
              </w:rPr>
              <w:t>Cash and due from banks, Cash collateral,</w:t>
            </w: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3520" w:type="dxa"/>
            <w:vAlign w:val="bottom"/>
          </w:tcPr>
          <w:p>
            <w:pPr>
              <w:spacing w:after="0"/>
              <w:rPr>
                <w:sz w:val="20"/>
                <w:szCs w:val="20"/>
                <w:color w:val="auto"/>
              </w:rPr>
            </w:pPr>
            <w:r>
              <w:rPr>
                <w:rFonts w:ascii="Arial" w:cs="Arial" w:eastAsia="Arial" w:hAnsi="Arial"/>
                <w:sz w:val="17"/>
                <w:szCs w:val="17"/>
                <w:color w:val="auto"/>
                <w:w w:val="99"/>
              </w:rPr>
              <w:t>reverse repurchase agreements and securities</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3520" w:type="dxa"/>
            <w:vAlign w:val="bottom"/>
          </w:tcPr>
          <w:p>
            <w:pPr>
              <w:spacing w:after="0"/>
              <w:rPr>
                <w:sz w:val="20"/>
                <w:szCs w:val="20"/>
                <w:color w:val="auto"/>
              </w:rPr>
            </w:pPr>
            <w:r>
              <w:rPr>
                <w:rFonts w:ascii="Arial" w:cs="Arial" w:eastAsia="Arial" w:hAnsi="Arial"/>
                <w:sz w:val="17"/>
                <w:szCs w:val="17"/>
                <w:color w:val="auto"/>
              </w:rPr>
              <w:t>borrowings</w:t>
            </w:r>
          </w:p>
        </w:tc>
        <w:tc>
          <w:tcPr>
            <w:tcW w:w="1100" w:type="dxa"/>
            <w:vAlign w:val="bottom"/>
            <w:gridSpan w:val="2"/>
          </w:tcPr>
          <w:p>
            <w:pPr>
              <w:jc w:val="right"/>
              <w:ind w:right="139"/>
              <w:spacing w:after="0"/>
              <w:rPr>
                <w:sz w:val="20"/>
                <w:szCs w:val="20"/>
                <w:color w:val="auto"/>
              </w:rPr>
            </w:pPr>
            <w:r>
              <w:rPr>
                <w:rFonts w:ascii="Arial" w:cs="Arial" w:eastAsia="Arial" w:hAnsi="Arial"/>
                <w:sz w:val="17"/>
                <w:szCs w:val="17"/>
                <w:color w:val="auto"/>
              </w:rPr>
              <w:t>11,473,580</w:t>
            </w:r>
          </w:p>
        </w:tc>
        <w:tc>
          <w:tcPr>
            <w:tcW w:w="1200" w:type="dxa"/>
            <w:vAlign w:val="bottom"/>
            <w:gridSpan w:val="2"/>
          </w:tcPr>
          <w:p>
            <w:pPr>
              <w:jc w:val="right"/>
              <w:ind w:right="139"/>
              <w:spacing w:after="0"/>
              <w:rPr>
                <w:sz w:val="20"/>
                <w:szCs w:val="20"/>
                <w:color w:val="auto"/>
              </w:rPr>
            </w:pPr>
            <w:r>
              <w:rPr>
                <w:rFonts w:ascii="Arial" w:cs="Arial" w:eastAsia="Arial" w:hAnsi="Arial"/>
                <w:sz w:val="17"/>
                <w:szCs w:val="17"/>
                <w:color w:val="auto"/>
              </w:rPr>
              <w:t>1,859,361</w:t>
            </w:r>
          </w:p>
        </w:tc>
        <w:tc>
          <w:tcPr>
            <w:tcW w:w="1100" w:type="dxa"/>
            <w:vAlign w:val="bottom"/>
            <w:gridSpan w:val="2"/>
          </w:tcPr>
          <w:p>
            <w:pPr>
              <w:jc w:val="right"/>
              <w:ind w:right="220"/>
              <w:spacing w:after="0"/>
              <w:rPr>
                <w:sz w:val="20"/>
                <w:szCs w:val="20"/>
                <w:color w:val="auto"/>
              </w:rPr>
            </w:pPr>
            <w:r>
              <w:rPr>
                <w:rFonts w:ascii="Arial" w:cs="Arial" w:eastAsia="Arial" w:hAnsi="Arial"/>
                <w:sz w:val="17"/>
                <w:szCs w:val="17"/>
                <w:color w:val="auto"/>
              </w:rPr>
              <w:t>4,638,314</w:t>
            </w:r>
          </w:p>
        </w:tc>
        <w:tc>
          <w:tcPr>
            <w:tcW w:w="900" w:type="dxa"/>
            <w:vAlign w:val="bottom"/>
          </w:tcPr>
          <w:p>
            <w:pPr>
              <w:jc w:val="right"/>
              <w:spacing w:after="0"/>
              <w:rPr>
                <w:sz w:val="20"/>
                <w:szCs w:val="20"/>
                <w:color w:val="auto"/>
              </w:rPr>
            </w:pPr>
            <w:r>
              <w:rPr>
                <w:rFonts w:ascii="Arial" w:cs="Arial" w:eastAsia="Arial" w:hAnsi="Arial"/>
                <w:sz w:val="17"/>
                <w:szCs w:val="17"/>
                <w:color w:val="auto"/>
              </w:rPr>
              <w:t>6,222,420</w:t>
            </w:r>
          </w:p>
        </w:tc>
        <w:tc>
          <w:tcPr>
            <w:tcW w:w="20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7"/>
                <w:szCs w:val="17"/>
                <w:color w:val="auto"/>
              </w:rPr>
              <w:t>79,788</w:t>
            </w:r>
          </w:p>
        </w:tc>
        <w:tc>
          <w:tcPr>
            <w:tcW w:w="960" w:type="dxa"/>
            <w:vAlign w:val="bottom"/>
          </w:tcPr>
          <w:p>
            <w:pPr>
              <w:jc w:val="right"/>
              <w:spacing w:after="0"/>
              <w:rPr>
                <w:sz w:val="20"/>
                <w:szCs w:val="20"/>
                <w:color w:val="auto"/>
              </w:rPr>
            </w:pPr>
            <w:r>
              <w:rPr>
                <w:rFonts w:ascii="Arial" w:cs="Arial" w:eastAsia="Arial" w:hAnsi="Arial"/>
                <w:sz w:val="17"/>
                <w:szCs w:val="17"/>
                <w:color w:val="auto"/>
              </w:rPr>
              <w:t>6,428,944</w:t>
            </w:r>
          </w:p>
        </w:tc>
        <w:tc>
          <w:tcPr>
            <w:tcW w:w="200" w:type="dxa"/>
            <w:vAlign w:val="bottom"/>
          </w:tcPr>
          <w:p>
            <w:pPr>
              <w:spacing w:after="0"/>
              <w:rPr>
                <w:sz w:val="19"/>
                <w:szCs w:val="19"/>
                <w:color w:val="auto"/>
              </w:rPr>
            </w:pPr>
          </w:p>
        </w:tc>
        <w:tc>
          <w:tcPr>
            <w:tcW w:w="1080" w:type="dxa"/>
            <w:vAlign w:val="bottom"/>
            <w:gridSpan w:val="2"/>
          </w:tcPr>
          <w:p>
            <w:pPr>
              <w:jc w:val="right"/>
              <w:ind w:right="19"/>
              <w:spacing w:after="0"/>
              <w:rPr>
                <w:sz w:val="20"/>
                <w:szCs w:val="20"/>
                <w:color w:val="auto"/>
              </w:rPr>
            </w:pPr>
            <w:r>
              <w:rPr>
                <w:rFonts w:ascii="Arial" w:cs="Arial" w:eastAsia="Arial" w:hAnsi="Arial"/>
                <w:sz w:val="17"/>
                <w:szCs w:val="17"/>
                <w:color w:val="auto"/>
              </w:rPr>
              <w:t>30,702,407</w:t>
            </w:r>
          </w:p>
        </w:tc>
        <w:tc>
          <w:tcPr>
            <w:tcW w:w="0" w:type="dxa"/>
            <w:vAlign w:val="bottom"/>
          </w:tcPr>
          <w:p>
            <w:pPr>
              <w:spacing w:after="0"/>
              <w:rPr>
                <w:sz w:val="1"/>
                <w:szCs w:val="1"/>
                <w:color w:val="auto"/>
              </w:rPr>
            </w:pPr>
          </w:p>
        </w:tc>
      </w:tr>
      <w:tr>
        <w:trPr>
          <w:trHeight w:val="208"/>
        </w:trPr>
        <w:tc>
          <w:tcPr>
            <w:tcW w:w="3520" w:type="dxa"/>
            <w:vAlign w:val="bottom"/>
            <w:shd w:val="clear" w:color="auto" w:fill="CCEEFF"/>
          </w:tcPr>
          <w:p>
            <w:pPr>
              <w:spacing w:after="0"/>
              <w:rPr>
                <w:sz w:val="20"/>
                <w:szCs w:val="20"/>
                <w:color w:val="auto"/>
              </w:rPr>
            </w:pPr>
            <w:r>
              <w:rPr>
                <w:rFonts w:ascii="Arial" w:cs="Arial" w:eastAsia="Arial" w:hAnsi="Arial"/>
                <w:sz w:val="17"/>
                <w:szCs w:val="17"/>
                <w:color w:val="auto"/>
              </w:rPr>
              <w:t>Investments</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1,642,823</w:t>
            </w:r>
          </w:p>
        </w:tc>
        <w:tc>
          <w:tcPr>
            <w:tcW w:w="2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39"/>
              <w:spacing w:after="0"/>
              <w:rPr>
                <w:sz w:val="20"/>
                <w:szCs w:val="20"/>
                <w:color w:val="auto"/>
              </w:rPr>
            </w:pPr>
            <w:r>
              <w:rPr>
                <w:rFonts w:ascii="Arial" w:cs="Arial" w:eastAsia="Arial" w:hAnsi="Arial"/>
                <w:sz w:val="17"/>
                <w:szCs w:val="17"/>
                <w:color w:val="auto"/>
              </w:rPr>
              <w:t>3,789,292</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4,013,113</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6,208,053</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11,072,700</w:t>
            </w:r>
          </w:p>
        </w:tc>
        <w:tc>
          <w:tcPr>
            <w:tcW w:w="1160" w:type="dxa"/>
            <w:vAlign w:val="bottom"/>
            <w:gridSpan w:val="2"/>
            <w:shd w:val="clear" w:color="auto" w:fill="CCEEFF"/>
          </w:tcPr>
          <w:p>
            <w:pPr>
              <w:jc w:val="right"/>
              <w:ind w:right="119"/>
              <w:spacing w:after="0"/>
              <w:rPr>
                <w:sz w:val="20"/>
                <w:szCs w:val="20"/>
                <w:color w:val="auto"/>
              </w:rPr>
            </w:pPr>
            <w:r>
              <w:rPr>
                <w:rFonts w:ascii="Arial" w:cs="Arial" w:eastAsia="Arial" w:hAnsi="Arial"/>
                <w:sz w:val="17"/>
                <w:szCs w:val="17"/>
                <w:color w:val="auto"/>
              </w:rPr>
              <w:t>2,111,283</w:t>
            </w:r>
          </w:p>
        </w:tc>
        <w:tc>
          <w:tcPr>
            <w:tcW w:w="1080" w:type="dxa"/>
            <w:vAlign w:val="bottom"/>
            <w:gridSpan w:val="2"/>
            <w:shd w:val="clear" w:color="auto" w:fill="CCEEFF"/>
          </w:tcPr>
          <w:p>
            <w:pPr>
              <w:jc w:val="right"/>
              <w:ind w:right="19"/>
              <w:spacing w:after="0"/>
              <w:rPr>
                <w:sz w:val="20"/>
                <w:szCs w:val="20"/>
                <w:color w:val="auto"/>
              </w:rPr>
            </w:pPr>
            <w:r>
              <w:rPr>
                <w:rFonts w:ascii="Arial" w:cs="Arial" w:eastAsia="Arial" w:hAnsi="Arial"/>
                <w:sz w:val="17"/>
                <w:szCs w:val="17"/>
                <w:color w:val="auto"/>
              </w:rPr>
              <w:t>28,837,264</w:t>
            </w:r>
          </w:p>
        </w:tc>
        <w:tc>
          <w:tcPr>
            <w:tcW w:w="0" w:type="dxa"/>
            <w:vAlign w:val="bottom"/>
          </w:tcPr>
          <w:p>
            <w:pPr>
              <w:spacing w:after="0"/>
              <w:rPr>
                <w:sz w:val="1"/>
                <w:szCs w:val="1"/>
                <w:color w:val="auto"/>
              </w:rPr>
            </w:pPr>
          </w:p>
        </w:tc>
      </w:tr>
      <w:tr>
        <w:trPr>
          <w:trHeight w:val="208"/>
        </w:trPr>
        <w:tc>
          <w:tcPr>
            <w:tcW w:w="3520" w:type="dxa"/>
            <w:vAlign w:val="bottom"/>
          </w:tcPr>
          <w:p>
            <w:pPr>
              <w:spacing w:after="0"/>
              <w:rPr>
                <w:sz w:val="20"/>
                <w:szCs w:val="20"/>
                <w:color w:val="auto"/>
              </w:rPr>
            </w:pPr>
            <w:r>
              <w:rPr>
                <w:rFonts w:ascii="Arial" w:cs="Arial" w:eastAsia="Arial" w:hAnsi="Arial"/>
                <w:sz w:val="17"/>
                <w:szCs w:val="17"/>
                <w:color w:val="auto"/>
              </w:rPr>
              <w:t>Loans, net</w:t>
            </w:r>
          </w:p>
        </w:tc>
        <w:tc>
          <w:tcPr>
            <w:tcW w:w="1100" w:type="dxa"/>
            <w:vAlign w:val="bottom"/>
            <w:gridSpan w:val="2"/>
          </w:tcPr>
          <w:p>
            <w:pPr>
              <w:jc w:val="right"/>
              <w:ind w:right="139"/>
              <w:spacing w:after="0"/>
              <w:rPr>
                <w:sz w:val="20"/>
                <w:szCs w:val="20"/>
                <w:color w:val="auto"/>
              </w:rPr>
            </w:pPr>
            <w:r>
              <w:rPr>
                <w:rFonts w:ascii="Arial" w:cs="Arial" w:eastAsia="Arial" w:hAnsi="Arial"/>
                <w:sz w:val="17"/>
                <w:szCs w:val="17"/>
                <w:color w:val="auto"/>
              </w:rPr>
              <w:t>12,192,582</w:t>
            </w:r>
          </w:p>
        </w:tc>
        <w:tc>
          <w:tcPr>
            <w:tcW w:w="1200" w:type="dxa"/>
            <w:vAlign w:val="bottom"/>
            <w:gridSpan w:val="2"/>
          </w:tcPr>
          <w:p>
            <w:pPr>
              <w:jc w:val="right"/>
              <w:ind w:right="139"/>
              <w:spacing w:after="0"/>
              <w:rPr>
                <w:sz w:val="20"/>
                <w:szCs w:val="20"/>
                <w:color w:val="auto"/>
              </w:rPr>
            </w:pPr>
            <w:r>
              <w:rPr>
                <w:rFonts w:ascii="Arial" w:cs="Arial" w:eastAsia="Arial" w:hAnsi="Arial"/>
                <w:sz w:val="17"/>
                <w:szCs w:val="17"/>
                <w:color w:val="auto"/>
              </w:rPr>
              <w:t>15,509,563</w:t>
            </w:r>
          </w:p>
        </w:tc>
        <w:tc>
          <w:tcPr>
            <w:tcW w:w="1100" w:type="dxa"/>
            <w:vAlign w:val="bottom"/>
            <w:gridSpan w:val="2"/>
          </w:tcPr>
          <w:p>
            <w:pPr>
              <w:jc w:val="right"/>
              <w:ind w:right="220"/>
              <w:spacing w:after="0"/>
              <w:rPr>
                <w:sz w:val="20"/>
                <w:szCs w:val="20"/>
                <w:color w:val="auto"/>
              </w:rPr>
            </w:pPr>
            <w:r>
              <w:rPr>
                <w:rFonts w:ascii="Arial" w:cs="Arial" w:eastAsia="Arial" w:hAnsi="Arial"/>
                <w:sz w:val="17"/>
                <w:szCs w:val="17"/>
                <w:color w:val="auto"/>
              </w:rPr>
              <w:t>23,933,640</w:t>
            </w:r>
          </w:p>
        </w:tc>
        <w:tc>
          <w:tcPr>
            <w:tcW w:w="1100" w:type="dxa"/>
            <w:vAlign w:val="bottom"/>
            <w:gridSpan w:val="2"/>
          </w:tcPr>
          <w:p>
            <w:pPr>
              <w:jc w:val="right"/>
              <w:ind w:right="119"/>
              <w:spacing w:after="0"/>
              <w:rPr>
                <w:sz w:val="20"/>
                <w:szCs w:val="20"/>
                <w:color w:val="auto"/>
              </w:rPr>
            </w:pPr>
            <w:r>
              <w:rPr>
                <w:rFonts w:ascii="Arial" w:cs="Arial" w:eastAsia="Arial" w:hAnsi="Arial"/>
                <w:sz w:val="17"/>
                <w:szCs w:val="17"/>
                <w:color w:val="auto"/>
              </w:rPr>
              <w:t>32,989,209</w:t>
            </w:r>
          </w:p>
        </w:tc>
        <w:tc>
          <w:tcPr>
            <w:tcW w:w="1160" w:type="dxa"/>
            <w:vAlign w:val="bottom"/>
            <w:gridSpan w:val="2"/>
          </w:tcPr>
          <w:p>
            <w:pPr>
              <w:jc w:val="right"/>
              <w:ind w:right="220"/>
              <w:spacing w:after="0"/>
              <w:rPr>
                <w:sz w:val="20"/>
                <w:szCs w:val="20"/>
                <w:color w:val="auto"/>
              </w:rPr>
            </w:pPr>
            <w:r>
              <w:rPr>
                <w:rFonts w:ascii="Arial" w:cs="Arial" w:eastAsia="Arial" w:hAnsi="Arial"/>
                <w:sz w:val="17"/>
                <w:szCs w:val="17"/>
                <w:color w:val="auto"/>
              </w:rPr>
              <w:t>12,108,217</w:t>
            </w:r>
          </w:p>
        </w:tc>
        <w:tc>
          <w:tcPr>
            <w:tcW w:w="1160" w:type="dxa"/>
            <w:vAlign w:val="bottom"/>
            <w:gridSpan w:val="2"/>
          </w:tcPr>
          <w:p>
            <w:pPr>
              <w:jc w:val="right"/>
              <w:ind w:right="59"/>
              <w:spacing w:after="0"/>
              <w:rPr>
                <w:sz w:val="20"/>
                <w:szCs w:val="20"/>
                <w:color w:val="auto"/>
              </w:rPr>
            </w:pPr>
            <w:r>
              <w:rPr>
                <w:rFonts w:ascii="Arial" w:cs="Arial" w:eastAsia="Arial" w:hAnsi="Arial"/>
                <w:sz w:val="17"/>
                <w:szCs w:val="17"/>
                <w:color w:val="auto"/>
              </w:rPr>
              <w:t>(755,934)</w:t>
            </w:r>
          </w:p>
        </w:tc>
        <w:tc>
          <w:tcPr>
            <w:tcW w:w="1080" w:type="dxa"/>
            <w:vAlign w:val="bottom"/>
            <w:gridSpan w:val="2"/>
          </w:tcPr>
          <w:p>
            <w:pPr>
              <w:jc w:val="right"/>
              <w:ind w:right="19"/>
              <w:spacing w:after="0"/>
              <w:rPr>
                <w:sz w:val="20"/>
                <w:szCs w:val="20"/>
                <w:color w:val="auto"/>
              </w:rPr>
            </w:pPr>
            <w:r>
              <w:rPr>
                <w:rFonts w:ascii="Arial" w:cs="Arial" w:eastAsia="Arial" w:hAnsi="Arial"/>
                <w:sz w:val="17"/>
                <w:szCs w:val="17"/>
                <w:color w:val="auto"/>
              </w:rPr>
              <w:t>95,977,277</w:t>
            </w:r>
          </w:p>
        </w:tc>
        <w:tc>
          <w:tcPr>
            <w:tcW w:w="0" w:type="dxa"/>
            <w:vAlign w:val="bottom"/>
          </w:tcPr>
          <w:p>
            <w:pPr>
              <w:spacing w:after="0"/>
              <w:rPr>
                <w:sz w:val="1"/>
                <w:szCs w:val="1"/>
                <w:color w:val="auto"/>
              </w:rPr>
            </w:pPr>
          </w:p>
        </w:tc>
      </w:tr>
      <w:tr>
        <w:trPr>
          <w:trHeight w:val="195"/>
        </w:trPr>
        <w:tc>
          <w:tcPr>
            <w:tcW w:w="3520" w:type="dxa"/>
            <w:vAlign w:val="bottom"/>
            <w:shd w:val="clear" w:color="auto" w:fill="CCEEFF"/>
          </w:tcPr>
          <w:p>
            <w:pPr>
              <w:spacing w:after="0"/>
              <w:rPr>
                <w:sz w:val="20"/>
                <w:szCs w:val="20"/>
                <w:color w:val="auto"/>
              </w:rPr>
            </w:pPr>
            <w:r>
              <w:rPr>
                <w:rFonts w:ascii="Arial" w:cs="Arial" w:eastAsia="Arial" w:hAnsi="Arial"/>
                <w:sz w:val="17"/>
                <w:szCs w:val="17"/>
                <w:color w:val="auto"/>
                <w:w w:val="95"/>
              </w:rPr>
              <w:t>Financial assets designated at fair value through</w:t>
            </w:r>
          </w:p>
        </w:tc>
        <w:tc>
          <w:tcPr>
            <w:tcW w:w="8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3520" w:type="dxa"/>
            <w:vAlign w:val="bottom"/>
            <w:shd w:val="clear" w:color="auto" w:fill="CCEEFF"/>
          </w:tcPr>
          <w:p>
            <w:pPr>
              <w:spacing w:after="0"/>
              <w:rPr>
                <w:sz w:val="20"/>
                <w:szCs w:val="20"/>
                <w:color w:val="auto"/>
              </w:rPr>
            </w:pPr>
            <w:r>
              <w:rPr>
                <w:rFonts w:ascii="Arial" w:cs="Arial" w:eastAsia="Arial" w:hAnsi="Arial"/>
                <w:sz w:val="17"/>
                <w:szCs w:val="17"/>
                <w:color w:val="auto"/>
              </w:rPr>
              <w:t>profit or loss</w:t>
            </w:r>
          </w:p>
        </w:tc>
        <w:tc>
          <w:tcPr>
            <w:tcW w:w="1100" w:type="dxa"/>
            <w:vAlign w:val="bottom"/>
            <w:gridSpan w:val="2"/>
            <w:shd w:val="clear" w:color="auto" w:fill="CCEEFF"/>
          </w:tcPr>
          <w:p>
            <w:pPr>
              <w:jc w:val="right"/>
              <w:ind w:right="139"/>
              <w:spacing w:after="0"/>
              <w:rPr>
                <w:sz w:val="20"/>
                <w:szCs w:val="20"/>
                <w:color w:val="auto"/>
              </w:rPr>
            </w:pPr>
            <w:r>
              <w:rPr>
                <w:rFonts w:ascii="Arial" w:cs="Arial" w:eastAsia="Arial" w:hAnsi="Arial"/>
                <w:sz w:val="17"/>
                <w:szCs w:val="17"/>
                <w:color w:val="auto"/>
              </w:rPr>
              <w:t>-</w:t>
            </w:r>
          </w:p>
        </w:tc>
        <w:tc>
          <w:tcPr>
            <w:tcW w:w="1200" w:type="dxa"/>
            <w:vAlign w:val="bottom"/>
            <w:gridSpan w:val="2"/>
            <w:shd w:val="clear" w:color="auto" w:fill="CCEEFF"/>
          </w:tcPr>
          <w:p>
            <w:pPr>
              <w:jc w:val="right"/>
              <w:ind w:right="139"/>
              <w:spacing w:after="0"/>
              <w:rPr>
                <w:sz w:val="20"/>
                <w:szCs w:val="20"/>
                <w:color w:val="auto"/>
              </w:rPr>
            </w:pPr>
            <w:r>
              <w:rPr>
                <w:rFonts w:ascii="Arial" w:cs="Arial" w:eastAsia="Arial" w:hAnsi="Arial"/>
                <w:sz w:val="17"/>
                <w:szCs w:val="17"/>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537,685</w:t>
            </w:r>
          </w:p>
        </w:tc>
        <w:tc>
          <w:tcPr>
            <w:tcW w:w="2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9"/>
              <w:spacing w:after="0"/>
              <w:rPr>
                <w:sz w:val="20"/>
                <w:szCs w:val="20"/>
                <w:color w:val="auto"/>
              </w:rPr>
            </w:pPr>
            <w:r>
              <w:rPr>
                <w:rFonts w:ascii="Arial" w:cs="Arial" w:eastAsia="Arial" w:hAnsi="Arial"/>
                <w:sz w:val="17"/>
                <w:szCs w:val="17"/>
                <w:color w:val="auto"/>
              </w:rPr>
              <w:t>537,685</w:t>
            </w:r>
          </w:p>
        </w:tc>
        <w:tc>
          <w:tcPr>
            <w:tcW w:w="0" w:type="dxa"/>
            <w:vAlign w:val="bottom"/>
          </w:tcPr>
          <w:p>
            <w:pPr>
              <w:spacing w:after="0"/>
              <w:rPr>
                <w:sz w:val="1"/>
                <w:szCs w:val="1"/>
                <w:color w:val="auto"/>
              </w:rPr>
            </w:pPr>
          </w:p>
        </w:tc>
      </w:tr>
      <w:tr>
        <w:trPr>
          <w:trHeight w:val="195"/>
        </w:trPr>
        <w:tc>
          <w:tcPr>
            <w:tcW w:w="3520" w:type="dxa"/>
            <w:vAlign w:val="bottom"/>
          </w:tcPr>
          <w:p>
            <w:pPr>
              <w:spacing w:after="0"/>
              <w:rPr>
                <w:sz w:val="20"/>
                <w:szCs w:val="20"/>
                <w:color w:val="auto"/>
              </w:rPr>
            </w:pPr>
            <w:r>
              <w:rPr>
                <w:rFonts w:ascii="Arial" w:cs="Arial" w:eastAsia="Arial" w:hAnsi="Arial"/>
                <w:sz w:val="17"/>
                <w:szCs w:val="17"/>
                <w:color w:val="auto"/>
              </w:rPr>
              <w:t>Premiums and other policies Accounts</w:t>
            </w: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3520" w:type="dxa"/>
            <w:vAlign w:val="bottom"/>
          </w:tcPr>
          <w:p>
            <w:pPr>
              <w:spacing w:after="0"/>
              <w:rPr>
                <w:sz w:val="20"/>
                <w:szCs w:val="20"/>
                <w:color w:val="auto"/>
              </w:rPr>
            </w:pPr>
            <w:r>
              <w:rPr>
                <w:rFonts w:ascii="Arial" w:cs="Arial" w:eastAsia="Arial" w:hAnsi="Arial"/>
                <w:sz w:val="17"/>
                <w:szCs w:val="17"/>
                <w:color w:val="auto"/>
              </w:rPr>
              <w:t>receivable</w:t>
            </w:r>
          </w:p>
        </w:tc>
        <w:tc>
          <w:tcPr>
            <w:tcW w:w="1100" w:type="dxa"/>
            <w:vAlign w:val="bottom"/>
            <w:gridSpan w:val="2"/>
          </w:tcPr>
          <w:p>
            <w:pPr>
              <w:jc w:val="right"/>
              <w:ind w:right="139"/>
              <w:spacing w:after="0"/>
              <w:rPr>
                <w:sz w:val="20"/>
                <w:szCs w:val="20"/>
                <w:color w:val="auto"/>
              </w:rPr>
            </w:pPr>
            <w:r>
              <w:rPr>
                <w:rFonts w:ascii="Arial" w:cs="Arial" w:eastAsia="Arial" w:hAnsi="Arial"/>
                <w:sz w:val="17"/>
                <w:szCs w:val="17"/>
                <w:color w:val="auto"/>
              </w:rPr>
              <w:t>626,392</w:t>
            </w:r>
          </w:p>
        </w:tc>
        <w:tc>
          <w:tcPr>
            <w:tcW w:w="1200" w:type="dxa"/>
            <w:vAlign w:val="bottom"/>
            <w:gridSpan w:val="2"/>
          </w:tcPr>
          <w:p>
            <w:pPr>
              <w:jc w:val="right"/>
              <w:ind w:right="139"/>
              <w:spacing w:after="0"/>
              <w:rPr>
                <w:sz w:val="20"/>
                <w:szCs w:val="20"/>
                <w:color w:val="auto"/>
              </w:rPr>
            </w:pPr>
            <w:r>
              <w:rPr>
                <w:rFonts w:ascii="Arial" w:cs="Arial" w:eastAsia="Arial" w:hAnsi="Arial"/>
                <w:sz w:val="17"/>
                <w:szCs w:val="17"/>
                <w:color w:val="auto"/>
              </w:rPr>
              <w:t>22,088</w:t>
            </w:r>
          </w:p>
        </w:tc>
        <w:tc>
          <w:tcPr>
            <w:tcW w:w="1100" w:type="dxa"/>
            <w:vAlign w:val="bottom"/>
            <w:gridSpan w:val="2"/>
          </w:tcPr>
          <w:p>
            <w:pPr>
              <w:jc w:val="right"/>
              <w:ind w:right="220"/>
              <w:spacing w:after="0"/>
              <w:rPr>
                <w:sz w:val="20"/>
                <w:szCs w:val="20"/>
                <w:color w:val="auto"/>
              </w:rPr>
            </w:pPr>
            <w:r>
              <w:rPr>
                <w:rFonts w:ascii="Arial" w:cs="Arial" w:eastAsia="Arial" w:hAnsi="Arial"/>
                <w:sz w:val="17"/>
                <w:szCs w:val="17"/>
                <w:color w:val="auto"/>
              </w:rPr>
              <w:t>6,500</w:t>
            </w:r>
          </w:p>
        </w:tc>
        <w:tc>
          <w:tcPr>
            <w:tcW w:w="900" w:type="dxa"/>
            <w:vAlign w:val="bottom"/>
          </w:tcPr>
          <w:p>
            <w:pPr>
              <w:jc w:val="right"/>
              <w:spacing w:after="0"/>
              <w:rPr>
                <w:sz w:val="20"/>
                <w:szCs w:val="20"/>
                <w:color w:val="auto"/>
              </w:rPr>
            </w:pPr>
            <w:r>
              <w:rPr>
                <w:rFonts w:ascii="Arial" w:cs="Arial" w:eastAsia="Arial" w:hAnsi="Arial"/>
                <w:sz w:val="17"/>
                <w:szCs w:val="17"/>
                <w:color w:val="auto"/>
              </w:rPr>
              <w:t>1,849</w:t>
            </w:r>
          </w:p>
        </w:tc>
        <w:tc>
          <w:tcPr>
            <w:tcW w:w="20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9"/>
                <w:szCs w:val="19"/>
                <w:color w:val="auto"/>
              </w:rPr>
            </w:pPr>
          </w:p>
        </w:tc>
        <w:tc>
          <w:tcPr>
            <w:tcW w:w="1080" w:type="dxa"/>
            <w:vAlign w:val="bottom"/>
            <w:gridSpan w:val="2"/>
          </w:tcPr>
          <w:p>
            <w:pPr>
              <w:jc w:val="right"/>
              <w:ind w:right="19"/>
              <w:spacing w:after="0"/>
              <w:rPr>
                <w:sz w:val="20"/>
                <w:szCs w:val="20"/>
                <w:color w:val="auto"/>
              </w:rPr>
            </w:pPr>
            <w:r>
              <w:rPr>
                <w:rFonts w:ascii="Arial" w:cs="Arial" w:eastAsia="Arial" w:hAnsi="Arial"/>
                <w:sz w:val="17"/>
                <w:szCs w:val="17"/>
                <w:color w:val="auto"/>
              </w:rPr>
              <w:t>656,829</w:t>
            </w:r>
          </w:p>
        </w:tc>
        <w:tc>
          <w:tcPr>
            <w:tcW w:w="0" w:type="dxa"/>
            <w:vAlign w:val="bottom"/>
          </w:tcPr>
          <w:p>
            <w:pPr>
              <w:spacing w:after="0"/>
              <w:rPr>
                <w:sz w:val="1"/>
                <w:szCs w:val="1"/>
                <w:color w:val="auto"/>
              </w:rPr>
            </w:pPr>
          </w:p>
        </w:tc>
      </w:tr>
      <w:tr>
        <w:trPr>
          <w:trHeight w:val="195"/>
        </w:trPr>
        <w:tc>
          <w:tcPr>
            <w:tcW w:w="3520" w:type="dxa"/>
            <w:vAlign w:val="bottom"/>
            <w:shd w:val="clear" w:color="auto" w:fill="CCEEFF"/>
          </w:tcPr>
          <w:p>
            <w:pPr>
              <w:spacing w:after="0"/>
              <w:rPr>
                <w:sz w:val="20"/>
                <w:szCs w:val="20"/>
                <w:color w:val="auto"/>
              </w:rPr>
            </w:pPr>
            <w:r>
              <w:rPr>
                <w:rFonts w:ascii="Arial" w:cs="Arial" w:eastAsia="Arial" w:hAnsi="Arial"/>
                <w:sz w:val="17"/>
                <w:szCs w:val="17"/>
                <w:color w:val="auto"/>
              </w:rPr>
              <w:t>Accounts receivable from reinsurers and</w:t>
            </w:r>
          </w:p>
        </w:tc>
        <w:tc>
          <w:tcPr>
            <w:tcW w:w="8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3520" w:type="dxa"/>
            <w:vAlign w:val="bottom"/>
            <w:shd w:val="clear" w:color="auto" w:fill="CCEEFF"/>
          </w:tcPr>
          <w:p>
            <w:pPr>
              <w:spacing w:after="0"/>
              <w:rPr>
                <w:sz w:val="20"/>
                <w:szCs w:val="20"/>
                <w:color w:val="auto"/>
              </w:rPr>
            </w:pPr>
            <w:r>
              <w:rPr>
                <w:rFonts w:ascii="Arial" w:cs="Arial" w:eastAsia="Arial" w:hAnsi="Arial"/>
                <w:sz w:val="17"/>
                <w:szCs w:val="17"/>
                <w:color w:val="auto"/>
              </w:rPr>
              <w:t>coinsurers</w:t>
            </w:r>
          </w:p>
        </w:tc>
        <w:tc>
          <w:tcPr>
            <w:tcW w:w="1100" w:type="dxa"/>
            <w:vAlign w:val="bottom"/>
            <w:gridSpan w:val="2"/>
            <w:shd w:val="clear" w:color="auto" w:fill="CCEEFF"/>
          </w:tcPr>
          <w:p>
            <w:pPr>
              <w:jc w:val="right"/>
              <w:ind w:right="139"/>
              <w:spacing w:after="0"/>
              <w:rPr>
                <w:sz w:val="20"/>
                <w:szCs w:val="20"/>
                <w:color w:val="auto"/>
              </w:rPr>
            </w:pPr>
            <w:r>
              <w:rPr>
                <w:rFonts w:ascii="Arial" w:cs="Arial" w:eastAsia="Arial" w:hAnsi="Arial"/>
                <w:sz w:val="17"/>
                <w:szCs w:val="17"/>
                <w:color w:val="auto"/>
              </w:rPr>
              <w:t>163,425</w:t>
            </w:r>
          </w:p>
        </w:tc>
        <w:tc>
          <w:tcPr>
            <w:tcW w:w="1200" w:type="dxa"/>
            <w:vAlign w:val="bottom"/>
            <w:gridSpan w:val="2"/>
            <w:shd w:val="clear" w:color="auto" w:fill="CCEEFF"/>
          </w:tcPr>
          <w:p>
            <w:pPr>
              <w:jc w:val="right"/>
              <w:ind w:right="139"/>
              <w:spacing w:after="0"/>
              <w:rPr>
                <w:sz w:val="20"/>
                <w:szCs w:val="20"/>
                <w:color w:val="auto"/>
              </w:rPr>
            </w:pPr>
            <w:r>
              <w:rPr>
                <w:rFonts w:ascii="Arial" w:cs="Arial" w:eastAsia="Arial" w:hAnsi="Arial"/>
                <w:sz w:val="17"/>
                <w:szCs w:val="17"/>
                <w:color w:val="auto"/>
              </w:rPr>
              <w:t>309,669</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208,531</w:t>
            </w:r>
          </w:p>
        </w:tc>
        <w:tc>
          <w:tcPr>
            <w:tcW w:w="1100" w:type="dxa"/>
            <w:vAlign w:val="bottom"/>
            <w:gridSpan w:val="2"/>
            <w:shd w:val="clear" w:color="auto" w:fill="CCEEFF"/>
          </w:tcPr>
          <w:p>
            <w:pPr>
              <w:jc w:val="right"/>
              <w:ind w:right="119"/>
              <w:spacing w:after="0"/>
              <w:rPr>
                <w:sz w:val="20"/>
                <w:szCs w:val="20"/>
                <w:color w:val="auto"/>
              </w:rPr>
            </w:pPr>
            <w:r>
              <w:rPr>
                <w:rFonts w:ascii="Arial" w:cs="Arial" w:eastAsia="Arial" w:hAnsi="Arial"/>
                <w:sz w:val="17"/>
                <w:szCs w:val="17"/>
                <w:color w:val="auto"/>
              </w:rPr>
              <w:t>34,070</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9"/>
              <w:spacing w:after="0"/>
              <w:rPr>
                <w:sz w:val="20"/>
                <w:szCs w:val="20"/>
                <w:color w:val="auto"/>
              </w:rPr>
            </w:pPr>
            <w:r>
              <w:rPr>
                <w:rFonts w:ascii="Arial" w:cs="Arial" w:eastAsia="Arial" w:hAnsi="Arial"/>
                <w:sz w:val="17"/>
                <w:szCs w:val="17"/>
                <w:color w:val="auto"/>
              </w:rPr>
              <w:t>715,695</w:t>
            </w:r>
          </w:p>
        </w:tc>
        <w:tc>
          <w:tcPr>
            <w:tcW w:w="0" w:type="dxa"/>
            <w:vAlign w:val="bottom"/>
          </w:tcPr>
          <w:p>
            <w:pPr>
              <w:spacing w:after="0"/>
              <w:rPr>
                <w:sz w:val="1"/>
                <w:szCs w:val="1"/>
                <w:color w:val="auto"/>
              </w:rPr>
            </w:pPr>
          </w:p>
        </w:tc>
      </w:tr>
      <w:tr>
        <w:trPr>
          <w:trHeight w:val="221"/>
        </w:trPr>
        <w:tc>
          <w:tcPr>
            <w:tcW w:w="3520" w:type="dxa"/>
            <w:vAlign w:val="bottom"/>
          </w:tcPr>
          <w:p>
            <w:pPr>
              <w:spacing w:after="0"/>
              <w:rPr>
                <w:sz w:val="20"/>
                <w:szCs w:val="20"/>
                <w:color w:val="auto"/>
              </w:rPr>
            </w:pPr>
            <w:r>
              <w:rPr>
                <w:rFonts w:ascii="Arial" w:cs="Arial" w:eastAsia="Arial" w:hAnsi="Arial"/>
                <w:sz w:val="17"/>
                <w:szCs w:val="17"/>
                <w:color w:val="auto"/>
              </w:rPr>
              <w:t>Other assets (*)</w:t>
            </w:r>
          </w:p>
        </w:tc>
        <w:tc>
          <w:tcPr>
            <w:tcW w:w="1100" w:type="dxa"/>
            <w:vAlign w:val="bottom"/>
            <w:gridSpan w:val="2"/>
          </w:tcPr>
          <w:p>
            <w:pPr>
              <w:jc w:val="right"/>
              <w:ind w:right="139"/>
              <w:spacing w:after="0"/>
              <w:rPr>
                <w:sz w:val="20"/>
                <w:szCs w:val="20"/>
                <w:color w:val="auto"/>
              </w:rPr>
            </w:pPr>
            <w:r>
              <w:rPr>
                <w:rFonts w:ascii="Arial" w:cs="Arial" w:eastAsia="Arial" w:hAnsi="Arial"/>
                <w:sz w:val="17"/>
                <w:szCs w:val="17"/>
                <w:color w:val="auto"/>
              </w:rPr>
              <w:t>180,725</w:t>
            </w:r>
          </w:p>
        </w:tc>
        <w:tc>
          <w:tcPr>
            <w:tcW w:w="1200" w:type="dxa"/>
            <w:vAlign w:val="bottom"/>
            <w:gridSpan w:val="2"/>
          </w:tcPr>
          <w:p>
            <w:pPr>
              <w:jc w:val="right"/>
              <w:ind w:right="139"/>
              <w:spacing w:after="0"/>
              <w:rPr>
                <w:sz w:val="20"/>
                <w:szCs w:val="20"/>
                <w:color w:val="auto"/>
              </w:rPr>
            </w:pPr>
            <w:r>
              <w:rPr>
                <w:rFonts w:ascii="Arial" w:cs="Arial" w:eastAsia="Arial" w:hAnsi="Arial"/>
                <w:sz w:val="17"/>
                <w:szCs w:val="17"/>
                <w:color w:val="auto"/>
              </w:rPr>
              <w:t>24,927</w:t>
            </w:r>
          </w:p>
        </w:tc>
        <w:tc>
          <w:tcPr>
            <w:tcW w:w="1100" w:type="dxa"/>
            <w:vAlign w:val="bottom"/>
            <w:gridSpan w:val="2"/>
          </w:tcPr>
          <w:p>
            <w:pPr>
              <w:jc w:val="right"/>
              <w:ind w:right="220"/>
              <w:spacing w:after="0"/>
              <w:rPr>
                <w:sz w:val="20"/>
                <w:szCs w:val="20"/>
                <w:color w:val="auto"/>
              </w:rPr>
            </w:pPr>
            <w:r>
              <w:rPr>
                <w:rFonts w:ascii="Arial" w:cs="Arial" w:eastAsia="Arial" w:hAnsi="Arial"/>
                <w:sz w:val="17"/>
                <w:szCs w:val="17"/>
                <w:color w:val="auto"/>
              </w:rPr>
              <w:t>9,736</w:t>
            </w:r>
          </w:p>
        </w:tc>
        <w:tc>
          <w:tcPr>
            <w:tcW w:w="900" w:type="dxa"/>
            <w:vAlign w:val="bottom"/>
          </w:tcPr>
          <w:p>
            <w:pPr>
              <w:jc w:val="right"/>
              <w:spacing w:after="0"/>
              <w:rPr>
                <w:sz w:val="20"/>
                <w:szCs w:val="20"/>
                <w:color w:val="auto"/>
              </w:rPr>
            </w:pPr>
            <w:r>
              <w:rPr>
                <w:rFonts w:ascii="Arial" w:cs="Arial" w:eastAsia="Arial" w:hAnsi="Arial"/>
                <w:sz w:val="17"/>
                <w:szCs w:val="17"/>
                <w:color w:val="auto"/>
              </w:rPr>
              <w:t>5,946</w:t>
            </w:r>
          </w:p>
        </w:tc>
        <w:tc>
          <w:tcPr>
            <w:tcW w:w="20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7"/>
                <w:szCs w:val="17"/>
                <w:color w:val="auto"/>
              </w:rPr>
              <w:t>577,129</w:t>
            </w:r>
          </w:p>
        </w:tc>
        <w:tc>
          <w:tcPr>
            <w:tcW w:w="960" w:type="dxa"/>
            <w:vAlign w:val="bottom"/>
          </w:tcPr>
          <w:p>
            <w:pPr>
              <w:jc w:val="right"/>
              <w:spacing w:after="0"/>
              <w:rPr>
                <w:sz w:val="20"/>
                <w:szCs w:val="20"/>
                <w:color w:val="auto"/>
              </w:rPr>
            </w:pPr>
            <w:r>
              <w:rPr>
                <w:rFonts w:ascii="Arial" w:cs="Arial" w:eastAsia="Arial" w:hAnsi="Arial"/>
                <w:sz w:val="17"/>
                <w:szCs w:val="17"/>
                <w:color w:val="auto"/>
              </w:rPr>
              <w:t>8,221,926</w:t>
            </w:r>
          </w:p>
        </w:tc>
        <w:tc>
          <w:tcPr>
            <w:tcW w:w="200" w:type="dxa"/>
            <w:vAlign w:val="bottom"/>
          </w:tcPr>
          <w:p>
            <w:pPr>
              <w:spacing w:after="0"/>
              <w:rPr>
                <w:sz w:val="19"/>
                <w:szCs w:val="19"/>
                <w:color w:val="auto"/>
              </w:rPr>
            </w:pPr>
          </w:p>
        </w:tc>
        <w:tc>
          <w:tcPr>
            <w:tcW w:w="1080" w:type="dxa"/>
            <w:vAlign w:val="bottom"/>
            <w:gridSpan w:val="2"/>
          </w:tcPr>
          <w:p>
            <w:pPr>
              <w:jc w:val="right"/>
              <w:ind w:right="19"/>
              <w:spacing w:after="0"/>
              <w:rPr>
                <w:sz w:val="20"/>
                <w:szCs w:val="20"/>
                <w:color w:val="auto"/>
              </w:rPr>
            </w:pPr>
            <w:r>
              <w:rPr>
                <w:rFonts w:ascii="Arial" w:cs="Arial" w:eastAsia="Arial" w:hAnsi="Arial"/>
                <w:sz w:val="17"/>
                <w:szCs w:val="17"/>
                <w:color w:val="auto"/>
              </w:rPr>
              <w:t>9,020,389</w:t>
            </w:r>
          </w:p>
        </w:tc>
        <w:tc>
          <w:tcPr>
            <w:tcW w:w="0" w:type="dxa"/>
            <w:vAlign w:val="bottom"/>
          </w:tcPr>
          <w:p>
            <w:pPr>
              <w:spacing w:after="0"/>
              <w:rPr>
                <w:sz w:val="1"/>
                <w:szCs w:val="1"/>
                <w:color w:val="auto"/>
              </w:rPr>
            </w:pPr>
          </w:p>
        </w:tc>
      </w:tr>
      <w:tr>
        <w:trPr>
          <w:trHeight w:val="201"/>
        </w:trPr>
        <w:tc>
          <w:tcPr>
            <w:tcW w:w="35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7"/>
                <w:szCs w:val="17"/>
                <w:b w:val="1"/>
                <w:bCs w:val="1"/>
                <w:color w:val="auto"/>
              </w:rPr>
              <w:t>Total assets</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26,279,527</w:t>
            </w: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21,514,900</w:t>
            </w: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32,809,834</w:t>
            </w: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45,461,547</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23,837,834</w:t>
            </w: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16,543,904</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166,447,546</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5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35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352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Liabilities</w:t>
            </w: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520" w:type="dxa"/>
            <w:vAlign w:val="bottom"/>
          </w:tcPr>
          <w:p>
            <w:pPr>
              <w:spacing w:after="0"/>
              <w:rPr>
                <w:sz w:val="20"/>
                <w:szCs w:val="20"/>
                <w:color w:val="auto"/>
              </w:rPr>
            </w:pPr>
            <w:r>
              <w:rPr>
                <w:rFonts w:ascii="Arial" w:cs="Arial" w:eastAsia="Arial" w:hAnsi="Arial"/>
                <w:sz w:val="17"/>
                <w:szCs w:val="17"/>
                <w:color w:val="auto"/>
              </w:rPr>
              <w:t>Deposits and obligations</w:t>
            </w:r>
          </w:p>
        </w:tc>
        <w:tc>
          <w:tcPr>
            <w:tcW w:w="1100" w:type="dxa"/>
            <w:vAlign w:val="bottom"/>
            <w:gridSpan w:val="2"/>
          </w:tcPr>
          <w:p>
            <w:pPr>
              <w:jc w:val="right"/>
              <w:ind w:right="139"/>
              <w:spacing w:after="0"/>
              <w:rPr>
                <w:sz w:val="20"/>
                <w:szCs w:val="20"/>
                <w:color w:val="auto"/>
              </w:rPr>
            </w:pPr>
            <w:r>
              <w:rPr>
                <w:rFonts w:ascii="Arial" w:cs="Arial" w:eastAsia="Arial" w:hAnsi="Arial"/>
                <w:sz w:val="17"/>
                <w:szCs w:val="17"/>
                <w:color w:val="auto"/>
              </w:rPr>
              <w:t>26,156,669</w:t>
            </w:r>
          </w:p>
        </w:tc>
        <w:tc>
          <w:tcPr>
            <w:tcW w:w="1200" w:type="dxa"/>
            <w:vAlign w:val="bottom"/>
            <w:gridSpan w:val="2"/>
          </w:tcPr>
          <w:p>
            <w:pPr>
              <w:jc w:val="right"/>
              <w:ind w:right="139"/>
              <w:spacing w:after="0"/>
              <w:rPr>
                <w:sz w:val="20"/>
                <w:szCs w:val="20"/>
                <w:color w:val="auto"/>
              </w:rPr>
            </w:pPr>
            <w:r>
              <w:rPr>
                <w:rFonts w:ascii="Arial" w:cs="Arial" w:eastAsia="Arial" w:hAnsi="Arial"/>
                <w:sz w:val="17"/>
                <w:szCs w:val="17"/>
                <w:color w:val="auto"/>
              </w:rPr>
              <w:t>9,513,156</w:t>
            </w:r>
          </w:p>
        </w:tc>
        <w:tc>
          <w:tcPr>
            <w:tcW w:w="1100" w:type="dxa"/>
            <w:vAlign w:val="bottom"/>
            <w:gridSpan w:val="2"/>
          </w:tcPr>
          <w:p>
            <w:pPr>
              <w:jc w:val="right"/>
              <w:ind w:right="220"/>
              <w:spacing w:after="0"/>
              <w:rPr>
                <w:sz w:val="20"/>
                <w:szCs w:val="20"/>
                <w:color w:val="auto"/>
              </w:rPr>
            </w:pPr>
            <w:r>
              <w:rPr>
                <w:rFonts w:ascii="Arial" w:cs="Arial" w:eastAsia="Arial" w:hAnsi="Arial"/>
                <w:sz w:val="17"/>
                <w:szCs w:val="17"/>
                <w:color w:val="auto"/>
              </w:rPr>
              <w:t>17,056,114</w:t>
            </w:r>
          </w:p>
        </w:tc>
        <w:tc>
          <w:tcPr>
            <w:tcW w:w="1100" w:type="dxa"/>
            <w:vAlign w:val="bottom"/>
            <w:gridSpan w:val="2"/>
          </w:tcPr>
          <w:p>
            <w:pPr>
              <w:jc w:val="right"/>
              <w:ind w:right="119"/>
              <w:spacing w:after="0"/>
              <w:rPr>
                <w:sz w:val="20"/>
                <w:szCs w:val="20"/>
                <w:color w:val="auto"/>
              </w:rPr>
            </w:pPr>
            <w:r>
              <w:rPr>
                <w:rFonts w:ascii="Arial" w:cs="Arial" w:eastAsia="Arial" w:hAnsi="Arial"/>
                <w:sz w:val="17"/>
                <w:szCs w:val="17"/>
                <w:color w:val="auto"/>
              </w:rPr>
              <w:t>36,200,975</w:t>
            </w:r>
          </w:p>
        </w:tc>
        <w:tc>
          <w:tcPr>
            <w:tcW w:w="1160" w:type="dxa"/>
            <w:vAlign w:val="bottom"/>
            <w:gridSpan w:val="2"/>
          </w:tcPr>
          <w:p>
            <w:pPr>
              <w:jc w:val="right"/>
              <w:ind w:right="220"/>
              <w:spacing w:after="0"/>
              <w:rPr>
                <w:sz w:val="20"/>
                <w:szCs w:val="20"/>
                <w:color w:val="auto"/>
              </w:rPr>
            </w:pPr>
            <w:r>
              <w:rPr>
                <w:rFonts w:ascii="Arial" w:cs="Arial" w:eastAsia="Arial" w:hAnsi="Arial"/>
                <w:sz w:val="17"/>
                <w:szCs w:val="17"/>
                <w:color w:val="auto"/>
              </w:rPr>
              <w:t>6,213,829</w:t>
            </w:r>
          </w:p>
        </w:tc>
        <w:tc>
          <w:tcPr>
            <w:tcW w:w="960" w:type="dxa"/>
            <w:vAlign w:val="bottom"/>
          </w:tcPr>
          <w:p>
            <w:pPr>
              <w:jc w:val="right"/>
              <w:spacing w:after="0"/>
              <w:rPr>
                <w:sz w:val="20"/>
                <w:szCs w:val="20"/>
                <w:color w:val="auto"/>
              </w:rPr>
            </w:pPr>
            <w:r>
              <w:rPr>
                <w:rFonts w:ascii="Arial" w:cs="Arial" w:eastAsia="Arial" w:hAnsi="Arial"/>
                <w:sz w:val="17"/>
                <w:szCs w:val="17"/>
                <w:color w:val="auto"/>
              </w:rPr>
              <w:t>2,029,668</w:t>
            </w:r>
          </w:p>
        </w:tc>
        <w:tc>
          <w:tcPr>
            <w:tcW w:w="200" w:type="dxa"/>
            <w:vAlign w:val="bottom"/>
          </w:tcPr>
          <w:p>
            <w:pPr>
              <w:spacing w:after="0"/>
              <w:rPr>
                <w:sz w:val="18"/>
                <w:szCs w:val="18"/>
                <w:color w:val="auto"/>
              </w:rPr>
            </w:pPr>
          </w:p>
        </w:tc>
        <w:tc>
          <w:tcPr>
            <w:tcW w:w="1080" w:type="dxa"/>
            <w:vAlign w:val="bottom"/>
            <w:gridSpan w:val="2"/>
          </w:tcPr>
          <w:p>
            <w:pPr>
              <w:jc w:val="right"/>
              <w:ind w:right="19"/>
              <w:spacing w:after="0"/>
              <w:rPr>
                <w:sz w:val="20"/>
                <w:szCs w:val="20"/>
                <w:color w:val="auto"/>
              </w:rPr>
            </w:pPr>
            <w:r>
              <w:rPr>
                <w:rFonts w:ascii="Arial" w:cs="Arial" w:eastAsia="Arial" w:hAnsi="Arial"/>
                <w:sz w:val="17"/>
                <w:szCs w:val="17"/>
                <w:color w:val="auto"/>
              </w:rPr>
              <w:t>97,170,411</w:t>
            </w:r>
          </w:p>
        </w:tc>
        <w:tc>
          <w:tcPr>
            <w:tcW w:w="0" w:type="dxa"/>
            <w:vAlign w:val="bottom"/>
          </w:tcPr>
          <w:p>
            <w:pPr>
              <w:spacing w:after="0"/>
              <w:rPr>
                <w:sz w:val="1"/>
                <w:szCs w:val="1"/>
                <w:color w:val="auto"/>
              </w:rPr>
            </w:pPr>
          </w:p>
        </w:tc>
      </w:tr>
      <w:tr>
        <w:trPr>
          <w:trHeight w:val="195"/>
        </w:trPr>
        <w:tc>
          <w:tcPr>
            <w:tcW w:w="3520" w:type="dxa"/>
            <w:vAlign w:val="bottom"/>
            <w:shd w:val="clear" w:color="auto" w:fill="CCEEFF"/>
          </w:tcPr>
          <w:p>
            <w:pPr>
              <w:spacing w:after="0"/>
              <w:rPr>
                <w:sz w:val="20"/>
                <w:szCs w:val="20"/>
                <w:color w:val="auto"/>
              </w:rPr>
            </w:pPr>
            <w:r>
              <w:rPr>
                <w:rFonts w:ascii="Arial" w:cs="Arial" w:eastAsia="Arial" w:hAnsi="Arial"/>
                <w:sz w:val="17"/>
                <w:szCs w:val="17"/>
                <w:color w:val="auto"/>
                <w:w w:val="96"/>
              </w:rPr>
              <w:t>Payables from repurchase agreements, security</w:t>
            </w:r>
          </w:p>
        </w:tc>
        <w:tc>
          <w:tcPr>
            <w:tcW w:w="8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3520" w:type="dxa"/>
            <w:vAlign w:val="bottom"/>
            <w:shd w:val="clear" w:color="auto" w:fill="CCEEFF"/>
          </w:tcPr>
          <w:p>
            <w:pPr>
              <w:spacing w:after="0"/>
              <w:rPr>
                <w:sz w:val="20"/>
                <w:szCs w:val="20"/>
                <w:color w:val="auto"/>
              </w:rPr>
            </w:pPr>
            <w:r>
              <w:rPr>
                <w:rFonts w:ascii="Arial" w:cs="Arial" w:eastAsia="Arial" w:hAnsi="Arial"/>
                <w:sz w:val="17"/>
                <w:szCs w:val="17"/>
                <w:color w:val="auto"/>
              </w:rPr>
              <w:t>lending and due to banks and correspondents</w:t>
            </w: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3520" w:type="dxa"/>
            <w:vAlign w:val="bottom"/>
            <w:shd w:val="clear" w:color="auto" w:fill="CCEEFF"/>
          </w:tcPr>
          <w:p>
            <w:pPr>
              <w:spacing w:after="0"/>
              <w:rPr>
                <w:sz w:val="20"/>
                <w:szCs w:val="20"/>
                <w:color w:val="auto"/>
              </w:rPr>
            </w:pPr>
            <w:r>
              <w:rPr>
                <w:rFonts w:ascii="Arial" w:cs="Arial" w:eastAsia="Arial" w:hAnsi="Arial"/>
                <w:sz w:val="17"/>
                <w:szCs w:val="17"/>
                <w:color w:val="auto"/>
              </w:rPr>
              <w:t>and banker’s acceptances outstanding</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4,070,558</w:t>
            </w:r>
          </w:p>
        </w:tc>
        <w:tc>
          <w:tcPr>
            <w:tcW w:w="2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39"/>
              <w:spacing w:after="0"/>
              <w:rPr>
                <w:sz w:val="20"/>
                <w:szCs w:val="20"/>
                <w:color w:val="auto"/>
              </w:rPr>
            </w:pPr>
            <w:r>
              <w:rPr>
                <w:rFonts w:ascii="Arial" w:cs="Arial" w:eastAsia="Arial" w:hAnsi="Arial"/>
                <w:sz w:val="17"/>
                <w:szCs w:val="17"/>
                <w:color w:val="auto"/>
              </w:rPr>
              <w:t>1,949,926</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6,931,824</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6,056,395</w:t>
            </w:r>
          </w:p>
        </w:tc>
        <w:tc>
          <w:tcPr>
            <w:tcW w:w="2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2,153,396</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250,633</w:t>
            </w:r>
          </w:p>
        </w:tc>
        <w:tc>
          <w:tcPr>
            <w:tcW w:w="2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9"/>
              <w:spacing w:after="0"/>
              <w:rPr>
                <w:sz w:val="20"/>
                <w:szCs w:val="20"/>
                <w:color w:val="auto"/>
              </w:rPr>
            </w:pPr>
            <w:r>
              <w:rPr>
                <w:rFonts w:ascii="Arial" w:cs="Arial" w:eastAsia="Arial" w:hAnsi="Arial"/>
                <w:sz w:val="17"/>
                <w:szCs w:val="17"/>
                <w:color w:val="auto"/>
              </w:rPr>
              <w:t>21,412,732</w:t>
            </w:r>
          </w:p>
        </w:tc>
        <w:tc>
          <w:tcPr>
            <w:tcW w:w="0" w:type="dxa"/>
            <w:vAlign w:val="bottom"/>
          </w:tcPr>
          <w:p>
            <w:pPr>
              <w:spacing w:after="0"/>
              <w:rPr>
                <w:sz w:val="1"/>
                <w:szCs w:val="1"/>
                <w:color w:val="auto"/>
              </w:rPr>
            </w:pPr>
          </w:p>
        </w:tc>
      </w:tr>
      <w:tr>
        <w:trPr>
          <w:trHeight w:val="208"/>
        </w:trPr>
        <w:tc>
          <w:tcPr>
            <w:tcW w:w="3520" w:type="dxa"/>
            <w:vAlign w:val="bottom"/>
          </w:tcPr>
          <w:p>
            <w:pPr>
              <w:spacing w:after="0"/>
              <w:rPr>
                <w:sz w:val="20"/>
                <w:szCs w:val="20"/>
                <w:color w:val="auto"/>
              </w:rPr>
            </w:pPr>
            <w:r>
              <w:rPr>
                <w:rFonts w:ascii="Arial" w:cs="Arial" w:eastAsia="Arial" w:hAnsi="Arial"/>
                <w:sz w:val="17"/>
                <w:szCs w:val="17"/>
                <w:color w:val="auto"/>
              </w:rPr>
              <w:t>Accounts payable to reinsurers</w:t>
            </w:r>
          </w:p>
        </w:tc>
        <w:tc>
          <w:tcPr>
            <w:tcW w:w="1100" w:type="dxa"/>
            <w:vAlign w:val="bottom"/>
            <w:gridSpan w:val="2"/>
          </w:tcPr>
          <w:p>
            <w:pPr>
              <w:jc w:val="right"/>
              <w:ind w:right="139"/>
              <w:spacing w:after="0"/>
              <w:rPr>
                <w:sz w:val="20"/>
                <w:szCs w:val="20"/>
                <w:color w:val="auto"/>
              </w:rPr>
            </w:pPr>
            <w:r>
              <w:rPr>
                <w:rFonts w:ascii="Arial" w:cs="Arial" w:eastAsia="Arial" w:hAnsi="Arial"/>
                <w:sz w:val="17"/>
                <w:szCs w:val="17"/>
                <w:color w:val="auto"/>
              </w:rPr>
              <w:t>51,814</w:t>
            </w:r>
          </w:p>
        </w:tc>
        <w:tc>
          <w:tcPr>
            <w:tcW w:w="1200" w:type="dxa"/>
            <w:vAlign w:val="bottom"/>
            <w:gridSpan w:val="2"/>
          </w:tcPr>
          <w:p>
            <w:pPr>
              <w:jc w:val="right"/>
              <w:ind w:right="139"/>
              <w:spacing w:after="0"/>
              <w:rPr>
                <w:sz w:val="20"/>
                <w:szCs w:val="20"/>
                <w:color w:val="auto"/>
              </w:rPr>
            </w:pPr>
            <w:r>
              <w:rPr>
                <w:rFonts w:ascii="Arial" w:cs="Arial" w:eastAsia="Arial" w:hAnsi="Arial"/>
                <w:sz w:val="17"/>
                <w:szCs w:val="17"/>
                <w:color w:val="auto"/>
              </w:rPr>
              <w:t>141,708</w:t>
            </w:r>
          </w:p>
        </w:tc>
        <w:tc>
          <w:tcPr>
            <w:tcW w:w="1100" w:type="dxa"/>
            <w:vAlign w:val="bottom"/>
            <w:gridSpan w:val="2"/>
          </w:tcPr>
          <w:p>
            <w:pPr>
              <w:jc w:val="right"/>
              <w:ind w:right="220"/>
              <w:spacing w:after="0"/>
              <w:rPr>
                <w:sz w:val="20"/>
                <w:szCs w:val="20"/>
                <w:color w:val="auto"/>
              </w:rPr>
            </w:pPr>
            <w:r>
              <w:rPr>
                <w:rFonts w:ascii="Arial" w:cs="Arial" w:eastAsia="Arial" w:hAnsi="Arial"/>
                <w:sz w:val="17"/>
                <w:szCs w:val="17"/>
                <w:color w:val="auto"/>
              </w:rPr>
              <w:t>31,726</w:t>
            </w:r>
          </w:p>
        </w:tc>
        <w:tc>
          <w:tcPr>
            <w:tcW w:w="900" w:type="dxa"/>
            <w:vAlign w:val="bottom"/>
          </w:tcPr>
          <w:p>
            <w:pPr>
              <w:jc w:val="right"/>
              <w:spacing w:after="0"/>
              <w:rPr>
                <w:sz w:val="20"/>
                <w:szCs w:val="20"/>
                <w:color w:val="auto"/>
              </w:rPr>
            </w:pPr>
            <w:r>
              <w:rPr>
                <w:rFonts w:ascii="Arial" w:cs="Arial" w:eastAsia="Arial" w:hAnsi="Arial"/>
                <w:sz w:val="17"/>
                <w:szCs w:val="17"/>
                <w:color w:val="auto"/>
              </w:rPr>
              <w:t>9,937</w:t>
            </w:r>
          </w:p>
        </w:tc>
        <w:tc>
          <w:tcPr>
            <w:tcW w:w="20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8"/>
                <w:szCs w:val="18"/>
                <w:color w:val="auto"/>
              </w:rPr>
            </w:pPr>
          </w:p>
        </w:tc>
        <w:tc>
          <w:tcPr>
            <w:tcW w:w="1080" w:type="dxa"/>
            <w:vAlign w:val="bottom"/>
            <w:gridSpan w:val="2"/>
          </w:tcPr>
          <w:p>
            <w:pPr>
              <w:jc w:val="right"/>
              <w:ind w:right="19"/>
              <w:spacing w:after="0"/>
              <w:rPr>
                <w:sz w:val="20"/>
                <w:szCs w:val="20"/>
                <w:color w:val="auto"/>
              </w:rPr>
            </w:pPr>
            <w:r>
              <w:rPr>
                <w:rFonts w:ascii="Arial" w:cs="Arial" w:eastAsia="Arial" w:hAnsi="Arial"/>
                <w:sz w:val="17"/>
                <w:szCs w:val="17"/>
                <w:color w:val="auto"/>
              </w:rPr>
              <w:t>235,185</w:t>
            </w:r>
          </w:p>
        </w:tc>
        <w:tc>
          <w:tcPr>
            <w:tcW w:w="0" w:type="dxa"/>
            <w:vAlign w:val="bottom"/>
          </w:tcPr>
          <w:p>
            <w:pPr>
              <w:spacing w:after="0"/>
              <w:rPr>
                <w:sz w:val="1"/>
                <w:szCs w:val="1"/>
                <w:color w:val="auto"/>
              </w:rPr>
            </w:pPr>
          </w:p>
        </w:tc>
      </w:tr>
      <w:tr>
        <w:trPr>
          <w:trHeight w:val="195"/>
        </w:trPr>
        <w:tc>
          <w:tcPr>
            <w:tcW w:w="3520" w:type="dxa"/>
            <w:vAlign w:val="bottom"/>
            <w:shd w:val="clear" w:color="auto" w:fill="CCEEFF"/>
          </w:tcPr>
          <w:p>
            <w:pPr>
              <w:spacing w:after="0"/>
              <w:rPr>
                <w:sz w:val="20"/>
                <w:szCs w:val="20"/>
                <w:color w:val="auto"/>
              </w:rPr>
            </w:pPr>
            <w:r>
              <w:rPr>
                <w:rFonts w:ascii="Arial" w:cs="Arial" w:eastAsia="Arial" w:hAnsi="Arial"/>
                <w:sz w:val="17"/>
                <w:szCs w:val="17"/>
                <w:color w:val="auto"/>
              </w:rPr>
              <w:t>Technical, insurance claims reserves and</w:t>
            </w:r>
          </w:p>
        </w:tc>
        <w:tc>
          <w:tcPr>
            <w:tcW w:w="8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3520" w:type="dxa"/>
            <w:vAlign w:val="bottom"/>
            <w:shd w:val="clear" w:color="auto" w:fill="CCEEFF"/>
          </w:tcPr>
          <w:p>
            <w:pPr>
              <w:spacing w:after="0"/>
              <w:rPr>
                <w:sz w:val="20"/>
                <w:szCs w:val="20"/>
                <w:color w:val="auto"/>
              </w:rPr>
            </w:pPr>
            <w:r>
              <w:rPr>
                <w:rFonts w:ascii="Arial" w:cs="Arial" w:eastAsia="Arial" w:hAnsi="Arial"/>
                <w:sz w:val="17"/>
                <w:szCs w:val="17"/>
                <w:color w:val="auto"/>
              </w:rPr>
              <w:t>reserves for</w:t>
            </w: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3520" w:type="dxa"/>
            <w:vAlign w:val="bottom"/>
            <w:shd w:val="clear" w:color="auto" w:fill="CCEEFF"/>
          </w:tcPr>
          <w:p>
            <w:pPr>
              <w:spacing w:after="0"/>
              <w:rPr>
                <w:sz w:val="20"/>
                <w:szCs w:val="20"/>
                <w:color w:val="auto"/>
              </w:rPr>
            </w:pPr>
            <w:r>
              <w:rPr>
                <w:rFonts w:ascii="Arial" w:cs="Arial" w:eastAsia="Arial" w:hAnsi="Arial"/>
                <w:sz w:val="17"/>
                <w:szCs w:val="17"/>
                <w:color w:val="auto"/>
              </w:rPr>
              <w:t>unearned premiums</w:t>
            </w:r>
          </w:p>
        </w:tc>
        <w:tc>
          <w:tcPr>
            <w:tcW w:w="1100" w:type="dxa"/>
            <w:vAlign w:val="bottom"/>
            <w:gridSpan w:val="2"/>
            <w:shd w:val="clear" w:color="auto" w:fill="CCEEFF"/>
          </w:tcPr>
          <w:p>
            <w:pPr>
              <w:jc w:val="right"/>
              <w:ind w:right="139"/>
              <w:spacing w:after="0"/>
              <w:rPr>
                <w:sz w:val="20"/>
                <w:szCs w:val="20"/>
                <w:color w:val="auto"/>
              </w:rPr>
            </w:pPr>
            <w:r>
              <w:rPr>
                <w:rFonts w:ascii="Arial" w:cs="Arial" w:eastAsia="Arial" w:hAnsi="Arial"/>
                <w:sz w:val="17"/>
                <w:szCs w:val="17"/>
                <w:color w:val="auto"/>
              </w:rPr>
              <w:t>200,307</w:t>
            </w:r>
          </w:p>
        </w:tc>
        <w:tc>
          <w:tcPr>
            <w:tcW w:w="1200" w:type="dxa"/>
            <w:vAlign w:val="bottom"/>
            <w:gridSpan w:val="2"/>
            <w:shd w:val="clear" w:color="auto" w:fill="CCEEFF"/>
          </w:tcPr>
          <w:p>
            <w:pPr>
              <w:jc w:val="right"/>
              <w:ind w:right="139"/>
              <w:spacing w:after="0"/>
              <w:rPr>
                <w:sz w:val="20"/>
                <w:szCs w:val="20"/>
                <w:color w:val="auto"/>
              </w:rPr>
            </w:pPr>
            <w:r>
              <w:rPr>
                <w:rFonts w:ascii="Arial" w:cs="Arial" w:eastAsia="Arial" w:hAnsi="Arial"/>
                <w:sz w:val="17"/>
                <w:szCs w:val="17"/>
                <w:color w:val="auto"/>
              </w:rPr>
              <w:t>118,642</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443,141</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1,918,617</w:t>
            </w:r>
          </w:p>
        </w:tc>
        <w:tc>
          <w:tcPr>
            <w:tcW w:w="2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3,922,902</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840,151</w:t>
            </w:r>
          </w:p>
        </w:tc>
        <w:tc>
          <w:tcPr>
            <w:tcW w:w="2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9"/>
              <w:spacing w:after="0"/>
              <w:rPr>
                <w:sz w:val="20"/>
                <w:szCs w:val="20"/>
                <w:color w:val="auto"/>
              </w:rPr>
            </w:pPr>
            <w:r>
              <w:rPr>
                <w:rFonts w:ascii="Arial" w:cs="Arial" w:eastAsia="Arial" w:hAnsi="Arial"/>
                <w:sz w:val="17"/>
                <w:szCs w:val="17"/>
                <w:color w:val="auto"/>
              </w:rPr>
              <w:t>7,443,760</w:t>
            </w:r>
          </w:p>
        </w:tc>
        <w:tc>
          <w:tcPr>
            <w:tcW w:w="0" w:type="dxa"/>
            <w:vAlign w:val="bottom"/>
          </w:tcPr>
          <w:p>
            <w:pPr>
              <w:spacing w:after="0"/>
              <w:rPr>
                <w:sz w:val="1"/>
                <w:szCs w:val="1"/>
                <w:color w:val="auto"/>
              </w:rPr>
            </w:pPr>
          </w:p>
        </w:tc>
      </w:tr>
      <w:tr>
        <w:trPr>
          <w:trHeight w:val="195"/>
        </w:trPr>
        <w:tc>
          <w:tcPr>
            <w:tcW w:w="3520" w:type="dxa"/>
            <w:vAlign w:val="bottom"/>
          </w:tcPr>
          <w:p>
            <w:pPr>
              <w:spacing w:after="0"/>
              <w:rPr>
                <w:sz w:val="20"/>
                <w:szCs w:val="20"/>
                <w:color w:val="auto"/>
              </w:rPr>
            </w:pPr>
            <w:r>
              <w:rPr>
                <w:rFonts w:ascii="Arial" w:cs="Arial" w:eastAsia="Arial" w:hAnsi="Arial"/>
                <w:sz w:val="17"/>
                <w:szCs w:val="17"/>
                <w:color w:val="auto"/>
                <w:w w:val="98"/>
              </w:rPr>
              <w:t>Financial liabilities at fair value through profit or</w:t>
            </w: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3520" w:type="dxa"/>
            <w:vAlign w:val="bottom"/>
          </w:tcPr>
          <w:p>
            <w:pPr>
              <w:spacing w:after="0"/>
              <w:rPr>
                <w:sz w:val="20"/>
                <w:szCs w:val="20"/>
                <w:color w:val="auto"/>
              </w:rPr>
            </w:pPr>
            <w:r>
              <w:rPr>
                <w:rFonts w:ascii="Arial" w:cs="Arial" w:eastAsia="Arial" w:hAnsi="Arial"/>
                <w:sz w:val="17"/>
                <w:szCs w:val="17"/>
                <w:color w:val="auto"/>
              </w:rPr>
              <w:t>loss</w:t>
            </w:r>
          </w:p>
        </w:tc>
        <w:tc>
          <w:tcPr>
            <w:tcW w:w="1100" w:type="dxa"/>
            <w:vAlign w:val="bottom"/>
            <w:gridSpan w:val="2"/>
          </w:tcPr>
          <w:p>
            <w:pPr>
              <w:jc w:val="right"/>
              <w:ind w:right="139"/>
              <w:spacing w:after="0"/>
              <w:rPr>
                <w:sz w:val="20"/>
                <w:szCs w:val="20"/>
                <w:color w:val="auto"/>
              </w:rPr>
            </w:pPr>
            <w:r>
              <w:rPr>
                <w:rFonts w:ascii="Arial" w:cs="Arial" w:eastAsia="Arial" w:hAnsi="Arial"/>
                <w:sz w:val="17"/>
                <w:szCs w:val="17"/>
                <w:color w:val="auto"/>
              </w:rPr>
              <w:t>-</w:t>
            </w:r>
          </w:p>
        </w:tc>
        <w:tc>
          <w:tcPr>
            <w:tcW w:w="1200" w:type="dxa"/>
            <w:vAlign w:val="bottom"/>
            <w:gridSpan w:val="2"/>
          </w:tcPr>
          <w:p>
            <w:pPr>
              <w:jc w:val="right"/>
              <w:ind w:right="139"/>
              <w:spacing w:after="0"/>
              <w:rPr>
                <w:sz w:val="20"/>
                <w:szCs w:val="20"/>
                <w:color w:val="auto"/>
              </w:rPr>
            </w:pPr>
            <w:r>
              <w:rPr>
                <w:rFonts w:ascii="Arial" w:cs="Arial" w:eastAsia="Arial" w:hAnsi="Arial"/>
                <w:sz w:val="17"/>
                <w:szCs w:val="17"/>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168,089</w:t>
            </w:r>
          </w:p>
        </w:tc>
        <w:tc>
          <w:tcPr>
            <w:tcW w:w="200" w:type="dxa"/>
            <w:vAlign w:val="bottom"/>
          </w:tcPr>
          <w:p>
            <w:pPr>
              <w:spacing w:after="0"/>
              <w:rPr>
                <w:sz w:val="19"/>
                <w:szCs w:val="19"/>
                <w:color w:val="auto"/>
              </w:rPr>
            </w:pPr>
          </w:p>
        </w:tc>
        <w:tc>
          <w:tcPr>
            <w:tcW w:w="1080" w:type="dxa"/>
            <w:vAlign w:val="bottom"/>
            <w:gridSpan w:val="2"/>
          </w:tcPr>
          <w:p>
            <w:pPr>
              <w:jc w:val="right"/>
              <w:ind w:right="19"/>
              <w:spacing w:after="0"/>
              <w:rPr>
                <w:sz w:val="20"/>
                <w:szCs w:val="20"/>
                <w:color w:val="auto"/>
              </w:rPr>
            </w:pPr>
            <w:r>
              <w:rPr>
                <w:rFonts w:ascii="Arial" w:cs="Arial" w:eastAsia="Arial" w:hAnsi="Arial"/>
                <w:sz w:val="17"/>
                <w:szCs w:val="17"/>
                <w:color w:val="auto"/>
              </w:rPr>
              <w:t>168,089</w:t>
            </w:r>
          </w:p>
        </w:tc>
        <w:tc>
          <w:tcPr>
            <w:tcW w:w="0" w:type="dxa"/>
            <w:vAlign w:val="bottom"/>
          </w:tcPr>
          <w:p>
            <w:pPr>
              <w:spacing w:after="0"/>
              <w:rPr>
                <w:sz w:val="1"/>
                <w:szCs w:val="1"/>
                <w:color w:val="auto"/>
              </w:rPr>
            </w:pPr>
          </w:p>
        </w:tc>
      </w:tr>
      <w:tr>
        <w:trPr>
          <w:trHeight w:val="208"/>
        </w:trPr>
        <w:tc>
          <w:tcPr>
            <w:tcW w:w="3520" w:type="dxa"/>
            <w:vAlign w:val="bottom"/>
            <w:shd w:val="clear" w:color="auto" w:fill="CCEEFF"/>
          </w:tcPr>
          <w:p>
            <w:pPr>
              <w:spacing w:after="0"/>
              <w:rPr>
                <w:sz w:val="20"/>
                <w:szCs w:val="20"/>
                <w:color w:val="auto"/>
              </w:rPr>
            </w:pPr>
            <w:r>
              <w:rPr>
                <w:rFonts w:ascii="Arial" w:cs="Arial" w:eastAsia="Arial" w:hAnsi="Arial"/>
                <w:sz w:val="17"/>
                <w:szCs w:val="17"/>
                <w:color w:val="auto"/>
              </w:rPr>
              <w:t>Bonds and notes issued</w:t>
            </w:r>
          </w:p>
        </w:tc>
        <w:tc>
          <w:tcPr>
            <w:tcW w:w="1100" w:type="dxa"/>
            <w:vAlign w:val="bottom"/>
            <w:gridSpan w:val="2"/>
            <w:shd w:val="clear" w:color="auto" w:fill="CCEEFF"/>
          </w:tcPr>
          <w:p>
            <w:pPr>
              <w:jc w:val="right"/>
              <w:ind w:right="139"/>
              <w:spacing w:after="0"/>
              <w:rPr>
                <w:sz w:val="20"/>
                <w:szCs w:val="20"/>
                <w:color w:val="auto"/>
              </w:rPr>
            </w:pPr>
            <w:r>
              <w:rPr>
                <w:rFonts w:ascii="Arial" w:cs="Arial" w:eastAsia="Arial" w:hAnsi="Arial"/>
                <w:sz w:val="17"/>
                <w:szCs w:val="17"/>
                <w:color w:val="auto"/>
              </w:rPr>
              <w:t>791,247</w:t>
            </w:r>
          </w:p>
        </w:tc>
        <w:tc>
          <w:tcPr>
            <w:tcW w:w="1200" w:type="dxa"/>
            <w:vAlign w:val="bottom"/>
            <w:gridSpan w:val="2"/>
            <w:shd w:val="clear" w:color="auto" w:fill="CCEEFF"/>
          </w:tcPr>
          <w:p>
            <w:pPr>
              <w:jc w:val="right"/>
              <w:ind w:right="139"/>
              <w:spacing w:after="0"/>
              <w:rPr>
                <w:sz w:val="20"/>
                <w:szCs w:val="20"/>
                <w:color w:val="auto"/>
              </w:rPr>
            </w:pPr>
            <w:r>
              <w:rPr>
                <w:rFonts w:ascii="Arial" w:cs="Arial" w:eastAsia="Arial" w:hAnsi="Arial"/>
                <w:sz w:val="17"/>
                <w:szCs w:val="17"/>
                <w:color w:val="auto"/>
              </w:rPr>
              <w:t>1,656</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395,125</w:t>
            </w:r>
          </w:p>
        </w:tc>
        <w:tc>
          <w:tcPr>
            <w:tcW w:w="1100" w:type="dxa"/>
            <w:vAlign w:val="bottom"/>
            <w:gridSpan w:val="2"/>
            <w:shd w:val="clear" w:color="auto" w:fill="CCEEFF"/>
          </w:tcPr>
          <w:p>
            <w:pPr>
              <w:jc w:val="right"/>
              <w:ind w:right="119"/>
              <w:spacing w:after="0"/>
              <w:rPr>
                <w:sz w:val="20"/>
                <w:szCs w:val="20"/>
                <w:color w:val="auto"/>
              </w:rPr>
            </w:pPr>
            <w:r>
              <w:rPr>
                <w:rFonts w:ascii="Arial" w:cs="Arial" w:eastAsia="Arial" w:hAnsi="Arial"/>
                <w:sz w:val="17"/>
                <w:szCs w:val="17"/>
                <w:color w:val="auto"/>
              </w:rPr>
              <w:t>11,998,887</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2,973,831</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81,511</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9"/>
              <w:spacing w:after="0"/>
              <w:rPr>
                <w:sz w:val="20"/>
                <w:szCs w:val="20"/>
                <w:color w:val="auto"/>
              </w:rPr>
            </w:pPr>
            <w:r>
              <w:rPr>
                <w:rFonts w:ascii="Arial" w:cs="Arial" w:eastAsia="Arial" w:hAnsi="Arial"/>
                <w:sz w:val="17"/>
                <w:szCs w:val="17"/>
                <w:color w:val="auto"/>
              </w:rPr>
              <w:t>16,242,257</w:t>
            </w:r>
          </w:p>
        </w:tc>
        <w:tc>
          <w:tcPr>
            <w:tcW w:w="0" w:type="dxa"/>
            <w:vAlign w:val="bottom"/>
          </w:tcPr>
          <w:p>
            <w:pPr>
              <w:spacing w:after="0"/>
              <w:rPr>
                <w:sz w:val="1"/>
                <w:szCs w:val="1"/>
                <w:color w:val="auto"/>
              </w:rPr>
            </w:pPr>
          </w:p>
        </w:tc>
      </w:tr>
      <w:tr>
        <w:trPr>
          <w:trHeight w:val="208"/>
        </w:trPr>
        <w:tc>
          <w:tcPr>
            <w:tcW w:w="3520" w:type="dxa"/>
            <w:vAlign w:val="bottom"/>
          </w:tcPr>
          <w:p>
            <w:pPr>
              <w:spacing w:after="0"/>
              <w:rPr>
                <w:sz w:val="20"/>
                <w:szCs w:val="20"/>
                <w:color w:val="auto"/>
              </w:rPr>
            </w:pPr>
            <w:r>
              <w:rPr>
                <w:rFonts w:ascii="Arial" w:cs="Arial" w:eastAsia="Arial" w:hAnsi="Arial"/>
                <w:sz w:val="17"/>
                <w:szCs w:val="17"/>
                <w:color w:val="auto"/>
              </w:rPr>
              <w:t>Other liabilities (**)</w:t>
            </w:r>
          </w:p>
        </w:tc>
        <w:tc>
          <w:tcPr>
            <w:tcW w:w="1100" w:type="dxa"/>
            <w:vAlign w:val="bottom"/>
            <w:gridSpan w:val="2"/>
          </w:tcPr>
          <w:p>
            <w:pPr>
              <w:jc w:val="right"/>
              <w:ind w:right="139"/>
              <w:spacing w:after="0"/>
              <w:rPr>
                <w:sz w:val="20"/>
                <w:szCs w:val="20"/>
                <w:color w:val="auto"/>
              </w:rPr>
            </w:pPr>
            <w:r>
              <w:rPr>
                <w:rFonts w:ascii="Arial" w:cs="Arial" w:eastAsia="Arial" w:hAnsi="Arial"/>
                <w:sz w:val="17"/>
                <w:szCs w:val="17"/>
                <w:color w:val="auto"/>
              </w:rPr>
              <w:t>155,851</w:t>
            </w:r>
          </w:p>
        </w:tc>
        <w:tc>
          <w:tcPr>
            <w:tcW w:w="1200" w:type="dxa"/>
            <w:vAlign w:val="bottom"/>
            <w:gridSpan w:val="2"/>
          </w:tcPr>
          <w:p>
            <w:pPr>
              <w:jc w:val="right"/>
              <w:ind w:right="139"/>
              <w:spacing w:after="0"/>
              <w:rPr>
                <w:sz w:val="20"/>
                <w:szCs w:val="20"/>
                <w:color w:val="auto"/>
              </w:rPr>
            </w:pPr>
            <w:r>
              <w:rPr>
                <w:rFonts w:ascii="Arial" w:cs="Arial" w:eastAsia="Arial" w:hAnsi="Arial"/>
                <w:sz w:val="17"/>
                <w:szCs w:val="17"/>
                <w:color w:val="auto"/>
              </w:rPr>
              <w:t>211,103</w:t>
            </w:r>
          </w:p>
        </w:tc>
        <w:tc>
          <w:tcPr>
            <w:tcW w:w="1100" w:type="dxa"/>
            <w:vAlign w:val="bottom"/>
            <w:gridSpan w:val="2"/>
          </w:tcPr>
          <w:p>
            <w:pPr>
              <w:jc w:val="right"/>
              <w:ind w:right="220"/>
              <w:spacing w:after="0"/>
              <w:rPr>
                <w:sz w:val="20"/>
                <w:szCs w:val="20"/>
                <w:color w:val="auto"/>
              </w:rPr>
            </w:pPr>
            <w:r>
              <w:rPr>
                <w:rFonts w:ascii="Arial" w:cs="Arial" w:eastAsia="Arial" w:hAnsi="Arial"/>
                <w:sz w:val="17"/>
                <w:szCs w:val="17"/>
                <w:color w:val="auto"/>
              </w:rPr>
              <w:t>2,434</w:t>
            </w:r>
          </w:p>
        </w:tc>
        <w:tc>
          <w:tcPr>
            <w:tcW w:w="900" w:type="dxa"/>
            <w:vAlign w:val="bottom"/>
          </w:tcPr>
          <w:p>
            <w:pPr>
              <w:jc w:val="right"/>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5,176,758</w:t>
            </w:r>
          </w:p>
        </w:tc>
        <w:tc>
          <w:tcPr>
            <w:tcW w:w="200" w:type="dxa"/>
            <w:vAlign w:val="bottom"/>
          </w:tcPr>
          <w:p>
            <w:pPr>
              <w:spacing w:after="0"/>
              <w:rPr>
                <w:sz w:val="18"/>
                <w:szCs w:val="18"/>
                <w:color w:val="auto"/>
              </w:rPr>
            </w:pPr>
          </w:p>
        </w:tc>
        <w:tc>
          <w:tcPr>
            <w:tcW w:w="1080" w:type="dxa"/>
            <w:vAlign w:val="bottom"/>
            <w:gridSpan w:val="2"/>
          </w:tcPr>
          <w:p>
            <w:pPr>
              <w:jc w:val="right"/>
              <w:ind w:right="19"/>
              <w:spacing w:after="0"/>
              <w:rPr>
                <w:sz w:val="20"/>
                <w:szCs w:val="20"/>
                <w:color w:val="auto"/>
              </w:rPr>
            </w:pPr>
            <w:r>
              <w:rPr>
                <w:rFonts w:ascii="Arial" w:cs="Arial" w:eastAsia="Arial" w:hAnsi="Arial"/>
                <w:sz w:val="17"/>
                <w:szCs w:val="17"/>
                <w:color w:val="auto"/>
              </w:rPr>
              <w:t>5,546,146</w:t>
            </w:r>
          </w:p>
        </w:tc>
        <w:tc>
          <w:tcPr>
            <w:tcW w:w="0" w:type="dxa"/>
            <w:vAlign w:val="bottom"/>
          </w:tcPr>
          <w:p>
            <w:pPr>
              <w:spacing w:after="0"/>
              <w:rPr>
                <w:sz w:val="1"/>
                <w:szCs w:val="1"/>
                <w:color w:val="auto"/>
              </w:rPr>
            </w:pPr>
          </w:p>
        </w:tc>
      </w:tr>
      <w:tr>
        <w:trPr>
          <w:trHeight w:val="221"/>
        </w:trPr>
        <w:tc>
          <w:tcPr>
            <w:tcW w:w="3520" w:type="dxa"/>
            <w:vAlign w:val="bottom"/>
            <w:shd w:val="clear" w:color="auto" w:fill="CCEEFF"/>
          </w:tcPr>
          <w:p>
            <w:pPr>
              <w:spacing w:after="0"/>
              <w:rPr>
                <w:sz w:val="20"/>
                <w:szCs w:val="20"/>
                <w:color w:val="auto"/>
              </w:rPr>
            </w:pPr>
            <w:r>
              <w:rPr>
                <w:rFonts w:ascii="Arial" w:cs="Arial" w:eastAsia="Arial" w:hAnsi="Arial"/>
                <w:sz w:val="17"/>
                <w:szCs w:val="17"/>
                <w:color w:val="auto"/>
              </w:rPr>
              <w:t>Equity</w:t>
            </w:r>
          </w:p>
        </w:tc>
        <w:tc>
          <w:tcPr>
            <w:tcW w:w="1100" w:type="dxa"/>
            <w:vAlign w:val="bottom"/>
            <w:gridSpan w:val="2"/>
            <w:shd w:val="clear" w:color="auto" w:fill="CCEEFF"/>
          </w:tcPr>
          <w:p>
            <w:pPr>
              <w:jc w:val="right"/>
              <w:ind w:right="139"/>
              <w:spacing w:after="0"/>
              <w:rPr>
                <w:sz w:val="20"/>
                <w:szCs w:val="20"/>
                <w:color w:val="auto"/>
              </w:rPr>
            </w:pPr>
            <w:r>
              <w:rPr>
                <w:rFonts w:ascii="Arial" w:cs="Arial" w:eastAsia="Arial" w:hAnsi="Arial"/>
                <w:sz w:val="17"/>
                <w:szCs w:val="17"/>
                <w:color w:val="auto"/>
              </w:rPr>
              <w:t>-</w:t>
            </w:r>
          </w:p>
        </w:tc>
        <w:tc>
          <w:tcPr>
            <w:tcW w:w="1200" w:type="dxa"/>
            <w:vAlign w:val="bottom"/>
            <w:gridSpan w:val="2"/>
            <w:shd w:val="clear" w:color="auto" w:fill="CCEEFF"/>
          </w:tcPr>
          <w:p>
            <w:pPr>
              <w:jc w:val="right"/>
              <w:ind w:right="139"/>
              <w:spacing w:after="0"/>
              <w:rPr>
                <w:sz w:val="20"/>
                <w:szCs w:val="20"/>
                <w:color w:val="auto"/>
              </w:rPr>
            </w:pPr>
            <w:r>
              <w:rPr>
                <w:rFonts w:ascii="Arial" w:cs="Arial" w:eastAsia="Arial" w:hAnsi="Arial"/>
                <w:sz w:val="17"/>
                <w:szCs w:val="17"/>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160" w:type="dxa"/>
            <w:vAlign w:val="bottom"/>
            <w:gridSpan w:val="2"/>
            <w:shd w:val="clear" w:color="auto" w:fill="CCEEFF"/>
          </w:tcPr>
          <w:p>
            <w:pPr>
              <w:jc w:val="right"/>
              <w:ind w:right="119"/>
              <w:spacing w:after="0"/>
              <w:rPr>
                <w:sz w:val="20"/>
                <w:szCs w:val="20"/>
                <w:color w:val="auto"/>
              </w:rPr>
            </w:pPr>
            <w:r>
              <w:rPr>
                <w:rFonts w:ascii="Arial" w:cs="Arial" w:eastAsia="Arial" w:hAnsi="Arial"/>
                <w:sz w:val="17"/>
                <w:szCs w:val="17"/>
                <w:color w:val="auto"/>
              </w:rPr>
              <w:t>22,253,703</w:t>
            </w:r>
          </w:p>
        </w:tc>
        <w:tc>
          <w:tcPr>
            <w:tcW w:w="1080" w:type="dxa"/>
            <w:vAlign w:val="bottom"/>
            <w:gridSpan w:val="2"/>
            <w:shd w:val="clear" w:color="auto" w:fill="CCEEFF"/>
          </w:tcPr>
          <w:p>
            <w:pPr>
              <w:jc w:val="right"/>
              <w:ind w:right="19"/>
              <w:spacing w:after="0"/>
              <w:rPr>
                <w:sz w:val="20"/>
                <w:szCs w:val="20"/>
                <w:color w:val="auto"/>
              </w:rPr>
            </w:pPr>
            <w:r>
              <w:rPr>
                <w:rFonts w:ascii="Arial" w:cs="Arial" w:eastAsia="Arial" w:hAnsi="Arial"/>
                <w:sz w:val="17"/>
                <w:szCs w:val="17"/>
                <w:color w:val="auto"/>
              </w:rPr>
              <w:t>22,253,703</w:t>
            </w:r>
          </w:p>
        </w:tc>
        <w:tc>
          <w:tcPr>
            <w:tcW w:w="0" w:type="dxa"/>
            <w:vAlign w:val="bottom"/>
          </w:tcPr>
          <w:p>
            <w:pPr>
              <w:spacing w:after="0"/>
              <w:rPr>
                <w:sz w:val="1"/>
                <w:szCs w:val="1"/>
                <w:color w:val="auto"/>
              </w:rPr>
            </w:pPr>
          </w:p>
        </w:tc>
      </w:tr>
      <w:tr>
        <w:trPr>
          <w:trHeight w:val="241"/>
        </w:trPr>
        <w:tc>
          <w:tcPr>
            <w:tcW w:w="3520" w:type="dxa"/>
            <w:vAlign w:val="bottom"/>
            <w:tcBorders>
              <w:bottom w:val="single" w:sz="8" w:color="CCEEFF"/>
            </w:tcBorders>
          </w:tcPr>
          <w:p>
            <w:pPr>
              <w:spacing w:after="0"/>
              <w:rPr>
                <w:sz w:val="20"/>
                <w:szCs w:val="20"/>
                <w:color w:val="auto"/>
              </w:rPr>
            </w:pPr>
            <w:r>
              <w:rPr>
                <w:rFonts w:ascii="Arial" w:cs="Arial" w:eastAsia="Arial" w:hAnsi="Arial"/>
                <w:sz w:val="17"/>
                <w:szCs w:val="17"/>
                <w:b w:val="1"/>
                <w:bCs w:val="1"/>
                <w:color w:val="auto"/>
              </w:rPr>
              <w:t>Total liabilities and equity</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31,426,446</w:t>
            </w:r>
          </w:p>
        </w:tc>
        <w:tc>
          <w:tcPr>
            <w:tcW w:w="220" w:type="dxa"/>
            <w:vAlign w:val="bottom"/>
            <w:tcBorders>
              <w:bottom w:val="single" w:sz="8" w:color="CCEEFF"/>
            </w:tcBorders>
          </w:tcPr>
          <w:p>
            <w:pPr>
              <w:spacing w:after="0"/>
              <w:rPr>
                <w:sz w:val="20"/>
                <w:szCs w:val="20"/>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11,936,191</w:t>
            </w:r>
          </w:p>
        </w:tc>
        <w:tc>
          <w:tcPr>
            <w:tcW w:w="220" w:type="dxa"/>
            <w:vAlign w:val="bottom"/>
            <w:tcBorders>
              <w:bottom w:val="single" w:sz="8" w:color="CCEEFF"/>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24,860,364</w:t>
            </w:r>
          </w:p>
        </w:tc>
        <w:tc>
          <w:tcPr>
            <w:tcW w:w="220" w:type="dxa"/>
            <w:vAlign w:val="bottom"/>
            <w:tcBorders>
              <w:bottom w:val="single" w:sz="8" w:color="CCEEFF"/>
            </w:tcBorders>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56,184,811</w:t>
            </w:r>
          </w:p>
        </w:tc>
        <w:tc>
          <w:tcPr>
            <w:tcW w:w="200" w:type="dxa"/>
            <w:vAlign w:val="bottom"/>
            <w:tcBorders>
              <w:bottom w:val="single" w:sz="8" w:color="CCEEFF"/>
            </w:tcBorders>
          </w:tcPr>
          <w:p>
            <w:pPr>
              <w:spacing w:after="0"/>
              <w:rPr>
                <w:sz w:val="20"/>
                <w:szCs w:val="20"/>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15,263,958</w:t>
            </w:r>
          </w:p>
        </w:tc>
        <w:tc>
          <w:tcPr>
            <w:tcW w:w="220" w:type="dxa"/>
            <w:vAlign w:val="bottom"/>
            <w:tcBorders>
              <w:bottom w:val="single" w:sz="8" w:color="CCEEFF"/>
            </w:tcBorders>
          </w:tcPr>
          <w:p>
            <w:pPr>
              <w:spacing w:after="0"/>
              <w:rPr>
                <w:sz w:val="20"/>
                <w:szCs w:val="20"/>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30,800,513</w:t>
            </w:r>
          </w:p>
        </w:tc>
        <w:tc>
          <w:tcPr>
            <w:tcW w:w="200" w:type="dxa"/>
            <w:vAlign w:val="bottom"/>
            <w:tcBorders>
              <w:bottom w:val="single" w:sz="8" w:color="CCEEFF"/>
            </w:tcBorders>
          </w:tcPr>
          <w:p>
            <w:pPr>
              <w:spacing w:after="0"/>
              <w:rPr>
                <w:sz w:val="20"/>
                <w:szCs w:val="20"/>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170,472,283</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35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3520" w:type="dxa"/>
            <w:vAlign w:val="bottom"/>
          </w:tcPr>
          <w:p>
            <w:pPr>
              <w:spacing w:after="0"/>
              <w:rPr>
                <w:sz w:val="20"/>
                <w:szCs w:val="20"/>
                <w:color w:val="auto"/>
              </w:rPr>
            </w:pPr>
            <w:r>
              <w:rPr>
                <w:rFonts w:ascii="Arial" w:cs="Arial" w:eastAsia="Arial" w:hAnsi="Arial"/>
                <w:sz w:val="17"/>
                <w:szCs w:val="17"/>
                <w:b w:val="1"/>
                <w:bCs w:val="1"/>
                <w:color w:val="auto"/>
              </w:rPr>
              <w:t>Off-balance-sheet accounts</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520" w:type="dxa"/>
            <w:vAlign w:val="bottom"/>
            <w:shd w:val="clear" w:color="auto" w:fill="CCEEFF"/>
          </w:tcPr>
          <w:p>
            <w:pPr>
              <w:spacing w:after="0"/>
              <w:rPr>
                <w:sz w:val="20"/>
                <w:szCs w:val="20"/>
                <w:color w:val="auto"/>
              </w:rPr>
            </w:pPr>
            <w:r>
              <w:rPr>
                <w:rFonts w:ascii="Arial" w:cs="Arial" w:eastAsia="Arial" w:hAnsi="Arial"/>
                <w:sz w:val="17"/>
                <w:szCs w:val="17"/>
                <w:color w:val="auto"/>
              </w:rPr>
              <w:t>Derivative financial assets</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1,397,860</w:t>
            </w:r>
          </w:p>
        </w:tc>
        <w:tc>
          <w:tcPr>
            <w:tcW w:w="2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39"/>
              <w:spacing w:after="0"/>
              <w:rPr>
                <w:sz w:val="20"/>
                <w:szCs w:val="20"/>
                <w:color w:val="auto"/>
              </w:rPr>
            </w:pPr>
            <w:r>
              <w:rPr>
                <w:rFonts w:ascii="Arial" w:cs="Arial" w:eastAsia="Arial" w:hAnsi="Arial"/>
                <w:sz w:val="17"/>
                <w:szCs w:val="17"/>
                <w:color w:val="auto"/>
              </w:rPr>
              <w:t>2,023,671</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426,309</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6,993,576</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2,393,197</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9"/>
              <w:spacing w:after="0"/>
              <w:rPr>
                <w:sz w:val="20"/>
                <w:szCs w:val="20"/>
                <w:color w:val="auto"/>
              </w:rPr>
            </w:pPr>
            <w:r>
              <w:rPr>
                <w:rFonts w:ascii="Arial" w:cs="Arial" w:eastAsia="Arial" w:hAnsi="Arial"/>
                <w:sz w:val="17"/>
                <w:szCs w:val="17"/>
                <w:color w:val="auto"/>
              </w:rPr>
              <w:t>13,234,613</w:t>
            </w:r>
          </w:p>
        </w:tc>
        <w:tc>
          <w:tcPr>
            <w:tcW w:w="0" w:type="dxa"/>
            <w:vAlign w:val="bottom"/>
          </w:tcPr>
          <w:p>
            <w:pPr>
              <w:spacing w:after="0"/>
              <w:rPr>
                <w:sz w:val="1"/>
                <w:szCs w:val="1"/>
                <w:color w:val="auto"/>
              </w:rPr>
            </w:pPr>
          </w:p>
        </w:tc>
      </w:tr>
      <w:tr>
        <w:trPr>
          <w:trHeight w:val="221"/>
        </w:trPr>
        <w:tc>
          <w:tcPr>
            <w:tcW w:w="3520" w:type="dxa"/>
            <w:vAlign w:val="bottom"/>
          </w:tcPr>
          <w:p>
            <w:pPr>
              <w:spacing w:after="0"/>
              <w:rPr>
                <w:sz w:val="20"/>
                <w:szCs w:val="20"/>
                <w:color w:val="auto"/>
              </w:rPr>
            </w:pPr>
            <w:r>
              <w:rPr>
                <w:rFonts w:ascii="Arial" w:cs="Arial" w:eastAsia="Arial" w:hAnsi="Arial"/>
                <w:sz w:val="17"/>
                <w:szCs w:val="17"/>
                <w:color w:val="auto"/>
              </w:rPr>
              <w:t>Derivative financial liabilities</w:t>
            </w:r>
          </w:p>
        </w:tc>
        <w:tc>
          <w:tcPr>
            <w:tcW w:w="880" w:type="dxa"/>
            <w:vAlign w:val="bottom"/>
          </w:tcPr>
          <w:p>
            <w:pPr>
              <w:jc w:val="right"/>
              <w:spacing w:after="0"/>
              <w:rPr>
                <w:sz w:val="20"/>
                <w:szCs w:val="20"/>
                <w:color w:val="auto"/>
              </w:rPr>
            </w:pPr>
            <w:r>
              <w:rPr>
                <w:rFonts w:ascii="Arial" w:cs="Arial" w:eastAsia="Arial" w:hAnsi="Arial"/>
                <w:sz w:val="17"/>
                <w:szCs w:val="17"/>
                <w:color w:val="auto"/>
              </w:rPr>
              <w:t>4,153,574</w:t>
            </w:r>
          </w:p>
        </w:tc>
        <w:tc>
          <w:tcPr>
            <w:tcW w:w="220" w:type="dxa"/>
            <w:vAlign w:val="bottom"/>
          </w:tcPr>
          <w:p>
            <w:pPr>
              <w:spacing w:after="0"/>
              <w:rPr>
                <w:sz w:val="19"/>
                <w:szCs w:val="19"/>
                <w:color w:val="auto"/>
              </w:rPr>
            </w:pPr>
          </w:p>
        </w:tc>
        <w:tc>
          <w:tcPr>
            <w:tcW w:w="1200" w:type="dxa"/>
            <w:vAlign w:val="bottom"/>
            <w:gridSpan w:val="2"/>
          </w:tcPr>
          <w:p>
            <w:pPr>
              <w:jc w:val="right"/>
              <w:ind w:right="139"/>
              <w:spacing w:after="0"/>
              <w:rPr>
                <w:sz w:val="20"/>
                <w:szCs w:val="20"/>
                <w:color w:val="auto"/>
              </w:rPr>
            </w:pPr>
            <w:r>
              <w:rPr>
                <w:rFonts w:ascii="Arial" w:cs="Arial" w:eastAsia="Arial" w:hAnsi="Arial"/>
                <w:sz w:val="17"/>
                <w:szCs w:val="17"/>
                <w:color w:val="auto"/>
              </w:rPr>
              <w:t>4,460,947</w:t>
            </w:r>
          </w:p>
        </w:tc>
        <w:tc>
          <w:tcPr>
            <w:tcW w:w="1100" w:type="dxa"/>
            <w:vAlign w:val="bottom"/>
            <w:gridSpan w:val="2"/>
          </w:tcPr>
          <w:p>
            <w:pPr>
              <w:jc w:val="right"/>
              <w:ind w:right="220"/>
              <w:spacing w:after="0"/>
              <w:rPr>
                <w:sz w:val="20"/>
                <w:szCs w:val="20"/>
                <w:color w:val="auto"/>
              </w:rPr>
            </w:pPr>
            <w:r>
              <w:rPr>
                <w:rFonts w:ascii="Arial" w:cs="Arial" w:eastAsia="Arial" w:hAnsi="Arial"/>
                <w:sz w:val="17"/>
                <w:szCs w:val="17"/>
                <w:color w:val="auto"/>
              </w:rPr>
              <w:t>181,534</w:t>
            </w:r>
          </w:p>
        </w:tc>
        <w:tc>
          <w:tcPr>
            <w:tcW w:w="900" w:type="dxa"/>
            <w:vAlign w:val="bottom"/>
          </w:tcPr>
          <w:p>
            <w:pPr>
              <w:jc w:val="right"/>
              <w:spacing w:after="0"/>
              <w:rPr>
                <w:sz w:val="20"/>
                <w:szCs w:val="20"/>
                <w:color w:val="auto"/>
              </w:rPr>
            </w:pPr>
            <w:r>
              <w:rPr>
                <w:rFonts w:ascii="Arial" w:cs="Arial" w:eastAsia="Arial" w:hAnsi="Arial"/>
                <w:sz w:val="17"/>
                <w:szCs w:val="17"/>
                <w:color w:val="auto"/>
              </w:rPr>
              <w:t>3,944,123</w:t>
            </w:r>
          </w:p>
        </w:tc>
        <w:tc>
          <w:tcPr>
            <w:tcW w:w="20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7"/>
                <w:szCs w:val="17"/>
                <w:color w:val="auto"/>
              </w:rPr>
              <w:t>494,435</w:t>
            </w:r>
          </w:p>
        </w:tc>
        <w:tc>
          <w:tcPr>
            <w:tcW w:w="960" w:type="dxa"/>
            <w:vAlign w:val="bottom"/>
          </w:tcPr>
          <w:p>
            <w:pPr>
              <w:jc w:val="right"/>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9"/>
                <w:szCs w:val="19"/>
                <w:color w:val="auto"/>
              </w:rPr>
            </w:pPr>
          </w:p>
        </w:tc>
        <w:tc>
          <w:tcPr>
            <w:tcW w:w="1080" w:type="dxa"/>
            <w:vAlign w:val="bottom"/>
            <w:gridSpan w:val="2"/>
          </w:tcPr>
          <w:p>
            <w:pPr>
              <w:jc w:val="right"/>
              <w:ind w:right="19"/>
              <w:spacing w:after="0"/>
              <w:rPr>
                <w:sz w:val="20"/>
                <w:szCs w:val="20"/>
                <w:color w:val="auto"/>
              </w:rPr>
            </w:pPr>
            <w:r>
              <w:rPr>
                <w:rFonts w:ascii="Arial" w:cs="Arial" w:eastAsia="Arial" w:hAnsi="Arial"/>
                <w:sz w:val="17"/>
                <w:szCs w:val="17"/>
                <w:color w:val="auto"/>
              </w:rPr>
              <w:t>13,234,613</w:t>
            </w:r>
          </w:p>
        </w:tc>
        <w:tc>
          <w:tcPr>
            <w:tcW w:w="0" w:type="dxa"/>
            <w:vAlign w:val="bottom"/>
          </w:tcPr>
          <w:p>
            <w:pPr>
              <w:spacing w:after="0"/>
              <w:rPr>
                <w:sz w:val="1"/>
                <w:szCs w:val="1"/>
                <w:color w:val="auto"/>
              </w:rPr>
            </w:pPr>
          </w:p>
        </w:tc>
      </w:tr>
      <w:tr>
        <w:trPr>
          <w:trHeight w:val="20"/>
        </w:trPr>
        <w:tc>
          <w:tcPr>
            <w:tcW w:w="3520" w:type="dxa"/>
            <w:vAlign w:val="bottom"/>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jc w:val="right"/>
              <w:ind w:right="79"/>
              <w:spacing w:after="0"/>
              <w:rPr>
                <w:sz w:val="20"/>
                <w:szCs w:val="20"/>
                <w:color w:val="auto"/>
              </w:rPr>
            </w:pPr>
            <w:r>
              <w:rPr>
                <w:rFonts w:ascii="Arial" w:cs="Arial" w:eastAsia="Arial" w:hAnsi="Arial"/>
                <w:sz w:val="16"/>
                <w:szCs w:val="16"/>
                <w:color w:val="auto"/>
                <w:w w:val="74"/>
              </w:rPr>
              <w:t>)</w:t>
            </w:r>
          </w:p>
        </w:tc>
        <w:tc>
          <w:tcPr>
            <w:tcW w:w="98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jc w:val="right"/>
              <w:ind w:right="79"/>
              <w:spacing w:after="0"/>
              <w:rPr>
                <w:sz w:val="20"/>
                <w:szCs w:val="20"/>
                <w:color w:val="auto"/>
              </w:rPr>
            </w:pPr>
            <w:r>
              <w:rPr>
                <w:rFonts w:ascii="Arial" w:cs="Arial" w:eastAsia="Arial" w:hAnsi="Arial"/>
                <w:sz w:val="16"/>
                <w:szCs w:val="16"/>
                <w:color w:val="auto"/>
                <w:w w:val="74"/>
              </w:rPr>
              <w:t>)</w:t>
            </w: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35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(2,755,714</w:t>
            </w:r>
          </w:p>
        </w:tc>
        <w:tc>
          <w:tcPr>
            <w:tcW w:w="220" w:type="dxa"/>
            <w:vAlign w:val="bottom"/>
            <w:vMerge w:val="continue"/>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(2,437,276</w:t>
            </w:r>
          </w:p>
        </w:tc>
        <w:tc>
          <w:tcPr>
            <w:tcW w:w="220" w:type="dxa"/>
            <w:vAlign w:val="bottom"/>
            <w:vMerge w:val="continue"/>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244,775</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3,049,453</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1,898,762</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9"/>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35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7"/>
                <w:szCs w:val="17"/>
                <w:b w:val="1"/>
                <w:bCs w:val="1"/>
                <w:color w:val="auto"/>
              </w:rPr>
              <w:t>Marginal gap</w:t>
            </w: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CCEEFF"/>
            </w:tcBorders>
            <w:vMerge w:val="restart"/>
          </w:tcPr>
          <w:p>
            <w:pPr>
              <w:jc w:val="right"/>
              <w:ind w:right="79"/>
              <w:spacing w:after="0"/>
              <w:rPr>
                <w:sz w:val="20"/>
                <w:szCs w:val="20"/>
                <w:color w:val="auto"/>
              </w:rPr>
            </w:pPr>
            <w:r>
              <w:rPr>
                <w:rFonts w:ascii="Arial" w:cs="Arial" w:eastAsia="Arial" w:hAnsi="Arial"/>
                <w:sz w:val="16"/>
                <w:szCs w:val="16"/>
                <w:color w:val="auto"/>
                <w:w w:val="74"/>
              </w:rPr>
              <w:t>)</w:t>
            </w: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CCEEFF"/>
            </w:tcBorders>
            <w:vMerge w:val="restart"/>
          </w:tcPr>
          <w:p>
            <w:pPr>
              <w:jc w:val="right"/>
              <w:ind w:right="59"/>
              <w:spacing w:after="0"/>
              <w:rPr>
                <w:sz w:val="20"/>
                <w:szCs w:val="20"/>
                <w:color w:val="auto"/>
              </w:rPr>
            </w:pPr>
            <w:r>
              <w:rPr>
                <w:rFonts w:ascii="Arial" w:cs="Arial" w:eastAsia="Arial" w:hAnsi="Arial"/>
                <w:sz w:val="16"/>
                <w:szCs w:val="16"/>
                <w:color w:val="auto"/>
                <w:w w:val="74"/>
              </w:rPr>
              <w:t>)</w:t>
            </w: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CCEEFF"/>
            </w:tcBorders>
            <w:vMerge w:val="restart"/>
          </w:tcPr>
          <w:p>
            <w:pPr>
              <w:jc w:val="right"/>
              <w:ind w:right="59"/>
              <w:spacing w:after="0"/>
              <w:rPr>
                <w:sz w:val="20"/>
                <w:szCs w:val="20"/>
                <w:color w:val="auto"/>
              </w:rPr>
            </w:pPr>
            <w:r>
              <w:rPr>
                <w:rFonts w:ascii="Arial" w:cs="Arial" w:eastAsia="Arial" w:hAnsi="Arial"/>
                <w:sz w:val="16"/>
                <w:szCs w:val="16"/>
                <w:color w:val="auto"/>
                <w:w w:val="74"/>
              </w:rPr>
              <w:t>)</w:t>
            </w: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line="20" w:lineRule="exact"/>
              <w:rPr>
                <w:sz w:val="1"/>
                <w:szCs w:val="1"/>
                <w:color w:val="auto"/>
              </w:rPr>
            </w:pPr>
          </w:p>
        </w:tc>
      </w:tr>
      <w:tr>
        <w:trPr>
          <w:trHeight w:val="227"/>
        </w:trPr>
        <w:tc>
          <w:tcPr>
            <w:tcW w:w="3520" w:type="dxa"/>
            <w:vAlign w:val="bottom"/>
            <w:tcBorders>
              <w:bottom w:val="single" w:sz="8" w:color="CCEEFF"/>
            </w:tcBorders>
            <w:vMerge w:val="continue"/>
          </w:tcPr>
          <w:p>
            <w:pPr>
              <w:spacing w:after="0"/>
              <w:rPr>
                <w:sz w:val="19"/>
                <w:szCs w:val="19"/>
                <w:color w:val="auto"/>
              </w:rPr>
            </w:pPr>
          </w:p>
        </w:tc>
        <w:tc>
          <w:tcPr>
            <w:tcW w:w="880" w:type="dxa"/>
            <w:vAlign w:val="bottom"/>
            <w:tcBorders>
              <w:bottom w:val="single" w:sz="8" w:color="auto"/>
            </w:tcBorders>
          </w:tcPr>
          <w:p>
            <w:pPr>
              <w:jc w:val="right"/>
              <w:spacing w:after="0" w:line="187" w:lineRule="exact"/>
              <w:rPr>
                <w:sz w:val="20"/>
                <w:szCs w:val="20"/>
                <w:color w:val="auto"/>
              </w:rPr>
            </w:pPr>
            <w:r>
              <w:rPr>
                <w:rFonts w:ascii="Arial" w:cs="Arial" w:eastAsia="Arial" w:hAnsi="Arial"/>
                <w:sz w:val="17"/>
                <w:szCs w:val="17"/>
                <w:color w:val="auto"/>
              </w:rPr>
              <w:t>(7,902,633</w:t>
            </w:r>
          </w:p>
        </w:tc>
        <w:tc>
          <w:tcPr>
            <w:tcW w:w="220" w:type="dxa"/>
            <w:vAlign w:val="bottom"/>
            <w:tcBorders>
              <w:bottom w:val="single" w:sz="8" w:color="CCEEFF"/>
            </w:tcBorders>
            <w:vMerge w:val="continue"/>
          </w:tcPr>
          <w:p>
            <w:pPr>
              <w:spacing w:after="0"/>
              <w:rPr>
                <w:sz w:val="19"/>
                <w:szCs w:val="19"/>
                <w:color w:val="auto"/>
              </w:rPr>
            </w:pPr>
          </w:p>
        </w:tc>
        <w:tc>
          <w:tcPr>
            <w:tcW w:w="980" w:type="dxa"/>
            <w:vAlign w:val="bottom"/>
            <w:tcBorders>
              <w:bottom w:val="single" w:sz="8" w:color="auto"/>
            </w:tcBorders>
          </w:tcPr>
          <w:p>
            <w:pPr>
              <w:jc w:val="right"/>
              <w:spacing w:after="0" w:line="187" w:lineRule="exact"/>
              <w:rPr>
                <w:sz w:val="20"/>
                <w:szCs w:val="20"/>
                <w:color w:val="auto"/>
              </w:rPr>
            </w:pPr>
            <w:r>
              <w:rPr>
                <w:rFonts w:ascii="Arial" w:cs="Arial" w:eastAsia="Arial" w:hAnsi="Arial"/>
                <w:sz w:val="17"/>
                <w:szCs w:val="17"/>
                <w:color w:val="auto"/>
              </w:rPr>
              <w:t>7,141,433</w:t>
            </w:r>
          </w:p>
        </w:tc>
        <w:tc>
          <w:tcPr>
            <w:tcW w:w="220" w:type="dxa"/>
            <w:vAlign w:val="bottom"/>
            <w:tcBorders>
              <w:bottom w:val="single" w:sz="8" w:color="CCEEFF"/>
            </w:tcBorders>
          </w:tcPr>
          <w:p>
            <w:pPr>
              <w:spacing w:after="0"/>
              <w:rPr>
                <w:sz w:val="19"/>
                <w:szCs w:val="19"/>
                <w:color w:val="auto"/>
              </w:rPr>
            </w:pPr>
          </w:p>
        </w:tc>
        <w:tc>
          <w:tcPr>
            <w:tcW w:w="880" w:type="dxa"/>
            <w:vAlign w:val="bottom"/>
            <w:tcBorders>
              <w:bottom w:val="single" w:sz="8" w:color="auto"/>
            </w:tcBorders>
          </w:tcPr>
          <w:p>
            <w:pPr>
              <w:jc w:val="right"/>
              <w:spacing w:after="0" w:line="187" w:lineRule="exact"/>
              <w:rPr>
                <w:sz w:val="20"/>
                <w:szCs w:val="20"/>
                <w:color w:val="auto"/>
              </w:rPr>
            </w:pPr>
            <w:r>
              <w:rPr>
                <w:rFonts w:ascii="Arial" w:cs="Arial" w:eastAsia="Arial" w:hAnsi="Arial"/>
                <w:sz w:val="17"/>
                <w:szCs w:val="17"/>
                <w:color w:val="auto"/>
              </w:rPr>
              <w:t>8,194,245</w:t>
            </w:r>
          </w:p>
        </w:tc>
        <w:tc>
          <w:tcPr>
            <w:tcW w:w="220" w:type="dxa"/>
            <w:vAlign w:val="bottom"/>
            <w:tcBorders>
              <w:bottom w:val="single" w:sz="8" w:color="CCEEFF"/>
            </w:tcBorders>
          </w:tcPr>
          <w:p>
            <w:pPr>
              <w:spacing w:after="0"/>
              <w:rPr>
                <w:sz w:val="19"/>
                <w:szCs w:val="19"/>
                <w:color w:val="auto"/>
              </w:rPr>
            </w:pPr>
          </w:p>
        </w:tc>
        <w:tc>
          <w:tcPr>
            <w:tcW w:w="900" w:type="dxa"/>
            <w:vAlign w:val="bottom"/>
            <w:tcBorders>
              <w:bottom w:val="single" w:sz="8" w:color="auto"/>
            </w:tcBorders>
          </w:tcPr>
          <w:p>
            <w:pPr>
              <w:jc w:val="right"/>
              <w:spacing w:after="0" w:line="187" w:lineRule="exact"/>
              <w:rPr>
                <w:sz w:val="20"/>
                <w:szCs w:val="20"/>
                <w:color w:val="auto"/>
              </w:rPr>
            </w:pPr>
            <w:r>
              <w:rPr>
                <w:rFonts w:ascii="Arial" w:cs="Arial" w:eastAsia="Arial" w:hAnsi="Arial"/>
                <w:sz w:val="17"/>
                <w:szCs w:val="17"/>
                <w:color w:val="auto"/>
              </w:rPr>
              <w:t>(7,673,811</w:t>
            </w:r>
          </w:p>
        </w:tc>
        <w:tc>
          <w:tcPr>
            <w:tcW w:w="200" w:type="dxa"/>
            <w:vAlign w:val="bottom"/>
            <w:tcBorders>
              <w:bottom w:val="single" w:sz="8" w:color="CCEEFF"/>
            </w:tcBorders>
            <w:vMerge w:val="continue"/>
          </w:tcPr>
          <w:p>
            <w:pPr>
              <w:spacing w:after="0"/>
              <w:rPr>
                <w:sz w:val="19"/>
                <w:szCs w:val="19"/>
                <w:color w:val="auto"/>
              </w:rPr>
            </w:pPr>
          </w:p>
        </w:tc>
        <w:tc>
          <w:tcPr>
            <w:tcW w:w="940" w:type="dxa"/>
            <w:vAlign w:val="bottom"/>
            <w:tcBorders>
              <w:bottom w:val="single" w:sz="8" w:color="auto"/>
            </w:tcBorders>
          </w:tcPr>
          <w:p>
            <w:pPr>
              <w:jc w:val="right"/>
              <w:spacing w:after="0" w:line="187" w:lineRule="exact"/>
              <w:rPr>
                <w:sz w:val="20"/>
                <w:szCs w:val="20"/>
                <w:color w:val="auto"/>
              </w:rPr>
            </w:pPr>
            <w:r>
              <w:rPr>
                <w:rFonts w:ascii="Arial" w:cs="Arial" w:eastAsia="Arial" w:hAnsi="Arial"/>
                <w:sz w:val="17"/>
                <w:szCs w:val="17"/>
                <w:color w:val="auto"/>
              </w:rPr>
              <w:t>10,472,638</w:t>
            </w:r>
          </w:p>
        </w:tc>
        <w:tc>
          <w:tcPr>
            <w:tcW w:w="22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jc w:val="right"/>
              <w:spacing w:after="0" w:line="187" w:lineRule="exact"/>
              <w:rPr>
                <w:sz w:val="20"/>
                <w:szCs w:val="20"/>
                <w:color w:val="auto"/>
              </w:rPr>
            </w:pPr>
            <w:r>
              <w:rPr>
                <w:rFonts w:ascii="Arial" w:cs="Arial" w:eastAsia="Arial" w:hAnsi="Arial"/>
                <w:sz w:val="17"/>
                <w:szCs w:val="17"/>
                <w:color w:val="auto"/>
              </w:rPr>
              <w:t>(14,256,609</w:t>
            </w:r>
          </w:p>
        </w:tc>
        <w:tc>
          <w:tcPr>
            <w:tcW w:w="200" w:type="dxa"/>
            <w:vAlign w:val="bottom"/>
            <w:tcBorders>
              <w:bottom w:val="single" w:sz="8" w:color="CCEEFF"/>
            </w:tcBorders>
            <w:vMerge w:val="continue"/>
          </w:tcPr>
          <w:p>
            <w:pPr>
              <w:spacing w:after="0"/>
              <w:rPr>
                <w:sz w:val="19"/>
                <w:szCs w:val="19"/>
                <w:color w:val="auto"/>
              </w:rPr>
            </w:pPr>
          </w:p>
        </w:tc>
        <w:tc>
          <w:tcPr>
            <w:tcW w:w="980" w:type="dxa"/>
            <w:vAlign w:val="bottom"/>
            <w:tcBorders>
              <w:bottom w:val="single" w:sz="8" w:color="auto"/>
            </w:tcBorders>
          </w:tcPr>
          <w:p>
            <w:pPr>
              <w:jc w:val="right"/>
              <w:spacing w:after="0" w:line="187" w:lineRule="exact"/>
              <w:rPr>
                <w:sz w:val="20"/>
                <w:szCs w:val="20"/>
                <w:color w:val="auto"/>
              </w:rPr>
            </w:pPr>
            <w:r>
              <w:rPr>
                <w:rFonts w:ascii="Arial" w:cs="Arial" w:eastAsia="Arial" w:hAnsi="Arial"/>
                <w:sz w:val="17"/>
                <w:szCs w:val="17"/>
                <w:color w:val="auto"/>
              </w:rPr>
              <w:t>(4,024,737</w:t>
            </w:r>
          </w:p>
        </w:tc>
        <w:tc>
          <w:tcPr>
            <w:tcW w:w="100" w:type="dxa"/>
            <w:vAlign w:val="bottom"/>
            <w:tcBorders>
              <w:bottom w:val="single" w:sz="8" w:color="CCEEFF"/>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7"/>
        </w:trPr>
        <w:tc>
          <w:tcPr>
            <w:tcW w:w="3520" w:type="dxa"/>
            <w:vAlign w:val="bottom"/>
            <w:tcBorders>
              <w:bottom w:val="single" w:sz="8" w:color="CCEEFF"/>
            </w:tcBorders>
            <w:shd w:val="clear" w:color="auto" w:fill="CCEEFF"/>
          </w:tcPr>
          <w:p>
            <w:pPr>
              <w:spacing w:after="0" w:line="180" w:lineRule="exact"/>
              <w:rPr>
                <w:sz w:val="20"/>
                <w:szCs w:val="20"/>
                <w:color w:val="auto"/>
              </w:rPr>
            </w:pPr>
            <w:r>
              <w:rPr>
                <w:rFonts w:ascii="Arial" w:cs="Arial" w:eastAsia="Arial" w:hAnsi="Arial"/>
                <w:sz w:val="17"/>
                <w:szCs w:val="17"/>
                <w:color w:val="auto"/>
              </w:rPr>
              <w:t>Accumulated gap</w:t>
            </w:r>
          </w:p>
        </w:tc>
        <w:tc>
          <w:tcPr>
            <w:tcW w:w="880" w:type="dxa"/>
            <w:vAlign w:val="bottom"/>
            <w:tcBorders>
              <w:bottom w:val="single" w:sz="8" w:color="auto"/>
            </w:tcBorders>
            <w:shd w:val="clear" w:color="auto" w:fill="CCEEFF"/>
          </w:tcPr>
          <w:p>
            <w:pPr>
              <w:jc w:val="right"/>
              <w:spacing w:after="0" w:line="187" w:lineRule="exact"/>
              <w:rPr>
                <w:sz w:val="20"/>
                <w:szCs w:val="20"/>
                <w:color w:val="auto"/>
              </w:rPr>
            </w:pPr>
            <w:r>
              <w:rPr>
                <w:rFonts w:ascii="Arial" w:cs="Arial" w:eastAsia="Arial" w:hAnsi="Arial"/>
                <w:sz w:val="17"/>
                <w:szCs w:val="17"/>
                <w:color w:val="auto"/>
              </w:rPr>
              <w:t>(7,902,633</w:t>
            </w:r>
          </w:p>
        </w:tc>
        <w:tc>
          <w:tcPr>
            <w:tcW w:w="220" w:type="dxa"/>
            <w:vAlign w:val="bottom"/>
            <w:tcBorders>
              <w:bottom w:val="single" w:sz="8" w:color="CCEEFF"/>
            </w:tcBorders>
            <w:shd w:val="clear" w:color="auto" w:fill="CCEEFF"/>
          </w:tcPr>
          <w:p>
            <w:pPr>
              <w:jc w:val="right"/>
              <w:ind w:right="79"/>
              <w:spacing w:after="0" w:line="181" w:lineRule="exact"/>
              <w:rPr>
                <w:sz w:val="20"/>
                <w:szCs w:val="20"/>
                <w:color w:val="auto"/>
              </w:rPr>
            </w:pPr>
            <w:r>
              <w:rPr>
                <w:rFonts w:ascii="Arial" w:cs="Arial" w:eastAsia="Arial" w:hAnsi="Arial"/>
                <w:sz w:val="16"/>
                <w:szCs w:val="16"/>
                <w:color w:val="auto"/>
                <w:w w:val="74"/>
              </w:rPr>
              <w:t>)</w:t>
            </w:r>
          </w:p>
        </w:tc>
        <w:tc>
          <w:tcPr>
            <w:tcW w:w="980" w:type="dxa"/>
            <w:vAlign w:val="bottom"/>
            <w:tcBorders>
              <w:bottom w:val="single" w:sz="8" w:color="auto"/>
            </w:tcBorders>
            <w:shd w:val="clear" w:color="auto" w:fill="CCEEFF"/>
          </w:tcPr>
          <w:p>
            <w:pPr>
              <w:jc w:val="right"/>
              <w:spacing w:after="0" w:line="187" w:lineRule="exact"/>
              <w:rPr>
                <w:sz w:val="20"/>
                <w:szCs w:val="20"/>
                <w:color w:val="auto"/>
              </w:rPr>
            </w:pPr>
            <w:r>
              <w:rPr>
                <w:rFonts w:ascii="Arial" w:cs="Arial" w:eastAsia="Arial" w:hAnsi="Arial"/>
                <w:sz w:val="17"/>
                <w:szCs w:val="17"/>
                <w:color w:val="auto"/>
              </w:rPr>
              <w:t>(761,200</w:t>
            </w:r>
          </w:p>
        </w:tc>
        <w:tc>
          <w:tcPr>
            <w:tcW w:w="220" w:type="dxa"/>
            <w:vAlign w:val="bottom"/>
            <w:tcBorders>
              <w:bottom w:val="single" w:sz="8" w:color="CCEEFF"/>
            </w:tcBorders>
            <w:shd w:val="clear" w:color="auto" w:fill="CCEEFF"/>
          </w:tcPr>
          <w:p>
            <w:pPr>
              <w:jc w:val="right"/>
              <w:ind w:right="79"/>
              <w:spacing w:after="0" w:line="181" w:lineRule="exact"/>
              <w:rPr>
                <w:sz w:val="20"/>
                <w:szCs w:val="20"/>
                <w:color w:val="auto"/>
              </w:rPr>
            </w:pPr>
            <w:r>
              <w:rPr>
                <w:rFonts w:ascii="Arial" w:cs="Arial" w:eastAsia="Arial" w:hAnsi="Arial"/>
                <w:sz w:val="16"/>
                <w:szCs w:val="16"/>
                <w:color w:val="auto"/>
                <w:w w:val="74"/>
              </w:rPr>
              <w:t>)</w:t>
            </w:r>
          </w:p>
        </w:tc>
        <w:tc>
          <w:tcPr>
            <w:tcW w:w="880" w:type="dxa"/>
            <w:vAlign w:val="bottom"/>
            <w:tcBorders>
              <w:bottom w:val="single" w:sz="8" w:color="auto"/>
            </w:tcBorders>
            <w:shd w:val="clear" w:color="auto" w:fill="CCEEFF"/>
          </w:tcPr>
          <w:p>
            <w:pPr>
              <w:jc w:val="right"/>
              <w:spacing w:after="0" w:line="187" w:lineRule="exact"/>
              <w:rPr>
                <w:sz w:val="20"/>
                <w:szCs w:val="20"/>
                <w:color w:val="auto"/>
              </w:rPr>
            </w:pPr>
            <w:r>
              <w:rPr>
                <w:rFonts w:ascii="Arial" w:cs="Arial" w:eastAsia="Arial" w:hAnsi="Arial"/>
                <w:sz w:val="17"/>
                <w:szCs w:val="17"/>
                <w:color w:val="auto"/>
              </w:rPr>
              <w:t>7,433,045</w:t>
            </w:r>
          </w:p>
        </w:tc>
        <w:tc>
          <w:tcPr>
            <w:tcW w:w="22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spacing w:after="0" w:line="187" w:lineRule="exact"/>
              <w:rPr>
                <w:sz w:val="20"/>
                <w:szCs w:val="20"/>
                <w:color w:val="auto"/>
              </w:rPr>
            </w:pPr>
            <w:r>
              <w:rPr>
                <w:rFonts w:ascii="Arial" w:cs="Arial" w:eastAsia="Arial" w:hAnsi="Arial"/>
                <w:sz w:val="17"/>
                <w:szCs w:val="17"/>
                <w:color w:val="auto"/>
              </w:rPr>
              <w:t>(240,766</w:t>
            </w:r>
          </w:p>
        </w:tc>
        <w:tc>
          <w:tcPr>
            <w:tcW w:w="200" w:type="dxa"/>
            <w:vAlign w:val="bottom"/>
            <w:tcBorders>
              <w:bottom w:val="single" w:sz="8" w:color="CCEEFF"/>
            </w:tcBorders>
            <w:shd w:val="clear" w:color="auto" w:fill="CCEEFF"/>
          </w:tcPr>
          <w:p>
            <w:pPr>
              <w:jc w:val="right"/>
              <w:ind w:right="59"/>
              <w:spacing w:after="0" w:line="181" w:lineRule="exact"/>
              <w:rPr>
                <w:sz w:val="20"/>
                <w:szCs w:val="20"/>
                <w:color w:val="auto"/>
              </w:rPr>
            </w:pPr>
            <w:r>
              <w:rPr>
                <w:rFonts w:ascii="Arial" w:cs="Arial" w:eastAsia="Arial" w:hAnsi="Arial"/>
                <w:sz w:val="16"/>
                <w:szCs w:val="16"/>
                <w:color w:val="auto"/>
                <w:w w:val="74"/>
              </w:rPr>
              <w:t>)</w:t>
            </w:r>
          </w:p>
        </w:tc>
        <w:tc>
          <w:tcPr>
            <w:tcW w:w="940" w:type="dxa"/>
            <w:vAlign w:val="bottom"/>
            <w:tcBorders>
              <w:bottom w:val="single" w:sz="8" w:color="auto"/>
            </w:tcBorders>
            <w:shd w:val="clear" w:color="auto" w:fill="CCEEFF"/>
          </w:tcPr>
          <w:p>
            <w:pPr>
              <w:jc w:val="right"/>
              <w:spacing w:after="0" w:line="187" w:lineRule="exact"/>
              <w:rPr>
                <w:sz w:val="20"/>
                <w:szCs w:val="20"/>
                <w:color w:val="auto"/>
              </w:rPr>
            </w:pPr>
            <w:r>
              <w:rPr>
                <w:rFonts w:ascii="Arial" w:cs="Arial" w:eastAsia="Arial" w:hAnsi="Arial"/>
                <w:sz w:val="17"/>
                <w:szCs w:val="17"/>
                <w:color w:val="auto"/>
              </w:rPr>
              <w:t>10,231,872</w:t>
            </w:r>
          </w:p>
        </w:tc>
        <w:tc>
          <w:tcPr>
            <w:tcW w:w="22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spacing w:after="0" w:line="187" w:lineRule="exact"/>
              <w:rPr>
                <w:sz w:val="20"/>
                <w:szCs w:val="20"/>
                <w:color w:val="auto"/>
              </w:rPr>
            </w:pPr>
            <w:r>
              <w:rPr>
                <w:rFonts w:ascii="Arial" w:cs="Arial" w:eastAsia="Arial" w:hAnsi="Arial"/>
                <w:sz w:val="17"/>
                <w:szCs w:val="17"/>
                <w:color w:val="auto"/>
              </w:rPr>
              <w:t>(4,024,737</w:t>
            </w:r>
          </w:p>
        </w:tc>
        <w:tc>
          <w:tcPr>
            <w:tcW w:w="200" w:type="dxa"/>
            <w:vAlign w:val="bottom"/>
            <w:tcBorders>
              <w:bottom w:val="single" w:sz="8" w:color="CCEEFF"/>
            </w:tcBorders>
            <w:shd w:val="clear" w:color="auto" w:fill="CCEEFF"/>
          </w:tcPr>
          <w:p>
            <w:pPr>
              <w:jc w:val="right"/>
              <w:ind w:right="59"/>
              <w:spacing w:after="0" w:line="181" w:lineRule="exact"/>
              <w:rPr>
                <w:sz w:val="20"/>
                <w:szCs w:val="20"/>
                <w:color w:val="auto"/>
              </w:rPr>
            </w:pPr>
            <w:r>
              <w:rPr>
                <w:rFonts w:ascii="Arial" w:cs="Arial" w:eastAsia="Arial" w:hAnsi="Arial"/>
                <w:sz w:val="16"/>
                <w:szCs w:val="16"/>
                <w:color w:val="auto"/>
                <w:w w:val="74"/>
              </w:rPr>
              <w:t>)</w:t>
            </w:r>
          </w:p>
        </w:tc>
        <w:tc>
          <w:tcPr>
            <w:tcW w:w="980" w:type="dxa"/>
            <w:vAlign w:val="bottom"/>
            <w:tcBorders>
              <w:bottom w:val="single" w:sz="8" w:color="auto"/>
            </w:tcBorders>
            <w:shd w:val="clear" w:color="auto" w:fill="CCEEFF"/>
          </w:tcPr>
          <w:p>
            <w:pPr>
              <w:jc w:val="right"/>
              <w:spacing w:after="0" w:line="187" w:lineRule="exact"/>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5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5" w:lineRule="exact"/>
        <w:rPr>
          <w:sz w:val="20"/>
          <w:szCs w:val="20"/>
          <w:color w:val="auto"/>
        </w:rPr>
      </w:pPr>
    </w:p>
    <w:p>
      <w:pPr>
        <w:ind w:left="500" w:hanging="496"/>
        <w:spacing w:after="0"/>
        <w:tabs>
          <w:tab w:leader="none" w:pos="500" w:val="left"/>
        </w:tabs>
        <w:numPr>
          <w:ilvl w:val="0"/>
          <w:numId w:val="152"/>
        </w:numPr>
        <w:rPr>
          <w:rFonts w:ascii="Arial" w:cs="Arial" w:eastAsia="Arial" w:hAnsi="Arial"/>
          <w:sz w:val="17"/>
          <w:szCs w:val="17"/>
          <w:color w:val="auto"/>
        </w:rPr>
      </w:pPr>
      <w:r>
        <w:rPr>
          <w:rFonts w:ascii="Arial" w:cs="Arial" w:eastAsia="Arial" w:hAnsi="Arial"/>
          <w:sz w:val="17"/>
          <w:szCs w:val="17"/>
          <w:color w:val="auto"/>
        </w:rPr>
        <w:t>Includes property, furniture and equipment, net, intangible and goodwill, net, due from customers on acceptances and other assets.</w:t>
      </w:r>
    </w:p>
    <w:p>
      <w:pPr>
        <w:spacing w:after="0" w:line="25" w:lineRule="exact"/>
        <w:rPr>
          <w:sz w:val="20"/>
          <w:szCs w:val="20"/>
          <w:color w:val="auto"/>
        </w:rPr>
      </w:pPr>
    </w:p>
    <w:p>
      <w:pPr>
        <w:ind w:left="500" w:hanging="496"/>
        <w:spacing w:after="0"/>
        <w:tabs>
          <w:tab w:leader="none" w:pos="500" w:val="left"/>
        </w:tabs>
        <w:numPr>
          <w:ilvl w:val="0"/>
          <w:numId w:val="153"/>
        </w:numPr>
        <w:rPr>
          <w:rFonts w:ascii="Arial" w:cs="Arial" w:eastAsia="Arial" w:hAnsi="Arial"/>
          <w:sz w:val="17"/>
          <w:szCs w:val="17"/>
          <w:color w:val="auto"/>
        </w:rPr>
      </w:pPr>
      <w:r>
        <w:rPr>
          <w:rFonts w:ascii="Arial" w:cs="Arial" w:eastAsia="Arial" w:hAnsi="Arial"/>
          <w:sz w:val="17"/>
          <w:szCs w:val="17"/>
          <w:color w:val="auto"/>
        </w:rPr>
        <w:t>Includes banker’s acceptances outstanding and other liabilities.</w:t>
      </w:r>
    </w:p>
    <w:p>
      <w:pPr>
        <w:spacing w:after="0" w:line="208" w:lineRule="exact"/>
        <w:rPr>
          <w:sz w:val="20"/>
          <w:szCs w:val="20"/>
          <w:color w:val="auto"/>
        </w:rPr>
      </w:pPr>
    </w:p>
    <w:p>
      <w:pPr>
        <w:ind w:right="180"/>
        <w:spacing w:after="0" w:line="285" w:lineRule="auto"/>
        <w:rPr>
          <w:sz w:val="20"/>
          <w:szCs w:val="20"/>
          <w:color w:val="auto"/>
        </w:rPr>
      </w:pPr>
      <w:r>
        <w:rPr>
          <w:rFonts w:ascii="Arial" w:cs="Arial" w:eastAsia="Arial" w:hAnsi="Arial"/>
          <w:sz w:val="17"/>
          <w:szCs w:val="17"/>
          <w:color w:val="auto"/>
        </w:rPr>
        <w:t>Investments accounted for at fair value through profit or loss and trading derivatives are not taken into account, due to the fact that these instrument are part of the trading book and the Value at Risk methodology is used to measure their market risks.</w:t>
      </w: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- 130 -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15875</wp:posOffset>
            </wp:positionV>
            <wp:extent cx="725170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51700" cy="8255"/>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136" w:name="page137"/>
    <w:bookmarkEnd w:id="136"/>
    <w:tbl>
      <w:tblPr>
        <w:tblLayout w:type="fixed"/>
        <w:tblInd w:w="0" w:type="dxa"/>
        <w:tblCellMar>
          <w:top w:w="0" w:type="dxa"/>
          <w:left w:w="0" w:type="dxa"/>
          <w:bottom w:w="0" w:type="dxa"/>
          <w:right w:w="0" w:type="dxa"/>
        </w:tblCellMar>
      </w:tblPr>
      <w:tr>
        <w:trPr>
          <w:trHeight w:val="226"/>
        </w:trPr>
        <w:tc>
          <w:tcPr>
            <w:tcW w:w="3520" w:type="dxa"/>
            <w:vAlign w:val="bottom"/>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3360" w:type="dxa"/>
            <w:vAlign w:val="bottom"/>
            <w:tcBorders>
              <w:bottom w:val="single" w:sz="8" w:color="auto"/>
            </w:tcBorders>
            <w:gridSpan w:val="6"/>
          </w:tcPr>
          <w:p>
            <w:pPr>
              <w:jc w:val="right"/>
              <w:ind w:right="960"/>
              <w:spacing w:after="0"/>
              <w:rPr>
                <w:sz w:val="20"/>
                <w:szCs w:val="20"/>
                <w:color w:val="auto"/>
              </w:rPr>
            </w:pPr>
            <w:r>
              <w:rPr>
                <w:rFonts w:ascii="Arial" w:cs="Arial" w:eastAsia="Arial" w:hAnsi="Arial"/>
                <w:sz w:val="17"/>
                <w:szCs w:val="17"/>
                <w:b w:val="1"/>
                <w:bCs w:val="1"/>
                <w:color w:val="auto"/>
              </w:rPr>
              <w:t>At December 31, 2016</w:t>
            </w:r>
          </w:p>
        </w:tc>
        <w:tc>
          <w:tcPr>
            <w:tcW w:w="96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182"/>
        </w:trPr>
        <w:tc>
          <w:tcPr>
            <w:tcW w:w="3520" w:type="dxa"/>
            <w:vAlign w:val="bottom"/>
          </w:tcPr>
          <w:p>
            <w:pPr>
              <w:spacing w:after="0"/>
              <w:rPr>
                <w:sz w:val="15"/>
                <w:szCs w:val="15"/>
                <w:color w:val="auto"/>
              </w:rPr>
            </w:pPr>
          </w:p>
        </w:tc>
        <w:tc>
          <w:tcPr>
            <w:tcW w:w="1100" w:type="dxa"/>
            <w:vAlign w:val="bottom"/>
            <w:gridSpan w:val="2"/>
          </w:tcPr>
          <w:p>
            <w:pPr>
              <w:jc w:val="right"/>
              <w:ind w:right="339"/>
              <w:spacing w:after="0" w:line="183" w:lineRule="exact"/>
              <w:rPr>
                <w:sz w:val="20"/>
                <w:szCs w:val="20"/>
                <w:color w:val="auto"/>
              </w:rPr>
            </w:pPr>
            <w:r>
              <w:rPr>
                <w:rFonts w:ascii="Arial" w:cs="Arial" w:eastAsia="Arial" w:hAnsi="Arial"/>
                <w:sz w:val="17"/>
                <w:szCs w:val="17"/>
                <w:b w:val="1"/>
                <w:bCs w:val="1"/>
                <w:color w:val="auto"/>
              </w:rPr>
              <w:t>Up to 1</w:t>
            </w:r>
          </w:p>
        </w:tc>
        <w:tc>
          <w:tcPr>
            <w:tcW w:w="9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gridSpan w:val="2"/>
          </w:tcPr>
          <w:p>
            <w:pPr>
              <w:ind w:left="180"/>
              <w:spacing w:after="0" w:line="183" w:lineRule="exact"/>
              <w:rPr>
                <w:sz w:val="20"/>
                <w:szCs w:val="20"/>
                <w:color w:val="auto"/>
              </w:rPr>
            </w:pPr>
            <w:r>
              <w:rPr>
                <w:rFonts w:ascii="Arial" w:cs="Arial" w:eastAsia="Arial" w:hAnsi="Arial"/>
                <w:sz w:val="17"/>
                <w:szCs w:val="17"/>
                <w:b w:val="1"/>
                <w:bCs w:val="1"/>
                <w:color w:val="auto"/>
              </w:rPr>
              <w:t>3 to 12</w:t>
            </w:r>
          </w:p>
        </w:tc>
        <w:tc>
          <w:tcPr>
            <w:tcW w:w="9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gridSpan w:val="2"/>
          </w:tcPr>
          <w:p>
            <w:pPr>
              <w:jc w:val="right"/>
              <w:ind w:right="240"/>
              <w:spacing w:after="0" w:line="183" w:lineRule="exact"/>
              <w:rPr>
                <w:sz w:val="20"/>
                <w:szCs w:val="20"/>
                <w:color w:val="auto"/>
              </w:rPr>
            </w:pPr>
            <w:r>
              <w:rPr>
                <w:rFonts w:ascii="Arial" w:cs="Arial" w:eastAsia="Arial" w:hAnsi="Arial"/>
                <w:sz w:val="17"/>
                <w:szCs w:val="17"/>
                <w:b w:val="1"/>
                <w:bCs w:val="1"/>
                <w:color w:val="auto"/>
                <w:w w:val="94"/>
              </w:rPr>
              <w:t>More than 5</w:t>
            </w:r>
          </w:p>
        </w:tc>
        <w:tc>
          <w:tcPr>
            <w:tcW w:w="1160" w:type="dxa"/>
            <w:vAlign w:val="bottom"/>
            <w:gridSpan w:val="2"/>
          </w:tcPr>
          <w:p>
            <w:pPr>
              <w:jc w:val="center"/>
              <w:ind w:right="119"/>
              <w:spacing w:after="0" w:line="183" w:lineRule="exact"/>
              <w:rPr>
                <w:sz w:val="20"/>
                <w:szCs w:val="20"/>
                <w:color w:val="auto"/>
              </w:rPr>
            </w:pPr>
            <w:r>
              <w:rPr>
                <w:rFonts w:ascii="Arial" w:cs="Arial" w:eastAsia="Arial" w:hAnsi="Arial"/>
                <w:sz w:val="17"/>
                <w:szCs w:val="17"/>
                <w:b w:val="1"/>
                <w:bCs w:val="1"/>
                <w:color w:val="auto"/>
                <w:w w:val="91"/>
              </w:rPr>
              <w:t>Non-interest</w:t>
            </w: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26"/>
        </w:trPr>
        <w:tc>
          <w:tcPr>
            <w:tcW w:w="3520" w:type="dxa"/>
            <w:vAlign w:val="bottom"/>
          </w:tcPr>
          <w:p>
            <w:pPr>
              <w:spacing w:after="0"/>
              <w:rPr>
                <w:sz w:val="19"/>
                <w:szCs w:val="19"/>
                <w:color w:val="auto"/>
              </w:rPr>
            </w:pPr>
          </w:p>
        </w:tc>
        <w:tc>
          <w:tcPr>
            <w:tcW w:w="1100" w:type="dxa"/>
            <w:vAlign w:val="bottom"/>
            <w:gridSpan w:val="2"/>
          </w:tcPr>
          <w:p>
            <w:pPr>
              <w:jc w:val="right"/>
              <w:ind w:right="339"/>
              <w:spacing w:after="0"/>
              <w:rPr>
                <w:sz w:val="20"/>
                <w:szCs w:val="20"/>
                <w:color w:val="auto"/>
              </w:rPr>
            </w:pPr>
            <w:r>
              <w:rPr>
                <w:rFonts w:ascii="Arial" w:cs="Arial" w:eastAsia="Arial" w:hAnsi="Arial"/>
                <w:sz w:val="17"/>
                <w:szCs w:val="17"/>
                <w:b w:val="1"/>
                <w:bCs w:val="1"/>
                <w:color w:val="auto"/>
              </w:rPr>
              <w:t>month</w:t>
            </w:r>
          </w:p>
        </w:tc>
        <w:tc>
          <w:tcPr>
            <w:tcW w:w="1200" w:type="dxa"/>
            <w:vAlign w:val="bottom"/>
            <w:gridSpan w:val="2"/>
          </w:tcPr>
          <w:p>
            <w:pPr>
              <w:jc w:val="right"/>
              <w:ind w:right="119"/>
              <w:spacing w:after="0"/>
              <w:rPr>
                <w:sz w:val="20"/>
                <w:szCs w:val="20"/>
                <w:color w:val="auto"/>
              </w:rPr>
            </w:pPr>
            <w:r>
              <w:rPr>
                <w:rFonts w:ascii="Arial" w:cs="Arial" w:eastAsia="Arial" w:hAnsi="Arial"/>
                <w:sz w:val="17"/>
                <w:szCs w:val="17"/>
                <w:b w:val="1"/>
                <w:bCs w:val="1"/>
                <w:color w:val="auto"/>
                <w:w w:val="88"/>
              </w:rPr>
              <w:t>1 to 3 months</w:t>
            </w:r>
          </w:p>
        </w:tc>
        <w:tc>
          <w:tcPr>
            <w:tcW w:w="1100" w:type="dxa"/>
            <w:vAlign w:val="bottom"/>
            <w:gridSpan w:val="2"/>
          </w:tcPr>
          <w:p>
            <w:pPr>
              <w:ind w:left="160"/>
              <w:spacing w:after="0"/>
              <w:rPr>
                <w:sz w:val="20"/>
                <w:szCs w:val="20"/>
                <w:color w:val="auto"/>
              </w:rPr>
            </w:pPr>
            <w:r>
              <w:rPr>
                <w:rFonts w:ascii="Arial" w:cs="Arial" w:eastAsia="Arial" w:hAnsi="Arial"/>
                <w:sz w:val="17"/>
                <w:szCs w:val="17"/>
                <w:b w:val="1"/>
                <w:bCs w:val="1"/>
                <w:color w:val="auto"/>
              </w:rPr>
              <w:t>months</w:t>
            </w:r>
          </w:p>
        </w:tc>
        <w:tc>
          <w:tcPr>
            <w:tcW w:w="1100" w:type="dxa"/>
            <w:vAlign w:val="bottom"/>
            <w:gridSpan w:val="2"/>
          </w:tcPr>
          <w:p>
            <w:pPr>
              <w:jc w:val="right"/>
              <w:ind w:right="159"/>
              <w:spacing w:after="0"/>
              <w:rPr>
                <w:sz w:val="20"/>
                <w:szCs w:val="20"/>
                <w:color w:val="auto"/>
              </w:rPr>
            </w:pPr>
            <w:r>
              <w:rPr>
                <w:rFonts w:ascii="Arial" w:cs="Arial" w:eastAsia="Arial" w:hAnsi="Arial"/>
                <w:sz w:val="17"/>
                <w:szCs w:val="17"/>
                <w:b w:val="1"/>
                <w:bCs w:val="1"/>
                <w:color w:val="auto"/>
                <w:w w:val="89"/>
              </w:rPr>
              <w:t>1 to 5 years</w:t>
            </w:r>
          </w:p>
        </w:tc>
        <w:tc>
          <w:tcPr>
            <w:tcW w:w="1160" w:type="dxa"/>
            <w:vAlign w:val="bottom"/>
            <w:gridSpan w:val="2"/>
          </w:tcPr>
          <w:p>
            <w:pPr>
              <w:jc w:val="right"/>
              <w:ind w:right="480"/>
              <w:spacing w:after="0"/>
              <w:rPr>
                <w:sz w:val="20"/>
                <w:szCs w:val="20"/>
                <w:color w:val="auto"/>
              </w:rPr>
            </w:pPr>
            <w:r>
              <w:rPr>
                <w:rFonts w:ascii="Arial" w:cs="Arial" w:eastAsia="Arial" w:hAnsi="Arial"/>
                <w:sz w:val="17"/>
                <w:szCs w:val="17"/>
                <w:b w:val="1"/>
                <w:bCs w:val="1"/>
                <w:color w:val="auto"/>
              </w:rPr>
              <w:t>years</w:t>
            </w:r>
          </w:p>
        </w:tc>
        <w:tc>
          <w:tcPr>
            <w:tcW w:w="1160" w:type="dxa"/>
            <w:vAlign w:val="bottom"/>
            <w:gridSpan w:val="2"/>
          </w:tcPr>
          <w:p>
            <w:pPr>
              <w:jc w:val="center"/>
              <w:ind w:right="119"/>
              <w:spacing w:after="0"/>
              <w:rPr>
                <w:sz w:val="20"/>
                <w:szCs w:val="20"/>
                <w:color w:val="auto"/>
              </w:rPr>
            </w:pPr>
            <w:r>
              <w:rPr>
                <w:rFonts w:ascii="Arial" w:cs="Arial" w:eastAsia="Arial" w:hAnsi="Arial"/>
                <w:sz w:val="17"/>
                <w:szCs w:val="17"/>
                <w:b w:val="1"/>
                <w:bCs w:val="1"/>
                <w:color w:val="auto"/>
                <w:w w:val="91"/>
              </w:rPr>
              <w:t>bearing</w:t>
            </w:r>
          </w:p>
        </w:tc>
        <w:tc>
          <w:tcPr>
            <w:tcW w:w="1080" w:type="dxa"/>
            <w:vAlign w:val="bottom"/>
            <w:gridSpan w:val="2"/>
          </w:tcPr>
          <w:p>
            <w:pPr>
              <w:jc w:val="right"/>
              <w:ind w:right="319"/>
              <w:spacing w:after="0"/>
              <w:rPr>
                <w:sz w:val="20"/>
                <w:szCs w:val="20"/>
                <w:color w:val="auto"/>
              </w:rPr>
            </w:pPr>
            <w:r>
              <w:rPr>
                <w:rFonts w:ascii="Arial" w:cs="Arial" w:eastAsia="Arial" w:hAnsi="Arial"/>
                <w:sz w:val="17"/>
                <w:szCs w:val="17"/>
                <w:b w:val="1"/>
                <w:bCs w:val="1"/>
                <w:color w:val="auto"/>
              </w:rPr>
              <w:t>Total</w:t>
            </w:r>
          </w:p>
        </w:tc>
      </w:tr>
      <w:tr>
        <w:trPr>
          <w:trHeight w:val="201"/>
        </w:trPr>
        <w:tc>
          <w:tcPr>
            <w:tcW w:w="3520" w:type="dxa"/>
            <w:vAlign w:val="bottom"/>
          </w:tcPr>
          <w:p>
            <w:pPr>
              <w:spacing w:after="0"/>
              <w:rPr>
                <w:sz w:val="17"/>
                <w:szCs w:val="17"/>
                <w:color w:val="auto"/>
              </w:rPr>
            </w:pPr>
          </w:p>
        </w:tc>
        <w:tc>
          <w:tcPr>
            <w:tcW w:w="880" w:type="dxa"/>
            <w:vAlign w:val="bottom"/>
            <w:tcBorders>
              <w:top w:val="single" w:sz="8" w:color="auto"/>
            </w:tcBorders>
          </w:tcPr>
          <w:p>
            <w:pPr>
              <w:jc w:val="right"/>
              <w:ind w:right="93"/>
              <w:spacing w:after="0"/>
              <w:rPr>
                <w:sz w:val="20"/>
                <w:szCs w:val="20"/>
                <w:color w:val="auto"/>
              </w:rPr>
            </w:pPr>
            <w:r>
              <w:rPr>
                <w:rFonts w:ascii="Arial" w:cs="Arial" w:eastAsia="Arial" w:hAnsi="Arial"/>
                <w:sz w:val="17"/>
                <w:szCs w:val="17"/>
                <w:b w:val="1"/>
                <w:bCs w:val="1"/>
                <w:color w:val="auto"/>
              </w:rPr>
              <w:t>S/(000)</w:t>
            </w:r>
          </w:p>
        </w:tc>
        <w:tc>
          <w:tcPr>
            <w:tcW w:w="220" w:type="dxa"/>
            <w:vAlign w:val="bottom"/>
          </w:tcPr>
          <w:p>
            <w:pPr>
              <w:spacing w:after="0"/>
              <w:rPr>
                <w:sz w:val="17"/>
                <w:szCs w:val="17"/>
                <w:color w:val="auto"/>
              </w:rPr>
            </w:pPr>
          </w:p>
        </w:tc>
        <w:tc>
          <w:tcPr>
            <w:tcW w:w="980" w:type="dxa"/>
            <w:vAlign w:val="bottom"/>
            <w:tcBorders>
              <w:top w:val="single" w:sz="8" w:color="auto"/>
            </w:tcBorders>
          </w:tcPr>
          <w:p>
            <w:pPr>
              <w:jc w:val="right"/>
              <w:ind w:right="153"/>
              <w:spacing w:after="0"/>
              <w:rPr>
                <w:sz w:val="20"/>
                <w:szCs w:val="20"/>
                <w:color w:val="auto"/>
              </w:rPr>
            </w:pPr>
            <w:r>
              <w:rPr>
                <w:rFonts w:ascii="Arial" w:cs="Arial" w:eastAsia="Arial" w:hAnsi="Arial"/>
                <w:sz w:val="17"/>
                <w:szCs w:val="17"/>
                <w:b w:val="1"/>
                <w:bCs w:val="1"/>
                <w:color w:val="auto"/>
              </w:rPr>
              <w:t>S/(000)</w:t>
            </w:r>
          </w:p>
        </w:tc>
        <w:tc>
          <w:tcPr>
            <w:tcW w:w="220" w:type="dxa"/>
            <w:vAlign w:val="bottom"/>
          </w:tcPr>
          <w:p>
            <w:pPr>
              <w:spacing w:after="0"/>
              <w:rPr>
                <w:sz w:val="17"/>
                <w:szCs w:val="17"/>
                <w:color w:val="auto"/>
              </w:rPr>
            </w:pPr>
          </w:p>
        </w:tc>
        <w:tc>
          <w:tcPr>
            <w:tcW w:w="880" w:type="dxa"/>
            <w:vAlign w:val="bottom"/>
            <w:tcBorders>
              <w:top w:val="single" w:sz="8" w:color="auto"/>
            </w:tcBorders>
          </w:tcPr>
          <w:p>
            <w:pPr>
              <w:ind w:left="180"/>
              <w:spacing w:after="0"/>
              <w:rPr>
                <w:sz w:val="20"/>
                <w:szCs w:val="20"/>
                <w:color w:val="auto"/>
              </w:rPr>
            </w:pPr>
            <w:r>
              <w:rPr>
                <w:rFonts w:ascii="Arial" w:cs="Arial" w:eastAsia="Arial" w:hAnsi="Arial"/>
                <w:sz w:val="17"/>
                <w:szCs w:val="17"/>
                <w:b w:val="1"/>
                <w:bCs w:val="1"/>
                <w:color w:val="auto"/>
              </w:rPr>
              <w:t>S/(000)</w:t>
            </w:r>
          </w:p>
        </w:tc>
        <w:tc>
          <w:tcPr>
            <w:tcW w:w="220" w:type="dxa"/>
            <w:vAlign w:val="bottom"/>
          </w:tcPr>
          <w:p>
            <w:pPr>
              <w:spacing w:after="0"/>
              <w:rPr>
                <w:sz w:val="17"/>
                <w:szCs w:val="17"/>
                <w:color w:val="auto"/>
              </w:rPr>
            </w:pPr>
          </w:p>
        </w:tc>
        <w:tc>
          <w:tcPr>
            <w:tcW w:w="900" w:type="dxa"/>
            <w:vAlign w:val="bottom"/>
            <w:tcBorders>
              <w:top w:val="single" w:sz="8" w:color="auto"/>
            </w:tcBorders>
          </w:tcPr>
          <w:p>
            <w:pPr>
              <w:jc w:val="right"/>
              <w:ind w:right="113"/>
              <w:spacing w:after="0"/>
              <w:rPr>
                <w:sz w:val="20"/>
                <w:szCs w:val="20"/>
                <w:color w:val="auto"/>
              </w:rPr>
            </w:pPr>
            <w:r>
              <w:rPr>
                <w:rFonts w:ascii="Arial" w:cs="Arial" w:eastAsia="Arial" w:hAnsi="Arial"/>
                <w:sz w:val="17"/>
                <w:szCs w:val="17"/>
                <w:b w:val="1"/>
                <w:bCs w:val="1"/>
                <w:color w:val="auto"/>
              </w:rPr>
              <w:t>S/(000)</w:t>
            </w:r>
          </w:p>
        </w:tc>
        <w:tc>
          <w:tcPr>
            <w:tcW w:w="200" w:type="dxa"/>
            <w:vAlign w:val="bottom"/>
          </w:tcPr>
          <w:p>
            <w:pPr>
              <w:spacing w:after="0"/>
              <w:rPr>
                <w:sz w:val="17"/>
                <w:szCs w:val="17"/>
                <w:color w:val="auto"/>
              </w:rPr>
            </w:pPr>
          </w:p>
        </w:tc>
        <w:tc>
          <w:tcPr>
            <w:tcW w:w="940" w:type="dxa"/>
            <w:vAlign w:val="bottom"/>
            <w:tcBorders>
              <w:top w:val="single" w:sz="8" w:color="auto"/>
            </w:tcBorders>
          </w:tcPr>
          <w:p>
            <w:pPr>
              <w:jc w:val="right"/>
              <w:ind w:right="173"/>
              <w:spacing w:after="0"/>
              <w:rPr>
                <w:sz w:val="20"/>
                <w:szCs w:val="20"/>
                <w:color w:val="auto"/>
              </w:rPr>
            </w:pPr>
            <w:r>
              <w:rPr>
                <w:rFonts w:ascii="Arial" w:cs="Arial" w:eastAsia="Arial" w:hAnsi="Arial"/>
                <w:sz w:val="17"/>
                <w:szCs w:val="17"/>
                <w:b w:val="1"/>
                <w:bCs w:val="1"/>
                <w:color w:val="auto"/>
              </w:rPr>
              <w:t>S/000</w:t>
            </w:r>
          </w:p>
        </w:tc>
        <w:tc>
          <w:tcPr>
            <w:tcW w:w="220" w:type="dxa"/>
            <w:vAlign w:val="bottom"/>
          </w:tcPr>
          <w:p>
            <w:pPr>
              <w:spacing w:after="0"/>
              <w:rPr>
                <w:sz w:val="17"/>
                <w:szCs w:val="17"/>
                <w:color w:val="auto"/>
              </w:rPr>
            </w:pPr>
          </w:p>
        </w:tc>
        <w:tc>
          <w:tcPr>
            <w:tcW w:w="960" w:type="dxa"/>
            <w:vAlign w:val="bottom"/>
            <w:tcBorders>
              <w:top w:val="single" w:sz="8" w:color="auto"/>
            </w:tcBorders>
          </w:tcPr>
          <w:p>
            <w:pPr>
              <w:jc w:val="center"/>
              <w:spacing w:after="0"/>
              <w:rPr>
                <w:sz w:val="20"/>
                <w:szCs w:val="20"/>
                <w:color w:val="auto"/>
              </w:rPr>
            </w:pPr>
            <w:r>
              <w:rPr>
                <w:rFonts w:ascii="Arial" w:cs="Arial" w:eastAsia="Arial" w:hAnsi="Arial"/>
                <w:sz w:val="17"/>
                <w:szCs w:val="17"/>
                <w:b w:val="1"/>
                <w:bCs w:val="1"/>
                <w:color w:val="auto"/>
                <w:w w:val="89"/>
              </w:rPr>
              <w:t>S/000</w:t>
            </w:r>
          </w:p>
        </w:tc>
        <w:tc>
          <w:tcPr>
            <w:tcW w:w="200" w:type="dxa"/>
            <w:vAlign w:val="bottom"/>
          </w:tcPr>
          <w:p>
            <w:pPr>
              <w:spacing w:after="0"/>
              <w:rPr>
                <w:sz w:val="17"/>
                <w:szCs w:val="17"/>
                <w:color w:val="auto"/>
              </w:rPr>
            </w:pPr>
          </w:p>
        </w:tc>
        <w:tc>
          <w:tcPr>
            <w:tcW w:w="980" w:type="dxa"/>
            <w:vAlign w:val="bottom"/>
            <w:tcBorders>
              <w:top w:val="single" w:sz="8" w:color="auto"/>
            </w:tcBorders>
          </w:tcPr>
          <w:p>
            <w:pPr>
              <w:jc w:val="right"/>
              <w:ind w:right="193"/>
              <w:spacing w:after="0"/>
              <w:rPr>
                <w:sz w:val="20"/>
                <w:szCs w:val="20"/>
                <w:color w:val="auto"/>
              </w:rPr>
            </w:pPr>
            <w:r>
              <w:rPr>
                <w:rFonts w:ascii="Arial" w:cs="Arial" w:eastAsia="Arial" w:hAnsi="Arial"/>
                <w:sz w:val="17"/>
                <w:szCs w:val="17"/>
                <w:b w:val="1"/>
                <w:bCs w:val="1"/>
                <w:color w:val="auto"/>
              </w:rPr>
              <w:t>S/000</w:t>
            </w:r>
          </w:p>
        </w:tc>
        <w:tc>
          <w:tcPr>
            <w:tcW w:w="100" w:type="dxa"/>
            <w:vAlign w:val="bottom"/>
          </w:tcPr>
          <w:p>
            <w:pPr>
              <w:spacing w:after="0"/>
              <w:rPr>
                <w:sz w:val="17"/>
                <w:szCs w:val="17"/>
                <w:color w:val="auto"/>
              </w:rPr>
            </w:pPr>
          </w:p>
        </w:tc>
      </w:tr>
      <w:tr>
        <w:trPr>
          <w:trHeight w:val="208"/>
        </w:trPr>
        <w:tc>
          <w:tcPr>
            <w:tcW w:w="352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Assets</w:t>
            </w: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195"/>
        </w:trPr>
        <w:tc>
          <w:tcPr>
            <w:tcW w:w="3520" w:type="dxa"/>
            <w:vAlign w:val="bottom"/>
          </w:tcPr>
          <w:p>
            <w:pPr>
              <w:spacing w:after="0"/>
              <w:rPr>
                <w:sz w:val="20"/>
                <w:szCs w:val="20"/>
                <w:color w:val="auto"/>
              </w:rPr>
            </w:pPr>
            <w:r>
              <w:rPr>
                <w:rFonts w:ascii="Arial" w:cs="Arial" w:eastAsia="Arial" w:hAnsi="Arial"/>
                <w:sz w:val="17"/>
                <w:szCs w:val="17"/>
                <w:color w:val="auto"/>
              </w:rPr>
              <w:t>Cash and due from banks, Cash collateral,</w:t>
            </w: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08"/>
        </w:trPr>
        <w:tc>
          <w:tcPr>
            <w:tcW w:w="3520" w:type="dxa"/>
            <w:vAlign w:val="bottom"/>
          </w:tcPr>
          <w:p>
            <w:pPr>
              <w:spacing w:after="0"/>
              <w:rPr>
                <w:sz w:val="20"/>
                <w:szCs w:val="20"/>
                <w:color w:val="auto"/>
              </w:rPr>
            </w:pPr>
            <w:r>
              <w:rPr>
                <w:rFonts w:ascii="Arial" w:cs="Arial" w:eastAsia="Arial" w:hAnsi="Arial"/>
                <w:sz w:val="17"/>
                <w:szCs w:val="17"/>
                <w:color w:val="auto"/>
                <w:w w:val="99"/>
              </w:rPr>
              <w:t>reverse repurchase agreements and securities</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0"/>
        </w:trPr>
        <w:tc>
          <w:tcPr>
            <w:tcW w:w="3520" w:type="dxa"/>
            <w:vAlign w:val="bottom"/>
          </w:tcPr>
          <w:p>
            <w:pPr>
              <w:spacing w:after="0"/>
              <w:rPr>
                <w:sz w:val="20"/>
                <w:szCs w:val="20"/>
                <w:color w:val="auto"/>
              </w:rPr>
            </w:pPr>
            <w:r>
              <w:rPr>
                <w:rFonts w:ascii="Arial" w:cs="Arial" w:eastAsia="Arial" w:hAnsi="Arial"/>
                <w:sz w:val="17"/>
                <w:szCs w:val="17"/>
                <w:color w:val="auto"/>
              </w:rPr>
              <w:t>borrowings</w:t>
            </w:r>
          </w:p>
        </w:tc>
        <w:tc>
          <w:tcPr>
            <w:tcW w:w="880" w:type="dxa"/>
            <w:vAlign w:val="bottom"/>
          </w:tcPr>
          <w:p>
            <w:pPr>
              <w:jc w:val="right"/>
              <w:spacing w:after="0"/>
              <w:rPr>
                <w:sz w:val="20"/>
                <w:szCs w:val="20"/>
                <w:color w:val="auto"/>
              </w:rPr>
            </w:pPr>
            <w:r>
              <w:rPr>
                <w:rFonts w:ascii="Arial" w:cs="Arial" w:eastAsia="Arial" w:hAnsi="Arial"/>
                <w:sz w:val="17"/>
                <w:szCs w:val="17"/>
                <w:color w:val="auto"/>
              </w:rPr>
              <w:t>7,467,818</w:t>
            </w:r>
          </w:p>
        </w:tc>
        <w:tc>
          <w:tcPr>
            <w:tcW w:w="220" w:type="dxa"/>
            <w:vAlign w:val="bottom"/>
          </w:tcPr>
          <w:p>
            <w:pPr>
              <w:spacing w:after="0"/>
              <w:rPr>
                <w:sz w:val="19"/>
                <w:szCs w:val="19"/>
                <w:color w:val="auto"/>
              </w:rPr>
            </w:pPr>
          </w:p>
        </w:tc>
        <w:tc>
          <w:tcPr>
            <w:tcW w:w="1200" w:type="dxa"/>
            <w:vAlign w:val="bottom"/>
            <w:gridSpan w:val="2"/>
          </w:tcPr>
          <w:p>
            <w:pPr>
              <w:jc w:val="right"/>
              <w:ind w:right="139"/>
              <w:spacing w:after="0"/>
              <w:rPr>
                <w:sz w:val="20"/>
                <w:szCs w:val="20"/>
                <w:color w:val="auto"/>
              </w:rPr>
            </w:pPr>
            <w:r>
              <w:rPr>
                <w:rFonts w:ascii="Arial" w:cs="Arial" w:eastAsia="Arial" w:hAnsi="Arial"/>
                <w:sz w:val="17"/>
                <w:szCs w:val="17"/>
                <w:color w:val="auto"/>
              </w:rPr>
              <w:t>1,845,264</w:t>
            </w:r>
          </w:p>
        </w:tc>
        <w:tc>
          <w:tcPr>
            <w:tcW w:w="1100" w:type="dxa"/>
            <w:vAlign w:val="bottom"/>
            <w:gridSpan w:val="2"/>
          </w:tcPr>
          <w:p>
            <w:pPr>
              <w:jc w:val="right"/>
              <w:ind w:right="139"/>
              <w:spacing w:after="0"/>
              <w:rPr>
                <w:sz w:val="20"/>
                <w:szCs w:val="20"/>
                <w:color w:val="auto"/>
              </w:rPr>
            </w:pPr>
            <w:r>
              <w:rPr>
                <w:rFonts w:ascii="Arial" w:cs="Arial" w:eastAsia="Arial" w:hAnsi="Arial"/>
                <w:sz w:val="17"/>
                <w:szCs w:val="17"/>
                <w:color w:val="auto"/>
              </w:rPr>
              <w:t>3,709,882</w:t>
            </w:r>
          </w:p>
        </w:tc>
        <w:tc>
          <w:tcPr>
            <w:tcW w:w="900" w:type="dxa"/>
            <w:vAlign w:val="bottom"/>
          </w:tcPr>
          <w:p>
            <w:pPr>
              <w:jc w:val="right"/>
              <w:spacing w:after="0"/>
              <w:rPr>
                <w:sz w:val="20"/>
                <w:szCs w:val="20"/>
                <w:color w:val="auto"/>
              </w:rPr>
            </w:pPr>
            <w:r>
              <w:rPr>
                <w:rFonts w:ascii="Arial" w:cs="Arial" w:eastAsia="Arial" w:hAnsi="Arial"/>
                <w:sz w:val="17"/>
                <w:szCs w:val="17"/>
                <w:color w:val="auto"/>
              </w:rPr>
              <w:t>9,890,459</w:t>
            </w:r>
          </w:p>
        </w:tc>
        <w:tc>
          <w:tcPr>
            <w:tcW w:w="20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7"/>
                <w:szCs w:val="17"/>
                <w:color w:val="auto"/>
              </w:rPr>
              <w:t>109,340</w:t>
            </w:r>
          </w:p>
        </w:tc>
        <w:tc>
          <w:tcPr>
            <w:tcW w:w="960" w:type="dxa"/>
            <w:vAlign w:val="bottom"/>
          </w:tcPr>
          <w:p>
            <w:pPr>
              <w:jc w:val="right"/>
              <w:spacing w:after="0"/>
              <w:rPr>
                <w:sz w:val="20"/>
                <w:szCs w:val="20"/>
                <w:color w:val="auto"/>
              </w:rPr>
            </w:pPr>
            <w:r>
              <w:rPr>
                <w:rFonts w:ascii="Arial" w:cs="Arial" w:eastAsia="Arial" w:hAnsi="Arial"/>
                <w:sz w:val="17"/>
                <w:szCs w:val="17"/>
                <w:color w:val="auto"/>
              </w:rPr>
              <w:t>4,542,630</w:t>
            </w:r>
          </w:p>
        </w:tc>
        <w:tc>
          <w:tcPr>
            <w:tcW w:w="200" w:type="dxa"/>
            <w:vAlign w:val="bottom"/>
          </w:tcPr>
          <w:p>
            <w:pPr>
              <w:spacing w:after="0"/>
              <w:rPr>
                <w:sz w:val="19"/>
                <w:szCs w:val="19"/>
                <w:color w:val="auto"/>
              </w:rPr>
            </w:pPr>
          </w:p>
        </w:tc>
        <w:tc>
          <w:tcPr>
            <w:tcW w:w="1080" w:type="dxa"/>
            <w:vAlign w:val="bottom"/>
            <w:gridSpan w:val="2"/>
          </w:tcPr>
          <w:p>
            <w:pPr>
              <w:jc w:val="right"/>
              <w:ind w:right="19"/>
              <w:spacing w:after="0"/>
              <w:rPr>
                <w:sz w:val="20"/>
                <w:szCs w:val="20"/>
                <w:color w:val="auto"/>
              </w:rPr>
            </w:pPr>
            <w:r>
              <w:rPr>
                <w:rFonts w:ascii="Arial" w:cs="Arial" w:eastAsia="Arial" w:hAnsi="Arial"/>
                <w:sz w:val="17"/>
                <w:szCs w:val="17"/>
                <w:color w:val="auto"/>
              </w:rPr>
              <w:t>27,565,393</w:t>
            </w:r>
          </w:p>
        </w:tc>
      </w:tr>
      <w:tr>
        <w:trPr>
          <w:trHeight w:val="208"/>
        </w:trPr>
        <w:tc>
          <w:tcPr>
            <w:tcW w:w="3520" w:type="dxa"/>
            <w:vAlign w:val="bottom"/>
            <w:shd w:val="clear" w:color="auto" w:fill="CCEEFF"/>
          </w:tcPr>
          <w:p>
            <w:pPr>
              <w:spacing w:after="0"/>
              <w:rPr>
                <w:sz w:val="20"/>
                <w:szCs w:val="20"/>
                <w:color w:val="auto"/>
              </w:rPr>
            </w:pPr>
            <w:r>
              <w:rPr>
                <w:rFonts w:ascii="Arial" w:cs="Arial" w:eastAsia="Arial" w:hAnsi="Arial"/>
                <w:sz w:val="17"/>
                <w:szCs w:val="17"/>
                <w:color w:val="auto"/>
              </w:rPr>
              <w:t>Investments</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1,574,831</w:t>
            </w:r>
          </w:p>
        </w:tc>
        <w:tc>
          <w:tcPr>
            <w:tcW w:w="2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39"/>
              <w:spacing w:after="0"/>
              <w:rPr>
                <w:sz w:val="20"/>
                <w:szCs w:val="20"/>
                <w:color w:val="auto"/>
              </w:rPr>
            </w:pPr>
            <w:r>
              <w:rPr>
                <w:rFonts w:ascii="Arial" w:cs="Arial" w:eastAsia="Arial" w:hAnsi="Arial"/>
                <w:sz w:val="17"/>
                <w:szCs w:val="17"/>
                <w:color w:val="auto"/>
              </w:rPr>
              <w:t>465,421</w:t>
            </w:r>
          </w:p>
        </w:tc>
        <w:tc>
          <w:tcPr>
            <w:tcW w:w="1100" w:type="dxa"/>
            <w:vAlign w:val="bottom"/>
            <w:gridSpan w:val="2"/>
            <w:shd w:val="clear" w:color="auto" w:fill="CCEEFF"/>
          </w:tcPr>
          <w:p>
            <w:pPr>
              <w:jc w:val="right"/>
              <w:ind w:right="139"/>
              <w:spacing w:after="0"/>
              <w:rPr>
                <w:sz w:val="20"/>
                <w:szCs w:val="20"/>
                <w:color w:val="auto"/>
              </w:rPr>
            </w:pPr>
            <w:r>
              <w:rPr>
                <w:rFonts w:ascii="Arial" w:cs="Arial" w:eastAsia="Arial" w:hAnsi="Arial"/>
                <w:sz w:val="17"/>
                <w:szCs w:val="17"/>
                <w:color w:val="auto"/>
              </w:rPr>
              <w:t>3,913,328</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6,261,652</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8,908,298</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2,680,557</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9"/>
              <w:spacing w:after="0"/>
              <w:rPr>
                <w:sz w:val="20"/>
                <w:szCs w:val="20"/>
                <w:color w:val="auto"/>
              </w:rPr>
            </w:pPr>
            <w:r>
              <w:rPr>
                <w:rFonts w:ascii="Arial" w:cs="Arial" w:eastAsia="Arial" w:hAnsi="Arial"/>
                <w:sz w:val="17"/>
                <w:szCs w:val="17"/>
                <w:color w:val="auto"/>
              </w:rPr>
              <w:t>23,804,087</w:t>
            </w:r>
          </w:p>
        </w:tc>
      </w:tr>
      <w:tr>
        <w:trPr>
          <w:trHeight w:val="208"/>
        </w:trPr>
        <w:tc>
          <w:tcPr>
            <w:tcW w:w="3520" w:type="dxa"/>
            <w:vAlign w:val="bottom"/>
          </w:tcPr>
          <w:p>
            <w:pPr>
              <w:spacing w:after="0"/>
              <w:rPr>
                <w:sz w:val="20"/>
                <w:szCs w:val="20"/>
                <w:color w:val="auto"/>
              </w:rPr>
            </w:pPr>
            <w:r>
              <w:rPr>
                <w:rFonts w:ascii="Arial" w:cs="Arial" w:eastAsia="Arial" w:hAnsi="Arial"/>
                <w:sz w:val="17"/>
                <w:szCs w:val="17"/>
                <w:color w:val="auto"/>
              </w:rPr>
              <w:t>Loans, net</w:t>
            </w:r>
          </w:p>
        </w:tc>
        <w:tc>
          <w:tcPr>
            <w:tcW w:w="1100" w:type="dxa"/>
            <w:vAlign w:val="bottom"/>
            <w:gridSpan w:val="2"/>
          </w:tcPr>
          <w:p>
            <w:pPr>
              <w:jc w:val="right"/>
              <w:ind w:right="139"/>
              <w:spacing w:after="0"/>
              <w:rPr>
                <w:sz w:val="20"/>
                <w:szCs w:val="20"/>
                <w:color w:val="auto"/>
              </w:rPr>
            </w:pPr>
            <w:r>
              <w:rPr>
                <w:rFonts w:ascii="Arial" w:cs="Arial" w:eastAsia="Arial" w:hAnsi="Arial"/>
                <w:sz w:val="17"/>
                <w:szCs w:val="17"/>
                <w:color w:val="auto"/>
              </w:rPr>
              <w:t>10,525,263</w:t>
            </w:r>
          </w:p>
        </w:tc>
        <w:tc>
          <w:tcPr>
            <w:tcW w:w="1200" w:type="dxa"/>
            <w:vAlign w:val="bottom"/>
            <w:gridSpan w:val="2"/>
          </w:tcPr>
          <w:p>
            <w:pPr>
              <w:jc w:val="right"/>
              <w:ind w:right="139"/>
              <w:spacing w:after="0"/>
              <w:rPr>
                <w:sz w:val="20"/>
                <w:szCs w:val="20"/>
                <w:color w:val="auto"/>
              </w:rPr>
            </w:pPr>
            <w:r>
              <w:rPr>
                <w:rFonts w:ascii="Arial" w:cs="Arial" w:eastAsia="Arial" w:hAnsi="Arial"/>
                <w:sz w:val="17"/>
                <w:szCs w:val="17"/>
                <w:color w:val="auto"/>
              </w:rPr>
              <w:t>16,135,337</w:t>
            </w:r>
          </w:p>
        </w:tc>
        <w:tc>
          <w:tcPr>
            <w:tcW w:w="1100" w:type="dxa"/>
            <w:vAlign w:val="bottom"/>
            <w:gridSpan w:val="2"/>
          </w:tcPr>
          <w:p>
            <w:pPr>
              <w:jc w:val="right"/>
              <w:ind w:right="139"/>
              <w:spacing w:after="0"/>
              <w:rPr>
                <w:sz w:val="20"/>
                <w:szCs w:val="20"/>
                <w:color w:val="auto"/>
              </w:rPr>
            </w:pPr>
            <w:r>
              <w:rPr>
                <w:rFonts w:ascii="Arial" w:cs="Arial" w:eastAsia="Arial" w:hAnsi="Arial"/>
                <w:sz w:val="17"/>
                <w:szCs w:val="17"/>
                <w:color w:val="auto"/>
              </w:rPr>
              <w:t>22,739,878</w:t>
            </w:r>
          </w:p>
        </w:tc>
        <w:tc>
          <w:tcPr>
            <w:tcW w:w="1100" w:type="dxa"/>
            <w:vAlign w:val="bottom"/>
            <w:gridSpan w:val="2"/>
          </w:tcPr>
          <w:p>
            <w:pPr>
              <w:jc w:val="right"/>
              <w:ind w:right="119"/>
              <w:spacing w:after="0"/>
              <w:rPr>
                <w:sz w:val="20"/>
                <w:szCs w:val="20"/>
                <w:color w:val="auto"/>
              </w:rPr>
            </w:pPr>
            <w:r>
              <w:rPr>
                <w:rFonts w:ascii="Arial" w:cs="Arial" w:eastAsia="Arial" w:hAnsi="Arial"/>
                <w:sz w:val="17"/>
                <w:szCs w:val="17"/>
                <w:color w:val="auto"/>
              </w:rPr>
              <w:t>30,353,995</w:t>
            </w:r>
          </w:p>
        </w:tc>
        <w:tc>
          <w:tcPr>
            <w:tcW w:w="1160" w:type="dxa"/>
            <w:vAlign w:val="bottom"/>
            <w:gridSpan w:val="2"/>
          </w:tcPr>
          <w:p>
            <w:pPr>
              <w:jc w:val="right"/>
              <w:ind w:right="220"/>
              <w:spacing w:after="0"/>
              <w:rPr>
                <w:sz w:val="20"/>
                <w:szCs w:val="20"/>
                <w:color w:val="auto"/>
              </w:rPr>
            </w:pPr>
            <w:r>
              <w:rPr>
                <w:rFonts w:ascii="Arial" w:cs="Arial" w:eastAsia="Arial" w:hAnsi="Arial"/>
                <w:sz w:val="17"/>
                <w:szCs w:val="17"/>
                <w:color w:val="auto"/>
              </w:rPr>
              <w:t>11,170,586</w:t>
            </w:r>
          </w:p>
        </w:tc>
        <w:tc>
          <w:tcPr>
            <w:tcW w:w="1160" w:type="dxa"/>
            <w:vAlign w:val="bottom"/>
            <w:gridSpan w:val="2"/>
          </w:tcPr>
          <w:p>
            <w:pPr>
              <w:jc w:val="right"/>
              <w:ind w:right="59"/>
              <w:spacing w:after="0"/>
              <w:rPr>
                <w:sz w:val="20"/>
                <w:szCs w:val="20"/>
                <w:color w:val="auto"/>
              </w:rPr>
            </w:pPr>
            <w:r>
              <w:rPr>
                <w:rFonts w:ascii="Arial" w:cs="Arial" w:eastAsia="Arial" w:hAnsi="Arial"/>
                <w:sz w:val="17"/>
                <w:szCs w:val="17"/>
                <w:color w:val="auto"/>
              </w:rPr>
              <w:t>(363,291)</w:t>
            </w:r>
          </w:p>
        </w:tc>
        <w:tc>
          <w:tcPr>
            <w:tcW w:w="1080" w:type="dxa"/>
            <w:vAlign w:val="bottom"/>
            <w:gridSpan w:val="2"/>
          </w:tcPr>
          <w:p>
            <w:pPr>
              <w:jc w:val="right"/>
              <w:ind w:right="19"/>
              <w:spacing w:after="0"/>
              <w:rPr>
                <w:sz w:val="20"/>
                <w:szCs w:val="20"/>
                <w:color w:val="auto"/>
              </w:rPr>
            </w:pPr>
            <w:r>
              <w:rPr>
                <w:rFonts w:ascii="Arial" w:cs="Arial" w:eastAsia="Arial" w:hAnsi="Arial"/>
                <w:sz w:val="17"/>
                <w:szCs w:val="17"/>
                <w:color w:val="auto"/>
              </w:rPr>
              <w:t>90,561,768</w:t>
            </w:r>
          </w:p>
        </w:tc>
      </w:tr>
      <w:tr>
        <w:trPr>
          <w:trHeight w:val="195"/>
        </w:trPr>
        <w:tc>
          <w:tcPr>
            <w:tcW w:w="3520" w:type="dxa"/>
            <w:vAlign w:val="bottom"/>
            <w:shd w:val="clear" w:color="auto" w:fill="CCEEFF"/>
          </w:tcPr>
          <w:p>
            <w:pPr>
              <w:spacing w:after="0"/>
              <w:rPr>
                <w:sz w:val="20"/>
                <w:szCs w:val="20"/>
                <w:color w:val="auto"/>
              </w:rPr>
            </w:pPr>
            <w:r>
              <w:rPr>
                <w:rFonts w:ascii="Arial" w:cs="Arial" w:eastAsia="Arial" w:hAnsi="Arial"/>
                <w:sz w:val="17"/>
                <w:szCs w:val="17"/>
                <w:color w:val="auto"/>
                <w:w w:val="95"/>
              </w:rPr>
              <w:t>Financial assets designated at fair value through</w:t>
            </w:r>
          </w:p>
        </w:tc>
        <w:tc>
          <w:tcPr>
            <w:tcW w:w="8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20"/>
        </w:trPr>
        <w:tc>
          <w:tcPr>
            <w:tcW w:w="3520" w:type="dxa"/>
            <w:vAlign w:val="bottom"/>
            <w:shd w:val="clear" w:color="auto" w:fill="CCEEFF"/>
          </w:tcPr>
          <w:p>
            <w:pPr>
              <w:spacing w:after="0"/>
              <w:rPr>
                <w:sz w:val="20"/>
                <w:szCs w:val="20"/>
                <w:color w:val="auto"/>
              </w:rPr>
            </w:pPr>
            <w:r>
              <w:rPr>
                <w:rFonts w:ascii="Arial" w:cs="Arial" w:eastAsia="Arial" w:hAnsi="Arial"/>
                <w:sz w:val="17"/>
                <w:szCs w:val="17"/>
                <w:color w:val="auto"/>
              </w:rPr>
              <w:t>profit or loss</w:t>
            </w:r>
          </w:p>
        </w:tc>
        <w:tc>
          <w:tcPr>
            <w:tcW w:w="1100" w:type="dxa"/>
            <w:vAlign w:val="bottom"/>
            <w:gridSpan w:val="2"/>
            <w:shd w:val="clear" w:color="auto" w:fill="CCEEFF"/>
          </w:tcPr>
          <w:p>
            <w:pPr>
              <w:jc w:val="right"/>
              <w:ind w:right="139"/>
              <w:spacing w:after="0"/>
              <w:rPr>
                <w:sz w:val="20"/>
                <w:szCs w:val="20"/>
                <w:color w:val="auto"/>
              </w:rPr>
            </w:pPr>
            <w:r>
              <w:rPr>
                <w:rFonts w:ascii="Arial" w:cs="Arial" w:eastAsia="Arial" w:hAnsi="Arial"/>
                <w:sz w:val="17"/>
                <w:szCs w:val="17"/>
                <w:color w:val="auto"/>
              </w:rPr>
              <w:t>-</w:t>
            </w:r>
          </w:p>
        </w:tc>
        <w:tc>
          <w:tcPr>
            <w:tcW w:w="1200" w:type="dxa"/>
            <w:vAlign w:val="bottom"/>
            <w:gridSpan w:val="2"/>
            <w:shd w:val="clear" w:color="auto" w:fill="CCEEFF"/>
          </w:tcPr>
          <w:p>
            <w:pPr>
              <w:jc w:val="right"/>
              <w:ind w:right="139"/>
              <w:spacing w:after="0"/>
              <w:rPr>
                <w:sz w:val="20"/>
                <w:szCs w:val="20"/>
                <w:color w:val="auto"/>
              </w:rPr>
            </w:pPr>
            <w:r>
              <w:rPr>
                <w:rFonts w:ascii="Arial" w:cs="Arial" w:eastAsia="Arial" w:hAnsi="Arial"/>
                <w:sz w:val="17"/>
                <w:szCs w:val="17"/>
                <w:color w:val="auto"/>
              </w:rPr>
              <w:t>-</w:t>
            </w:r>
          </w:p>
        </w:tc>
        <w:tc>
          <w:tcPr>
            <w:tcW w:w="1100" w:type="dxa"/>
            <w:vAlign w:val="bottom"/>
            <w:gridSpan w:val="2"/>
            <w:shd w:val="clear" w:color="auto" w:fill="CCEEFF"/>
          </w:tcPr>
          <w:p>
            <w:pPr>
              <w:jc w:val="right"/>
              <w:ind w:right="139"/>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459,099</w:t>
            </w:r>
          </w:p>
        </w:tc>
        <w:tc>
          <w:tcPr>
            <w:tcW w:w="2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9"/>
              <w:spacing w:after="0"/>
              <w:rPr>
                <w:sz w:val="20"/>
                <w:szCs w:val="20"/>
                <w:color w:val="auto"/>
              </w:rPr>
            </w:pPr>
            <w:r>
              <w:rPr>
                <w:rFonts w:ascii="Arial" w:cs="Arial" w:eastAsia="Arial" w:hAnsi="Arial"/>
                <w:sz w:val="17"/>
                <w:szCs w:val="17"/>
                <w:color w:val="auto"/>
              </w:rPr>
              <w:t>459,099</w:t>
            </w:r>
          </w:p>
        </w:tc>
      </w:tr>
      <w:tr>
        <w:trPr>
          <w:trHeight w:val="195"/>
        </w:trPr>
        <w:tc>
          <w:tcPr>
            <w:tcW w:w="3520" w:type="dxa"/>
            <w:vAlign w:val="bottom"/>
          </w:tcPr>
          <w:p>
            <w:pPr>
              <w:spacing w:after="0"/>
              <w:rPr>
                <w:sz w:val="20"/>
                <w:szCs w:val="20"/>
                <w:color w:val="auto"/>
              </w:rPr>
            </w:pPr>
            <w:r>
              <w:rPr>
                <w:rFonts w:ascii="Arial" w:cs="Arial" w:eastAsia="Arial" w:hAnsi="Arial"/>
                <w:sz w:val="17"/>
                <w:szCs w:val="17"/>
                <w:color w:val="auto"/>
              </w:rPr>
              <w:t>Premiums and other policies Accounts</w:t>
            </w: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20"/>
        </w:trPr>
        <w:tc>
          <w:tcPr>
            <w:tcW w:w="3520" w:type="dxa"/>
            <w:vAlign w:val="bottom"/>
          </w:tcPr>
          <w:p>
            <w:pPr>
              <w:spacing w:after="0"/>
              <w:rPr>
                <w:sz w:val="20"/>
                <w:szCs w:val="20"/>
                <w:color w:val="auto"/>
              </w:rPr>
            </w:pPr>
            <w:r>
              <w:rPr>
                <w:rFonts w:ascii="Arial" w:cs="Arial" w:eastAsia="Arial" w:hAnsi="Arial"/>
                <w:sz w:val="17"/>
                <w:szCs w:val="17"/>
                <w:color w:val="auto"/>
              </w:rPr>
              <w:t>receivable</w:t>
            </w:r>
          </w:p>
        </w:tc>
        <w:tc>
          <w:tcPr>
            <w:tcW w:w="1100" w:type="dxa"/>
            <w:vAlign w:val="bottom"/>
            <w:gridSpan w:val="2"/>
          </w:tcPr>
          <w:p>
            <w:pPr>
              <w:jc w:val="right"/>
              <w:ind w:right="139"/>
              <w:spacing w:after="0"/>
              <w:rPr>
                <w:sz w:val="20"/>
                <w:szCs w:val="20"/>
                <w:color w:val="auto"/>
              </w:rPr>
            </w:pPr>
            <w:r>
              <w:rPr>
                <w:rFonts w:ascii="Arial" w:cs="Arial" w:eastAsia="Arial" w:hAnsi="Arial"/>
                <w:sz w:val="17"/>
                <w:szCs w:val="17"/>
                <w:color w:val="auto"/>
              </w:rPr>
              <w:t>623,005</w:t>
            </w:r>
          </w:p>
        </w:tc>
        <w:tc>
          <w:tcPr>
            <w:tcW w:w="1200" w:type="dxa"/>
            <w:vAlign w:val="bottom"/>
            <w:gridSpan w:val="2"/>
          </w:tcPr>
          <w:p>
            <w:pPr>
              <w:jc w:val="right"/>
              <w:ind w:right="139"/>
              <w:spacing w:after="0"/>
              <w:rPr>
                <w:sz w:val="20"/>
                <w:szCs w:val="20"/>
                <w:color w:val="auto"/>
              </w:rPr>
            </w:pPr>
            <w:r>
              <w:rPr>
                <w:rFonts w:ascii="Arial" w:cs="Arial" w:eastAsia="Arial" w:hAnsi="Arial"/>
                <w:sz w:val="17"/>
                <w:szCs w:val="17"/>
                <w:color w:val="auto"/>
              </w:rPr>
              <w:t>16,533</w:t>
            </w:r>
          </w:p>
        </w:tc>
        <w:tc>
          <w:tcPr>
            <w:tcW w:w="1100" w:type="dxa"/>
            <w:vAlign w:val="bottom"/>
            <w:gridSpan w:val="2"/>
          </w:tcPr>
          <w:p>
            <w:pPr>
              <w:jc w:val="right"/>
              <w:ind w:right="139"/>
              <w:spacing w:after="0"/>
              <w:rPr>
                <w:sz w:val="20"/>
                <w:szCs w:val="20"/>
                <w:color w:val="auto"/>
              </w:rPr>
            </w:pPr>
            <w:r>
              <w:rPr>
                <w:rFonts w:ascii="Arial" w:cs="Arial" w:eastAsia="Arial" w:hAnsi="Arial"/>
                <w:sz w:val="17"/>
                <w:szCs w:val="17"/>
                <w:color w:val="auto"/>
              </w:rPr>
              <w:t>2,898</w:t>
            </w:r>
          </w:p>
        </w:tc>
        <w:tc>
          <w:tcPr>
            <w:tcW w:w="1100" w:type="dxa"/>
            <w:vAlign w:val="bottom"/>
            <w:gridSpan w:val="2"/>
          </w:tcPr>
          <w:p>
            <w:pPr>
              <w:jc w:val="right"/>
              <w:ind w:right="119"/>
              <w:spacing w:after="0"/>
              <w:rPr>
                <w:sz w:val="20"/>
                <w:szCs w:val="20"/>
                <w:color w:val="auto"/>
              </w:rPr>
            </w:pPr>
            <w:r>
              <w:rPr>
                <w:rFonts w:ascii="Arial" w:cs="Arial" w:eastAsia="Arial" w:hAnsi="Arial"/>
                <w:sz w:val="17"/>
                <w:szCs w:val="17"/>
                <w:color w:val="auto"/>
              </w:rPr>
              <w:t>788</w:t>
            </w:r>
          </w:p>
        </w:tc>
        <w:tc>
          <w:tcPr>
            <w:tcW w:w="116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9"/>
                <w:szCs w:val="19"/>
                <w:color w:val="auto"/>
              </w:rPr>
            </w:pPr>
          </w:p>
        </w:tc>
        <w:tc>
          <w:tcPr>
            <w:tcW w:w="1080" w:type="dxa"/>
            <w:vAlign w:val="bottom"/>
            <w:gridSpan w:val="2"/>
          </w:tcPr>
          <w:p>
            <w:pPr>
              <w:jc w:val="right"/>
              <w:ind w:right="19"/>
              <w:spacing w:after="0"/>
              <w:rPr>
                <w:sz w:val="20"/>
                <w:szCs w:val="20"/>
                <w:color w:val="auto"/>
              </w:rPr>
            </w:pPr>
            <w:r>
              <w:rPr>
                <w:rFonts w:ascii="Arial" w:cs="Arial" w:eastAsia="Arial" w:hAnsi="Arial"/>
                <w:sz w:val="17"/>
                <w:szCs w:val="17"/>
                <w:color w:val="auto"/>
              </w:rPr>
              <w:t>643,224</w:t>
            </w:r>
          </w:p>
        </w:tc>
      </w:tr>
      <w:tr>
        <w:trPr>
          <w:trHeight w:val="195"/>
        </w:trPr>
        <w:tc>
          <w:tcPr>
            <w:tcW w:w="3520" w:type="dxa"/>
            <w:vAlign w:val="bottom"/>
            <w:shd w:val="clear" w:color="auto" w:fill="CCEEFF"/>
          </w:tcPr>
          <w:p>
            <w:pPr>
              <w:spacing w:after="0"/>
              <w:rPr>
                <w:sz w:val="20"/>
                <w:szCs w:val="20"/>
                <w:color w:val="auto"/>
              </w:rPr>
            </w:pPr>
            <w:r>
              <w:rPr>
                <w:rFonts w:ascii="Arial" w:cs="Arial" w:eastAsia="Arial" w:hAnsi="Arial"/>
                <w:sz w:val="17"/>
                <w:szCs w:val="17"/>
                <w:color w:val="auto"/>
              </w:rPr>
              <w:t>Accounts receivable from reinsurers and</w:t>
            </w:r>
          </w:p>
        </w:tc>
        <w:tc>
          <w:tcPr>
            <w:tcW w:w="8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20"/>
        </w:trPr>
        <w:tc>
          <w:tcPr>
            <w:tcW w:w="3520" w:type="dxa"/>
            <w:vAlign w:val="bottom"/>
            <w:shd w:val="clear" w:color="auto" w:fill="CCEEFF"/>
          </w:tcPr>
          <w:p>
            <w:pPr>
              <w:spacing w:after="0"/>
              <w:rPr>
                <w:sz w:val="20"/>
                <w:szCs w:val="20"/>
                <w:color w:val="auto"/>
              </w:rPr>
            </w:pPr>
            <w:r>
              <w:rPr>
                <w:rFonts w:ascii="Arial" w:cs="Arial" w:eastAsia="Arial" w:hAnsi="Arial"/>
                <w:sz w:val="17"/>
                <w:szCs w:val="17"/>
                <w:color w:val="auto"/>
              </w:rPr>
              <w:t>coinsurers</w:t>
            </w:r>
          </w:p>
        </w:tc>
        <w:tc>
          <w:tcPr>
            <w:tcW w:w="1100" w:type="dxa"/>
            <w:vAlign w:val="bottom"/>
            <w:gridSpan w:val="2"/>
            <w:shd w:val="clear" w:color="auto" w:fill="CCEEFF"/>
          </w:tcPr>
          <w:p>
            <w:pPr>
              <w:jc w:val="right"/>
              <w:ind w:right="139"/>
              <w:spacing w:after="0"/>
              <w:rPr>
                <w:sz w:val="20"/>
                <w:szCs w:val="20"/>
                <w:color w:val="auto"/>
              </w:rPr>
            </w:pPr>
            <w:r>
              <w:rPr>
                <w:rFonts w:ascii="Arial" w:cs="Arial" w:eastAsia="Arial" w:hAnsi="Arial"/>
                <w:sz w:val="17"/>
                <w:szCs w:val="17"/>
                <w:color w:val="auto"/>
              </w:rPr>
              <w:t>110,263</w:t>
            </w:r>
          </w:p>
        </w:tc>
        <w:tc>
          <w:tcPr>
            <w:tcW w:w="1200" w:type="dxa"/>
            <w:vAlign w:val="bottom"/>
            <w:gridSpan w:val="2"/>
            <w:shd w:val="clear" w:color="auto" w:fill="CCEEFF"/>
          </w:tcPr>
          <w:p>
            <w:pPr>
              <w:jc w:val="right"/>
              <w:ind w:right="139"/>
              <w:spacing w:after="0"/>
              <w:rPr>
                <w:sz w:val="20"/>
                <w:szCs w:val="20"/>
                <w:color w:val="auto"/>
              </w:rPr>
            </w:pPr>
            <w:r>
              <w:rPr>
                <w:rFonts w:ascii="Arial" w:cs="Arial" w:eastAsia="Arial" w:hAnsi="Arial"/>
                <w:sz w:val="17"/>
                <w:szCs w:val="17"/>
                <w:color w:val="auto"/>
              </w:rPr>
              <w:t>202,610</w:t>
            </w:r>
          </w:p>
        </w:tc>
        <w:tc>
          <w:tcPr>
            <w:tcW w:w="1100" w:type="dxa"/>
            <w:vAlign w:val="bottom"/>
            <w:gridSpan w:val="2"/>
            <w:shd w:val="clear" w:color="auto" w:fill="CCEEFF"/>
          </w:tcPr>
          <w:p>
            <w:pPr>
              <w:jc w:val="right"/>
              <w:ind w:right="139"/>
              <w:spacing w:after="0"/>
              <w:rPr>
                <w:sz w:val="20"/>
                <w:szCs w:val="20"/>
                <w:color w:val="auto"/>
              </w:rPr>
            </w:pPr>
            <w:r>
              <w:rPr>
                <w:rFonts w:ascii="Arial" w:cs="Arial" w:eastAsia="Arial" w:hAnsi="Arial"/>
                <w:sz w:val="17"/>
                <w:szCs w:val="17"/>
                <w:color w:val="auto"/>
              </w:rPr>
              <w:t>120,159</w:t>
            </w:r>
          </w:p>
        </w:tc>
        <w:tc>
          <w:tcPr>
            <w:tcW w:w="1100" w:type="dxa"/>
            <w:vAlign w:val="bottom"/>
            <w:gridSpan w:val="2"/>
            <w:shd w:val="clear" w:color="auto" w:fill="CCEEFF"/>
          </w:tcPr>
          <w:p>
            <w:pPr>
              <w:jc w:val="right"/>
              <w:ind w:right="119"/>
              <w:spacing w:after="0"/>
              <w:rPr>
                <w:sz w:val="20"/>
                <w:szCs w:val="20"/>
                <w:color w:val="auto"/>
              </w:rPr>
            </w:pPr>
            <w:r>
              <w:rPr>
                <w:rFonts w:ascii="Arial" w:cs="Arial" w:eastAsia="Arial" w:hAnsi="Arial"/>
                <w:sz w:val="17"/>
                <w:szCs w:val="17"/>
                <w:color w:val="auto"/>
              </w:rPr>
              <w:t>21,155</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9"/>
              <w:spacing w:after="0"/>
              <w:rPr>
                <w:sz w:val="20"/>
                <w:szCs w:val="20"/>
                <w:color w:val="auto"/>
              </w:rPr>
            </w:pPr>
            <w:r>
              <w:rPr>
                <w:rFonts w:ascii="Arial" w:cs="Arial" w:eastAsia="Arial" w:hAnsi="Arial"/>
                <w:sz w:val="17"/>
                <w:szCs w:val="17"/>
                <w:color w:val="auto"/>
              </w:rPr>
              <w:t>454,187</w:t>
            </w:r>
          </w:p>
        </w:tc>
      </w:tr>
      <w:tr>
        <w:trPr>
          <w:trHeight w:val="221"/>
        </w:trPr>
        <w:tc>
          <w:tcPr>
            <w:tcW w:w="3520" w:type="dxa"/>
            <w:vAlign w:val="bottom"/>
          </w:tcPr>
          <w:p>
            <w:pPr>
              <w:spacing w:after="0"/>
              <w:rPr>
                <w:sz w:val="20"/>
                <w:szCs w:val="20"/>
                <w:color w:val="auto"/>
              </w:rPr>
            </w:pPr>
            <w:r>
              <w:rPr>
                <w:rFonts w:ascii="Arial" w:cs="Arial" w:eastAsia="Arial" w:hAnsi="Arial"/>
                <w:sz w:val="17"/>
                <w:szCs w:val="17"/>
                <w:color w:val="auto"/>
              </w:rPr>
              <w:t>Other assets (*)</w:t>
            </w:r>
          </w:p>
        </w:tc>
        <w:tc>
          <w:tcPr>
            <w:tcW w:w="1100" w:type="dxa"/>
            <w:vAlign w:val="bottom"/>
            <w:gridSpan w:val="2"/>
          </w:tcPr>
          <w:p>
            <w:pPr>
              <w:jc w:val="right"/>
              <w:ind w:right="139"/>
              <w:spacing w:after="0"/>
              <w:rPr>
                <w:sz w:val="20"/>
                <w:szCs w:val="20"/>
                <w:color w:val="auto"/>
              </w:rPr>
            </w:pPr>
            <w:r>
              <w:rPr>
                <w:rFonts w:ascii="Arial" w:cs="Arial" w:eastAsia="Arial" w:hAnsi="Arial"/>
                <w:sz w:val="17"/>
                <w:szCs w:val="17"/>
                <w:color w:val="auto"/>
              </w:rPr>
              <w:t>373,946</w:t>
            </w:r>
          </w:p>
        </w:tc>
        <w:tc>
          <w:tcPr>
            <w:tcW w:w="1200" w:type="dxa"/>
            <w:vAlign w:val="bottom"/>
            <w:gridSpan w:val="2"/>
          </w:tcPr>
          <w:p>
            <w:pPr>
              <w:jc w:val="right"/>
              <w:ind w:right="139"/>
              <w:spacing w:after="0"/>
              <w:rPr>
                <w:sz w:val="20"/>
                <w:szCs w:val="20"/>
                <w:color w:val="auto"/>
              </w:rPr>
            </w:pPr>
            <w:r>
              <w:rPr>
                <w:rFonts w:ascii="Arial" w:cs="Arial" w:eastAsia="Arial" w:hAnsi="Arial"/>
                <w:sz w:val="17"/>
                <w:szCs w:val="17"/>
                <w:color w:val="auto"/>
              </w:rPr>
              <w:t>5,590</w:t>
            </w:r>
          </w:p>
        </w:tc>
        <w:tc>
          <w:tcPr>
            <w:tcW w:w="1100" w:type="dxa"/>
            <w:vAlign w:val="bottom"/>
            <w:gridSpan w:val="2"/>
          </w:tcPr>
          <w:p>
            <w:pPr>
              <w:jc w:val="right"/>
              <w:ind w:right="139"/>
              <w:spacing w:after="0"/>
              <w:rPr>
                <w:sz w:val="20"/>
                <w:szCs w:val="20"/>
                <w:color w:val="auto"/>
              </w:rPr>
            </w:pPr>
            <w:r>
              <w:rPr>
                <w:rFonts w:ascii="Arial" w:cs="Arial" w:eastAsia="Arial" w:hAnsi="Arial"/>
                <w:sz w:val="17"/>
                <w:szCs w:val="17"/>
                <w:color w:val="auto"/>
              </w:rPr>
              <w:t>12,537</w:t>
            </w:r>
          </w:p>
        </w:tc>
        <w:tc>
          <w:tcPr>
            <w:tcW w:w="900" w:type="dxa"/>
            <w:vAlign w:val="bottom"/>
          </w:tcPr>
          <w:p>
            <w:pPr>
              <w:jc w:val="right"/>
              <w:spacing w:after="0"/>
              <w:rPr>
                <w:sz w:val="20"/>
                <w:szCs w:val="20"/>
                <w:color w:val="auto"/>
              </w:rPr>
            </w:pPr>
            <w:r>
              <w:rPr>
                <w:rFonts w:ascii="Arial" w:cs="Arial" w:eastAsia="Arial" w:hAnsi="Arial"/>
                <w:sz w:val="17"/>
                <w:szCs w:val="17"/>
                <w:color w:val="auto"/>
              </w:rPr>
              <w:t>7,024</w:t>
            </w:r>
          </w:p>
        </w:tc>
        <w:tc>
          <w:tcPr>
            <w:tcW w:w="20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8,533,348</w:t>
            </w:r>
          </w:p>
        </w:tc>
        <w:tc>
          <w:tcPr>
            <w:tcW w:w="200" w:type="dxa"/>
            <w:vAlign w:val="bottom"/>
          </w:tcPr>
          <w:p>
            <w:pPr>
              <w:spacing w:after="0"/>
              <w:rPr>
                <w:sz w:val="19"/>
                <w:szCs w:val="19"/>
                <w:color w:val="auto"/>
              </w:rPr>
            </w:pPr>
          </w:p>
        </w:tc>
        <w:tc>
          <w:tcPr>
            <w:tcW w:w="1080" w:type="dxa"/>
            <w:vAlign w:val="bottom"/>
            <w:gridSpan w:val="2"/>
          </w:tcPr>
          <w:p>
            <w:pPr>
              <w:jc w:val="right"/>
              <w:ind w:right="19"/>
              <w:spacing w:after="0"/>
              <w:rPr>
                <w:sz w:val="20"/>
                <w:szCs w:val="20"/>
                <w:color w:val="auto"/>
              </w:rPr>
            </w:pPr>
            <w:r>
              <w:rPr>
                <w:rFonts w:ascii="Arial" w:cs="Arial" w:eastAsia="Arial" w:hAnsi="Arial"/>
                <w:sz w:val="17"/>
                <w:szCs w:val="17"/>
                <w:color w:val="auto"/>
              </w:rPr>
              <w:t>8,932,445</w:t>
            </w:r>
          </w:p>
        </w:tc>
      </w:tr>
      <w:tr>
        <w:trPr>
          <w:trHeight w:val="201"/>
        </w:trPr>
        <w:tc>
          <w:tcPr>
            <w:tcW w:w="35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7"/>
                <w:szCs w:val="17"/>
                <w:b w:val="1"/>
                <w:bCs w:val="1"/>
                <w:color w:val="auto"/>
              </w:rPr>
              <w:t>Total assets</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20,675,126</w:t>
            </w: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18,670,755</w:t>
            </w: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30,498,682</w:t>
            </w: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46,535,073</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20,188,224</w:t>
            </w: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15,852,343</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152,420,203</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r>
      <w:tr>
        <w:trPr>
          <w:trHeight w:val="20"/>
        </w:trPr>
        <w:tc>
          <w:tcPr>
            <w:tcW w:w="35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7"/>
        </w:trPr>
        <w:tc>
          <w:tcPr>
            <w:tcW w:w="35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08"/>
        </w:trPr>
        <w:tc>
          <w:tcPr>
            <w:tcW w:w="352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Liabilities</w:t>
            </w: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8"/>
        </w:trPr>
        <w:tc>
          <w:tcPr>
            <w:tcW w:w="3520" w:type="dxa"/>
            <w:vAlign w:val="bottom"/>
          </w:tcPr>
          <w:p>
            <w:pPr>
              <w:spacing w:after="0"/>
              <w:rPr>
                <w:sz w:val="20"/>
                <w:szCs w:val="20"/>
                <w:color w:val="auto"/>
              </w:rPr>
            </w:pPr>
            <w:r>
              <w:rPr>
                <w:rFonts w:ascii="Arial" w:cs="Arial" w:eastAsia="Arial" w:hAnsi="Arial"/>
                <w:sz w:val="17"/>
                <w:szCs w:val="17"/>
                <w:color w:val="auto"/>
              </w:rPr>
              <w:t>Deposits and obligations</w:t>
            </w:r>
          </w:p>
        </w:tc>
        <w:tc>
          <w:tcPr>
            <w:tcW w:w="1100" w:type="dxa"/>
            <w:vAlign w:val="bottom"/>
            <w:gridSpan w:val="2"/>
          </w:tcPr>
          <w:p>
            <w:pPr>
              <w:jc w:val="right"/>
              <w:ind w:right="139"/>
              <w:spacing w:after="0"/>
              <w:rPr>
                <w:sz w:val="20"/>
                <w:szCs w:val="20"/>
                <w:color w:val="auto"/>
              </w:rPr>
            </w:pPr>
            <w:r>
              <w:rPr>
                <w:rFonts w:ascii="Arial" w:cs="Arial" w:eastAsia="Arial" w:hAnsi="Arial"/>
                <w:sz w:val="17"/>
                <w:szCs w:val="17"/>
                <w:color w:val="auto"/>
              </w:rPr>
              <w:t>22,908,852</w:t>
            </w:r>
          </w:p>
        </w:tc>
        <w:tc>
          <w:tcPr>
            <w:tcW w:w="1200" w:type="dxa"/>
            <w:vAlign w:val="bottom"/>
            <w:gridSpan w:val="2"/>
          </w:tcPr>
          <w:p>
            <w:pPr>
              <w:jc w:val="right"/>
              <w:ind w:right="139"/>
              <w:spacing w:after="0"/>
              <w:rPr>
                <w:sz w:val="20"/>
                <w:szCs w:val="20"/>
                <w:color w:val="auto"/>
              </w:rPr>
            </w:pPr>
            <w:r>
              <w:rPr>
                <w:rFonts w:ascii="Arial" w:cs="Arial" w:eastAsia="Arial" w:hAnsi="Arial"/>
                <w:sz w:val="17"/>
                <w:szCs w:val="17"/>
                <w:color w:val="auto"/>
              </w:rPr>
              <w:t>8,273,520</w:t>
            </w:r>
          </w:p>
        </w:tc>
        <w:tc>
          <w:tcPr>
            <w:tcW w:w="1100" w:type="dxa"/>
            <w:vAlign w:val="bottom"/>
            <w:gridSpan w:val="2"/>
          </w:tcPr>
          <w:p>
            <w:pPr>
              <w:jc w:val="right"/>
              <w:ind w:right="139"/>
              <w:spacing w:after="0"/>
              <w:rPr>
                <w:sz w:val="20"/>
                <w:szCs w:val="20"/>
                <w:color w:val="auto"/>
              </w:rPr>
            </w:pPr>
            <w:r>
              <w:rPr>
                <w:rFonts w:ascii="Arial" w:cs="Arial" w:eastAsia="Arial" w:hAnsi="Arial"/>
                <w:sz w:val="17"/>
                <w:szCs w:val="17"/>
                <w:color w:val="auto"/>
              </w:rPr>
              <w:t>15,162,216</w:t>
            </w:r>
          </w:p>
        </w:tc>
        <w:tc>
          <w:tcPr>
            <w:tcW w:w="1100" w:type="dxa"/>
            <w:vAlign w:val="bottom"/>
            <w:gridSpan w:val="2"/>
          </w:tcPr>
          <w:p>
            <w:pPr>
              <w:jc w:val="right"/>
              <w:ind w:right="119"/>
              <w:spacing w:after="0"/>
              <w:rPr>
                <w:sz w:val="20"/>
                <w:szCs w:val="20"/>
                <w:color w:val="auto"/>
              </w:rPr>
            </w:pPr>
            <w:r>
              <w:rPr>
                <w:rFonts w:ascii="Arial" w:cs="Arial" w:eastAsia="Arial" w:hAnsi="Arial"/>
                <w:sz w:val="17"/>
                <w:szCs w:val="17"/>
                <w:color w:val="auto"/>
              </w:rPr>
              <w:t>32,654,763</w:t>
            </w:r>
          </w:p>
        </w:tc>
        <w:tc>
          <w:tcPr>
            <w:tcW w:w="1160" w:type="dxa"/>
            <w:vAlign w:val="bottom"/>
            <w:gridSpan w:val="2"/>
          </w:tcPr>
          <w:p>
            <w:pPr>
              <w:jc w:val="right"/>
              <w:ind w:right="220"/>
              <w:spacing w:after="0"/>
              <w:rPr>
                <w:sz w:val="20"/>
                <w:szCs w:val="20"/>
                <w:color w:val="auto"/>
              </w:rPr>
            </w:pPr>
            <w:r>
              <w:rPr>
                <w:rFonts w:ascii="Arial" w:cs="Arial" w:eastAsia="Arial" w:hAnsi="Arial"/>
                <w:sz w:val="17"/>
                <w:szCs w:val="17"/>
                <w:color w:val="auto"/>
              </w:rPr>
              <w:t>4,970,689</w:t>
            </w:r>
          </w:p>
        </w:tc>
        <w:tc>
          <w:tcPr>
            <w:tcW w:w="960" w:type="dxa"/>
            <w:vAlign w:val="bottom"/>
          </w:tcPr>
          <w:p>
            <w:pPr>
              <w:jc w:val="right"/>
              <w:spacing w:after="0"/>
              <w:rPr>
                <w:sz w:val="20"/>
                <w:szCs w:val="20"/>
                <w:color w:val="auto"/>
              </w:rPr>
            </w:pPr>
            <w:r>
              <w:rPr>
                <w:rFonts w:ascii="Arial" w:cs="Arial" w:eastAsia="Arial" w:hAnsi="Arial"/>
                <w:sz w:val="17"/>
                <w:szCs w:val="17"/>
                <w:color w:val="auto"/>
              </w:rPr>
              <w:t>1,946,347</w:t>
            </w:r>
          </w:p>
        </w:tc>
        <w:tc>
          <w:tcPr>
            <w:tcW w:w="200" w:type="dxa"/>
            <w:vAlign w:val="bottom"/>
          </w:tcPr>
          <w:p>
            <w:pPr>
              <w:spacing w:after="0"/>
              <w:rPr>
                <w:sz w:val="18"/>
                <w:szCs w:val="18"/>
                <w:color w:val="auto"/>
              </w:rPr>
            </w:pPr>
          </w:p>
        </w:tc>
        <w:tc>
          <w:tcPr>
            <w:tcW w:w="1080" w:type="dxa"/>
            <w:vAlign w:val="bottom"/>
            <w:gridSpan w:val="2"/>
          </w:tcPr>
          <w:p>
            <w:pPr>
              <w:jc w:val="right"/>
              <w:ind w:right="19"/>
              <w:spacing w:after="0"/>
              <w:rPr>
                <w:sz w:val="20"/>
                <w:szCs w:val="20"/>
                <w:color w:val="auto"/>
              </w:rPr>
            </w:pPr>
            <w:r>
              <w:rPr>
                <w:rFonts w:ascii="Arial" w:cs="Arial" w:eastAsia="Arial" w:hAnsi="Arial"/>
                <w:sz w:val="17"/>
                <w:szCs w:val="17"/>
                <w:color w:val="auto"/>
              </w:rPr>
              <w:t>85,916,387</w:t>
            </w:r>
          </w:p>
        </w:tc>
      </w:tr>
      <w:tr>
        <w:trPr>
          <w:trHeight w:val="195"/>
        </w:trPr>
        <w:tc>
          <w:tcPr>
            <w:tcW w:w="3520" w:type="dxa"/>
            <w:vAlign w:val="bottom"/>
            <w:shd w:val="clear" w:color="auto" w:fill="CCEEFF"/>
          </w:tcPr>
          <w:p>
            <w:pPr>
              <w:spacing w:after="0"/>
              <w:rPr>
                <w:sz w:val="20"/>
                <w:szCs w:val="20"/>
                <w:color w:val="auto"/>
              </w:rPr>
            </w:pPr>
            <w:r>
              <w:rPr>
                <w:rFonts w:ascii="Arial" w:cs="Arial" w:eastAsia="Arial" w:hAnsi="Arial"/>
                <w:sz w:val="17"/>
                <w:szCs w:val="17"/>
                <w:color w:val="auto"/>
                <w:w w:val="96"/>
              </w:rPr>
              <w:t>Payables from repurchase agreements, security</w:t>
            </w:r>
          </w:p>
        </w:tc>
        <w:tc>
          <w:tcPr>
            <w:tcW w:w="8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08"/>
        </w:trPr>
        <w:tc>
          <w:tcPr>
            <w:tcW w:w="3520" w:type="dxa"/>
            <w:vAlign w:val="bottom"/>
            <w:shd w:val="clear" w:color="auto" w:fill="CCEEFF"/>
          </w:tcPr>
          <w:p>
            <w:pPr>
              <w:spacing w:after="0"/>
              <w:rPr>
                <w:sz w:val="20"/>
                <w:szCs w:val="20"/>
                <w:color w:val="auto"/>
              </w:rPr>
            </w:pPr>
            <w:r>
              <w:rPr>
                <w:rFonts w:ascii="Arial" w:cs="Arial" w:eastAsia="Arial" w:hAnsi="Arial"/>
                <w:sz w:val="17"/>
                <w:szCs w:val="17"/>
                <w:color w:val="auto"/>
                <w:w w:val="96"/>
              </w:rPr>
              <w:t>lending and due to banks and correspondents to</w:t>
            </w: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0"/>
        </w:trPr>
        <w:tc>
          <w:tcPr>
            <w:tcW w:w="3520" w:type="dxa"/>
            <w:vAlign w:val="bottom"/>
            <w:shd w:val="clear" w:color="auto" w:fill="CCEEFF"/>
          </w:tcPr>
          <w:p>
            <w:pPr>
              <w:spacing w:after="0"/>
              <w:rPr>
                <w:sz w:val="20"/>
                <w:szCs w:val="20"/>
                <w:color w:val="auto"/>
              </w:rPr>
            </w:pPr>
            <w:r>
              <w:rPr>
                <w:rFonts w:ascii="Arial" w:cs="Arial" w:eastAsia="Arial" w:hAnsi="Arial"/>
                <w:sz w:val="17"/>
                <w:szCs w:val="17"/>
                <w:color w:val="auto"/>
              </w:rPr>
              <w:t>banks and correspondents</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2,765,720</w:t>
            </w:r>
          </w:p>
        </w:tc>
        <w:tc>
          <w:tcPr>
            <w:tcW w:w="2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39"/>
              <w:spacing w:after="0"/>
              <w:rPr>
                <w:sz w:val="20"/>
                <w:szCs w:val="20"/>
                <w:color w:val="auto"/>
              </w:rPr>
            </w:pPr>
            <w:r>
              <w:rPr>
                <w:rFonts w:ascii="Arial" w:cs="Arial" w:eastAsia="Arial" w:hAnsi="Arial"/>
                <w:sz w:val="17"/>
                <w:szCs w:val="17"/>
                <w:color w:val="auto"/>
              </w:rPr>
              <w:t>2,031,097</w:t>
            </w:r>
          </w:p>
        </w:tc>
        <w:tc>
          <w:tcPr>
            <w:tcW w:w="1100" w:type="dxa"/>
            <w:vAlign w:val="bottom"/>
            <w:gridSpan w:val="2"/>
            <w:shd w:val="clear" w:color="auto" w:fill="CCEEFF"/>
          </w:tcPr>
          <w:p>
            <w:pPr>
              <w:jc w:val="right"/>
              <w:ind w:right="139"/>
              <w:spacing w:after="0"/>
              <w:rPr>
                <w:sz w:val="20"/>
                <w:szCs w:val="20"/>
                <w:color w:val="auto"/>
              </w:rPr>
            </w:pPr>
            <w:r>
              <w:rPr>
                <w:rFonts w:ascii="Arial" w:cs="Arial" w:eastAsia="Arial" w:hAnsi="Arial"/>
                <w:sz w:val="17"/>
                <w:szCs w:val="17"/>
                <w:color w:val="auto"/>
              </w:rPr>
              <w:t>5,747,611</w:t>
            </w:r>
          </w:p>
        </w:tc>
        <w:tc>
          <w:tcPr>
            <w:tcW w:w="1100" w:type="dxa"/>
            <w:vAlign w:val="bottom"/>
            <w:gridSpan w:val="2"/>
            <w:shd w:val="clear" w:color="auto" w:fill="CCEEFF"/>
          </w:tcPr>
          <w:p>
            <w:pPr>
              <w:jc w:val="right"/>
              <w:ind w:right="119"/>
              <w:spacing w:after="0"/>
              <w:rPr>
                <w:sz w:val="20"/>
                <w:szCs w:val="20"/>
                <w:color w:val="auto"/>
              </w:rPr>
            </w:pPr>
            <w:r>
              <w:rPr>
                <w:rFonts w:ascii="Arial" w:cs="Arial" w:eastAsia="Arial" w:hAnsi="Arial"/>
                <w:sz w:val="17"/>
                <w:szCs w:val="17"/>
                <w:color w:val="auto"/>
              </w:rPr>
              <w:t>10,146,210</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1,825,048</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106,229</w:t>
            </w:r>
          </w:p>
        </w:tc>
        <w:tc>
          <w:tcPr>
            <w:tcW w:w="2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9"/>
              <w:spacing w:after="0"/>
              <w:rPr>
                <w:sz w:val="20"/>
                <w:szCs w:val="20"/>
                <w:color w:val="auto"/>
              </w:rPr>
            </w:pPr>
            <w:r>
              <w:rPr>
                <w:rFonts w:ascii="Arial" w:cs="Arial" w:eastAsia="Arial" w:hAnsi="Arial"/>
                <w:sz w:val="17"/>
                <w:szCs w:val="17"/>
                <w:color w:val="auto"/>
              </w:rPr>
              <w:t>22,621,915</w:t>
            </w:r>
          </w:p>
        </w:tc>
      </w:tr>
      <w:tr>
        <w:trPr>
          <w:trHeight w:val="208"/>
        </w:trPr>
        <w:tc>
          <w:tcPr>
            <w:tcW w:w="3520" w:type="dxa"/>
            <w:vAlign w:val="bottom"/>
          </w:tcPr>
          <w:p>
            <w:pPr>
              <w:spacing w:after="0"/>
              <w:rPr>
                <w:sz w:val="20"/>
                <w:szCs w:val="20"/>
                <w:color w:val="auto"/>
              </w:rPr>
            </w:pPr>
            <w:r>
              <w:rPr>
                <w:rFonts w:ascii="Arial" w:cs="Arial" w:eastAsia="Arial" w:hAnsi="Arial"/>
                <w:sz w:val="17"/>
                <w:szCs w:val="17"/>
                <w:color w:val="auto"/>
              </w:rPr>
              <w:t>Accounts payable to reinsurers</w:t>
            </w:r>
          </w:p>
        </w:tc>
        <w:tc>
          <w:tcPr>
            <w:tcW w:w="1100" w:type="dxa"/>
            <w:vAlign w:val="bottom"/>
            <w:gridSpan w:val="2"/>
          </w:tcPr>
          <w:p>
            <w:pPr>
              <w:jc w:val="right"/>
              <w:ind w:right="139"/>
              <w:spacing w:after="0"/>
              <w:rPr>
                <w:sz w:val="20"/>
                <w:szCs w:val="20"/>
                <w:color w:val="auto"/>
              </w:rPr>
            </w:pPr>
            <w:r>
              <w:rPr>
                <w:rFonts w:ascii="Arial" w:cs="Arial" w:eastAsia="Arial" w:hAnsi="Arial"/>
                <w:sz w:val="17"/>
                <w:szCs w:val="17"/>
                <w:color w:val="auto"/>
              </w:rPr>
              <w:t>32,963</w:t>
            </w:r>
          </w:p>
        </w:tc>
        <w:tc>
          <w:tcPr>
            <w:tcW w:w="1200" w:type="dxa"/>
            <w:vAlign w:val="bottom"/>
            <w:gridSpan w:val="2"/>
          </w:tcPr>
          <w:p>
            <w:pPr>
              <w:jc w:val="right"/>
              <w:ind w:right="139"/>
              <w:spacing w:after="0"/>
              <w:rPr>
                <w:sz w:val="20"/>
                <w:szCs w:val="20"/>
                <w:color w:val="auto"/>
              </w:rPr>
            </w:pPr>
            <w:r>
              <w:rPr>
                <w:rFonts w:ascii="Arial" w:cs="Arial" w:eastAsia="Arial" w:hAnsi="Arial"/>
                <w:sz w:val="17"/>
                <w:szCs w:val="17"/>
                <w:color w:val="auto"/>
              </w:rPr>
              <w:t>158,957</w:t>
            </w:r>
          </w:p>
        </w:tc>
        <w:tc>
          <w:tcPr>
            <w:tcW w:w="1100" w:type="dxa"/>
            <w:vAlign w:val="bottom"/>
            <w:gridSpan w:val="2"/>
          </w:tcPr>
          <w:p>
            <w:pPr>
              <w:jc w:val="right"/>
              <w:ind w:right="139"/>
              <w:spacing w:after="0"/>
              <w:rPr>
                <w:sz w:val="20"/>
                <w:szCs w:val="20"/>
                <w:color w:val="auto"/>
              </w:rPr>
            </w:pPr>
            <w:r>
              <w:rPr>
                <w:rFonts w:ascii="Arial" w:cs="Arial" w:eastAsia="Arial" w:hAnsi="Arial"/>
                <w:sz w:val="17"/>
                <w:szCs w:val="17"/>
                <w:color w:val="auto"/>
              </w:rPr>
              <w:t>36,633</w:t>
            </w:r>
          </w:p>
        </w:tc>
        <w:tc>
          <w:tcPr>
            <w:tcW w:w="900" w:type="dxa"/>
            <w:vAlign w:val="bottom"/>
          </w:tcPr>
          <w:p>
            <w:pPr>
              <w:jc w:val="right"/>
              <w:spacing w:after="0"/>
              <w:rPr>
                <w:sz w:val="20"/>
                <w:szCs w:val="20"/>
                <w:color w:val="auto"/>
              </w:rPr>
            </w:pPr>
            <w:r>
              <w:rPr>
                <w:rFonts w:ascii="Arial" w:cs="Arial" w:eastAsia="Arial" w:hAnsi="Arial"/>
                <w:sz w:val="17"/>
                <w:szCs w:val="17"/>
                <w:color w:val="auto"/>
              </w:rPr>
              <w:t>5,339</w:t>
            </w:r>
          </w:p>
        </w:tc>
        <w:tc>
          <w:tcPr>
            <w:tcW w:w="20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8"/>
                <w:szCs w:val="18"/>
                <w:color w:val="auto"/>
              </w:rPr>
            </w:pPr>
          </w:p>
        </w:tc>
        <w:tc>
          <w:tcPr>
            <w:tcW w:w="1080" w:type="dxa"/>
            <w:vAlign w:val="bottom"/>
            <w:gridSpan w:val="2"/>
          </w:tcPr>
          <w:p>
            <w:pPr>
              <w:jc w:val="right"/>
              <w:ind w:right="19"/>
              <w:spacing w:after="0"/>
              <w:rPr>
                <w:sz w:val="20"/>
                <w:szCs w:val="20"/>
                <w:color w:val="auto"/>
              </w:rPr>
            </w:pPr>
            <w:r>
              <w:rPr>
                <w:rFonts w:ascii="Arial" w:cs="Arial" w:eastAsia="Arial" w:hAnsi="Arial"/>
                <w:sz w:val="17"/>
                <w:szCs w:val="17"/>
                <w:color w:val="auto"/>
              </w:rPr>
              <w:t>233,892</w:t>
            </w:r>
          </w:p>
        </w:tc>
      </w:tr>
      <w:tr>
        <w:trPr>
          <w:trHeight w:val="195"/>
        </w:trPr>
        <w:tc>
          <w:tcPr>
            <w:tcW w:w="3520" w:type="dxa"/>
            <w:vAlign w:val="bottom"/>
            <w:shd w:val="clear" w:color="auto" w:fill="CCEEFF"/>
          </w:tcPr>
          <w:p>
            <w:pPr>
              <w:spacing w:after="0"/>
              <w:rPr>
                <w:sz w:val="20"/>
                <w:szCs w:val="20"/>
                <w:color w:val="auto"/>
              </w:rPr>
            </w:pPr>
            <w:r>
              <w:rPr>
                <w:rFonts w:ascii="Arial" w:cs="Arial" w:eastAsia="Arial" w:hAnsi="Arial"/>
                <w:sz w:val="17"/>
                <w:szCs w:val="17"/>
                <w:color w:val="auto"/>
              </w:rPr>
              <w:t>Technical, insurance claims reserves and</w:t>
            </w:r>
          </w:p>
        </w:tc>
        <w:tc>
          <w:tcPr>
            <w:tcW w:w="8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20"/>
        </w:trPr>
        <w:tc>
          <w:tcPr>
            <w:tcW w:w="3520" w:type="dxa"/>
            <w:vAlign w:val="bottom"/>
            <w:shd w:val="clear" w:color="auto" w:fill="CCEEFF"/>
          </w:tcPr>
          <w:p>
            <w:pPr>
              <w:spacing w:after="0"/>
              <w:rPr>
                <w:sz w:val="20"/>
                <w:szCs w:val="20"/>
                <w:color w:val="auto"/>
              </w:rPr>
            </w:pPr>
            <w:r>
              <w:rPr>
                <w:rFonts w:ascii="Arial" w:cs="Arial" w:eastAsia="Arial" w:hAnsi="Arial"/>
                <w:sz w:val="17"/>
                <w:szCs w:val="17"/>
                <w:color w:val="auto"/>
              </w:rPr>
              <w:t>reserves for unearned premiums</w:t>
            </w:r>
          </w:p>
        </w:tc>
        <w:tc>
          <w:tcPr>
            <w:tcW w:w="1100" w:type="dxa"/>
            <w:vAlign w:val="bottom"/>
            <w:gridSpan w:val="2"/>
            <w:shd w:val="clear" w:color="auto" w:fill="CCEEFF"/>
          </w:tcPr>
          <w:p>
            <w:pPr>
              <w:jc w:val="right"/>
              <w:ind w:right="139"/>
              <w:spacing w:after="0"/>
              <w:rPr>
                <w:sz w:val="20"/>
                <w:szCs w:val="20"/>
                <w:color w:val="auto"/>
              </w:rPr>
            </w:pPr>
            <w:r>
              <w:rPr>
                <w:rFonts w:ascii="Arial" w:cs="Arial" w:eastAsia="Arial" w:hAnsi="Arial"/>
                <w:sz w:val="17"/>
                <w:szCs w:val="17"/>
                <w:color w:val="auto"/>
              </w:rPr>
              <w:t>185,671</w:t>
            </w:r>
          </w:p>
        </w:tc>
        <w:tc>
          <w:tcPr>
            <w:tcW w:w="1200" w:type="dxa"/>
            <w:vAlign w:val="bottom"/>
            <w:gridSpan w:val="2"/>
            <w:shd w:val="clear" w:color="auto" w:fill="CCEEFF"/>
          </w:tcPr>
          <w:p>
            <w:pPr>
              <w:jc w:val="right"/>
              <w:ind w:right="139"/>
              <w:spacing w:after="0"/>
              <w:rPr>
                <w:sz w:val="20"/>
                <w:szCs w:val="20"/>
                <w:color w:val="auto"/>
              </w:rPr>
            </w:pPr>
            <w:r>
              <w:rPr>
                <w:rFonts w:ascii="Arial" w:cs="Arial" w:eastAsia="Arial" w:hAnsi="Arial"/>
                <w:sz w:val="17"/>
                <w:szCs w:val="17"/>
                <w:color w:val="auto"/>
              </w:rPr>
              <w:t>104,065</w:t>
            </w:r>
          </w:p>
        </w:tc>
        <w:tc>
          <w:tcPr>
            <w:tcW w:w="1100" w:type="dxa"/>
            <w:vAlign w:val="bottom"/>
            <w:gridSpan w:val="2"/>
            <w:shd w:val="clear" w:color="auto" w:fill="CCEEFF"/>
          </w:tcPr>
          <w:p>
            <w:pPr>
              <w:jc w:val="right"/>
              <w:ind w:right="139"/>
              <w:spacing w:after="0"/>
              <w:rPr>
                <w:sz w:val="20"/>
                <w:szCs w:val="20"/>
                <w:color w:val="auto"/>
              </w:rPr>
            </w:pPr>
            <w:r>
              <w:rPr>
                <w:rFonts w:ascii="Arial" w:cs="Arial" w:eastAsia="Arial" w:hAnsi="Arial"/>
                <w:sz w:val="17"/>
                <w:szCs w:val="17"/>
                <w:color w:val="auto"/>
              </w:rPr>
              <w:t>396,609</w:t>
            </w:r>
          </w:p>
        </w:tc>
        <w:tc>
          <w:tcPr>
            <w:tcW w:w="1100" w:type="dxa"/>
            <w:vAlign w:val="bottom"/>
            <w:gridSpan w:val="2"/>
            <w:shd w:val="clear" w:color="auto" w:fill="CCEEFF"/>
          </w:tcPr>
          <w:p>
            <w:pPr>
              <w:jc w:val="right"/>
              <w:ind w:right="119"/>
              <w:spacing w:after="0"/>
              <w:rPr>
                <w:sz w:val="20"/>
                <w:szCs w:val="20"/>
                <w:color w:val="auto"/>
              </w:rPr>
            </w:pPr>
            <w:r>
              <w:rPr>
                <w:rFonts w:ascii="Arial" w:cs="Arial" w:eastAsia="Arial" w:hAnsi="Arial"/>
                <w:sz w:val="17"/>
                <w:szCs w:val="17"/>
                <w:color w:val="auto"/>
              </w:rPr>
              <w:t>1,730,011</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3,637,198</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732,635</w:t>
            </w:r>
          </w:p>
        </w:tc>
        <w:tc>
          <w:tcPr>
            <w:tcW w:w="2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9"/>
              <w:spacing w:after="0"/>
              <w:rPr>
                <w:sz w:val="20"/>
                <w:szCs w:val="20"/>
                <w:color w:val="auto"/>
              </w:rPr>
            </w:pPr>
            <w:r>
              <w:rPr>
                <w:rFonts w:ascii="Arial" w:cs="Arial" w:eastAsia="Arial" w:hAnsi="Arial"/>
                <w:sz w:val="17"/>
                <w:szCs w:val="17"/>
                <w:color w:val="auto"/>
              </w:rPr>
              <w:t>6,786,189</w:t>
            </w:r>
          </w:p>
        </w:tc>
      </w:tr>
      <w:tr>
        <w:trPr>
          <w:trHeight w:val="195"/>
        </w:trPr>
        <w:tc>
          <w:tcPr>
            <w:tcW w:w="3520" w:type="dxa"/>
            <w:vAlign w:val="bottom"/>
          </w:tcPr>
          <w:p>
            <w:pPr>
              <w:spacing w:after="0"/>
              <w:rPr>
                <w:sz w:val="20"/>
                <w:szCs w:val="20"/>
                <w:color w:val="auto"/>
              </w:rPr>
            </w:pPr>
            <w:r>
              <w:rPr>
                <w:rFonts w:ascii="Arial" w:cs="Arial" w:eastAsia="Arial" w:hAnsi="Arial"/>
                <w:sz w:val="17"/>
                <w:szCs w:val="17"/>
                <w:color w:val="auto"/>
                <w:w w:val="98"/>
              </w:rPr>
              <w:t>Financial liabilities at fair value through profit or</w:t>
            </w: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20"/>
        </w:trPr>
        <w:tc>
          <w:tcPr>
            <w:tcW w:w="3520" w:type="dxa"/>
            <w:vAlign w:val="bottom"/>
          </w:tcPr>
          <w:p>
            <w:pPr>
              <w:spacing w:after="0"/>
              <w:rPr>
                <w:sz w:val="20"/>
                <w:szCs w:val="20"/>
                <w:color w:val="auto"/>
              </w:rPr>
            </w:pPr>
            <w:r>
              <w:rPr>
                <w:rFonts w:ascii="Arial" w:cs="Arial" w:eastAsia="Arial" w:hAnsi="Arial"/>
                <w:sz w:val="17"/>
                <w:szCs w:val="17"/>
                <w:color w:val="auto"/>
              </w:rPr>
              <w:t>loss</w:t>
            </w:r>
          </w:p>
        </w:tc>
        <w:tc>
          <w:tcPr>
            <w:tcW w:w="1100" w:type="dxa"/>
            <w:vAlign w:val="bottom"/>
            <w:gridSpan w:val="2"/>
          </w:tcPr>
          <w:p>
            <w:pPr>
              <w:jc w:val="right"/>
              <w:ind w:right="139"/>
              <w:spacing w:after="0"/>
              <w:rPr>
                <w:sz w:val="20"/>
                <w:szCs w:val="20"/>
                <w:color w:val="auto"/>
              </w:rPr>
            </w:pPr>
            <w:r>
              <w:rPr>
                <w:rFonts w:ascii="Arial" w:cs="Arial" w:eastAsia="Arial" w:hAnsi="Arial"/>
                <w:sz w:val="17"/>
                <w:szCs w:val="17"/>
                <w:color w:val="auto"/>
              </w:rPr>
              <w:t>-</w:t>
            </w:r>
          </w:p>
        </w:tc>
        <w:tc>
          <w:tcPr>
            <w:tcW w:w="1200" w:type="dxa"/>
            <w:vAlign w:val="bottom"/>
            <w:gridSpan w:val="2"/>
          </w:tcPr>
          <w:p>
            <w:pPr>
              <w:jc w:val="right"/>
              <w:ind w:right="139"/>
              <w:spacing w:after="0"/>
              <w:rPr>
                <w:sz w:val="20"/>
                <w:szCs w:val="20"/>
                <w:color w:val="auto"/>
              </w:rPr>
            </w:pPr>
            <w:r>
              <w:rPr>
                <w:rFonts w:ascii="Arial" w:cs="Arial" w:eastAsia="Arial" w:hAnsi="Arial"/>
                <w:sz w:val="17"/>
                <w:szCs w:val="17"/>
                <w:color w:val="auto"/>
              </w:rPr>
              <w:t>-</w:t>
            </w:r>
          </w:p>
        </w:tc>
        <w:tc>
          <w:tcPr>
            <w:tcW w:w="1100" w:type="dxa"/>
            <w:vAlign w:val="bottom"/>
            <w:gridSpan w:val="2"/>
          </w:tcPr>
          <w:p>
            <w:pPr>
              <w:jc w:val="right"/>
              <w:ind w:right="139"/>
              <w:spacing w:after="0"/>
              <w:rPr>
                <w:sz w:val="20"/>
                <w:szCs w:val="20"/>
                <w:color w:val="auto"/>
              </w:rPr>
            </w:pPr>
            <w:r>
              <w:rPr>
                <w:rFonts w:ascii="Arial" w:cs="Arial" w:eastAsia="Arial" w:hAnsi="Arial"/>
                <w:sz w:val="17"/>
                <w:szCs w:val="17"/>
                <w:color w:val="auto"/>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209,520</w:t>
            </w:r>
          </w:p>
        </w:tc>
        <w:tc>
          <w:tcPr>
            <w:tcW w:w="200" w:type="dxa"/>
            <w:vAlign w:val="bottom"/>
          </w:tcPr>
          <w:p>
            <w:pPr>
              <w:spacing w:after="0"/>
              <w:rPr>
                <w:sz w:val="19"/>
                <w:szCs w:val="19"/>
                <w:color w:val="auto"/>
              </w:rPr>
            </w:pPr>
          </w:p>
        </w:tc>
        <w:tc>
          <w:tcPr>
            <w:tcW w:w="1080" w:type="dxa"/>
            <w:vAlign w:val="bottom"/>
            <w:gridSpan w:val="2"/>
          </w:tcPr>
          <w:p>
            <w:pPr>
              <w:jc w:val="right"/>
              <w:ind w:right="19"/>
              <w:spacing w:after="0"/>
              <w:rPr>
                <w:sz w:val="20"/>
                <w:szCs w:val="20"/>
                <w:color w:val="auto"/>
              </w:rPr>
            </w:pPr>
            <w:r>
              <w:rPr>
                <w:rFonts w:ascii="Arial" w:cs="Arial" w:eastAsia="Arial" w:hAnsi="Arial"/>
                <w:sz w:val="17"/>
                <w:szCs w:val="17"/>
                <w:color w:val="auto"/>
              </w:rPr>
              <w:t>209,520</w:t>
            </w:r>
          </w:p>
        </w:tc>
      </w:tr>
      <w:tr>
        <w:trPr>
          <w:trHeight w:val="208"/>
        </w:trPr>
        <w:tc>
          <w:tcPr>
            <w:tcW w:w="3520" w:type="dxa"/>
            <w:vAlign w:val="bottom"/>
            <w:shd w:val="clear" w:color="auto" w:fill="CCEEFF"/>
          </w:tcPr>
          <w:p>
            <w:pPr>
              <w:spacing w:after="0"/>
              <w:rPr>
                <w:sz w:val="20"/>
                <w:szCs w:val="20"/>
                <w:color w:val="auto"/>
              </w:rPr>
            </w:pPr>
            <w:r>
              <w:rPr>
                <w:rFonts w:ascii="Arial" w:cs="Arial" w:eastAsia="Arial" w:hAnsi="Arial"/>
                <w:sz w:val="17"/>
                <w:szCs w:val="17"/>
                <w:color w:val="auto"/>
              </w:rPr>
              <w:t>Bonds and notes issued</w:t>
            </w:r>
          </w:p>
        </w:tc>
        <w:tc>
          <w:tcPr>
            <w:tcW w:w="1100" w:type="dxa"/>
            <w:vAlign w:val="bottom"/>
            <w:gridSpan w:val="2"/>
            <w:shd w:val="clear" w:color="auto" w:fill="CCEEFF"/>
          </w:tcPr>
          <w:p>
            <w:pPr>
              <w:jc w:val="right"/>
              <w:ind w:right="139"/>
              <w:spacing w:after="0"/>
              <w:rPr>
                <w:sz w:val="20"/>
                <w:szCs w:val="20"/>
                <w:color w:val="auto"/>
              </w:rPr>
            </w:pPr>
            <w:r>
              <w:rPr>
                <w:rFonts w:ascii="Arial" w:cs="Arial" w:eastAsia="Arial" w:hAnsi="Arial"/>
                <w:sz w:val="17"/>
                <w:szCs w:val="17"/>
                <w:color w:val="auto"/>
              </w:rPr>
              <w:t>52,366</w:t>
            </w:r>
          </w:p>
        </w:tc>
        <w:tc>
          <w:tcPr>
            <w:tcW w:w="1200" w:type="dxa"/>
            <w:vAlign w:val="bottom"/>
            <w:gridSpan w:val="2"/>
            <w:shd w:val="clear" w:color="auto" w:fill="CCEEFF"/>
          </w:tcPr>
          <w:p>
            <w:pPr>
              <w:jc w:val="right"/>
              <w:ind w:right="139"/>
              <w:spacing w:after="0"/>
              <w:rPr>
                <w:sz w:val="20"/>
                <w:szCs w:val="20"/>
                <w:color w:val="auto"/>
              </w:rPr>
            </w:pPr>
            <w:r>
              <w:rPr>
                <w:rFonts w:ascii="Arial" w:cs="Arial" w:eastAsia="Arial" w:hAnsi="Arial"/>
                <w:sz w:val="17"/>
                <w:szCs w:val="17"/>
                <w:color w:val="auto"/>
              </w:rPr>
              <w:t>40,792</w:t>
            </w:r>
          </w:p>
        </w:tc>
        <w:tc>
          <w:tcPr>
            <w:tcW w:w="1100" w:type="dxa"/>
            <w:vAlign w:val="bottom"/>
            <w:gridSpan w:val="2"/>
            <w:shd w:val="clear" w:color="auto" w:fill="CCEEFF"/>
          </w:tcPr>
          <w:p>
            <w:pPr>
              <w:jc w:val="right"/>
              <w:ind w:right="139"/>
              <w:spacing w:after="0"/>
              <w:rPr>
                <w:sz w:val="20"/>
                <w:szCs w:val="20"/>
                <w:color w:val="auto"/>
              </w:rPr>
            </w:pPr>
            <w:r>
              <w:rPr>
                <w:rFonts w:ascii="Arial" w:cs="Arial" w:eastAsia="Arial" w:hAnsi="Arial"/>
                <w:sz w:val="17"/>
                <w:szCs w:val="17"/>
                <w:color w:val="auto"/>
              </w:rPr>
              <w:t>639,238</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8,492,272</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6,226,773</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488,162</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9"/>
              <w:spacing w:after="0"/>
              <w:rPr>
                <w:sz w:val="20"/>
                <w:szCs w:val="20"/>
                <w:color w:val="auto"/>
              </w:rPr>
            </w:pPr>
            <w:r>
              <w:rPr>
                <w:rFonts w:ascii="Arial" w:cs="Arial" w:eastAsia="Arial" w:hAnsi="Arial"/>
                <w:sz w:val="17"/>
                <w:szCs w:val="17"/>
                <w:color w:val="auto"/>
              </w:rPr>
              <w:t>15,939,603</w:t>
            </w:r>
          </w:p>
        </w:tc>
      </w:tr>
      <w:tr>
        <w:trPr>
          <w:trHeight w:val="208"/>
        </w:trPr>
        <w:tc>
          <w:tcPr>
            <w:tcW w:w="3520" w:type="dxa"/>
            <w:vAlign w:val="bottom"/>
          </w:tcPr>
          <w:p>
            <w:pPr>
              <w:spacing w:after="0"/>
              <w:rPr>
                <w:sz w:val="20"/>
                <w:szCs w:val="20"/>
                <w:color w:val="auto"/>
              </w:rPr>
            </w:pPr>
            <w:r>
              <w:rPr>
                <w:rFonts w:ascii="Arial" w:cs="Arial" w:eastAsia="Arial" w:hAnsi="Arial"/>
                <w:sz w:val="17"/>
                <w:szCs w:val="17"/>
                <w:color w:val="auto"/>
              </w:rPr>
              <w:t>Other liabilities (**)</w:t>
            </w:r>
          </w:p>
        </w:tc>
        <w:tc>
          <w:tcPr>
            <w:tcW w:w="1100" w:type="dxa"/>
            <w:vAlign w:val="bottom"/>
            <w:gridSpan w:val="2"/>
          </w:tcPr>
          <w:p>
            <w:pPr>
              <w:jc w:val="right"/>
              <w:ind w:right="139"/>
              <w:spacing w:after="0"/>
              <w:rPr>
                <w:sz w:val="20"/>
                <w:szCs w:val="20"/>
                <w:color w:val="auto"/>
              </w:rPr>
            </w:pPr>
            <w:r>
              <w:rPr>
                <w:rFonts w:ascii="Arial" w:cs="Arial" w:eastAsia="Arial" w:hAnsi="Arial"/>
                <w:sz w:val="17"/>
                <w:szCs w:val="17"/>
                <w:color w:val="auto"/>
              </w:rPr>
              <w:t>446,131</w:t>
            </w:r>
          </w:p>
        </w:tc>
        <w:tc>
          <w:tcPr>
            <w:tcW w:w="1200" w:type="dxa"/>
            <w:vAlign w:val="bottom"/>
            <w:gridSpan w:val="2"/>
          </w:tcPr>
          <w:p>
            <w:pPr>
              <w:jc w:val="right"/>
              <w:ind w:right="139"/>
              <w:spacing w:after="0"/>
              <w:rPr>
                <w:sz w:val="20"/>
                <w:szCs w:val="20"/>
                <w:color w:val="auto"/>
              </w:rPr>
            </w:pPr>
            <w:r>
              <w:rPr>
                <w:rFonts w:ascii="Arial" w:cs="Arial" w:eastAsia="Arial" w:hAnsi="Arial"/>
                <w:sz w:val="17"/>
                <w:szCs w:val="17"/>
                <w:color w:val="auto"/>
              </w:rPr>
              <w:t>1,577</w:t>
            </w:r>
          </w:p>
        </w:tc>
        <w:tc>
          <w:tcPr>
            <w:tcW w:w="1100" w:type="dxa"/>
            <w:vAlign w:val="bottom"/>
            <w:gridSpan w:val="2"/>
          </w:tcPr>
          <w:p>
            <w:pPr>
              <w:jc w:val="right"/>
              <w:ind w:right="139"/>
              <w:spacing w:after="0"/>
              <w:rPr>
                <w:sz w:val="20"/>
                <w:szCs w:val="20"/>
                <w:color w:val="auto"/>
              </w:rPr>
            </w:pPr>
            <w:r>
              <w:rPr>
                <w:rFonts w:ascii="Arial" w:cs="Arial" w:eastAsia="Arial" w:hAnsi="Arial"/>
                <w:sz w:val="17"/>
                <w:szCs w:val="17"/>
                <w:color w:val="auto"/>
              </w:rPr>
              <w:t>218,539</w:t>
            </w:r>
          </w:p>
        </w:tc>
        <w:tc>
          <w:tcPr>
            <w:tcW w:w="900" w:type="dxa"/>
            <w:vAlign w:val="bottom"/>
          </w:tcPr>
          <w:p>
            <w:pPr>
              <w:jc w:val="right"/>
              <w:spacing w:after="0"/>
              <w:rPr>
                <w:sz w:val="20"/>
                <w:szCs w:val="20"/>
                <w:color w:val="auto"/>
              </w:rPr>
            </w:pPr>
            <w:r>
              <w:rPr>
                <w:rFonts w:ascii="Arial" w:cs="Arial" w:eastAsia="Arial" w:hAnsi="Arial"/>
                <w:sz w:val="17"/>
                <w:szCs w:val="17"/>
                <w:color w:val="auto"/>
              </w:rPr>
              <w:t>190,300</w:t>
            </w:r>
          </w:p>
        </w:tc>
        <w:tc>
          <w:tcPr>
            <w:tcW w:w="20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3,754,658</w:t>
            </w:r>
          </w:p>
        </w:tc>
        <w:tc>
          <w:tcPr>
            <w:tcW w:w="200" w:type="dxa"/>
            <w:vAlign w:val="bottom"/>
          </w:tcPr>
          <w:p>
            <w:pPr>
              <w:spacing w:after="0"/>
              <w:rPr>
                <w:sz w:val="18"/>
                <w:szCs w:val="18"/>
                <w:color w:val="auto"/>
              </w:rPr>
            </w:pPr>
          </w:p>
        </w:tc>
        <w:tc>
          <w:tcPr>
            <w:tcW w:w="1080" w:type="dxa"/>
            <w:vAlign w:val="bottom"/>
            <w:gridSpan w:val="2"/>
          </w:tcPr>
          <w:p>
            <w:pPr>
              <w:jc w:val="right"/>
              <w:ind w:right="19"/>
              <w:spacing w:after="0"/>
              <w:rPr>
                <w:sz w:val="20"/>
                <w:szCs w:val="20"/>
                <w:color w:val="auto"/>
              </w:rPr>
            </w:pPr>
            <w:r>
              <w:rPr>
                <w:rFonts w:ascii="Arial" w:cs="Arial" w:eastAsia="Arial" w:hAnsi="Arial"/>
                <w:sz w:val="17"/>
                <w:szCs w:val="17"/>
                <w:color w:val="auto"/>
              </w:rPr>
              <w:t>4,611,205</w:t>
            </w:r>
          </w:p>
        </w:tc>
      </w:tr>
      <w:tr>
        <w:trPr>
          <w:trHeight w:val="221"/>
        </w:trPr>
        <w:tc>
          <w:tcPr>
            <w:tcW w:w="3520" w:type="dxa"/>
            <w:vAlign w:val="bottom"/>
            <w:shd w:val="clear" w:color="auto" w:fill="CCEEFF"/>
          </w:tcPr>
          <w:p>
            <w:pPr>
              <w:spacing w:after="0"/>
              <w:rPr>
                <w:sz w:val="20"/>
                <w:szCs w:val="20"/>
                <w:color w:val="auto"/>
              </w:rPr>
            </w:pPr>
            <w:r>
              <w:rPr>
                <w:rFonts w:ascii="Arial" w:cs="Arial" w:eastAsia="Arial" w:hAnsi="Arial"/>
                <w:sz w:val="17"/>
                <w:szCs w:val="17"/>
                <w:color w:val="auto"/>
              </w:rPr>
              <w:t>Equity</w:t>
            </w:r>
          </w:p>
        </w:tc>
        <w:tc>
          <w:tcPr>
            <w:tcW w:w="1100" w:type="dxa"/>
            <w:vAlign w:val="bottom"/>
            <w:gridSpan w:val="2"/>
            <w:shd w:val="clear" w:color="auto" w:fill="CCEEFF"/>
          </w:tcPr>
          <w:p>
            <w:pPr>
              <w:jc w:val="right"/>
              <w:ind w:right="139"/>
              <w:spacing w:after="0"/>
              <w:rPr>
                <w:sz w:val="20"/>
                <w:szCs w:val="20"/>
                <w:color w:val="auto"/>
              </w:rPr>
            </w:pPr>
            <w:r>
              <w:rPr>
                <w:rFonts w:ascii="Arial" w:cs="Arial" w:eastAsia="Arial" w:hAnsi="Arial"/>
                <w:sz w:val="17"/>
                <w:szCs w:val="17"/>
                <w:color w:val="auto"/>
              </w:rPr>
              <w:t>-</w:t>
            </w:r>
          </w:p>
        </w:tc>
        <w:tc>
          <w:tcPr>
            <w:tcW w:w="1200" w:type="dxa"/>
            <w:vAlign w:val="bottom"/>
            <w:gridSpan w:val="2"/>
            <w:shd w:val="clear" w:color="auto" w:fill="CCEEFF"/>
          </w:tcPr>
          <w:p>
            <w:pPr>
              <w:jc w:val="right"/>
              <w:ind w:right="139"/>
              <w:spacing w:after="0"/>
              <w:rPr>
                <w:sz w:val="20"/>
                <w:szCs w:val="20"/>
                <w:color w:val="auto"/>
              </w:rPr>
            </w:pPr>
            <w:r>
              <w:rPr>
                <w:rFonts w:ascii="Arial" w:cs="Arial" w:eastAsia="Arial" w:hAnsi="Arial"/>
                <w:sz w:val="17"/>
                <w:szCs w:val="17"/>
                <w:color w:val="auto"/>
              </w:rPr>
              <w:t>-</w:t>
            </w:r>
          </w:p>
        </w:tc>
        <w:tc>
          <w:tcPr>
            <w:tcW w:w="1100" w:type="dxa"/>
            <w:vAlign w:val="bottom"/>
            <w:gridSpan w:val="2"/>
            <w:shd w:val="clear" w:color="auto" w:fill="CCEEFF"/>
          </w:tcPr>
          <w:p>
            <w:pPr>
              <w:jc w:val="right"/>
              <w:ind w:right="139"/>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20,116,511</w:t>
            </w:r>
          </w:p>
        </w:tc>
        <w:tc>
          <w:tcPr>
            <w:tcW w:w="2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9"/>
              <w:spacing w:after="0"/>
              <w:rPr>
                <w:sz w:val="20"/>
                <w:szCs w:val="20"/>
                <w:color w:val="auto"/>
              </w:rPr>
            </w:pPr>
            <w:r>
              <w:rPr>
                <w:rFonts w:ascii="Arial" w:cs="Arial" w:eastAsia="Arial" w:hAnsi="Arial"/>
                <w:sz w:val="17"/>
                <w:szCs w:val="17"/>
                <w:color w:val="auto"/>
              </w:rPr>
              <w:t>20,116,511</w:t>
            </w:r>
          </w:p>
        </w:tc>
      </w:tr>
      <w:tr>
        <w:trPr>
          <w:trHeight w:val="241"/>
        </w:trPr>
        <w:tc>
          <w:tcPr>
            <w:tcW w:w="3520" w:type="dxa"/>
            <w:vAlign w:val="bottom"/>
            <w:tcBorders>
              <w:bottom w:val="single" w:sz="8" w:color="CCEEFF"/>
            </w:tcBorders>
          </w:tcPr>
          <w:p>
            <w:pPr>
              <w:spacing w:after="0"/>
              <w:rPr>
                <w:sz w:val="20"/>
                <w:szCs w:val="20"/>
                <w:color w:val="auto"/>
              </w:rPr>
            </w:pPr>
            <w:r>
              <w:rPr>
                <w:rFonts w:ascii="Arial" w:cs="Arial" w:eastAsia="Arial" w:hAnsi="Arial"/>
                <w:sz w:val="17"/>
                <w:szCs w:val="17"/>
                <w:b w:val="1"/>
                <w:bCs w:val="1"/>
                <w:color w:val="auto"/>
              </w:rPr>
              <w:t>Total liabilities and equity</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26,391,703</w:t>
            </w:r>
          </w:p>
        </w:tc>
        <w:tc>
          <w:tcPr>
            <w:tcW w:w="220" w:type="dxa"/>
            <w:vAlign w:val="bottom"/>
            <w:tcBorders>
              <w:bottom w:val="single" w:sz="8" w:color="CCEEFF"/>
            </w:tcBorders>
          </w:tcPr>
          <w:p>
            <w:pPr>
              <w:spacing w:after="0"/>
              <w:rPr>
                <w:sz w:val="20"/>
                <w:szCs w:val="20"/>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10,610,008</w:t>
            </w:r>
          </w:p>
        </w:tc>
        <w:tc>
          <w:tcPr>
            <w:tcW w:w="220" w:type="dxa"/>
            <w:vAlign w:val="bottom"/>
            <w:tcBorders>
              <w:bottom w:val="single" w:sz="8" w:color="CCEEFF"/>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22,200,846</w:t>
            </w:r>
          </w:p>
        </w:tc>
        <w:tc>
          <w:tcPr>
            <w:tcW w:w="220" w:type="dxa"/>
            <w:vAlign w:val="bottom"/>
            <w:tcBorders>
              <w:bottom w:val="single" w:sz="8" w:color="CCEEFF"/>
            </w:tcBorders>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53,218,895</w:t>
            </w:r>
          </w:p>
        </w:tc>
        <w:tc>
          <w:tcPr>
            <w:tcW w:w="200" w:type="dxa"/>
            <w:vAlign w:val="bottom"/>
            <w:tcBorders>
              <w:bottom w:val="single" w:sz="8" w:color="CCEEFF"/>
            </w:tcBorders>
          </w:tcPr>
          <w:p>
            <w:pPr>
              <w:spacing w:after="0"/>
              <w:rPr>
                <w:sz w:val="20"/>
                <w:szCs w:val="20"/>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16,659,708</w:t>
            </w:r>
          </w:p>
        </w:tc>
        <w:tc>
          <w:tcPr>
            <w:tcW w:w="220" w:type="dxa"/>
            <w:vAlign w:val="bottom"/>
            <w:tcBorders>
              <w:bottom w:val="single" w:sz="8" w:color="CCEEFF"/>
            </w:tcBorders>
          </w:tcPr>
          <w:p>
            <w:pPr>
              <w:spacing w:after="0"/>
              <w:rPr>
                <w:sz w:val="20"/>
                <w:szCs w:val="20"/>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27,354,062</w:t>
            </w:r>
          </w:p>
        </w:tc>
        <w:tc>
          <w:tcPr>
            <w:tcW w:w="200" w:type="dxa"/>
            <w:vAlign w:val="bottom"/>
            <w:tcBorders>
              <w:bottom w:val="single" w:sz="8" w:color="CCEEFF"/>
            </w:tcBorders>
          </w:tcPr>
          <w:p>
            <w:pPr>
              <w:spacing w:after="0"/>
              <w:rPr>
                <w:sz w:val="20"/>
                <w:szCs w:val="20"/>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156,435,222</w:t>
            </w:r>
          </w:p>
        </w:tc>
        <w:tc>
          <w:tcPr>
            <w:tcW w:w="100" w:type="dxa"/>
            <w:vAlign w:val="bottom"/>
            <w:tcBorders>
              <w:bottom w:val="single" w:sz="8" w:color="CCEEFF"/>
            </w:tcBorders>
          </w:tcPr>
          <w:p>
            <w:pPr>
              <w:spacing w:after="0"/>
              <w:rPr>
                <w:sz w:val="20"/>
                <w:szCs w:val="20"/>
                <w:color w:val="auto"/>
              </w:rPr>
            </w:pPr>
          </w:p>
        </w:tc>
      </w:tr>
      <w:tr>
        <w:trPr>
          <w:trHeight w:val="187"/>
        </w:trPr>
        <w:tc>
          <w:tcPr>
            <w:tcW w:w="35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08"/>
        </w:trPr>
        <w:tc>
          <w:tcPr>
            <w:tcW w:w="3520" w:type="dxa"/>
            <w:vAlign w:val="bottom"/>
          </w:tcPr>
          <w:p>
            <w:pPr>
              <w:spacing w:after="0"/>
              <w:rPr>
                <w:sz w:val="20"/>
                <w:szCs w:val="20"/>
                <w:color w:val="auto"/>
              </w:rPr>
            </w:pPr>
            <w:r>
              <w:rPr>
                <w:rFonts w:ascii="Arial" w:cs="Arial" w:eastAsia="Arial" w:hAnsi="Arial"/>
                <w:sz w:val="17"/>
                <w:szCs w:val="17"/>
                <w:b w:val="1"/>
                <w:bCs w:val="1"/>
                <w:color w:val="auto"/>
              </w:rPr>
              <w:t>Off-balance-sheet accounts</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8"/>
        </w:trPr>
        <w:tc>
          <w:tcPr>
            <w:tcW w:w="3520" w:type="dxa"/>
            <w:vAlign w:val="bottom"/>
            <w:shd w:val="clear" w:color="auto" w:fill="CCEEFF"/>
          </w:tcPr>
          <w:p>
            <w:pPr>
              <w:spacing w:after="0"/>
              <w:rPr>
                <w:sz w:val="20"/>
                <w:szCs w:val="20"/>
                <w:color w:val="auto"/>
              </w:rPr>
            </w:pPr>
            <w:r>
              <w:rPr>
                <w:rFonts w:ascii="Arial" w:cs="Arial" w:eastAsia="Arial" w:hAnsi="Arial"/>
                <w:sz w:val="17"/>
                <w:szCs w:val="17"/>
                <w:color w:val="auto"/>
              </w:rPr>
              <w:t>Derivative financial assets</w:t>
            </w:r>
          </w:p>
        </w:tc>
        <w:tc>
          <w:tcPr>
            <w:tcW w:w="1100" w:type="dxa"/>
            <w:vAlign w:val="bottom"/>
            <w:gridSpan w:val="2"/>
            <w:shd w:val="clear" w:color="auto" w:fill="CCEEFF"/>
          </w:tcPr>
          <w:p>
            <w:pPr>
              <w:jc w:val="right"/>
              <w:ind w:right="139"/>
              <w:spacing w:after="0"/>
              <w:rPr>
                <w:sz w:val="20"/>
                <w:szCs w:val="20"/>
                <w:color w:val="auto"/>
              </w:rPr>
            </w:pPr>
            <w:r>
              <w:rPr>
                <w:rFonts w:ascii="Arial" w:cs="Arial" w:eastAsia="Arial" w:hAnsi="Arial"/>
                <w:sz w:val="17"/>
                <w:szCs w:val="17"/>
                <w:color w:val="auto"/>
              </w:rPr>
              <w:t>461,724</w:t>
            </w:r>
          </w:p>
        </w:tc>
        <w:tc>
          <w:tcPr>
            <w:tcW w:w="1200" w:type="dxa"/>
            <w:vAlign w:val="bottom"/>
            <w:gridSpan w:val="2"/>
            <w:shd w:val="clear" w:color="auto" w:fill="CCEEFF"/>
          </w:tcPr>
          <w:p>
            <w:pPr>
              <w:jc w:val="right"/>
              <w:ind w:right="139"/>
              <w:spacing w:after="0"/>
              <w:rPr>
                <w:sz w:val="20"/>
                <w:szCs w:val="20"/>
                <w:color w:val="auto"/>
              </w:rPr>
            </w:pPr>
            <w:r>
              <w:rPr>
                <w:rFonts w:ascii="Arial" w:cs="Arial" w:eastAsia="Arial" w:hAnsi="Arial"/>
                <w:sz w:val="17"/>
                <w:szCs w:val="17"/>
                <w:color w:val="auto"/>
              </w:rPr>
              <w:t>2,118,173</w:t>
            </w:r>
          </w:p>
        </w:tc>
        <w:tc>
          <w:tcPr>
            <w:tcW w:w="1100" w:type="dxa"/>
            <w:vAlign w:val="bottom"/>
            <w:gridSpan w:val="2"/>
            <w:shd w:val="clear" w:color="auto" w:fill="CCEEFF"/>
          </w:tcPr>
          <w:p>
            <w:pPr>
              <w:jc w:val="right"/>
              <w:ind w:right="139"/>
              <w:spacing w:after="0"/>
              <w:rPr>
                <w:sz w:val="20"/>
                <w:szCs w:val="20"/>
                <w:color w:val="auto"/>
              </w:rPr>
            </w:pPr>
            <w:r>
              <w:rPr>
                <w:rFonts w:ascii="Arial" w:cs="Arial" w:eastAsia="Arial" w:hAnsi="Arial"/>
                <w:sz w:val="17"/>
                <w:szCs w:val="17"/>
                <w:color w:val="auto"/>
              </w:rPr>
              <w:t>498,864</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5,738,651</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3,961,574</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9"/>
              <w:spacing w:after="0"/>
              <w:rPr>
                <w:sz w:val="20"/>
                <w:szCs w:val="20"/>
                <w:color w:val="auto"/>
              </w:rPr>
            </w:pPr>
            <w:r>
              <w:rPr>
                <w:rFonts w:ascii="Arial" w:cs="Arial" w:eastAsia="Arial" w:hAnsi="Arial"/>
                <w:sz w:val="17"/>
                <w:szCs w:val="17"/>
                <w:color w:val="auto"/>
              </w:rPr>
              <w:t>12,778,986</w:t>
            </w:r>
          </w:p>
        </w:tc>
      </w:tr>
      <w:tr>
        <w:trPr>
          <w:trHeight w:val="221"/>
        </w:trPr>
        <w:tc>
          <w:tcPr>
            <w:tcW w:w="3520" w:type="dxa"/>
            <w:vAlign w:val="bottom"/>
          </w:tcPr>
          <w:p>
            <w:pPr>
              <w:spacing w:after="0"/>
              <w:rPr>
                <w:sz w:val="20"/>
                <w:szCs w:val="20"/>
                <w:color w:val="auto"/>
              </w:rPr>
            </w:pPr>
            <w:r>
              <w:rPr>
                <w:rFonts w:ascii="Arial" w:cs="Arial" w:eastAsia="Arial" w:hAnsi="Arial"/>
                <w:sz w:val="17"/>
                <w:szCs w:val="17"/>
                <w:color w:val="auto"/>
              </w:rPr>
              <w:t>Derivative financial liabilities</w:t>
            </w:r>
          </w:p>
        </w:tc>
        <w:tc>
          <w:tcPr>
            <w:tcW w:w="880" w:type="dxa"/>
            <w:vAlign w:val="bottom"/>
          </w:tcPr>
          <w:p>
            <w:pPr>
              <w:jc w:val="right"/>
              <w:spacing w:after="0"/>
              <w:rPr>
                <w:sz w:val="20"/>
                <w:szCs w:val="20"/>
                <w:color w:val="auto"/>
              </w:rPr>
            </w:pPr>
            <w:r>
              <w:rPr>
                <w:rFonts w:ascii="Arial" w:cs="Arial" w:eastAsia="Arial" w:hAnsi="Arial"/>
                <w:sz w:val="17"/>
                <w:szCs w:val="17"/>
                <w:color w:val="auto"/>
              </w:rPr>
              <w:t>1,682,988</w:t>
            </w:r>
          </w:p>
        </w:tc>
        <w:tc>
          <w:tcPr>
            <w:tcW w:w="220" w:type="dxa"/>
            <w:vAlign w:val="bottom"/>
          </w:tcPr>
          <w:p>
            <w:pPr>
              <w:spacing w:after="0"/>
              <w:rPr>
                <w:sz w:val="19"/>
                <w:szCs w:val="19"/>
                <w:color w:val="auto"/>
              </w:rPr>
            </w:pPr>
          </w:p>
        </w:tc>
        <w:tc>
          <w:tcPr>
            <w:tcW w:w="1200" w:type="dxa"/>
            <w:vAlign w:val="bottom"/>
            <w:gridSpan w:val="2"/>
          </w:tcPr>
          <w:p>
            <w:pPr>
              <w:jc w:val="right"/>
              <w:ind w:right="139"/>
              <w:spacing w:after="0"/>
              <w:rPr>
                <w:sz w:val="20"/>
                <w:szCs w:val="20"/>
                <w:color w:val="auto"/>
              </w:rPr>
            </w:pPr>
            <w:r>
              <w:rPr>
                <w:rFonts w:ascii="Arial" w:cs="Arial" w:eastAsia="Arial" w:hAnsi="Arial"/>
                <w:sz w:val="17"/>
                <w:szCs w:val="17"/>
                <w:color w:val="auto"/>
              </w:rPr>
              <w:t>4,308,673</w:t>
            </w:r>
          </w:p>
        </w:tc>
        <w:tc>
          <w:tcPr>
            <w:tcW w:w="1100" w:type="dxa"/>
            <w:vAlign w:val="bottom"/>
            <w:gridSpan w:val="2"/>
          </w:tcPr>
          <w:p>
            <w:pPr>
              <w:jc w:val="right"/>
              <w:ind w:right="139"/>
              <w:spacing w:after="0"/>
              <w:rPr>
                <w:sz w:val="20"/>
                <w:szCs w:val="20"/>
                <w:color w:val="auto"/>
              </w:rPr>
            </w:pPr>
            <w:r>
              <w:rPr>
                <w:rFonts w:ascii="Arial" w:cs="Arial" w:eastAsia="Arial" w:hAnsi="Arial"/>
                <w:sz w:val="17"/>
                <w:szCs w:val="17"/>
                <w:color w:val="auto"/>
              </w:rPr>
              <w:t>2,609,747</w:t>
            </w:r>
          </w:p>
        </w:tc>
        <w:tc>
          <w:tcPr>
            <w:tcW w:w="900" w:type="dxa"/>
            <w:vAlign w:val="bottom"/>
          </w:tcPr>
          <w:p>
            <w:pPr>
              <w:jc w:val="right"/>
              <w:spacing w:after="0"/>
              <w:rPr>
                <w:sz w:val="20"/>
                <w:szCs w:val="20"/>
                <w:color w:val="auto"/>
              </w:rPr>
            </w:pPr>
            <w:r>
              <w:rPr>
                <w:rFonts w:ascii="Arial" w:cs="Arial" w:eastAsia="Arial" w:hAnsi="Arial"/>
                <w:sz w:val="17"/>
                <w:szCs w:val="17"/>
                <w:color w:val="auto"/>
              </w:rPr>
              <w:t>3,461,322</w:t>
            </w:r>
          </w:p>
        </w:tc>
        <w:tc>
          <w:tcPr>
            <w:tcW w:w="20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7"/>
                <w:szCs w:val="17"/>
                <w:color w:val="auto"/>
              </w:rPr>
              <w:t>716,256</w:t>
            </w:r>
          </w:p>
        </w:tc>
        <w:tc>
          <w:tcPr>
            <w:tcW w:w="960" w:type="dxa"/>
            <w:vAlign w:val="bottom"/>
          </w:tcPr>
          <w:p>
            <w:pPr>
              <w:jc w:val="right"/>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9"/>
                <w:szCs w:val="19"/>
                <w:color w:val="auto"/>
              </w:rPr>
            </w:pPr>
          </w:p>
        </w:tc>
        <w:tc>
          <w:tcPr>
            <w:tcW w:w="1080" w:type="dxa"/>
            <w:vAlign w:val="bottom"/>
            <w:gridSpan w:val="2"/>
          </w:tcPr>
          <w:p>
            <w:pPr>
              <w:jc w:val="right"/>
              <w:ind w:right="19"/>
              <w:spacing w:after="0"/>
              <w:rPr>
                <w:sz w:val="20"/>
                <w:szCs w:val="20"/>
                <w:color w:val="auto"/>
              </w:rPr>
            </w:pPr>
            <w:r>
              <w:rPr>
                <w:rFonts w:ascii="Arial" w:cs="Arial" w:eastAsia="Arial" w:hAnsi="Arial"/>
                <w:sz w:val="17"/>
                <w:szCs w:val="17"/>
                <w:color w:val="auto"/>
              </w:rPr>
              <w:t>12,778,986</w:t>
            </w:r>
          </w:p>
        </w:tc>
      </w:tr>
      <w:tr>
        <w:trPr>
          <w:trHeight w:val="201"/>
        </w:trPr>
        <w:tc>
          <w:tcPr>
            <w:tcW w:w="352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(1,221,264</w:t>
            </w:r>
          </w:p>
        </w:tc>
        <w:tc>
          <w:tcPr>
            <w:tcW w:w="220" w:type="dxa"/>
            <w:vAlign w:val="bottom"/>
            <w:tcBorders>
              <w:top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74"/>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(2,190,500</w:t>
            </w:r>
          </w:p>
        </w:tc>
        <w:tc>
          <w:tcPr>
            <w:tcW w:w="220" w:type="dxa"/>
            <w:vAlign w:val="bottom"/>
            <w:tcBorders>
              <w:top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74"/>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(2,110,883</w:t>
            </w:r>
          </w:p>
        </w:tc>
        <w:tc>
          <w:tcPr>
            <w:tcW w:w="220" w:type="dxa"/>
            <w:vAlign w:val="bottom"/>
            <w:tcBorders>
              <w:top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74"/>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2,277,329</w:t>
            </w:r>
          </w:p>
        </w:tc>
        <w:tc>
          <w:tcPr>
            <w:tcW w:w="20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3,245,318</w:t>
            </w:r>
          </w:p>
        </w:tc>
        <w:tc>
          <w:tcPr>
            <w:tcW w:w="22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0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top w:val="single" w:sz="8" w:color="CCEEFF"/>
            </w:tcBorders>
            <w:shd w:val="clear" w:color="auto" w:fill="CCEEFF"/>
          </w:tcPr>
          <w:p>
            <w:pPr>
              <w:spacing w:after="0"/>
              <w:rPr>
                <w:sz w:val="17"/>
                <w:szCs w:val="17"/>
                <w:color w:val="auto"/>
              </w:rPr>
            </w:pPr>
          </w:p>
        </w:tc>
      </w:tr>
      <w:tr>
        <w:trPr>
          <w:trHeight w:val="201"/>
        </w:trPr>
        <w:tc>
          <w:tcPr>
            <w:tcW w:w="3520" w:type="dxa"/>
            <w:vAlign w:val="bottom"/>
            <w:tcBorders>
              <w:bottom w:val="single" w:sz="8" w:color="CCEEFF"/>
            </w:tcBorders>
          </w:tcPr>
          <w:p>
            <w:pPr>
              <w:spacing w:after="0"/>
              <w:rPr>
                <w:sz w:val="20"/>
                <w:szCs w:val="20"/>
                <w:color w:val="auto"/>
              </w:rPr>
            </w:pPr>
            <w:r>
              <w:rPr>
                <w:rFonts w:ascii="Arial" w:cs="Arial" w:eastAsia="Arial" w:hAnsi="Arial"/>
                <w:sz w:val="17"/>
                <w:szCs w:val="17"/>
                <w:b w:val="1"/>
                <w:bCs w:val="1"/>
                <w:color w:val="auto"/>
              </w:rPr>
              <w:t>Marginal gap</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(6,937,841</w:t>
            </w:r>
          </w:p>
        </w:tc>
        <w:tc>
          <w:tcPr>
            <w:tcW w:w="220" w:type="dxa"/>
            <w:vAlign w:val="bottom"/>
            <w:tcBorders>
              <w:bottom w:val="single" w:sz="8" w:color="CCEEFF"/>
            </w:tcBorders>
          </w:tcPr>
          <w:p>
            <w:pPr>
              <w:jc w:val="right"/>
              <w:ind w:right="79"/>
              <w:spacing w:after="0"/>
              <w:rPr>
                <w:sz w:val="20"/>
                <w:szCs w:val="20"/>
                <w:color w:val="auto"/>
              </w:rPr>
            </w:pPr>
            <w:r>
              <w:rPr>
                <w:rFonts w:ascii="Arial" w:cs="Arial" w:eastAsia="Arial" w:hAnsi="Arial"/>
                <w:sz w:val="16"/>
                <w:szCs w:val="16"/>
                <w:color w:val="auto"/>
                <w:w w:val="74"/>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5,870,247</w:t>
            </w:r>
          </w:p>
        </w:tc>
        <w:tc>
          <w:tcPr>
            <w:tcW w:w="220" w:type="dxa"/>
            <w:vAlign w:val="bottom"/>
            <w:tcBorders>
              <w:bottom w:val="single" w:sz="8" w:color="CCEEFF"/>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6,186,953</w:t>
            </w:r>
          </w:p>
        </w:tc>
        <w:tc>
          <w:tcPr>
            <w:tcW w:w="220" w:type="dxa"/>
            <w:vAlign w:val="bottom"/>
            <w:tcBorders>
              <w:bottom w:val="single" w:sz="8" w:color="CCEEFF"/>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(4,406,493</w:t>
            </w:r>
          </w:p>
        </w:tc>
        <w:tc>
          <w:tcPr>
            <w:tcW w:w="200" w:type="dxa"/>
            <w:vAlign w:val="bottom"/>
            <w:tcBorders>
              <w:bottom w:val="single" w:sz="8" w:color="CCEEFF"/>
            </w:tcBorders>
          </w:tcPr>
          <w:p>
            <w:pPr>
              <w:jc w:val="right"/>
              <w:ind w:right="59"/>
              <w:spacing w:after="0"/>
              <w:rPr>
                <w:sz w:val="20"/>
                <w:szCs w:val="20"/>
                <w:color w:val="auto"/>
              </w:rPr>
            </w:pPr>
            <w:r>
              <w:rPr>
                <w:rFonts w:ascii="Arial" w:cs="Arial" w:eastAsia="Arial" w:hAnsi="Arial"/>
                <w:sz w:val="16"/>
                <w:szCs w:val="16"/>
                <w:color w:val="auto"/>
                <w:w w:val="74"/>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6,773,834</w:t>
            </w:r>
          </w:p>
        </w:tc>
        <w:tc>
          <w:tcPr>
            <w:tcW w:w="220" w:type="dxa"/>
            <w:vAlign w:val="bottom"/>
            <w:tcBorders>
              <w:bottom w:val="single" w:sz="8" w:color="CCEEFF"/>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(11,501,719</w:t>
            </w:r>
          </w:p>
        </w:tc>
        <w:tc>
          <w:tcPr>
            <w:tcW w:w="200" w:type="dxa"/>
            <w:vAlign w:val="bottom"/>
            <w:tcBorders>
              <w:bottom w:val="single" w:sz="8" w:color="CCEEFF"/>
            </w:tcBorders>
          </w:tcPr>
          <w:p>
            <w:pPr>
              <w:jc w:val="right"/>
              <w:ind w:right="59"/>
              <w:spacing w:after="0"/>
              <w:rPr>
                <w:sz w:val="20"/>
                <w:szCs w:val="20"/>
                <w:color w:val="auto"/>
              </w:rPr>
            </w:pPr>
            <w:r>
              <w:rPr>
                <w:rFonts w:ascii="Arial" w:cs="Arial" w:eastAsia="Arial" w:hAnsi="Arial"/>
                <w:sz w:val="16"/>
                <w:szCs w:val="16"/>
                <w:color w:val="auto"/>
                <w:w w:val="74"/>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(4,015,019</w:t>
            </w:r>
          </w:p>
        </w:tc>
        <w:tc>
          <w:tcPr>
            <w:tcW w:w="1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r>
      <w:tr>
        <w:trPr>
          <w:trHeight w:val="214"/>
        </w:trPr>
        <w:tc>
          <w:tcPr>
            <w:tcW w:w="3520" w:type="dxa"/>
            <w:vAlign w:val="bottom"/>
            <w:shd w:val="clear" w:color="auto" w:fill="CCEEFF"/>
          </w:tcPr>
          <w:p>
            <w:pPr>
              <w:spacing w:after="0"/>
              <w:rPr>
                <w:sz w:val="20"/>
                <w:szCs w:val="20"/>
                <w:color w:val="auto"/>
              </w:rPr>
            </w:pPr>
            <w:r>
              <w:rPr>
                <w:rFonts w:ascii="Arial" w:cs="Arial" w:eastAsia="Arial" w:hAnsi="Arial"/>
                <w:sz w:val="17"/>
                <w:szCs w:val="17"/>
                <w:color w:val="auto"/>
              </w:rPr>
              <w:t>Accumulated gap</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(6,937,841</w:t>
            </w:r>
          </w:p>
        </w:tc>
        <w:tc>
          <w:tcPr>
            <w:tcW w:w="2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74"/>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(1,067,594</w:t>
            </w:r>
          </w:p>
        </w:tc>
        <w:tc>
          <w:tcPr>
            <w:tcW w:w="2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74"/>
              </w:rPr>
              <w:t>)</w:t>
            </w:r>
          </w:p>
        </w:tc>
        <w:tc>
          <w:tcPr>
            <w:tcW w:w="1100" w:type="dxa"/>
            <w:vAlign w:val="bottom"/>
            <w:gridSpan w:val="2"/>
            <w:shd w:val="clear" w:color="auto" w:fill="CCEEFF"/>
          </w:tcPr>
          <w:p>
            <w:pPr>
              <w:jc w:val="right"/>
              <w:ind w:right="139"/>
              <w:spacing w:after="0"/>
              <w:rPr>
                <w:sz w:val="20"/>
                <w:szCs w:val="20"/>
                <w:color w:val="auto"/>
              </w:rPr>
            </w:pPr>
            <w:r>
              <w:rPr>
                <w:rFonts w:ascii="Arial" w:cs="Arial" w:eastAsia="Arial" w:hAnsi="Arial"/>
                <w:sz w:val="17"/>
                <w:szCs w:val="17"/>
                <w:color w:val="auto"/>
              </w:rPr>
              <w:t>5,119,359</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712,866</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7,486,700</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(4,015,019</w:t>
            </w:r>
          </w:p>
        </w:tc>
        <w:tc>
          <w:tcPr>
            <w:tcW w:w="2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74"/>
              </w:rPr>
              <w:t>)</w:t>
            </w:r>
          </w:p>
        </w:tc>
        <w:tc>
          <w:tcPr>
            <w:tcW w:w="1080" w:type="dxa"/>
            <w:vAlign w:val="bottom"/>
            <w:gridSpan w:val="2"/>
            <w:shd w:val="clear" w:color="auto" w:fill="CCEEFF"/>
          </w:tcPr>
          <w:p>
            <w:pPr>
              <w:jc w:val="right"/>
              <w:ind w:right="19"/>
              <w:spacing w:after="0"/>
              <w:rPr>
                <w:sz w:val="20"/>
                <w:szCs w:val="20"/>
                <w:color w:val="auto"/>
              </w:rPr>
            </w:pPr>
            <w:r>
              <w:rPr>
                <w:rFonts w:ascii="Arial" w:cs="Arial" w:eastAsia="Arial" w:hAnsi="Arial"/>
                <w:sz w:val="17"/>
                <w:szCs w:val="17"/>
                <w:color w:val="auto"/>
              </w:rPr>
              <w:t>-</w:t>
            </w:r>
          </w:p>
        </w:tc>
      </w:tr>
      <w:tr>
        <w:trPr>
          <w:trHeight w:val="20"/>
        </w:trPr>
        <w:tc>
          <w:tcPr>
            <w:tcW w:w="35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95" w:lineRule="exact"/>
        <w:rPr>
          <w:sz w:val="20"/>
          <w:szCs w:val="20"/>
          <w:color w:val="auto"/>
        </w:rPr>
      </w:pPr>
    </w:p>
    <w:p>
      <w:pPr>
        <w:ind w:left="500" w:hanging="496"/>
        <w:spacing w:after="0"/>
        <w:tabs>
          <w:tab w:leader="none" w:pos="500" w:val="left"/>
        </w:tabs>
        <w:numPr>
          <w:ilvl w:val="0"/>
          <w:numId w:val="154"/>
        </w:numPr>
        <w:rPr>
          <w:rFonts w:ascii="Arial" w:cs="Arial" w:eastAsia="Arial" w:hAnsi="Arial"/>
          <w:sz w:val="17"/>
          <w:szCs w:val="17"/>
          <w:color w:val="auto"/>
        </w:rPr>
      </w:pPr>
      <w:r>
        <w:rPr>
          <w:rFonts w:ascii="Arial" w:cs="Arial" w:eastAsia="Arial" w:hAnsi="Arial"/>
          <w:sz w:val="17"/>
          <w:szCs w:val="17"/>
          <w:color w:val="auto"/>
        </w:rPr>
        <w:t>Includes property, furniture and equipment, net, intangible and goodwill, net, due from customers on acceptances and other assets.</w:t>
      </w:r>
    </w:p>
    <w:p>
      <w:pPr>
        <w:spacing w:after="0" w:line="25" w:lineRule="exact"/>
        <w:rPr>
          <w:sz w:val="20"/>
          <w:szCs w:val="20"/>
          <w:color w:val="auto"/>
        </w:rPr>
      </w:pPr>
    </w:p>
    <w:p>
      <w:pPr>
        <w:ind w:left="500" w:hanging="496"/>
        <w:spacing w:after="0"/>
        <w:tabs>
          <w:tab w:leader="none" w:pos="500" w:val="left"/>
        </w:tabs>
        <w:numPr>
          <w:ilvl w:val="0"/>
          <w:numId w:val="155"/>
        </w:numPr>
        <w:rPr>
          <w:rFonts w:ascii="Arial" w:cs="Arial" w:eastAsia="Arial" w:hAnsi="Arial"/>
          <w:sz w:val="17"/>
          <w:szCs w:val="17"/>
          <w:color w:val="auto"/>
        </w:rPr>
      </w:pPr>
      <w:r>
        <w:rPr>
          <w:rFonts w:ascii="Arial" w:cs="Arial" w:eastAsia="Arial" w:hAnsi="Arial"/>
          <w:sz w:val="17"/>
          <w:szCs w:val="17"/>
          <w:color w:val="auto"/>
        </w:rPr>
        <w:t>Includes banker’s acceptances outstanding and other liabilities.</w:t>
      </w:r>
    </w:p>
    <w:p>
      <w:pPr>
        <w:spacing w:after="0" w:line="208" w:lineRule="exact"/>
        <w:rPr>
          <w:sz w:val="20"/>
          <w:szCs w:val="20"/>
          <w:color w:val="auto"/>
        </w:rPr>
      </w:pPr>
    </w:p>
    <w:p>
      <w:pPr>
        <w:ind w:right="120"/>
        <w:spacing w:after="0" w:line="285" w:lineRule="auto"/>
        <w:rPr>
          <w:sz w:val="20"/>
          <w:szCs w:val="20"/>
          <w:color w:val="auto"/>
        </w:rPr>
      </w:pPr>
      <w:r>
        <w:rPr>
          <w:rFonts w:ascii="Arial" w:cs="Arial" w:eastAsia="Arial" w:hAnsi="Arial"/>
          <w:sz w:val="17"/>
          <w:szCs w:val="17"/>
          <w:color w:val="auto"/>
        </w:rPr>
        <w:t>Investments accounted for at fair value through profit or loss and trading derivatives are not taken into account, due to the fact that these instruments are part of the trading book and the Value at Risk methodology is used to measure their market risks.</w:t>
      </w: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- 131 -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15875</wp:posOffset>
            </wp:positionV>
            <wp:extent cx="725170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51700" cy="8255"/>
                    </a:xfrm>
                    <a:prstGeom prst="rect">
                      <a:avLst/>
                    </a:prstGeom>
                    <a:noFill/>
                  </pic:spPr>
                </pic:pic>
              </a:graphicData>
            </a:graphic>
          </wp:anchor>
        </w:drawing>
      </w:r>
    </w:p>
    <w:p>
      <w:pPr>
        <w:sectPr>
          <w:pgSz w:w="11900" w:h="16838" w:orient="portrait"/>
          <w:cols w:equalWidth="0" w:num="1">
            <w:col w:w="11420"/>
          </w:cols>
          <w:pgMar w:left="240" w:top="888" w:right="239" w:bottom="1440" w:gutter="0" w:footer="0" w:header="0"/>
        </w:sectPr>
      </w:pPr>
    </w:p>
    <w:bookmarkStart w:id="137" w:name="page138"/>
    <w:bookmarkEnd w:id="137"/>
    <w:p>
      <w:pPr>
        <w:ind w:left="320"/>
        <w:spacing w:after="0"/>
        <w:rPr>
          <w:sz w:val="20"/>
          <w:szCs w:val="20"/>
          <w:color w:val="auto"/>
        </w:rPr>
      </w:pPr>
      <w:r>
        <w:rPr>
          <w:rFonts w:ascii="Arial" w:cs="Arial" w:eastAsia="Arial" w:hAnsi="Arial"/>
          <w:sz w:val="17"/>
          <w:szCs w:val="17"/>
          <w:color w:val="auto"/>
        </w:rPr>
        <w:t>Sensitivity to changes in interest rates –</w:t>
      </w:r>
    </w:p>
    <w:p>
      <w:pPr>
        <w:spacing w:after="0" w:line="220" w:lineRule="exact"/>
        <w:rPr>
          <w:sz w:val="20"/>
          <w:szCs w:val="20"/>
          <w:color w:val="auto"/>
        </w:rPr>
      </w:pPr>
    </w:p>
    <w:p>
      <w:pPr>
        <w:ind w:left="320" w:right="140"/>
        <w:spacing w:after="0" w:line="265" w:lineRule="auto"/>
        <w:rPr>
          <w:sz w:val="20"/>
          <w:szCs w:val="20"/>
          <w:color w:val="auto"/>
        </w:rPr>
      </w:pPr>
      <w:r>
        <w:rPr>
          <w:rFonts w:ascii="Arial" w:cs="Arial" w:eastAsia="Arial" w:hAnsi="Arial"/>
          <w:sz w:val="17"/>
          <w:szCs w:val="17"/>
          <w:color w:val="auto"/>
        </w:rPr>
        <w:t>The sensitivity analysis of a reasonable possible change in interest rates on the Banking Book comprises an assessment of the sensibility of the financial margins that seeks to measure the potential changes in the interest accruals over a period of time and the expected movement of the interest rate curves as well as the sensibility of the net economic value, which is a long-term metric measured as the difference arising between the Net book value of net assets and liabilities before and after a variation in interest rates.</w:t>
      </w:r>
    </w:p>
    <w:p>
      <w:pPr>
        <w:spacing w:after="0" w:line="176" w:lineRule="exact"/>
        <w:rPr>
          <w:sz w:val="20"/>
          <w:szCs w:val="20"/>
          <w:color w:val="auto"/>
        </w:rPr>
      </w:pPr>
    </w:p>
    <w:p>
      <w:pPr>
        <w:ind w:left="320" w:right="40"/>
        <w:spacing w:after="0" w:line="261" w:lineRule="auto"/>
        <w:rPr>
          <w:sz w:val="20"/>
          <w:szCs w:val="20"/>
          <w:color w:val="auto"/>
        </w:rPr>
      </w:pPr>
      <w:r>
        <w:rPr>
          <w:rFonts w:ascii="Arial" w:cs="Arial" w:eastAsia="Arial" w:hAnsi="Arial"/>
          <w:sz w:val="17"/>
          <w:szCs w:val="17"/>
          <w:color w:val="auto"/>
        </w:rPr>
        <w:t>The sensitivity of the financial margin is the effect of the assumed changes in interest rates on the net interest income before income tax and non-controlling interest for one year, based on the floating rate of non-trading financial assets and financial liabilities held at December 31, 2017 and 2016, including the effect of derivative instruments. The sensitivity of Net Economic Value is calculated by revaluing interest rate from available-for-sale fixed income and held to maturity financial assets, before income tax and non-controlling interest, including the effect of any associated hedges, and derivative instruments designated as cash flow hedges. In managing the interest rate risk, no distinction is made by accounting category of the investments comprising the Banking Book, including instruments classified as available for sales and held to maturity investments.</w:t>
      </w:r>
    </w:p>
    <w:p>
      <w:pPr>
        <w:spacing w:after="0" w:line="180"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results of the sensitivity analysis regarding changes in interest rates at December 31, 2017 and 2016 are shown below:</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320" w:type="dxa"/>
            <w:vAlign w:val="bottom"/>
          </w:tcPr>
          <w:p>
            <w:pPr>
              <w:spacing w:after="0"/>
              <w:rPr>
                <w:sz w:val="19"/>
                <w:szCs w:val="19"/>
                <w:color w:val="auto"/>
              </w:rPr>
            </w:pPr>
          </w:p>
        </w:tc>
        <w:tc>
          <w:tcPr>
            <w:tcW w:w="442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960" w:type="dxa"/>
            <w:vAlign w:val="bottom"/>
            <w:tcBorders>
              <w:bottom w:val="single" w:sz="8" w:color="auto"/>
            </w:tcBorders>
            <w:gridSpan w:val="7"/>
          </w:tcPr>
          <w:p>
            <w:pPr>
              <w:jc w:val="center"/>
              <w:ind w:left="733"/>
              <w:spacing w:after="0"/>
              <w:rPr>
                <w:sz w:val="20"/>
                <w:szCs w:val="20"/>
                <w:color w:val="auto"/>
              </w:rPr>
            </w:pPr>
            <w:r>
              <w:rPr>
                <w:rFonts w:ascii="Arial" w:cs="Arial" w:eastAsia="Arial" w:hAnsi="Arial"/>
                <w:sz w:val="17"/>
                <w:szCs w:val="17"/>
                <w:b w:val="1"/>
                <w:bCs w:val="1"/>
                <w:color w:val="auto"/>
                <w:w w:val="92"/>
              </w:rPr>
              <w:t>At December 31, 2017</w:t>
            </w:r>
          </w:p>
        </w:tc>
        <w:tc>
          <w:tcPr>
            <w:tcW w:w="100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r>
      <w:tr>
        <w:trPr>
          <w:trHeight w:val="182"/>
        </w:trPr>
        <w:tc>
          <w:tcPr>
            <w:tcW w:w="320" w:type="dxa"/>
            <w:vAlign w:val="bottom"/>
          </w:tcPr>
          <w:p>
            <w:pPr>
              <w:spacing w:after="0"/>
              <w:rPr>
                <w:sz w:val="15"/>
                <w:szCs w:val="15"/>
                <w:color w:val="auto"/>
              </w:rPr>
            </w:pPr>
          </w:p>
        </w:tc>
        <w:tc>
          <w:tcPr>
            <w:tcW w:w="4420" w:type="dxa"/>
            <w:vAlign w:val="bottom"/>
          </w:tcPr>
          <w:p>
            <w:pPr>
              <w:spacing w:after="0"/>
              <w:rPr>
                <w:sz w:val="15"/>
                <w:szCs w:val="15"/>
                <w:color w:val="auto"/>
              </w:rPr>
            </w:pPr>
          </w:p>
        </w:tc>
        <w:tc>
          <w:tcPr>
            <w:tcW w:w="23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gridSpan w:val="2"/>
          </w:tcPr>
          <w:p>
            <w:pPr>
              <w:ind w:left="20"/>
              <w:spacing w:after="0" w:line="183" w:lineRule="exact"/>
              <w:rPr>
                <w:sz w:val="20"/>
                <w:szCs w:val="20"/>
                <w:color w:val="auto"/>
              </w:rPr>
            </w:pPr>
            <w:r>
              <w:rPr>
                <w:rFonts w:ascii="Arial" w:cs="Arial" w:eastAsia="Arial" w:hAnsi="Arial"/>
                <w:sz w:val="17"/>
                <w:szCs w:val="17"/>
                <w:b w:val="1"/>
                <w:bCs w:val="1"/>
                <w:color w:val="auto"/>
              </w:rPr>
              <w:t>Changes in</w:t>
            </w:r>
          </w:p>
        </w:tc>
        <w:tc>
          <w:tcPr>
            <w:tcW w:w="40" w:type="dxa"/>
            <w:vAlign w:val="bottom"/>
          </w:tcPr>
          <w:p>
            <w:pPr>
              <w:spacing w:after="0"/>
              <w:rPr>
                <w:sz w:val="15"/>
                <w:szCs w:val="15"/>
                <w:color w:val="auto"/>
              </w:rPr>
            </w:pPr>
          </w:p>
        </w:tc>
        <w:tc>
          <w:tcPr>
            <w:tcW w:w="1480" w:type="dxa"/>
            <w:vAlign w:val="bottom"/>
            <w:gridSpan w:val="3"/>
          </w:tcPr>
          <w:p>
            <w:pPr>
              <w:jc w:val="right"/>
              <w:ind w:right="180"/>
              <w:spacing w:after="0" w:line="183" w:lineRule="exact"/>
              <w:rPr>
                <w:sz w:val="20"/>
                <w:szCs w:val="20"/>
                <w:color w:val="auto"/>
              </w:rPr>
            </w:pPr>
            <w:r>
              <w:rPr>
                <w:rFonts w:ascii="Arial" w:cs="Arial" w:eastAsia="Arial" w:hAnsi="Arial"/>
                <w:sz w:val="17"/>
                <w:szCs w:val="17"/>
                <w:b w:val="1"/>
                <w:bCs w:val="1"/>
                <w:color w:val="auto"/>
                <w:w w:val="94"/>
              </w:rPr>
              <w:t>Sensitivity of net</w:t>
            </w:r>
          </w:p>
        </w:tc>
        <w:tc>
          <w:tcPr>
            <w:tcW w:w="1300" w:type="dxa"/>
            <w:vAlign w:val="bottom"/>
            <w:gridSpan w:val="2"/>
          </w:tcPr>
          <w:p>
            <w:pPr>
              <w:jc w:val="center"/>
              <w:spacing w:after="0" w:line="183" w:lineRule="exact"/>
              <w:rPr>
                <w:sz w:val="20"/>
                <w:szCs w:val="20"/>
                <w:color w:val="auto"/>
              </w:rPr>
            </w:pPr>
            <w:r>
              <w:rPr>
                <w:rFonts w:ascii="Arial" w:cs="Arial" w:eastAsia="Arial" w:hAnsi="Arial"/>
                <w:sz w:val="17"/>
                <w:szCs w:val="17"/>
                <w:b w:val="1"/>
                <w:bCs w:val="1"/>
                <w:color w:val="auto"/>
                <w:w w:val="90"/>
              </w:rPr>
              <w:t>Sensitivity of</w:t>
            </w:r>
          </w:p>
        </w:tc>
        <w:tc>
          <w:tcPr>
            <w:tcW w:w="160" w:type="dxa"/>
            <w:vAlign w:val="bottom"/>
          </w:tcPr>
          <w:p>
            <w:pPr>
              <w:spacing w:after="0"/>
              <w:rPr>
                <w:sz w:val="15"/>
                <w:szCs w:val="15"/>
                <w:color w:val="auto"/>
              </w:rPr>
            </w:pPr>
          </w:p>
        </w:tc>
      </w:tr>
      <w:tr>
        <w:trPr>
          <w:trHeight w:val="226"/>
        </w:trPr>
        <w:tc>
          <w:tcPr>
            <w:tcW w:w="320" w:type="dxa"/>
            <w:vAlign w:val="bottom"/>
          </w:tcPr>
          <w:p>
            <w:pPr>
              <w:spacing w:after="0"/>
              <w:rPr>
                <w:sz w:val="19"/>
                <w:szCs w:val="19"/>
                <w:color w:val="auto"/>
              </w:rPr>
            </w:pPr>
          </w:p>
        </w:tc>
        <w:tc>
          <w:tcPr>
            <w:tcW w:w="4420" w:type="dxa"/>
            <w:vAlign w:val="bottom"/>
          </w:tcPr>
          <w:p>
            <w:pPr>
              <w:ind w:left="2980"/>
              <w:spacing w:after="0"/>
              <w:rPr>
                <w:sz w:val="20"/>
                <w:szCs w:val="20"/>
                <w:color w:val="auto"/>
              </w:rPr>
            </w:pPr>
            <w:r>
              <w:rPr>
                <w:rFonts w:ascii="Arial" w:cs="Arial" w:eastAsia="Arial" w:hAnsi="Arial"/>
                <w:sz w:val="17"/>
                <w:szCs w:val="17"/>
                <w:b w:val="1"/>
                <w:bCs w:val="1"/>
                <w:color w:val="auto"/>
              </w:rPr>
              <w:t>Currency</w:t>
            </w:r>
          </w:p>
        </w:tc>
        <w:tc>
          <w:tcPr>
            <w:tcW w:w="2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gridSpan w:val="2"/>
          </w:tcPr>
          <w:p>
            <w:pPr>
              <w:ind w:left="20"/>
              <w:spacing w:after="0"/>
              <w:rPr>
                <w:sz w:val="20"/>
                <w:szCs w:val="20"/>
                <w:color w:val="auto"/>
              </w:rPr>
            </w:pPr>
            <w:r>
              <w:rPr>
                <w:rFonts w:ascii="Arial" w:cs="Arial" w:eastAsia="Arial" w:hAnsi="Arial"/>
                <w:sz w:val="17"/>
                <w:szCs w:val="17"/>
                <w:b w:val="1"/>
                <w:bCs w:val="1"/>
                <w:color w:val="auto"/>
              </w:rPr>
              <w:t>basis points</w:t>
            </w: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gridSpan w:val="2"/>
          </w:tcPr>
          <w:p>
            <w:pPr>
              <w:jc w:val="center"/>
              <w:ind w:right="420"/>
              <w:spacing w:after="0"/>
              <w:rPr>
                <w:sz w:val="20"/>
                <w:szCs w:val="20"/>
                <w:color w:val="auto"/>
              </w:rPr>
            </w:pPr>
            <w:r>
              <w:rPr>
                <w:rFonts w:ascii="Arial" w:cs="Arial" w:eastAsia="Arial" w:hAnsi="Arial"/>
                <w:sz w:val="17"/>
                <w:szCs w:val="17"/>
                <w:b w:val="1"/>
                <w:bCs w:val="1"/>
                <w:color w:val="auto"/>
                <w:w w:val="96"/>
              </w:rPr>
              <w:t>profit</w:t>
            </w:r>
          </w:p>
        </w:tc>
        <w:tc>
          <w:tcPr>
            <w:tcW w:w="1460" w:type="dxa"/>
            <w:vAlign w:val="bottom"/>
            <w:gridSpan w:val="3"/>
          </w:tcPr>
          <w:p>
            <w:pPr>
              <w:ind w:left="100"/>
              <w:spacing w:after="0"/>
              <w:rPr>
                <w:sz w:val="20"/>
                <w:szCs w:val="20"/>
                <w:color w:val="auto"/>
              </w:rPr>
            </w:pPr>
            <w:r>
              <w:rPr>
                <w:rFonts w:ascii="Arial" w:cs="Arial" w:eastAsia="Arial" w:hAnsi="Arial"/>
                <w:sz w:val="17"/>
                <w:szCs w:val="17"/>
                <w:b w:val="1"/>
                <w:bCs w:val="1"/>
                <w:color w:val="auto"/>
              </w:rPr>
              <w:t>economic value</w:t>
            </w:r>
          </w:p>
        </w:tc>
      </w:tr>
      <w:tr>
        <w:trPr>
          <w:trHeight w:val="201"/>
        </w:trPr>
        <w:tc>
          <w:tcPr>
            <w:tcW w:w="320" w:type="dxa"/>
            <w:vAlign w:val="bottom"/>
          </w:tcPr>
          <w:p>
            <w:pPr>
              <w:spacing w:after="0"/>
              <w:rPr>
                <w:sz w:val="17"/>
                <w:szCs w:val="17"/>
                <w:color w:val="auto"/>
              </w:rPr>
            </w:pPr>
          </w:p>
        </w:tc>
        <w:tc>
          <w:tcPr>
            <w:tcW w:w="442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jc w:val="center"/>
              <w:ind w:right="213"/>
              <w:spacing w:after="0"/>
              <w:rPr>
                <w:sz w:val="20"/>
                <w:szCs w:val="20"/>
                <w:color w:val="auto"/>
              </w:rPr>
            </w:pPr>
            <w:r>
              <w:rPr>
                <w:rFonts w:ascii="Arial" w:cs="Arial" w:eastAsia="Arial" w:hAnsi="Arial"/>
                <w:sz w:val="17"/>
                <w:szCs w:val="17"/>
                <w:b w:val="1"/>
                <w:bCs w:val="1"/>
                <w:color w:val="auto"/>
                <w:w w:val="93"/>
              </w:rPr>
              <w:t>S/(000)</w:t>
            </w:r>
          </w:p>
        </w:tc>
        <w:tc>
          <w:tcPr>
            <w:tcW w:w="10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center"/>
              <w:ind w:right="193"/>
              <w:spacing w:after="0"/>
              <w:rPr>
                <w:sz w:val="20"/>
                <w:szCs w:val="20"/>
                <w:color w:val="auto"/>
              </w:rPr>
            </w:pPr>
            <w:r>
              <w:rPr>
                <w:rFonts w:ascii="Arial" w:cs="Arial" w:eastAsia="Arial" w:hAnsi="Arial"/>
                <w:sz w:val="17"/>
                <w:szCs w:val="17"/>
                <w:b w:val="1"/>
                <w:bCs w:val="1"/>
                <w:color w:val="auto"/>
                <w:w w:val="93"/>
              </w:rPr>
              <w:t>S/(000)</w:t>
            </w:r>
          </w:p>
        </w:tc>
        <w:tc>
          <w:tcPr>
            <w:tcW w:w="160" w:type="dxa"/>
            <w:vAlign w:val="bottom"/>
          </w:tcPr>
          <w:p>
            <w:pPr>
              <w:spacing w:after="0"/>
              <w:rPr>
                <w:sz w:val="17"/>
                <w:szCs w:val="17"/>
                <w:color w:val="auto"/>
              </w:rPr>
            </w:pPr>
          </w:p>
        </w:tc>
      </w:tr>
      <w:tr>
        <w:trPr>
          <w:trHeight w:val="208"/>
        </w:trPr>
        <w:tc>
          <w:tcPr>
            <w:tcW w:w="3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At December 31, 2017</w:t>
            </w:r>
          </w:p>
        </w:tc>
        <w:tc>
          <w:tcPr>
            <w:tcW w:w="2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tcPr>
          <w:p>
            <w:pPr>
              <w:spacing w:after="0"/>
              <w:rPr>
                <w:sz w:val="18"/>
                <w:szCs w:val="18"/>
                <w:color w:val="auto"/>
              </w:rPr>
            </w:pPr>
          </w:p>
        </w:tc>
      </w:tr>
      <w:tr>
        <w:trPr>
          <w:trHeight w:val="208"/>
        </w:trPr>
        <w:tc>
          <w:tcPr>
            <w:tcW w:w="3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7"/>
                <w:szCs w:val="17"/>
                <w:color w:val="auto"/>
              </w:rPr>
              <w:t>Soles</w:t>
            </w:r>
          </w:p>
        </w:tc>
        <w:tc>
          <w:tcPr>
            <w:tcW w:w="25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140" w:type="dxa"/>
            <w:vAlign w:val="bottom"/>
            <w:gridSpan w:val="2"/>
          </w:tcPr>
          <w:p>
            <w:pPr>
              <w:jc w:val="right"/>
              <w:ind w:right="60"/>
              <w:spacing w:after="0"/>
              <w:rPr>
                <w:sz w:val="20"/>
                <w:szCs w:val="20"/>
                <w:color w:val="auto"/>
              </w:rPr>
            </w:pPr>
            <w:r>
              <w:rPr>
                <w:rFonts w:ascii="Arial" w:cs="Arial" w:eastAsia="Arial" w:hAnsi="Arial"/>
                <w:sz w:val="17"/>
                <w:szCs w:val="17"/>
                <w:color w:val="auto"/>
              </w:rPr>
              <w:t>50</w:t>
            </w:r>
          </w:p>
        </w:tc>
        <w:tc>
          <w:tcPr>
            <w:tcW w:w="360" w:type="dxa"/>
            <w:vAlign w:val="bottom"/>
            <w:gridSpan w:val="2"/>
          </w:tcPr>
          <w:p>
            <w:pPr>
              <w:jc w:val="right"/>
              <w:ind w:right="13"/>
              <w:spacing w:after="0"/>
              <w:rPr>
                <w:sz w:val="20"/>
                <w:szCs w:val="20"/>
                <w:color w:val="auto"/>
              </w:rPr>
            </w:pPr>
            <w:r>
              <w:rPr>
                <w:rFonts w:ascii="Arial" w:cs="Arial" w:eastAsia="Arial" w:hAnsi="Arial"/>
                <w:sz w:val="17"/>
                <w:szCs w:val="17"/>
                <w:color w:val="auto"/>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1,451</w:t>
            </w:r>
          </w:p>
        </w:tc>
        <w:tc>
          <w:tcPr>
            <w:tcW w:w="10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7"/>
                <w:szCs w:val="17"/>
                <w:color w:val="auto"/>
                <w:w w:val="98"/>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354,899</w:t>
            </w:r>
          </w:p>
        </w:tc>
        <w:tc>
          <w:tcPr>
            <w:tcW w:w="160" w:type="dxa"/>
            <w:vAlign w:val="bottom"/>
          </w:tcPr>
          <w:p>
            <w:pPr>
              <w:spacing w:after="0"/>
              <w:rPr>
                <w:sz w:val="18"/>
                <w:szCs w:val="18"/>
                <w:color w:val="auto"/>
              </w:rPr>
            </w:pPr>
          </w:p>
        </w:tc>
      </w:tr>
      <w:tr>
        <w:trPr>
          <w:trHeight w:val="208"/>
        </w:trPr>
        <w:tc>
          <w:tcPr>
            <w:tcW w:w="3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7"/>
                <w:szCs w:val="17"/>
                <w:color w:val="auto"/>
              </w:rPr>
              <w:t>Soles</w:t>
            </w:r>
          </w:p>
        </w:tc>
        <w:tc>
          <w:tcPr>
            <w:tcW w:w="25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75</w:t>
            </w:r>
          </w:p>
        </w:tc>
        <w:tc>
          <w:tcPr>
            <w:tcW w:w="360" w:type="dxa"/>
            <w:vAlign w:val="bottom"/>
            <w:gridSpan w:val="2"/>
            <w:shd w:val="clear" w:color="auto" w:fill="CCEEFF"/>
          </w:tcPr>
          <w:p>
            <w:pPr>
              <w:jc w:val="right"/>
              <w:ind w:right="13"/>
              <w:spacing w:after="0"/>
              <w:rPr>
                <w:sz w:val="20"/>
                <w:szCs w:val="20"/>
                <w:color w:val="auto"/>
              </w:rPr>
            </w:pPr>
            <w:r>
              <w:rPr>
                <w:rFonts w:ascii="Arial" w:cs="Arial" w:eastAsia="Arial" w:hAnsi="Arial"/>
                <w:sz w:val="17"/>
                <w:szCs w:val="17"/>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2,176</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8"/>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532,348</w:t>
            </w:r>
          </w:p>
        </w:tc>
        <w:tc>
          <w:tcPr>
            <w:tcW w:w="160" w:type="dxa"/>
            <w:vAlign w:val="bottom"/>
          </w:tcPr>
          <w:p>
            <w:pPr>
              <w:spacing w:after="0"/>
              <w:rPr>
                <w:sz w:val="18"/>
                <w:szCs w:val="18"/>
                <w:color w:val="auto"/>
              </w:rPr>
            </w:pPr>
          </w:p>
        </w:tc>
      </w:tr>
      <w:tr>
        <w:trPr>
          <w:trHeight w:val="208"/>
        </w:trPr>
        <w:tc>
          <w:tcPr>
            <w:tcW w:w="3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7"/>
                <w:szCs w:val="17"/>
                <w:color w:val="auto"/>
              </w:rPr>
              <w:t>Soles</w:t>
            </w:r>
          </w:p>
        </w:tc>
        <w:tc>
          <w:tcPr>
            <w:tcW w:w="25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140" w:type="dxa"/>
            <w:vAlign w:val="bottom"/>
            <w:gridSpan w:val="2"/>
          </w:tcPr>
          <w:p>
            <w:pPr>
              <w:jc w:val="right"/>
              <w:ind w:right="60"/>
              <w:spacing w:after="0"/>
              <w:rPr>
                <w:sz w:val="20"/>
                <w:szCs w:val="20"/>
                <w:color w:val="auto"/>
              </w:rPr>
            </w:pPr>
            <w:r>
              <w:rPr>
                <w:rFonts w:ascii="Arial" w:cs="Arial" w:eastAsia="Arial" w:hAnsi="Arial"/>
                <w:sz w:val="17"/>
                <w:szCs w:val="17"/>
                <w:color w:val="auto"/>
              </w:rPr>
              <w:t>100</w:t>
            </w:r>
          </w:p>
        </w:tc>
        <w:tc>
          <w:tcPr>
            <w:tcW w:w="360" w:type="dxa"/>
            <w:vAlign w:val="bottom"/>
            <w:gridSpan w:val="2"/>
          </w:tcPr>
          <w:p>
            <w:pPr>
              <w:jc w:val="right"/>
              <w:ind w:right="13"/>
              <w:spacing w:after="0"/>
              <w:rPr>
                <w:sz w:val="20"/>
                <w:szCs w:val="20"/>
                <w:color w:val="auto"/>
              </w:rPr>
            </w:pPr>
            <w:r>
              <w:rPr>
                <w:rFonts w:ascii="Arial" w:cs="Arial" w:eastAsia="Arial" w:hAnsi="Arial"/>
                <w:sz w:val="17"/>
                <w:szCs w:val="17"/>
                <w:color w:val="auto"/>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2,901</w:t>
            </w:r>
          </w:p>
        </w:tc>
        <w:tc>
          <w:tcPr>
            <w:tcW w:w="10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7"/>
                <w:szCs w:val="17"/>
                <w:color w:val="auto"/>
                <w:w w:val="98"/>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709,798</w:t>
            </w:r>
          </w:p>
        </w:tc>
        <w:tc>
          <w:tcPr>
            <w:tcW w:w="160" w:type="dxa"/>
            <w:vAlign w:val="bottom"/>
          </w:tcPr>
          <w:p>
            <w:pPr>
              <w:spacing w:after="0"/>
              <w:rPr>
                <w:sz w:val="18"/>
                <w:szCs w:val="18"/>
                <w:color w:val="auto"/>
              </w:rPr>
            </w:pPr>
          </w:p>
        </w:tc>
      </w:tr>
      <w:tr>
        <w:trPr>
          <w:trHeight w:val="208"/>
        </w:trPr>
        <w:tc>
          <w:tcPr>
            <w:tcW w:w="3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7"/>
                <w:szCs w:val="17"/>
                <w:color w:val="auto"/>
              </w:rPr>
              <w:t>Soles</w:t>
            </w:r>
          </w:p>
        </w:tc>
        <w:tc>
          <w:tcPr>
            <w:tcW w:w="25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150</w:t>
            </w:r>
          </w:p>
        </w:tc>
        <w:tc>
          <w:tcPr>
            <w:tcW w:w="360" w:type="dxa"/>
            <w:vAlign w:val="bottom"/>
            <w:gridSpan w:val="2"/>
            <w:shd w:val="clear" w:color="auto" w:fill="CCEEFF"/>
          </w:tcPr>
          <w:p>
            <w:pPr>
              <w:jc w:val="right"/>
              <w:ind w:right="13"/>
              <w:spacing w:after="0"/>
              <w:rPr>
                <w:sz w:val="20"/>
                <w:szCs w:val="20"/>
                <w:color w:val="auto"/>
              </w:rPr>
            </w:pPr>
            <w:r>
              <w:rPr>
                <w:rFonts w:ascii="Arial" w:cs="Arial" w:eastAsia="Arial" w:hAnsi="Arial"/>
                <w:sz w:val="17"/>
                <w:szCs w:val="17"/>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4,352</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8"/>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1,064,696</w:t>
            </w:r>
          </w:p>
        </w:tc>
        <w:tc>
          <w:tcPr>
            <w:tcW w:w="160" w:type="dxa"/>
            <w:vAlign w:val="bottom"/>
          </w:tcPr>
          <w:p>
            <w:pPr>
              <w:spacing w:after="0"/>
              <w:rPr>
                <w:sz w:val="18"/>
                <w:szCs w:val="18"/>
                <w:color w:val="auto"/>
              </w:rPr>
            </w:pPr>
          </w:p>
        </w:tc>
      </w:tr>
      <w:tr>
        <w:trPr>
          <w:trHeight w:val="208"/>
        </w:trPr>
        <w:tc>
          <w:tcPr>
            <w:tcW w:w="3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7"/>
                <w:szCs w:val="17"/>
                <w:color w:val="auto"/>
              </w:rPr>
              <w:t>U.S. Dollar</w:t>
            </w:r>
          </w:p>
        </w:tc>
        <w:tc>
          <w:tcPr>
            <w:tcW w:w="25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140" w:type="dxa"/>
            <w:vAlign w:val="bottom"/>
            <w:gridSpan w:val="2"/>
          </w:tcPr>
          <w:p>
            <w:pPr>
              <w:jc w:val="right"/>
              <w:ind w:right="60"/>
              <w:spacing w:after="0"/>
              <w:rPr>
                <w:sz w:val="20"/>
                <w:szCs w:val="20"/>
                <w:color w:val="auto"/>
              </w:rPr>
            </w:pPr>
            <w:r>
              <w:rPr>
                <w:rFonts w:ascii="Arial" w:cs="Arial" w:eastAsia="Arial" w:hAnsi="Arial"/>
                <w:sz w:val="17"/>
                <w:szCs w:val="17"/>
                <w:color w:val="auto"/>
              </w:rPr>
              <w:t>50</w:t>
            </w:r>
          </w:p>
        </w:tc>
        <w:tc>
          <w:tcPr>
            <w:tcW w:w="360" w:type="dxa"/>
            <w:vAlign w:val="bottom"/>
            <w:gridSpan w:val="2"/>
          </w:tcPr>
          <w:p>
            <w:pPr>
              <w:jc w:val="right"/>
              <w:ind w:right="13"/>
              <w:spacing w:after="0"/>
              <w:rPr>
                <w:sz w:val="20"/>
                <w:szCs w:val="20"/>
                <w:color w:val="auto"/>
              </w:rPr>
            </w:pPr>
            <w:r>
              <w:rPr>
                <w:rFonts w:ascii="Arial" w:cs="Arial" w:eastAsia="Arial" w:hAnsi="Arial"/>
                <w:sz w:val="17"/>
                <w:szCs w:val="17"/>
                <w:color w:val="auto"/>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8,068</w:t>
            </w:r>
          </w:p>
        </w:tc>
        <w:tc>
          <w:tcPr>
            <w:tcW w:w="10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7"/>
                <w:szCs w:val="17"/>
                <w:color w:val="auto"/>
                <w:w w:val="98"/>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129,876</w:t>
            </w:r>
          </w:p>
        </w:tc>
        <w:tc>
          <w:tcPr>
            <w:tcW w:w="160" w:type="dxa"/>
            <w:vAlign w:val="bottom"/>
          </w:tcPr>
          <w:p>
            <w:pPr>
              <w:spacing w:after="0"/>
              <w:rPr>
                <w:sz w:val="18"/>
                <w:szCs w:val="18"/>
                <w:color w:val="auto"/>
              </w:rPr>
            </w:pPr>
          </w:p>
        </w:tc>
      </w:tr>
      <w:tr>
        <w:trPr>
          <w:trHeight w:val="208"/>
        </w:trPr>
        <w:tc>
          <w:tcPr>
            <w:tcW w:w="3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7"/>
                <w:szCs w:val="17"/>
                <w:color w:val="auto"/>
              </w:rPr>
              <w:t>U.S. Dollar</w:t>
            </w:r>
          </w:p>
        </w:tc>
        <w:tc>
          <w:tcPr>
            <w:tcW w:w="25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75</w:t>
            </w:r>
          </w:p>
        </w:tc>
        <w:tc>
          <w:tcPr>
            <w:tcW w:w="360" w:type="dxa"/>
            <w:vAlign w:val="bottom"/>
            <w:gridSpan w:val="2"/>
            <w:shd w:val="clear" w:color="auto" w:fill="CCEEFF"/>
          </w:tcPr>
          <w:p>
            <w:pPr>
              <w:jc w:val="right"/>
              <w:ind w:right="13"/>
              <w:spacing w:after="0"/>
              <w:rPr>
                <w:sz w:val="20"/>
                <w:szCs w:val="20"/>
                <w:color w:val="auto"/>
              </w:rPr>
            </w:pPr>
            <w:r>
              <w:rPr>
                <w:rFonts w:ascii="Arial" w:cs="Arial" w:eastAsia="Arial" w:hAnsi="Arial"/>
                <w:sz w:val="17"/>
                <w:szCs w:val="17"/>
                <w:color w:val="auto"/>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12,103</w:t>
            </w:r>
          </w:p>
        </w:tc>
        <w:tc>
          <w:tcPr>
            <w:tcW w:w="3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8"/>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194,813</w:t>
            </w:r>
          </w:p>
        </w:tc>
        <w:tc>
          <w:tcPr>
            <w:tcW w:w="160" w:type="dxa"/>
            <w:vAlign w:val="bottom"/>
          </w:tcPr>
          <w:p>
            <w:pPr>
              <w:spacing w:after="0"/>
              <w:rPr>
                <w:sz w:val="18"/>
                <w:szCs w:val="18"/>
                <w:color w:val="auto"/>
              </w:rPr>
            </w:pPr>
          </w:p>
        </w:tc>
      </w:tr>
      <w:tr>
        <w:trPr>
          <w:trHeight w:val="208"/>
        </w:trPr>
        <w:tc>
          <w:tcPr>
            <w:tcW w:w="3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7"/>
                <w:szCs w:val="17"/>
                <w:color w:val="auto"/>
              </w:rPr>
              <w:t>U.S. Dollar</w:t>
            </w:r>
          </w:p>
        </w:tc>
        <w:tc>
          <w:tcPr>
            <w:tcW w:w="25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140" w:type="dxa"/>
            <w:vAlign w:val="bottom"/>
            <w:gridSpan w:val="2"/>
          </w:tcPr>
          <w:p>
            <w:pPr>
              <w:jc w:val="right"/>
              <w:ind w:right="60"/>
              <w:spacing w:after="0"/>
              <w:rPr>
                <w:sz w:val="20"/>
                <w:szCs w:val="20"/>
                <w:color w:val="auto"/>
              </w:rPr>
            </w:pPr>
            <w:r>
              <w:rPr>
                <w:rFonts w:ascii="Arial" w:cs="Arial" w:eastAsia="Arial" w:hAnsi="Arial"/>
                <w:sz w:val="17"/>
                <w:szCs w:val="17"/>
                <w:color w:val="auto"/>
              </w:rPr>
              <w:t>100</w:t>
            </w:r>
          </w:p>
        </w:tc>
        <w:tc>
          <w:tcPr>
            <w:tcW w:w="360" w:type="dxa"/>
            <w:vAlign w:val="bottom"/>
            <w:gridSpan w:val="2"/>
          </w:tcPr>
          <w:p>
            <w:pPr>
              <w:jc w:val="right"/>
              <w:ind w:right="13"/>
              <w:spacing w:after="0"/>
              <w:rPr>
                <w:sz w:val="20"/>
                <w:szCs w:val="20"/>
                <w:color w:val="auto"/>
              </w:rPr>
            </w:pPr>
            <w:r>
              <w:rPr>
                <w:rFonts w:ascii="Arial" w:cs="Arial" w:eastAsia="Arial" w:hAnsi="Arial"/>
                <w:sz w:val="17"/>
                <w:szCs w:val="17"/>
                <w:color w:val="auto"/>
              </w:rPr>
              <w:t>+/-</w:t>
            </w:r>
          </w:p>
        </w:tc>
        <w:tc>
          <w:tcPr>
            <w:tcW w:w="1160" w:type="dxa"/>
            <w:vAlign w:val="bottom"/>
            <w:gridSpan w:val="2"/>
          </w:tcPr>
          <w:p>
            <w:pPr>
              <w:jc w:val="right"/>
              <w:ind w:right="100"/>
              <w:spacing w:after="0"/>
              <w:rPr>
                <w:sz w:val="20"/>
                <w:szCs w:val="20"/>
                <w:color w:val="auto"/>
              </w:rPr>
            </w:pPr>
            <w:r>
              <w:rPr>
                <w:rFonts w:ascii="Arial" w:cs="Arial" w:eastAsia="Arial" w:hAnsi="Arial"/>
                <w:sz w:val="17"/>
                <w:szCs w:val="17"/>
                <w:color w:val="auto"/>
              </w:rPr>
              <w:t>16,137</w:t>
            </w:r>
          </w:p>
        </w:tc>
        <w:tc>
          <w:tcPr>
            <w:tcW w:w="300" w:type="dxa"/>
            <w:vAlign w:val="bottom"/>
          </w:tcPr>
          <w:p>
            <w:pPr>
              <w:jc w:val="right"/>
              <w:spacing w:after="0"/>
              <w:rPr>
                <w:sz w:val="20"/>
                <w:szCs w:val="20"/>
                <w:color w:val="auto"/>
              </w:rPr>
            </w:pPr>
            <w:r>
              <w:rPr>
                <w:rFonts w:ascii="Arial" w:cs="Arial" w:eastAsia="Arial" w:hAnsi="Arial"/>
                <w:sz w:val="17"/>
                <w:szCs w:val="17"/>
                <w:color w:val="auto"/>
                <w:w w:val="98"/>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259,751</w:t>
            </w:r>
          </w:p>
        </w:tc>
        <w:tc>
          <w:tcPr>
            <w:tcW w:w="160" w:type="dxa"/>
            <w:vAlign w:val="bottom"/>
          </w:tcPr>
          <w:p>
            <w:pPr>
              <w:spacing w:after="0"/>
              <w:rPr>
                <w:sz w:val="18"/>
                <w:szCs w:val="18"/>
                <w:color w:val="auto"/>
              </w:rPr>
            </w:pPr>
          </w:p>
        </w:tc>
      </w:tr>
      <w:tr>
        <w:trPr>
          <w:trHeight w:val="208"/>
        </w:trPr>
        <w:tc>
          <w:tcPr>
            <w:tcW w:w="3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7"/>
                <w:szCs w:val="17"/>
                <w:color w:val="auto"/>
              </w:rPr>
              <w:t>U.S. Dollar</w:t>
            </w:r>
          </w:p>
        </w:tc>
        <w:tc>
          <w:tcPr>
            <w:tcW w:w="25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150</w:t>
            </w:r>
          </w:p>
        </w:tc>
        <w:tc>
          <w:tcPr>
            <w:tcW w:w="360" w:type="dxa"/>
            <w:vAlign w:val="bottom"/>
            <w:gridSpan w:val="2"/>
            <w:shd w:val="clear" w:color="auto" w:fill="CCEEFF"/>
          </w:tcPr>
          <w:p>
            <w:pPr>
              <w:jc w:val="right"/>
              <w:ind w:right="13"/>
              <w:spacing w:after="0"/>
              <w:rPr>
                <w:sz w:val="20"/>
                <w:szCs w:val="20"/>
                <w:color w:val="auto"/>
              </w:rPr>
            </w:pPr>
            <w:r>
              <w:rPr>
                <w:rFonts w:ascii="Arial" w:cs="Arial" w:eastAsia="Arial" w:hAnsi="Arial"/>
                <w:sz w:val="17"/>
                <w:szCs w:val="17"/>
                <w:color w:val="auto"/>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24,205</w:t>
            </w:r>
          </w:p>
        </w:tc>
        <w:tc>
          <w:tcPr>
            <w:tcW w:w="3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8"/>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389,627</w:t>
            </w:r>
          </w:p>
        </w:tc>
        <w:tc>
          <w:tcPr>
            <w:tcW w:w="160" w:type="dxa"/>
            <w:vAlign w:val="bottom"/>
          </w:tcPr>
          <w:p>
            <w:pPr>
              <w:spacing w:after="0"/>
              <w:rPr>
                <w:sz w:val="18"/>
                <w:szCs w:val="18"/>
                <w:color w:val="auto"/>
              </w:rPr>
            </w:pPr>
          </w:p>
        </w:tc>
      </w:tr>
      <w:tr>
        <w:trPr>
          <w:trHeight w:val="416"/>
        </w:trPr>
        <w:tc>
          <w:tcPr>
            <w:tcW w:w="320" w:type="dxa"/>
            <w:vAlign w:val="bottom"/>
          </w:tcPr>
          <w:p>
            <w:pPr>
              <w:spacing w:after="0"/>
              <w:rPr>
                <w:sz w:val="24"/>
                <w:szCs w:val="24"/>
                <w:color w:val="auto"/>
              </w:rPr>
            </w:pPr>
          </w:p>
        </w:tc>
        <w:tc>
          <w:tcPr>
            <w:tcW w:w="442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960" w:type="dxa"/>
            <w:vAlign w:val="bottom"/>
            <w:tcBorders>
              <w:bottom w:val="single" w:sz="8" w:color="auto"/>
            </w:tcBorders>
            <w:gridSpan w:val="7"/>
          </w:tcPr>
          <w:p>
            <w:pPr>
              <w:jc w:val="center"/>
              <w:ind w:left="733"/>
              <w:spacing w:after="0"/>
              <w:rPr>
                <w:sz w:val="20"/>
                <w:szCs w:val="20"/>
                <w:color w:val="auto"/>
              </w:rPr>
            </w:pPr>
            <w:r>
              <w:rPr>
                <w:rFonts w:ascii="Arial" w:cs="Arial" w:eastAsia="Arial" w:hAnsi="Arial"/>
                <w:sz w:val="17"/>
                <w:szCs w:val="17"/>
                <w:b w:val="1"/>
                <w:bCs w:val="1"/>
                <w:color w:val="auto"/>
                <w:w w:val="92"/>
              </w:rPr>
              <w:t>At December 31, 2016</w:t>
            </w:r>
          </w:p>
        </w:tc>
        <w:tc>
          <w:tcPr>
            <w:tcW w:w="100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r>
      <w:tr>
        <w:trPr>
          <w:trHeight w:val="182"/>
        </w:trPr>
        <w:tc>
          <w:tcPr>
            <w:tcW w:w="320" w:type="dxa"/>
            <w:vAlign w:val="bottom"/>
          </w:tcPr>
          <w:p>
            <w:pPr>
              <w:spacing w:after="0"/>
              <w:rPr>
                <w:sz w:val="15"/>
                <w:szCs w:val="15"/>
                <w:color w:val="auto"/>
              </w:rPr>
            </w:pPr>
          </w:p>
        </w:tc>
        <w:tc>
          <w:tcPr>
            <w:tcW w:w="4420" w:type="dxa"/>
            <w:vAlign w:val="bottom"/>
          </w:tcPr>
          <w:p>
            <w:pPr>
              <w:spacing w:after="0"/>
              <w:rPr>
                <w:sz w:val="15"/>
                <w:szCs w:val="15"/>
                <w:color w:val="auto"/>
              </w:rPr>
            </w:pPr>
          </w:p>
        </w:tc>
        <w:tc>
          <w:tcPr>
            <w:tcW w:w="23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gridSpan w:val="2"/>
          </w:tcPr>
          <w:p>
            <w:pPr>
              <w:ind w:left="20"/>
              <w:spacing w:after="0" w:line="183" w:lineRule="exact"/>
              <w:rPr>
                <w:sz w:val="20"/>
                <w:szCs w:val="20"/>
                <w:color w:val="auto"/>
              </w:rPr>
            </w:pPr>
            <w:r>
              <w:rPr>
                <w:rFonts w:ascii="Arial" w:cs="Arial" w:eastAsia="Arial" w:hAnsi="Arial"/>
                <w:sz w:val="17"/>
                <w:szCs w:val="17"/>
                <w:b w:val="1"/>
                <w:bCs w:val="1"/>
                <w:color w:val="auto"/>
              </w:rPr>
              <w:t>Changes in</w:t>
            </w:r>
          </w:p>
        </w:tc>
        <w:tc>
          <w:tcPr>
            <w:tcW w:w="40" w:type="dxa"/>
            <w:vAlign w:val="bottom"/>
          </w:tcPr>
          <w:p>
            <w:pPr>
              <w:spacing w:after="0"/>
              <w:rPr>
                <w:sz w:val="15"/>
                <w:szCs w:val="15"/>
                <w:color w:val="auto"/>
              </w:rPr>
            </w:pPr>
          </w:p>
        </w:tc>
        <w:tc>
          <w:tcPr>
            <w:tcW w:w="1480" w:type="dxa"/>
            <w:vAlign w:val="bottom"/>
            <w:gridSpan w:val="3"/>
          </w:tcPr>
          <w:p>
            <w:pPr>
              <w:jc w:val="right"/>
              <w:ind w:right="180"/>
              <w:spacing w:after="0" w:line="183" w:lineRule="exact"/>
              <w:rPr>
                <w:sz w:val="20"/>
                <w:szCs w:val="20"/>
                <w:color w:val="auto"/>
              </w:rPr>
            </w:pPr>
            <w:r>
              <w:rPr>
                <w:rFonts w:ascii="Arial" w:cs="Arial" w:eastAsia="Arial" w:hAnsi="Arial"/>
                <w:sz w:val="17"/>
                <w:szCs w:val="17"/>
                <w:b w:val="1"/>
                <w:bCs w:val="1"/>
                <w:color w:val="auto"/>
                <w:w w:val="94"/>
              </w:rPr>
              <w:t>Sensitivity of net</w:t>
            </w:r>
          </w:p>
        </w:tc>
        <w:tc>
          <w:tcPr>
            <w:tcW w:w="1300" w:type="dxa"/>
            <w:vAlign w:val="bottom"/>
            <w:gridSpan w:val="2"/>
          </w:tcPr>
          <w:p>
            <w:pPr>
              <w:jc w:val="center"/>
              <w:spacing w:after="0" w:line="183" w:lineRule="exact"/>
              <w:rPr>
                <w:sz w:val="20"/>
                <w:szCs w:val="20"/>
                <w:color w:val="auto"/>
              </w:rPr>
            </w:pPr>
            <w:r>
              <w:rPr>
                <w:rFonts w:ascii="Arial" w:cs="Arial" w:eastAsia="Arial" w:hAnsi="Arial"/>
                <w:sz w:val="17"/>
                <w:szCs w:val="17"/>
                <w:b w:val="1"/>
                <w:bCs w:val="1"/>
                <w:color w:val="auto"/>
                <w:w w:val="90"/>
              </w:rPr>
              <w:t>Sensitivity of</w:t>
            </w:r>
          </w:p>
        </w:tc>
        <w:tc>
          <w:tcPr>
            <w:tcW w:w="160" w:type="dxa"/>
            <w:vAlign w:val="bottom"/>
          </w:tcPr>
          <w:p>
            <w:pPr>
              <w:spacing w:after="0"/>
              <w:rPr>
                <w:sz w:val="15"/>
                <w:szCs w:val="15"/>
                <w:color w:val="auto"/>
              </w:rPr>
            </w:pPr>
          </w:p>
        </w:tc>
      </w:tr>
      <w:tr>
        <w:trPr>
          <w:trHeight w:val="226"/>
        </w:trPr>
        <w:tc>
          <w:tcPr>
            <w:tcW w:w="320" w:type="dxa"/>
            <w:vAlign w:val="bottom"/>
          </w:tcPr>
          <w:p>
            <w:pPr>
              <w:spacing w:after="0"/>
              <w:rPr>
                <w:sz w:val="19"/>
                <w:szCs w:val="19"/>
                <w:color w:val="auto"/>
              </w:rPr>
            </w:pPr>
          </w:p>
        </w:tc>
        <w:tc>
          <w:tcPr>
            <w:tcW w:w="4420" w:type="dxa"/>
            <w:vAlign w:val="bottom"/>
          </w:tcPr>
          <w:p>
            <w:pPr>
              <w:ind w:left="2980"/>
              <w:spacing w:after="0"/>
              <w:rPr>
                <w:sz w:val="20"/>
                <w:szCs w:val="20"/>
                <w:color w:val="auto"/>
              </w:rPr>
            </w:pPr>
            <w:r>
              <w:rPr>
                <w:rFonts w:ascii="Arial" w:cs="Arial" w:eastAsia="Arial" w:hAnsi="Arial"/>
                <w:sz w:val="17"/>
                <w:szCs w:val="17"/>
                <w:b w:val="1"/>
                <w:bCs w:val="1"/>
                <w:color w:val="auto"/>
              </w:rPr>
              <w:t>Currency</w:t>
            </w:r>
          </w:p>
        </w:tc>
        <w:tc>
          <w:tcPr>
            <w:tcW w:w="2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gridSpan w:val="2"/>
          </w:tcPr>
          <w:p>
            <w:pPr>
              <w:ind w:left="20"/>
              <w:spacing w:after="0"/>
              <w:rPr>
                <w:sz w:val="20"/>
                <w:szCs w:val="20"/>
                <w:color w:val="auto"/>
              </w:rPr>
            </w:pPr>
            <w:r>
              <w:rPr>
                <w:rFonts w:ascii="Arial" w:cs="Arial" w:eastAsia="Arial" w:hAnsi="Arial"/>
                <w:sz w:val="17"/>
                <w:szCs w:val="17"/>
                <w:b w:val="1"/>
                <w:bCs w:val="1"/>
                <w:color w:val="auto"/>
              </w:rPr>
              <w:t>basis points</w:t>
            </w: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gridSpan w:val="2"/>
          </w:tcPr>
          <w:p>
            <w:pPr>
              <w:jc w:val="center"/>
              <w:ind w:right="420"/>
              <w:spacing w:after="0"/>
              <w:rPr>
                <w:sz w:val="20"/>
                <w:szCs w:val="20"/>
                <w:color w:val="auto"/>
              </w:rPr>
            </w:pPr>
            <w:r>
              <w:rPr>
                <w:rFonts w:ascii="Arial" w:cs="Arial" w:eastAsia="Arial" w:hAnsi="Arial"/>
                <w:sz w:val="17"/>
                <w:szCs w:val="17"/>
                <w:b w:val="1"/>
                <w:bCs w:val="1"/>
                <w:color w:val="auto"/>
                <w:w w:val="96"/>
              </w:rPr>
              <w:t>profit</w:t>
            </w:r>
          </w:p>
        </w:tc>
        <w:tc>
          <w:tcPr>
            <w:tcW w:w="1460" w:type="dxa"/>
            <w:vAlign w:val="bottom"/>
            <w:gridSpan w:val="3"/>
          </w:tcPr>
          <w:p>
            <w:pPr>
              <w:ind w:left="100"/>
              <w:spacing w:after="0"/>
              <w:rPr>
                <w:sz w:val="20"/>
                <w:szCs w:val="20"/>
                <w:color w:val="auto"/>
              </w:rPr>
            </w:pPr>
            <w:r>
              <w:rPr>
                <w:rFonts w:ascii="Arial" w:cs="Arial" w:eastAsia="Arial" w:hAnsi="Arial"/>
                <w:sz w:val="17"/>
                <w:szCs w:val="17"/>
                <w:b w:val="1"/>
                <w:bCs w:val="1"/>
                <w:color w:val="auto"/>
              </w:rPr>
              <w:t>economic value</w:t>
            </w:r>
          </w:p>
        </w:tc>
      </w:tr>
      <w:tr>
        <w:trPr>
          <w:trHeight w:val="201"/>
        </w:trPr>
        <w:tc>
          <w:tcPr>
            <w:tcW w:w="320" w:type="dxa"/>
            <w:vAlign w:val="bottom"/>
          </w:tcPr>
          <w:p>
            <w:pPr>
              <w:spacing w:after="0"/>
              <w:rPr>
                <w:sz w:val="17"/>
                <w:szCs w:val="17"/>
                <w:color w:val="auto"/>
              </w:rPr>
            </w:pPr>
          </w:p>
        </w:tc>
        <w:tc>
          <w:tcPr>
            <w:tcW w:w="442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jc w:val="center"/>
              <w:ind w:right="213"/>
              <w:spacing w:after="0"/>
              <w:rPr>
                <w:sz w:val="20"/>
                <w:szCs w:val="20"/>
                <w:color w:val="auto"/>
              </w:rPr>
            </w:pPr>
            <w:r>
              <w:rPr>
                <w:rFonts w:ascii="Arial" w:cs="Arial" w:eastAsia="Arial" w:hAnsi="Arial"/>
                <w:sz w:val="17"/>
                <w:szCs w:val="17"/>
                <w:b w:val="1"/>
                <w:bCs w:val="1"/>
                <w:color w:val="auto"/>
                <w:w w:val="93"/>
              </w:rPr>
              <w:t>S/(000)</w:t>
            </w:r>
          </w:p>
        </w:tc>
        <w:tc>
          <w:tcPr>
            <w:tcW w:w="10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center"/>
              <w:ind w:right="193"/>
              <w:spacing w:after="0"/>
              <w:rPr>
                <w:sz w:val="20"/>
                <w:szCs w:val="20"/>
                <w:color w:val="auto"/>
              </w:rPr>
            </w:pPr>
            <w:r>
              <w:rPr>
                <w:rFonts w:ascii="Arial" w:cs="Arial" w:eastAsia="Arial" w:hAnsi="Arial"/>
                <w:sz w:val="17"/>
                <w:szCs w:val="17"/>
                <w:b w:val="1"/>
                <w:bCs w:val="1"/>
                <w:color w:val="auto"/>
                <w:w w:val="93"/>
              </w:rPr>
              <w:t>S/(000)</w:t>
            </w:r>
          </w:p>
        </w:tc>
        <w:tc>
          <w:tcPr>
            <w:tcW w:w="160" w:type="dxa"/>
            <w:vAlign w:val="bottom"/>
          </w:tcPr>
          <w:p>
            <w:pPr>
              <w:spacing w:after="0"/>
              <w:rPr>
                <w:sz w:val="17"/>
                <w:szCs w:val="17"/>
                <w:color w:val="auto"/>
              </w:rPr>
            </w:pPr>
          </w:p>
        </w:tc>
      </w:tr>
      <w:tr>
        <w:trPr>
          <w:trHeight w:val="208"/>
        </w:trPr>
        <w:tc>
          <w:tcPr>
            <w:tcW w:w="3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At December 31, 2016</w:t>
            </w:r>
          </w:p>
        </w:tc>
        <w:tc>
          <w:tcPr>
            <w:tcW w:w="2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tcPr>
          <w:p>
            <w:pPr>
              <w:spacing w:after="0"/>
              <w:rPr>
                <w:sz w:val="18"/>
                <w:szCs w:val="18"/>
                <w:color w:val="auto"/>
              </w:rPr>
            </w:pPr>
          </w:p>
        </w:tc>
      </w:tr>
      <w:tr>
        <w:trPr>
          <w:trHeight w:val="208"/>
        </w:trPr>
        <w:tc>
          <w:tcPr>
            <w:tcW w:w="3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7"/>
                <w:szCs w:val="17"/>
                <w:color w:val="auto"/>
              </w:rPr>
              <w:t>Soles</w:t>
            </w:r>
          </w:p>
        </w:tc>
        <w:tc>
          <w:tcPr>
            <w:tcW w:w="25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140" w:type="dxa"/>
            <w:vAlign w:val="bottom"/>
            <w:gridSpan w:val="2"/>
          </w:tcPr>
          <w:p>
            <w:pPr>
              <w:jc w:val="right"/>
              <w:ind w:right="60"/>
              <w:spacing w:after="0"/>
              <w:rPr>
                <w:sz w:val="20"/>
                <w:szCs w:val="20"/>
                <w:color w:val="auto"/>
              </w:rPr>
            </w:pPr>
            <w:r>
              <w:rPr>
                <w:rFonts w:ascii="Arial" w:cs="Arial" w:eastAsia="Arial" w:hAnsi="Arial"/>
                <w:sz w:val="17"/>
                <w:szCs w:val="17"/>
                <w:color w:val="auto"/>
              </w:rPr>
              <w:t>50</w:t>
            </w:r>
          </w:p>
        </w:tc>
        <w:tc>
          <w:tcPr>
            <w:tcW w:w="360" w:type="dxa"/>
            <w:vAlign w:val="bottom"/>
            <w:gridSpan w:val="2"/>
          </w:tcPr>
          <w:p>
            <w:pPr>
              <w:jc w:val="right"/>
              <w:ind w:right="13"/>
              <w:spacing w:after="0"/>
              <w:rPr>
                <w:sz w:val="20"/>
                <w:szCs w:val="20"/>
                <w:color w:val="auto"/>
              </w:rPr>
            </w:pPr>
            <w:r>
              <w:rPr>
                <w:rFonts w:ascii="Arial" w:cs="Arial" w:eastAsia="Arial" w:hAnsi="Arial"/>
                <w:sz w:val="17"/>
                <w:szCs w:val="17"/>
                <w:color w:val="auto"/>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8,851</w:t>
            </w:r>
          </w:p>
        </w:tc>
        <w:tc>
          <w:tcPr>
            <w:tcW w:w="10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7"/>
                <w:szCs w:val="17"/>
                <w:color w:val="auto"/>
                <w:w w:val="98"/>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285,263</w:t>
            </w:r>
          </w:p>
        </w:tc>
        <w:tc>
          <w:tcPr>
            <w:tcW w:w="160" w:type="dxa"/>
            <w:vAlign w:val="bottom"/>
          </w:tcPr>
          <w:p>
            <w:pPr>
              <w:spacing w:after="0"/>
              <w:rPr>
                <w:sz w:val="18"/>
                <w:szCs w:val="18"/>
                <w:color w:val="auto"/>
              </w:rPr>
            </w:pPr>
          </w:p>
        </w:tc>
      </w:tr>
      <w:tr>
        <w:trPr>
          <w:trHeight w:val="208"/>
        </w:trPr>
        <w:tc>
          <w:tcPr>
            <w:tcW w:w="3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7"/>
                <w:szCs w:val="17"/>
                <w:color w:val="auto"/>
              </w:rPr>
              <w:t>Soles</w:t>
            </w:r>
          </w:p>
        </w:tc>
        <w:tc>
          <w:tcPr>
            <w:tcW w:w="25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75</w:t>
            </w:r>
          </w:p>
        </w:tc>
        <w:tc>
          <w:tcPr>
            <w:tcW w:w="360" w:type="dxa"/>
            <w:vAlign w:val="bottom"/>
            <w:gridSpan w:val="2"/>
            <w:shd w:val="clear" w:color="auto" w:fill="CCEEFF"/>
          </w:tcPr>
          <w:p>
            <w:pPr>
              <w:jc w:val="right"/>
              <w:ind w:right="13"/>
              <w:spacing w:after="0"/>
              <w:rPr>
                <w:sz w:val="20"/>
                <w:szCs w:val="20"/>
                <w:color w:val="auto"/>
              </w:rPr>
            </w:pPr>
            <w:r>
              <w:rPr>
                <w:rFonts w:ascii="Arial" w:cs="Arial" w:eastAsia="Arial" w:hAnsi="Arial"/>
                <w:sz w:val="17"/>
                <w:szCs w:val="17"/>
                <w:color w:val="auto"/>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13,276</w:t>
            </w:r>
          </w:p>
        </w:tc>
        <w:tc>
          <w:tcPr>
            <w:tcW w:w="3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8"/>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427,895</w:t>
            </w:r>
          </w:p>
        </w:tc>
        <w:tc>
          <w:tcPr>
            <w:tcW w:w="160" w:type="dxa"/>
            <w:vAlign w:val="bottom"/>
          </w:tcPr>
          <w:p>
            <w:pPr>
              <w:spacing w:after="0"/>
              <w:rPr>
                <w:sz w:val="18"/>
                <w:szCs w:val="18"/>
                <w:color w:val="auto"/>
              </w:rPr>
            </w:pPr>
          </w:p>
        </w:tc>
      </w:tr>
      <w:tr>
        <w:trPr>
          <w:trHeight w:val="208"/>
        </w:trPr>
        <w:tc>
          <w:tcPr>
            <w:tcW w:w="3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7"/>
                <w:szCs w:val="17"/>
                <w:color w:val="auto"/>
              </w:rPr>
              <w:t>Soles</w:t>
            </w:r>
          </w:p>
        </w:tc>
        <w:tc>
          <w:tcPr>
            <w:tcW w:w="25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140" w:type="dxa"/>
            <w:vAlign w:val="bottom"/>
            <w:gridSpan w:val="2"/>
          </w:tcPr>
          <w:p>
            <w:pPr>
              <w:jc w:val="right"/>
              <w:ind w:right="60"/>
              <w:spacing w:after="0"/>
              <w:rPr>
                <w:sz w:val="20"/>
                <w:szCs w:val="20"/>
                <w:color w:val="auto"/>
              </w:rPr>
            </w:pPr>
            <w:r>
              <w:rPr>
                <w:rFonts w:ascii="Arial" w:cs="Arial" w:eastAsia="Arial" w:hAnsi="Arial"/>
                <w:sz w:val="17"/>
                <w:szCs w:val="17"/>
                <w:color w:val="auto"/>
              </w:rPr>
              <w:t>100</w:t>
            </w:r>
          </w:p>
        </w:tc>
        <w:tc>
          <w:tcPr>
            <w:tcW w:w="360" w:type="dxa"/>
            <w:vAlign w:val="bottom"/>
            <w:gridSpan w:val="2"/>
          </w:tcPr>
          <w:p>
            <w:pPr>
              <w:jc w:val="right"/>
              <w:ind w:right="13"/>
              <w:spacing w:after="0"/>
              <w:rPr>
                <w:sz w:val="20"/>
                <w:szCs w:val="20"/>
                <w:color w:val="auto"/>
              </w:rPr>
            </w:pPr>
            <w:r>
              <w:rPr>
                <w:rFonts w:ascii="Arial" w:cs="Arial" w:eastAsia="Arial" w:hAnsi="Arial"/>
                <w:sz w:val="17"/>
                <w:szCs w:val="17"/>
                <w:color w:val="auto"/>
              </w:rPr>
              <w:t>-/+</w:t>
            </w:r>
          </w:p>
        </w:tc>
        <w:tc>
          <w:tcPr>
            <w:tcW w:w="1160" w:type="dxa"/>
            <w:vAlign w:val="bottom"/>
            <w:gridSpan w:val="2"/>
          </w:tcPr>
          <w:p>
            <w:pPr>
              <w:jc w:val="right"/>
              <w:ind w:right="100"/>
              <w:spacing w:after="0"/>
              <w:rPr>
                <w:sz w:val="20"/>
                <w:szCs w:val="20"/>
                <w:color w:val="auto"/>
              </w:rPr>
            </w:pPr>
            <w:r>
              <w:rPr>
                <w:rFonts w:ascii="Arial" w:cs="Arial" w:eastAsia="Arial" w:hAnsi="Arial"/>
                <w:sz w:val="17"/>
                <w:szCs w:val="17"/>
                <w:color w:val="auto"/>
              </w:rPr>
              <w:t>17,701</w:t>
            </w:r>
          </w:p>
        </w:tc>
        <w:tc>
          <w:tcPr>
            <w:tcW w:w="300" w:type="dxa"/>
            <w:vAlign w:val="bottom"/>
          </w:tcPr>
          <w:p>
            <w:pPr>
              <w:jc w:val="right"/>
              <w:spacing w:after="0"/>
              <w:rPr>
                <w:sz w:val="20"/>
                <w:szCs w:val="20"/>
                <w:color w:val="auto"/>
              </w:rPr>
            </w:pPr>
            <w:r>
              <w:rPr>
                <w:rFonts w:ascii="Arial" w:cs="Arial" w:eastAsia="Arial" w:hAnsi="Arial"/>
                <w:sz w:val="17"/>
                <w:szCs w:val="17"/>
                <w:color w:val="auto"/>
                <w:w w:val="98"/>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570,526</w:t>
            </w:r>
          </w:p>
        </w:tc>
        <w:tc>
          <w:tcPr>
            <w:tcW w:w="160" w:type="dxa"/>
            <w:vAlign w:val="bottom"/>
          </w:tcPr>
          <w:p>
            <w:pPr>
              <w:spacing w:after="0"/>
              <w:rPr>
                <w:sz w:val="18"/>
                <w:szCs w:val="18"/>
                <w:color w:val="auto"/>
              </w:rPr>
            </w:pPr>
          </w:p>
        </w:tc>
      </w:tr>
      <w:tr>
        <w:trPr>
          <w:trHeight w:val="208"/>
        </w:trPr>
        <w:tc>
          <w:tcPr>
            <w:tcW w:w="3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7"/>
                <w:szCs w:val="17"/>
                <w:color w:val="auto"/>
              </w:rPr>
              <w:t>Soles</w:t>
            </w:r>
          </w:p>
        </w:tc>
        <w:tc>
          <w:tcPr>
            <w:tcW w:w="25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150</w:t>
            </w:r>
          </w:p>
        </w:tc>
        <w:tc>
          <w:tcPr>
            <w:tcW w:w="360" w:type="dxa"/>
            <w:vAlign w:val="bottom"/>
            <w:gridSpan w:val="2"/>
            <w:shd w:val="clear" w:color="auto" w:fill="CCEEFF"/>
          </w:tcPr>
          <w:p>
            <w:pPr>
              <w:jc w:val="right"/>
              <w:ind w:right="13"/>
              <w:spacing w:after="0"/>
              <w:rPr>
                <w:sz w:val="20"/>
                <w:szCs w:val="20"/>
                <w:color w:val="auto"/>
              </w:rPr>
            </w:pPr>
            <w:r>
              <w:rPr>
                <w:rFonts w:ascii="Arial" w:cs="Arial" w:eastAsia="Arial" w:hAnsi="Arial"/>
                <w:sz w:val="17"/>
                <w:szCs w:val="17"/>
                <w:color w:val="auto"/>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26,552</w:t>
            </w:r>
          </w:p>
        </w:tc>
        <w:tc>
          <w:tcPr>
            <w:tcW w:w="3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8"/>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855,790</w:t>
            </w:r>
          </w:p>
        </w:tc>
        <w:tc>
          <w:tcPr>
            <w:tcW w:w="160" w:type="dxa"/>
            <w:vAlign w:val="bottom"/>
          </w:tcPr>
          <w:p>
            <w:pPr>
              <w:spacing w:after="0"/>
              <w:rPr>
                <w:sz w:val="18"/>
                <w:szCs w:val="18"/>
                <w:color w:val="auto"/>
              </w:rPr>
            </w:pPr>
          </w:p>
        </w:tc>
      </w:tr>
      <w:tr>
        <w:trPr>
          <w:trHeight w:val="208"/>
        </w:trPr>
        <w:tc>
          <w:tcPr>
            <w:tcW w:w="3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7"/>
                <w:szCs w:val="17"/>
                <w:color w:val="auto"/>
              </w:rPr>
              <w:t>U.S. Dollar</w:t>
            </w:r>
          </w:p>
        </w:tc>
        <w:tc>
          <w:tcPr>
            <w:tcW w:w="25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140" w:type="dxa"/>
            <w:vAlign w:val="bottom"/>
            <w:gridSpan w:val="2"/>
          </w:tcPr>
          <w:p>
            <w:pPr>
              <w:jc w:val="right"/>
              <w:ind w:right="60"/>
              <w:spacing w:after="0"/>
              <w:rPr>
                <w:sz w:val="20"/>
                <w:szCs w:val="20"/>
                <w:color w:val="auto"/>
              </w:rPr>
            </w:pPr>
            <w:r>
              <w:rPr>
                <w:rFonts w:ascii="Arial" w:cs="Arial" w:eastAsia="Arial" w:hAnsi="Arial"/>
                <w:sz w:val="17"/>
                <w:szCs w:val="17"/>
                <w:color w:val="auto"/>
              </w:rPr>
              <w:t>50</w:t>
            </w:r>
          </w:p>
        </w:tc>
        <w:tc>
          <w:tcPr>
            <w:tcW w:w="360" w:type="dxa"/>
            <w:vAlign w:val="bottom"/>
            <w:gridSpan w:val="2"/>
          </w:tcPr>
          <w:p>
            <w:pPr>
              <w:jc w:val="right"/>
              <w:ind w:right="13"/>
              <w:spacing w:after="0"/>
              <w:rPr>
                <w:sz w:val="20"/>
                <w:szCs w:val="20"/>
                <w:color w:val="auto"/>
              </w:rPr>
            </w:pPr>
            <w:r>
              <w:rPr>
                <w:rFonts w:ascii="Arial" w:cs="Arial" w:eastAsia="Arial" w:hAnsi="Arial"/>
                <w:sz w:val="17"/>
                <w:szCs w:val="17"/>
                <w:color w:val="auto"/>
              </w:rPr>
              <w:t>+/-</w:t>
            </w:r>
          </w:p>
        </w:tc>
        <w:tc>
          <w:tcPr>
            <w:tcW w:w="1160" w:type="dxa"/>
            <w:vAlign w:val="bottom"/>
            <w:gridSpan w:val="2"/>
          </w:tcPr>
          <w:p>
            <w:pPr>
              <w:jc w:val="right"/>
              <w:ind w:right="100"/>
              <w:spacing w:after="0"/>
              <w:rPr>
                <w:sz w:val="20"/>
                <w:szCs w:val="20"/>
                <w:color w:val="auto"/>
              </w:rPr>
            </w:pPr>
            <w:r>
              <w:rPr>
                <w:rFonts w:ascii="Arial" w:cs="Arial" w:eastAsia="Arial" w:hAnsi="Arial"/>
                <w:sz w:val="17"/>
                <w:szCs w:val="17"/>
                <w:color w:val="auto"/>
              </w:rPr>
              <w:t>12,613</w:t>
            </w:r>
          </w:p>
        </w:tc>
        <w:tc>
          <w:tcPr>
            <w:tcW w:w="300" w:type="dxa"/>
            <w:vAlign w:val="bottom"/>
          </w:tcPr>
          <w:p>
            <w:pPr>
              <w:jc w:val="right"/>
              <w:spacing w:after="0"/>
              <w:rPr>
                <w:sz w:val="20"/>
                <w:szCs w:val="20"/>
                <w:color w:val="auto"/>
              </w:rPr>
            </w:pPr>
            <w:r>
              <w:rPr>
                <w:rFonts w:ascii="Arial" w:cs="Arial" w:eastAsia="Arial" w:hAnsi="Arial"/>
                <w:sz w:val="17"/>
                <w:szCs w:val="17"/>
                <w:color w:val="auto"/>
                <w:w w:val="98"/>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146,292</w:t>
            </w:r>
          </w:p>
        </w:tc>
        <w:tc>
          <w:tcPr>
            <w:tcW w:w="160" w:type="dxa"/>
            <w:vAlign w:val="bottom"/>
          </w:tcPr>
          <w:p>
            <w:pPr>
              <w:spacing w:after="0"/>
              <w:rPr>
                <w:sz w:val="18"/>
                <w:szCs w:val="18"/>
                <w:color w:val="auto"/>
              </w:rPr>
            </w:pPr>
          </w:p>
        </w:tc>
      </w:tr>
      <w:tr>
        <w:trPr>
          <w:trHeight w:val="208"/>
        </w:trPr>
        <w:tc>
          <w:tcPr>
            <w:tcW w:w="3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7"/>
                <w:szCs w:val="17"/>
                <w:color w:val="auto"/>
              </w:rPr>
              <w:t>U.S. Dollar</w:t>
            </w:r>
          </w:p>
        </w:tc>
        <w:tc>
          <w:tcPr>
            <w:tcW w:w="25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75</w:t>
            </w:r>
          </w:p>
        </w:tc>
        <w:tc>
          <w:tcPr>
            <w:tcW w:w="360" w:type="dxa"/>
            <w:vAlign w:val="bottom"/>
            <w:gridSpan w:val="2"/>
            <w:shd w:val="clear" w:color="auto" w:fill="CCEEFF"/>
          </w:tcPr>
          <w:p>
            <w:pPr>
              <w:jc w:val="right"/>
              <w:ind w:right="13"/>
              <w:spacing w:after="0"/>
              <w:rPr>
                <w:sz w:val="20"/>
                <w:szCs w:val="20"/>
                <w:color w:val="auto"/>
              </w:rPr>
            </w:pPr>
            <w:r>
              <w:rPr>
                <w:rFonts w:ascii="Arial" w:cs="Arial" w:eastAsia="Arial" w:hAnsi="Arial"/>
                <w:sz w:val="17"/>
                <w:szCs w:val="17"/>
                <w:color w:val="auto"/>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18,919</w:t>
            </w:r>
          </w:p>
        </w:tc>
        <w:tc>
          <w:tcPr>
            <w:tcW w:w="3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8"/>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219,438</w:t>
            </w:r>
          </w:p>
        </w:tc>
        <w:tc>
          <w:tcPr>
            <w:tcW w:w="160" w:type="dxa"/>
            <w:vAlign w:val="bottom"/>
          </w:tcPr>
          <w:p>
            <w:pPr>
              <w:spacing w:after="0"/>
              <w:rPr>
                <w:sz w:val="18"/>
                <w:szCs w:val="18"/>
                <w:color w:val="auto"/>
              </w:rPr>
            </w:pPr>
          </w:p>
        </w:tc>
      </w:tr>
      <w:tr>
        <w:trPr>
          <w:trHeight w:val="208"/>
        </w:trPr>
        <w:tc>
          <w:tcPr>
            <w:tcW w:w="3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7"/>
                <w:szCs w:val="17"/>
                <w:color w:val="auto"/>
              </w:rPr>
              <w:t>U.S. Dollar</w:t>
            </w:r>
          </w:p>
        </w:tc>
        <w:tc>
          <w:tcPr>
            <w:tcW w:w="25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140" w:type="dxa"/>
            <w:vAlign w:val="bottom"/>
            <w:gridSpan w:val="2"/>
          </w:tcPr>
          <w:p>
            <w:pPr>
              <w:jc w:val="right"/>
              <w:ind w:right="60"/>
              <w:spacing w:after="0"/>
              <w:rPr>
                <w:sz w:val="20"/>
                <w:szCs w:val="20"/>
                <w:color w:val="auto"/>
              </w:rPr>
            </w:pPr>
            <w:r>
              <w:rPr>
                <w:rFonts w:ascii="Arial" w:cs="Arial" w:eastAsia="Arial" w:hAnsi="Arial"/>
                <w:sz w:val="17"/>
                <w:szCs w:val="17"/>
                <w:color w:val="auto"/>
              </w:rPr>
              <w:t>100</w:t>
            </w:r>
          </w:p>
        </w:tc>
        <w:tc>
          <w:tcPr>
            <w:tcW w:w="360" w:type="dxa"/>
            <w:vAlign w:val="bottom"/>
            <w:gridSpan w:val="2"/>
          </w:tcPr>
          <w:p>
            <w:pPr>
              <w:jc w:val="right"/>
              <w:ind w:right="13"/>
              <w:spacing w:after="0"/>
              <w:rPr>
                <w:sz w:val="20"/>
                <w:szCs w:val="20"/>
                <w:color w:val="auto"/>
              </w:rPr>
            </w:pPr>
            <w:r>
              <w:rPr>
                <w:rFonts w:ascii="Arial" w:cs="Arial" w:eastAsia="Arial" w:hAnsi="Arial"/>
                <w:sz w:val="17"/>
                <w:szCs w:val="17"/>
                <w:color w:val="auto"/>
              </w:rPr>
              <w:t>+/-</w:t>
            </w:r>
          </w:p>
        </w:tc>
        <w:tc>
          <w:tcPr>
            <w:tcW w:w="1160" w:type="dxa"/>
            <w:vAlign w:val="bottom"/>
            <w:gridSpan w:val="2"/>
          </w:tcPr>
          <w:p>
            <w:pPr>
              <w:jc w:val="right"/>
              <w:ind w:right="100"/>
              <w:spacing w:after="0"/>
              <w:rPr>
                <w:sz w:val="20"/>
                <w:szCs w:val="20"/>
                <w:color w:val="auto"/>
              </w:rPr>
            </w:pPr>
            <w:r>
              <w:rPr>
                <w:rFonts w:ascii="Arial" w:cs="Arial" w:eastAsia="Arial" w:hAnsi="Arial"/>
                <w:sz w:val="17"/>
                <w:szCs w:val="17"/>
                <w:color w:val="auto"/>
              </w:rPr>
              <w:t>25,226</w:t>
            </w:r>
          </w:p>
        </w:tc>
        <w:tc>
          <w:tcPr>
            <w:tcW w:w="300" w:type="dxa"/>
            <w:vAlign w:val="bottom"/>
          </w:tcPr>
          <w:p>
            <w:pPr>
              <w:jc w:val="right"/>
              <w:spacing w:after="0"/>
              <w:rPr>
                <w:sz w:val="20"/>
                <w:szCs w:val="20"/>
                <w:color w:val="auto"/>
              </w:rPr>
            </w:pPr>
            <w:r>
              <w:rPr>
                <w:rFonts w:ascii="Arial" w:cs="Arial" w:eastAsia="Arial" w:hAnsi="Arial"/>
                <w:sz w:val="17"/>
                <w:szCs w:val="17"/>
                <w:color w:val="auto"/>
                <w:w w:val="98"/>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292,584</w:t>
            </w:r>
          </w:p>
        </w:tc>
        <w:tc>
          <w:tcPr>
            <w:tcW w:w="160" w:type="dxa"/>
            <w:vAlign w:val="bottom"/>
          </w:tcPr>
          <w:p>
            <w:pPr>
              <w:spacing w:after="0"/>
              <w:rPr>
                <w:sz w:val="18"/>
                <w:szCs w:val="18"/>
                <w:color w:val="auto"/>
              </w:rPr>
            </w:pPr>
          </w:p>
        </w:tc>
      </w:tr>
      <w:tr>
        <w:trPr>
          <w:trHeight w:val="208"/>
        </w:trPr>
        <w:tc>
          <w:tcPr>
            <w:tcW w:w="3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7"/>
                <w:szCs w:val="17"/>
                <w:color w:val="auto"/>
              </w:rPr>
              <w:t>U.S. Dollar</w:t>
            </w:r>
          </w:p>
        </w:tc>
        <w:tc>
          <w:tcPr>
            <w:tcW w:w="25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150</w:t>
            </w:r>
          </w:p>
        </w:tc>
        <w:tc>
          <w:tcPr>
            <w:tcW w:w="360" w:type="dxa"/>
            <w:vAlign w:val="bottom"/>
            <w:gridSpan w:val="2"/>
            <w:shd w:val="clear" w:color="auto" w:fill="CCEEFF"/>
          </w:tcPr>
          <w:p>
            <w:pPr>
              <w:jc w:val="right"/>
              <w:ind w:right="13"/>
              <w:spacing w:after="0"/>
              <w:rPr>
                <w:sz w:val="20"/>
                <w:szCs w:val="20"/>
                <w:color w:val="auto"/>
              </w:rPr>
            </w:pPr>
            <w:r>
              <w:rPr>
                <w:rFonts w:ascii="Arial" w:cs="Arial" w:eastAsia="Arial" w:hAnsi="Arial"/>
                <w:sz w:val="17"/>
                <w:szCs w:val="17"/>
                <w:color w:val="auto"/>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37,838</w:t>
            </w:r>
          </w:p>
        </w:tc>
        <w:tc>
          <w:tcPr>
            <w:tcW w:w="3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8"/>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438,876</w:t>
            </w:r>
          </w:p>
        </w:tc>
        <w:tc>
          <w:tcPr>
            <w:tcW w:w="160" w:type="dxa"/>
            <w:vAlign w:val="bottom"/>
          </w:tcPr>
          <w:p>
            <w:pPr>
              <w:spacing w:after="0"/>
              <w:rPr>
                <w:sz w:val="18"/>
                <w:szCs w:val="18"/>
                <w:color w:val="auto"/>
              </w:rPr>
            </w:pPr>
          </w:p>
        </w:tc>
      </w:tr>
      <w:tr>
        <w:trPr>
          <w:trHeight w:val="624"/>
        </w:trPr>
        <w:tc>
          <w:tcPr>
            <w:tcW w:w="320" w:type="dxa"/>
            <w:vAlign w:val="bottom"/>
            <w:tcBorders>
              <w:bottom w:val="single" w:sz="8" w:color="auto"/>
            </w:tcBorders>
          </w:tcPr>
          <w:p>
            <w:pPr>
              <w:spacing w:after="0"/>
              <w:rPr>
                <w:sz w:val="24"/>
                <w:szCs w:val="24"/>
                <w:color w:val="auto"/>
              </w:rPr>
            </w:pPr>
          </w:p>
        </w:tc>
        <w:tc>
          <w:tcPr>
            <w:tcW w:w="442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tcPr>
          <w:p>
            <w:pPr>
              <w:jc w:val="right"/>
              <w:ind w:right="1053"/>
              <w:spacing w:after="0"/>
              <w:rPr>
                <w:sz w:val="20"/>
                <w:szCs w:val="20"/>
                <w:color w:val="auto"/>
              </w:rPr>
            </w:pPr>
            <w:r>
              <w:rPr>
                <w:rFonts w:ascii="Arial" w:cs="Arial" w:eastAsia="Arial" w:hAnsi="Arial"/>
                <w:sz w:val="17"/>
                <w:szCs w:val="17"/>
                <w:color w:val="auto"/>
              </w:rPr>
              <w:t>- 132 -</w:t>
            </w:r>
          </w:p>
        </w:tc>
        <w:tc>
          <w:tcPr>
            <w:tcW w:w="2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881" w:right="239" w:bottom="1440" w:gutter="0" w:footer="0" w:header="0"/>
        </w:sectPr>
      </w:pPr>
    </w:p>
    <w:bookmarkStart w:id="138" w:name="page139"/>
    <w:bookmarkEnd w:id="138"/>
    <w:p>
      <w:pPr>
        <w:ind w:left="316" w:right="60"/>
        <w:spacing w:after="0" w:line="270" w:lineRule="auto"/>
        <w:rPr>
          <w:sz w:val="20"/>
          <w:szCs w:val="20"/>
          <w:color w:val="auto"/>
        </w:rPr>
      </w:pPr>
      <w:r>
        <w:rPr>
          <w:rFonts w:ascii="Arial" w:cs="Arial" w:eastAsia="Arial" w:hAnsi="Arial"/>
          <w:sz w:val="17"/>
          <w:szCs w:val="17"/>
          <w:color w:val="auto"/>
        </w:rPr>
        <w:t>The interest rate sensitivities set out in the table above are only illustrative and are based on simplified scenarios. The figures represent the effect of the pro-forma movements in the net interest income based on the projected yield curve scenarios and the Group’s current interest rate risk profile. This effect, however, does not incorporate actions that would be taken by Management to mitigate the impact of this interest rate risk.</w:t>
      </w:r>
    </w:p>
    <w:p>
      <w:pPr>
        <w:spacing w:after="0" w:line="172" w:lineRule="exact"/>
        <w:rPr>
          <w:sz w:val="20"/>
          <w:szCs w:val="20"/>
          <w:color w:val="auto"/>
        </w:rPr>
      </w:pPr>
    </w:p>
    <w:p>
      <w:pPr>
        <w:jc w:val="both"/>
        <w:ind w:left="316"/>
        <w:spacing w:after="0" w:line="294" w:lineRule="auto"/>
        <w:rPr>
          <w:sz w:val="20"/>
          <w:szCs w:val="20"/>
          <w:color w:val="auto"/>
        </w:rPr>
      </w:pPr>
      <w:r>
        <w:rPr>
          <w:rFonts w:ascii="Arial" w:cs="Arial" w:eastAsia="Arial" w:hAnsi="Arial"/>
          <w:sz w:val="16"/>
          <w:szCs w:val="16"/>
          <w:color w:val="auto"/>
        </w:rPr>
        <w:t>In addition, the Group seeks proactively to change the interest rate risk profile to minimize losses and optimize net revenues. The projections above also assume that the interest rate of all maturities moves by the same amount and, therefore, do not reflect the potential impact on net interest income of some rates changing while others remain unchanged. The projections make other simplifying assumptions too, including that all positions run to maturity.</w:t>
      </w:r>
    </w:p>
    <w:p>
      <w:pPr>
        <w:spacing w:after="0" w:line="155" w:lineRule="exact"/>
        <w:rPr>
          <w:sz w:val="20"/>
          <w:szCs w:val="20"/>
          <w:color w:val="auto"/>
        </w:rPr>
      </w:pPr>
    </w:p>
    <w:p>
      <w:pPr>
        <w:ind w:left="316" w:right="60"/>
        <w:spacing w:after="0" w:line="294" w:lineRule="auto"/>
        <w:rPr>
          <w:sz w:val="20"/>
          <w:szCs w:val="20"/>
          <w:color w:val="auto"/>
        </w:rPr>
      </w:pPr>
      <w:r>
        <w:rPr>
          <w:rFonts w:ascii="Arial" w:cs="Arial" w:eastAsia="Arial" w:hAnsi="Arial"/>
          <w:sz w:val="16"/>
          <w:szCs w:val="16"/>
          <w:color w:val="auto"/>
        </w:rPr>
        <w:t>Available-for-sale investments in equity securities, mutual funds and hedge funds are not considered as part of the investment securities for interest rate sensitivity calculation purposes; however, a 10, 25 and 30 percent of changes in market prices is conducted to these price-sensitivity securities and the effect on expected unrealized gain or loss in comprehensive income, before income tax, as of December 31, 2017 and 2016 is presented below.</w:t>
      </w:r>
    </w:p>
    <w:p>
      <w:pPr>
        <w:spacing w:after="0" w:line="149" w:lineRule="exact"/>
        <w:rPr>
          <w:sz w:val="20"/>
          <w:szCs w:val="20"/>
          <w:color w:val="auto"/>
        </w:rPr>
      </w:pPr>
    </w:p>
    <w:tbl>
      <w:tblPr>
        <w:tblLayout w:type="fixed"/>
        <w:tblInd w:w="316" w:type="dxa"/>
        <w:tblCellMar>
          <w:top w:w="0" w:type="dxa"/>
          <w:left w:w="0" w:type="dxa"/>
          <w:bottom w:w="0" w:type="dxa"/>
          <w:right w:w="0" w:type="dxa"/>
        </w:tblCellMar>
      </w:tblPr>
      <w:tr>
        <w:trPr>
          <w:trHeight w:val="208"/>
        </w:trPr>
        <w:tc>
          <w:tcPr>
            <w:tcW w:w="5160" w:type="dxa"/>
            <w:vAlign w:val="bottom"/>
          </w:tcPr>
          <w:p>
            <w:pPr>
              <w:spacing w:after="0"/>
              <w:rPr>
                <w:sz w:val="18"/>
                <w:szCs w:val="18"/>
                <w:color w:val="auto"/>
              </w:rPr>
            </w:pPr>
          </w:p>
        </w:tc>
        <w:tc>
          <w:tcPr>
            <w:tcW w:w="1860" w:type="dxa"/>
            <w:vAlign w:val="bottom"/>
          </w:tcPr>
          <w:p>
            <w:pPr>
              <w:jc w:val="center"/>
              <w:ind w:left="313"/>
              <w:spacing w:after="0"/>
              <w:rPr>
                <w:sz w:val="20"/>
                <w:szCs w:val="20"/>
                <w:color w:val="auto"/>
              </w:rPr>
            </w:pPr>
            <w:r>
              <w:rPr>
                <w:rFonts w:ascii="Arial" w:cs="Arial" w:eastAsia="Arial" w:hAnsi="Arial"/>
                <w:sz w:val="17"/>
                <w:szCs w:val="17"/>
                <w:b w:val="1"/>
                <w:bCs w:val="1"/>
                <w:color w:val="auto"/>
                <w:w w:val="93"/>
              </w:rPr>
              <w:t>Change in market</w:t>
            </w: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5160" w:type="dxa"/>
            <w:vAlign w:val="bottom"/>
          </w:tcPr>
          <w:p>
            <w:pPr>
              <w:spacing w:after="0"/>
              <w:rPr>
                <w:sz w:val="20"/>
                <w:szCs w:val="20"/>
                <w:color w:val="auto"/>
              </w:rPr>
            </w:pPr>
            <w:r>
              <w:rPr>
                <w:rFonts w:ascii="Arial" w:cs="Arial" w:eastAsia="Arial" w:hAnsi="Arial"/>
                <w:sz w:val="17"/>
                <w:szCs w:val="17"/>
                <w:b w:val="1"/>
                <w:bCs w:val="1"/>
                <w:color w:val="auto"/>
              </w:rPr>
              <w:t>Market price sensitivity</w:t>
            </w:r>
          </w:p>
        </w:tc>
        <w:tc>
          <w:tcPr>
            <w:tcW w:w="1860" w:type="dxa"/>
            <w:vAlign w:val="bottom"/>
            <w:tcBorders>
              <w:bottom w:val="single" w:sz="8" w:color="auto"/>
            </w:tcBorders>
          </w:tcPr>
          <w:p>
            <w:pPr>
              <w:jc w:val="center"/>
              <w:ind w:left="353"/>
              <w:spacing w:after="0"/>
              <w:rPr>
                <w:sz w:val="20"/>
                <w:szCs w:val="20"/>
                <w:color w:val="auto"/>
              </w:rPr>
            </w:pPr>
            <w:r>
              <w:rPr>
                <w:rFonts w:ascii="Arial" w:cs="Arial" w:eastAsia="Arial" w:hAnsi="Arial"/>
                <w:sz w:val="17"/>
                <w:szCs w:val="17"/>
                <w:b w:val="1"/>
                <w:bCs w:val="1"/>
                <w:color w:val="auto"/>
                <w:w w:val="91"/>
              </w:rPr>
              <w:t>prices</w:t>
            </w:r>
          </w:p>
        </w:tc>
        <w:tc>
          <w:tcPr>
            <w:tcW w:w="44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520" w:type="dxa"/>
            <w:vAlign w:val="bottom"/>
            <w:tcBorders>
              <w:bottom w:val="single" w:sz="8" w:color="auto"/>
            </w:tcBorders>
          </w:tcPr>
          <w:p>
            <w:pPr>
              <w:jc w:val="right"/>
              <w:ind w:right="493"/>
              <w:spacing w:after="0"/>
              <w:rPr>
                <w:sz w:val="20"/>
                <w:szCs w:val="20"/>
                <w:color w:val="auto"/>
              </w:rPr>
            </w:pPr>
            <w:r>
              <w:rPr>
                <w:rFonts w:ascii="Arial" w:cs="Arial" w:eastAsia="Arial" w:hAnsi="Arial"/>
                <w:sz w:val="17"/>
                <w:szCs w:val="17"/>
                <w:b w:val="1"/>
                <w:bCs w:val="1"/>
                <w:color w:val="auto"/>
              </w:rPr>
              <w:t>2017</w:t>
            </w:r>
          </w:p>
        </w:tc>
        <w:tc>
          <w:tcPr>
            <w:tcW w:w="220" w:type="dxa"/>
            <w:vAlign w:val="bottom"/>
          </w:tcPr>
          <w:p>
            <w:pPr>
              <w:spacing w:after="0"/>
              <w:rPr>
                <w:sz w:val="19"/>
                <w:szCs w:val="19"/>
                <w:color w:val="auto"/>
              </w:rPr>
            </w:pPr>
          </w:p>
        </w:tc>
        <w:tc>
          <w:tcPr>
            <w:tcW w:w="1520" w:type="dxa"/>
            <w:vAlign w:val="bottom"/>
            <w:tcBorders>
              <w:bottom w:val="single" w:sz="8" w:color="auto"/>
            </w:tcBorders>
          </w:tcPr>
          <w:p>
            <w:pPr>
              <w:jc w:val="right"/>
              <w:ind w:right="493"/>
              <w:spacing w:after="0"/>
              <w:rPr>
                <w:sz w:val="20"/>
                <w:szCs w:val="20"/>
                <w:color w:val="auto"/>
              </w:rPr>
            </w:pPr>
            <w:r>
              <w:rPr>
                <w:rFonts w:ascii="Arial" w:cs="Arial" w:eastAsia="Arial" w:hAnsi="Arial"/>
                <w:sz w:val="17"/>
                <w:szCs w:val="17"/>
                <w:b w:val="1"/>
                <w:bCs w:val="1"/>
                <w:color w:val="auto"/>
              </w:rPr>
              <w:t>2016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5160" w:type="dxa"/>
            <w:vAlign w:val="bottom"/>
          </w:tcPr>
          <w:p>
            <w:pPr>
              <w:spacing w:after="0"/>
              <w:rPr>
                <w:sz w:val="19"/>
                <w:szCs w:val="19"/>
                <w:color w:val="auto"/>
              </w:rPr>
            </w:pPr>
          </w:p>
        </w:tc>
        <w:tc>
          <w:tcPr>
            <w:tcW w:w="1860" w:type="dxa"/>
            <w:vAlign w:val="bottom"/>
          </w:tcPr>
          <w:p>
            <w:pPr>
              <w:jc w:val="center"/>
              <w:ind w:left="353"/>
              <w:spacing w:after="0"/>
              <w:rPr>
                <w:sz w:val="20"/>
                <w:szCs w:val="20"/>
                <w:color w:val="auto"/>
              </w:rPr>
            </w:pPr>
            <w:r>
              <w:rPr>
                <w:rFonts w:ascii="Arial" w:cs="Arial" w:eastAsia="Arial" w:hAnsi="Arial"/>
                <w:sz w:val="17"/>
                <w:szCs w:val="17"/>
                <w:b w:val="1"/>
                <w:bCs w:val="1"/>
                <w:color w:val="auto"/>
              </w:rPr>
              <w:t>%</w:t>
            </w:r>
          </w:p>
        </w:tc>
        <w:tc>
          <w:tcPr>
            <w:tcW w:w="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20" w:type="dxa"/>
            <w:vAlign w:val="bottom"/>
          </w:tcPr>
          <w:p>
            <w:pPr>
              <w:jc w:val="center"/>
              <w:spacing w:after="0"/>
              <w:rPr>
                <w:sz w:val="20"/>
                <w:szCs w:val="20"/>
                <w:color w:val="auto"/>
              </w:rPr>
            </w:pPr>
            <w:r>
              <w:rPr>
                <w:rFonts w:ascii="Arial" w:cs="Arial" w:eastAsia="Arial" w:hAnsi="Arial"/>
                <w:sz w:val="17"/>
                <w:szCs w:val="17"/>
                <w:b w:val="1"/>
                <w:bCs w:val="1"/>
                <w:color w:val="auto"/>
                <w:w w:val="93"/>
              </w:rPr>
              <w:t>S/(000)</w:t>
            </w:r>
          </w:p>
        </w:tc>
        <w:tc>
          <w:tcPr>
            <w:tcW w:w="220" w:type="dxa"/>
            <w:vAlign w:val="bottom"/>
          </w:tcPr>
          <w:p>
            <w:pPr>
              <w:spacing w:after="0"/>
              <w:rPr>
                <w:sz w:val="19"/>
                <w:szCs w:val="19"/>
                <w:color w:val="auto"/>
              </w:rPr>
            </w:pPr>
          </w:p>
        </w:tc>
        <w:tc>
          <w:tcPr>
            <w:tcW w:w="1520" w:type="dxa"/>
            <w:vAlign w:val="bottom"/>
          </w:tcPr>
          <w:p>
            <w:pPr>
              <w:jc w:val="center"/>
              <w:spacing w:after="0"/>
              <w:rPr>
                <w:sz w:val="20"/>
                <w:szCs w:val="20"/>
                <w:color w:val="auto"/>
              </w:rPr>
            </w:pPr>
            <w:r>
              <w:rPr>
                <w:rFonts w:ascii="Arial" w:cs="Arial" w:eastAsia="Arial" w:hAnsi="Arial"/>
                <w:sz w:val="17"/>
                <w:szCs w:val="17"/>
                <w:b w:val="1"/>
                <w:bCs w:val="1"/>
                <w:color w:val="auto"/>
                <w:w w:val="93"/>
              </w:rPr>
              <w:t>S/(000)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516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2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5160" w:type="dxa"/>
            <w:vAlign w:val="bottom"/>
            <w:shd w:val="clear" w:color="auto" w:fill="CCEEFF"/>
          </w:tcPr>
          <w:p>
            <w:pPr>
              <w:spacing w:after="0"/>
              <w:rPr>
                <w:sz w:val="20"/>
                <w:szCs w:val="20"/>
                <w:color w:val="auto"/>
              </w:rPr>
            </w:pPr>
            <w:r>
              <w:rPr>
                <w:rFonts w:ascii="Arial" w:cs="Arial" w:eastAsia="Arial" w:hAnsi="Arial"/>
                <w:sz w:val="17"/>
                <w:szCs w:val="17"/>
                <w:color w:val="auto"/>
              </w:rPr>
              <w:t>Equity securities</w:t>
            </w:r>
          </w:p>
        </w:tc>
        <w:tc>
          <w:tcPr>
            <w:tcW w:w="186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w:t>
            </w:r>
          </w:p>
        </w:tc>
        <w:tc>
          <w:tcPr>
            <w:tcW w:w="22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81,664</w:t>
            </w:r>
          </w:p>
        </w:tc>
        <w:tc>
          <w:tcPr>
            <w:tcW w:w="1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130,750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5160" w:type="dxa"/>
            <w:vAlign w:val="bottom"/>
          </w:tcPr>
          <w:p>
            <w:pPr>
              <w:spacing w:after="0"/>
              <w:rPr>
                <w:sz w:val="20"/>
                <w:szCs w:val="20"/>
                <w:color w:val="auto"/>
              </w:rPr>
            </w:pPr>
            <w:r>
              <w:rPr>
                <w:rFonts w:ascii="Arial" w:cs="Arial" w:eastAsia="Arial" w:hAnsi="Arial"/>
                <w:sz w:val="17"/>
                <w:szCs w:val="17"/>
                <w:color w:val="auto"/>
              </w:rPr>
              <w:t>Equity securities</w:t>
            </w:r>
          </w:p>
        </w:tc>
        <w:tc>
          <w:tcPr>
            <w:tcW w:w="18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7"/>
                <w:szCs w:val="17"/>
                <w:color w:val="auto"/>
              </w:rPr>
              <w:t>+/-25</w:t>
            </w:r>
          </w:p>
        </w:tc>
        <w:tc>
          <w:tcPr>
            <w:tcW w:w="2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7"/>
                <w:szCs w:val="17"/>
                <w:color w:val="auto"/>
              </w:rPr>
              <w:t>204,161</w:t>
            </w:r>
          </w:p>
        </w:tc>
        <w:tc>
          <w:tcPr>
            <w:tcW w:w="2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7"/>
                <w:szCs w:val="17"/>
                <w:color w:val="auto"/>
              </w:rPr>
              <w:t>326,875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5160" w:type="dxa"/>
            <w:vAlign w:val="bottom"/>
            <w:shd w:val="clear" w:color="auto" w:fill="CCEEFF"/>
          </w:tcPr>
          <w:p>
            <w:pPr>
              <w:spacing w:after="0"/>
              <w:rPr>
                <w:sz w:val="20"/>
                <w:szCs w:val="20"/>
                <w:color w:val="auto"/>
              </w:rPr>
            </w:pPr>
            <w:r>
              <w:rPr>
                <w:rFonts w:ascii="Arial" w:cs="Arial" w:eastAsia="Arial" w:hAnsi="Arial"/>
                <w:sz w:val="17"/>
                <w:szCs w:val="17"/>
                <w:color w:val="auto"/>
              </w:rPr>
              <w:t>Equity securities</w:t>
            </w:r>
          </w:p>
        </w:tc>
        <w:tc>
          <w:tcPr>
            <w:tcW w:w="186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w:t>
            </w:r>
          </w:p>
        </w:tc>
        <w:tc>
          <w:tcPr>
            <w:tcW w:w="22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244,993</w:t>
            </w:r>
          </w:p>
        </w:tc>
        <w:tc>
          <w:tcPr>
            <w:tcW w:w="22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392,250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5160" w:type="dxa"/>
            <w:vAlign w:val="bottom"/>
          </w:tcPr>
          <w:p>
            <w:pPr>
              <w:spacing w:after="0"/>
              <w:rPr>
                <w:sz w:val="20"/>
                <w:szCs w:val="20"/>
                <w:color w:val="auto"/>
              </w:rPr>
            </w:pPr>
            <w:r>
              <w:rPr>
                <w:rFonts w:ascii="Arial" w:cs="Arial" w:eastAsia="Arial" w:hAnsi="Arial"/>
                <w:sz w:val="17"/>
                <w:szCs w:val="17"/>
                <w:color w:val="auto"/>
              </w:rPr>
              <w:t>Mutual funds</w:t>
            </w:r>
          </w:p>
        </w:tc>
        <w:tc>
          <w:tcPr>
            <w:tcW w:w="18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7"/>
                <w:szCs w:val="17"/>
                <w:color w:val="auto"/>
              </w:rPr>
              <w:t>+/-10</w:t>
            </w:r>
          </w:p>
        </w:tc>
        <w:tc>
          <w:tcPr>
            <w:tcW w:w="220" w:type="dxa"/>
            <w:vAlign w:val="bottom"/>
          </w:tcPr>
          <w:p>
            <w:pPr>
              <w:spacing w:after="0"/>
              <w:rPr>
                <w:sz w:val="18"/>
                <w:szCs w:val="18"/>
                <w:color w:val="auto"/>
              </w:rPr>
            </w:pPr>
          </w:p>
        </w:tc>
        <w:tc>
          <w:tcPr>
            <w:tcW w:w="1740" w:type="dxa"/>
            <w:vAlign w:val="bottom"/>
            <w:gridSpan w:val="2"/>
          </w:tcPr>
          <w:p>
            <w:pPr>
              <w:jc w:val="right"/>
              <w:ind w:right="220"/>
              <w:spacing w:after="0"/>
              <w:rPr>
                <w:sz w:val="20"/>
                <w:szCs w:val="20"/>
                <w:color w:val="auto"/>
              </w:rPr>
            </w:pPr>
            <w:r>
              <w:rPr>
                <w:rFonts w:ascii="Arial" w:cs="Arial" w:eastAsia="Arial" w:hAnsi="Arial"/>
                <w:sz w:val="17"/>
                <w:szCs w:val="17"/>
                <w:color w:val="auto"/>
              </w:rPr>
              <w:t>40,937</w:t>
            </w:r>
          </w:p>
        </w:tc>
        <w:tc>
          <w:tcPr>
            <w:tcW w:w="1520" w:type="dxa"/>
            <w:vAlign w:val="bottom"/>
          </w:tcPr>
          <w:p>
            <w:pPr>
              <w:jc w:val="right"/>
              <w:spacing w:after="0"/>
              <w:rPr>
                <w:sz w:val="20"/>
                <w:szCs w:val="20"/>
                <w:color w:val="auto"/>
              </w:rPr>
            </w:pPr>
            <w:r>
              <w:rPr>
                <w:rFonts w:ascii="Arial" w:cs="Arial" w:eastAsia="Arial" w:hAnsi="Arial"/>
                <w:sz w:val="17"/>
                <w:szCs w:val="17"/>
                <w:color w:val="auto"/>
              </w:rPr>
              <w:t>29,234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5160" w:type="dxa"/>
            <w:vAlign w:val="bottom"/>
            <w:shd w:val="clear" w:color="auto" w:fill="CCEEFF"/>
          </w:tcPr>
          <w:p>
            <w:pPr>
              <w:spacing w:after="0"/>
              <w:rPr>
                <w:sz w:val="20"/>
                <w:szCs w:val="20"/>
                <w:color w:val="auto"/>
              </w:rPr>
            </w:pPr>
            <w:r>
              <w:rPr>
                <w:rFonts w:ascii="Arial" w:cs="Arial" w:eastAsia="Arial" w:hAnsi="Arial"/>
                <w:sz w:val="17"/>
                <w:szCs w:val="17"/>
                <w:color w:val="auto"/>
              </w:rPr>
              <w:t>Mutual funds</w:t>
            </w:r>
          </w:p>
        </w:tc>
        <w:tc>
          <w:tcPr>
            <w:tcW w:w="186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w:t>
            </w:r>
          </w:p>
        </w:tc>
        <w:tc>
          <w:tcPr>
            <w:tcW w:w="22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102,343</w:t>
            </w:r>
          </w:p>
        </w:tc>
        <w:tc>
          <w:tcPr>
            <w:tcW w:w="22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73,085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5160" w:type="dxa"/>
            <w:vAlign w:val="bottom"/>
          </w:tcPr>
          <w:p>
            <w:pPr>
              <w:spacing w:after="0"/>
              <w:rPr>
                <w:sz w:val="20"/>
                <w:szCs w:val="20"/>
                <w:color w:val="auto"/>
              </w:rPr>
            </w:pPr>
            <w:r>
              <w:rPr>
                <w:rFonts w:ascii="Arial" w:cs="Arial" w:eastAsia="Arial" w:hAnsi="Arial"/>
                <w:sz w:val="17"/>
                <w:szCs w:val="17"/>
                <w:color w:val="auto"/>
              </w:rPr>
              <w:t>Mutual funds</w:t>
            </w:r>
          </w:p>
        </w:tc>
        <w:tc>
          <w:tcPr>
            <w:tcW w:w="18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7"/>
                <w:szCs w:val="17"/>
                <w:color w:val="auto"/>
              </w:rPr>
              <w:t>+/-30</w:t>
            </w:r>
          </w:p>
        </w:tc>
        <w:tc>
          <w:tcPr>
            <w:tcW w:w="220" w:type="dxa"/>
            <w:vAlign w:val="bottom"/>
          </w:tcPr>
          <w:p>
            <w:pPr>
              <w:spacing w:after="0"/>
              <w:rPr>
                <w:sz w:val="18"/>
                <w:szCs w:val="18"/>
                <w:color w:val="auto"/>
              </w:rPr>
            </w:pPr>
          </w:p>
        </w:tc>
        <w:tc>
          <w:tcPr>
            <w:tcW w:w="1740" w:type="dxa"/>
            <w:vAlign w:val="bottom"/>
            <w:gridSpan w:val="2"/>
          </w:tcPr>
          <w:p>
            <w:pPr>
              <w:jc w:val="right"/>
              <w:ind w:right="220"/>
              <w:spacing w:after="0"/>
              <w:rPr>
                <w:sz w:val="20"/>
                <w:szCs w:val="20"/>
                <w:color w:val="auto"/>
              </w:rPr>
            </w:pPr>
            <w:r>
              <w:rPr>
                <w:rFonts w:ascii="Arial" w:cs="Arial" w:eastAsia="Arial" w:hAnsi="Arial"/>
                <w:sz w:val="17"/>
                <w:szCs w:val="17"/>
                <w:color w:val="auto"/>
              </w:rPr>
              <w:t>122,811</w:t>
            </w:r>
          </w:p>
        </w:tc>
        <w:tc>
          <w:tcPr>
            <w:tcW w:w="1520" w:type="dxa"/>
            <w:vAlign w:val="bottom"/>
          </w:tcPr>
          <w:p>
            <w:pPr>
              <w:jc w:val="right"/>
              <w:spacing w:after="0"/>
              <w:rPr>
                <w:sz w:val="20"/>
                <w:szCs w:val="20"/>
                <w:color w:val="auto"/>
              </w:rPr>
            </w:pPr>
            <w:r>
              <w:rPr>
                <w:rFonts w:ascii="Arial" w:cs="Arial" w:eastAsia="Arial" w:hAnsi="Arial"/>
                <w:sz w:val="17"/>
                <w:szCs w:val="17"/>
                <w:color w:val="auto"/>
              </w:rPr>
              <w:t>87,701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5160" w:type="dxa"/>
            <w:vAlign w:val="bottom"/>
            <w:shd w:val="clear" w:color="auto" w:fill="CCEEFF"/>
          </w:tcPr>
          <w:p>
            <w:pPr>
              <w:spacing w:after="0"/>
              <w:rPr>
                <w:sz w:val="20"/>
                <w:szCs w:val="20"/>
                <w:color w:val="auto"/>
              </w:rPr>
            </w:pPr>
            <w:r>
              <w:rPr>
                <w:rFonts w:ascii="Arial" w:cs="Arial" w:eastAsia="Arial" w:hAnsi="Arial"/>
                <w:sz w:val="17"/>
                <w:szCs w:val="17"/>
                <w:color w:val="auto"/>
              </w:rPr>
              <w:t>Hedge funds</w:t>
            </w:r>
          </w:p>
        </w:tc>
        <w:tc>
          <w:tcPr>
            <w:tcW w:w="186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w:t>
            </w:r>
          </w:p>
        </w:tc>
        <w:tc>
          <w:tcPr>
            <w:tcW w:w="22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106</w:t>
            </w:r>
          </w:p>
        </w:tc>
        <w:tc>
          <w:tcPr>
            <w:tcW w:w="1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5160" w:type="dxa"/>
            <w:vAlign w:val="bottom"/>
          </w:tcPr>
          <w:p>
            <w:pPr>
              <w:spacing w:after="0"/>
              <w:rPr>
                <w:sz w:val="20"/>
                <w:szCs w:val="20"/>
                <w:color w:val="auto"/>
              </w:rPr>
            </w:pPr>
            <w:r>
              <w:rPr>
                <w:rFonts w:ascii="Arial" w:cs="Arial" w:eastAsia="Arial" w:hAnsi="Arial"/>
                <w:sz w:val="17"/>
                <w:szCs w:val="17"/>
                <w:color w:val="auto"/>
              </w:rPr>
              <w:t>Hedge funds</w:t>
            </w:r>
          </w:p>
        </w:tc>
        <w:tc>
          <w:tcPr>
            <w:tcW w:w="18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7"/>
                <w:szCs w:val="17"/>
                <w:color w:val="auto"/>
              </w:rPr>
              <w:t>+/-25</w:t>
            </w:r>
          </w:p>
        </w:tc>
        <w:tc>
          <w:tcPr>
            <w:tcW w:w="220" w:type="dxa"/>
            <w:vAlign w:val="bottom"/>
          </w:tcPr>
          <w:p>
            <w:pPr>
              <w:spacing w:after="0"/>
              <w:rPr>
                <w:sz w:val="18"/>
                <w:szCs w:val="18"/>
                <w:color w:val="auto"/>
              </w:rPr>
            </w:pPr>
          </w:p>
        </w:tc>
        <w:tc>
          <w:tcPr>
            <w:tcW w:w="1740" w:type="dxa"/>
            <w:vAlign w:val="bottom"/>
            <w:gridSpan w:val="2"/>
          </w:tcPr>
          <w:p>
            <w:pPr>
              <w:jc w:val="right"/>
              <w:ind w:right="220"/>
              <w:spacing w:after="0"/>
              <w:rPr>
                <w:sz w:val="20"/>
                <w:szCs w:val="20"/>
                <w:color w:val="auto"/>
              </w:rPr>
            </w:pPr>
            <w:r>
              <w:rPr>
                <w:rFonts w:ascii="Arial" w:cs="Arial" w:eastAsia="Arial" w:hAnsi="Arial"/>
                <w:sz w:val="17"/>
                <w:szCs w:val="17"/>
                <w:color w:val="auto"/>
              </w:rPr>
              <w:t>266</w:t>
            </w:r>
          </w:p>
        </w:tc>
        <w:tc>
          <w:tcPr>
            <w:tcW w:w="1520" w:type="dxa"/>
            <w:vAlign w:val="bottom"/>
          </w:tcPr>
          <w:p>
            <w:pPr>
              <w:jc w:val="right"/>
              <w:spacing w:after="0"/>
              <w:rPr>
                <w:sz w:val="20"/>
                <w:szCs w:val="20"/>
                <w:color w:val="auto"/>
              </w:rPr>
            </w:pPr>
            <w:r>
              <w:rPr>
                <w:rFonts w:ascii="Arial" w:cs="Arial" w:eastAsia="Arial" w:hAnsi="Arial"/>
                <w:sz w:val="17"/>
                <w:szCs w:val="17"/>
                <w:color w:val="auto"/>
              </w:rPr>
              <w:t>274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5160" w:type="dxa"/>
            <w:vAlign w:val="bottom"/>
            <w:shd w:val="clear" w:color="auto" w:fill="CCEEFF"/>
          </w:tcPr>
          <w:p>
            <w:pPr>
              <w:spacing w:after="0"/>
              <w:rPr>
                <w:sz w:val="20"/>
                <w:szCs w:val="20"/>
                <w:color w:val="auto"/>
              </w:rPr>
            </w:pPr>
            <w:r>
              <w:rPr>
                <w:rFonts w:ascii="Arial" w:cs="Arial" w:eastAsia="Arial" w:hAnsi="Arial"/>
                <w:sz w:val="17"/>
                <w:szCs w:val="17"/>
                <w:color w:val="auto"/>
              </w:rPr>
              <w:t>Hedge funds</w:t>
            </w:r>
          </w:p>
        </w:tc>
        <w:tc>
          <w:tcPr>
            <w:tcW w:w="186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w:t>
            </w:r>
          </w:p>
        </w:tc>
        <w:tc>
          <w:tcPr>
            <w:tcW w:w="22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319</w:t>
            </w:r>
          </w:p>
        </w:tc>
        <w:tc>
          <w:tcPr>
            <w:tcW w:w="1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95" w:lineRule="exact"/>
        <w:rPr>
          <w:sz w:val="20"/>
          <w:szCs w:val="20"/>
          <w:color w:val="auto"/>
        </w:rPr>
      </w:pPr>
    </w:p>
    <w:p>
      <w:pPr>
        <w:ind w:left="316" w:hanging="316"/>
        <w:spacing w:after="0"/>
        <w:tabs>
          <w:tab w:leader="none" w:pos="316" w:val="left"/>
        </w:tabs>
        <w:numPr>
          <w:ilvl w:val="0"/>
          <w:numId w:val="156"/>
        </w:numPr>
        <w:rPr>
          <w:rFonts w:ascii="Arial" w:cs="Arial" w:eastAsia="Arial" w:hAnsi="Arial"/>
          <w:sz w:val="17"/>
          <w:szCs w:val="17"/>
          <w:color w:val="auto"/>
        </w:rPr>
      </w:pPr>
      <w:r>
        <w:rPr>
          <w:rFonts w:ascii="Arial" w:cs="Arial" w:eastAsia="Arial" w:hAnsi="Arial"/>
          <w:sz w:val="17"/>
          <w:szCs w:val="17"/>
          <w:color w:val="auto"/>
        </w:rPr>
        <w:t>Foreign exchange risk -</w:t>
      </w:r>
    </w:p>
    <w:p>
      <w:pPr>
        <w:spacing w:after="0" w:line="220" w:lineRule="exact"/>
        <w:rPr>
          <w:rFonts w:ascii="Arial" w:cs="Arial" w:eastAsia="Arial" w:hAnsi="Arial"/>
          <w:sz w:val="17"/>
          <w:szCs w:val="17"/>
          <w:color w:val="auto"/>
        </w:rPr>
      </w:pPr>
    </w:p>
    <w:p>
      <w:pPr>
        <w:ind w:left="316" w:right="100"/>
        <w:spacing w:after="0" w:line="285" w:lineRule="auto"/>
        <w:rPr>
          <w:rFonts w:ascii="Arial" w:cs="Arial" w:eastAsia="Arial" w:hAnsi="Arial"/>
          <w:sz w:val="17"/>
          <w:szCs w:val="17"/>
          <w:color w:val="auto"/>
        </w:rPr>
      </w:pPr>
      <w:r>
        <w:rPr>
          <w:rFonts w:ascii="Arial" w:cs="Arial" w:eastAsia="Arial" w:hAnsi="Arial"/>
          <w:sz w:val="17"/>
          <w:szCs w:val="17"/>
          <w:color w:val="auto"/>
        </w:rPr>
        <w:t>The Group is exposed to foreign currency exchange rates on its financial position and cash flows. Management sets limits on the level of exposure by currency and in total for both overnight and intra-day positions, which are monitored daily.</w:t>
      </w:r>
    </w:p>
    <w:p>
      <w:pPr>
        <w:spacing w:after="0" w:line="159" w:lineRule="exact"/>
        <w:rPr>
          <w:rFonts w:ascii="Arial" w:cs="Arial" w:eastAsia="Arial" w:hAnsi="Arial"/>
          <w:sz w:val="17"/>
          <w:szCs w:val="17"/>
          <w:color w:val="auto"/>
        </w:rPr>
      </w:pPr>
    </w:p>
    <w:p>
      <w:pPr>
        <w:ind w:left="316" w:right="180"/>
        <w:spacing w:after="0" w:line="285" w:lineRule="auto"/>
        <w:rPr>
          <w:rFonts w:ascii="Arial" w:cs="Arial" w:eastAsia="Arial" w:hAnsi="Arial"/>
          <w:sz w:val="17"/>
          <w:szCs w:val="17"/>
          <w:color w:val="auto"/>
        </w:rPr>
      </w:pPr>
      <w:r>
        <w:rPr>
          <w:rFonts w:ascii="Arial" w:cs="Arial" w:eastAsia="Arial" w:hAnsi="Arial"/>
          <w:sz w:val="17"/>
          <w:szCs w:val="17"/>
          <w:color w:val="auto"/>
        </w:rPr>
        <w:t>At December 31, 2017, the free market exchange rate for buying and selling transactions for each United Stated Dollar, the main foreign currency held by the Group, was S/3.241 (S/3.356 at December 31, 2016).</w:t>
      </w:r>
    </w:p>
    <w:p>
      <w:pPr>
        <w:spacing w:after="0" w:line="367" w:lineRule="exact"/>
        <w:rPr>
          <w:rFonts w:ascii="Arial" w:cs="Arial" w:eastAsia="Arial" w:hAnsi="Arial"/>
          <w:sz w:val="17"/>
          <w:szCs w:val="17"/>
          <w:color w:val="auto"/>
        </w:rPr>
      </w:pPr>
    </w:p>
    <w:p>
      <w:pPr>
        <w:ind w:left="5596" w:hanging="110"/>
        <w:spacing w:after="0"/>
        <w:tabs>
          <w:tab w:leader="none" w:pos="5596" w:val="left"/>
        </w:tabs>
        <w:numPr>
          <w:ilvl w:val="1"/>
          <w:numId w:val="156"/>
        </w:numPr>
        <w:rPr>
          <w:rFonts w:ascii="Arial" w:cs="Arial" w:eastAsia="Arial" w:hAnsi="Arial"/>
          <w:sz w:val="17"/>
          <w:szCs w:val="17"/>
          <w:color w:val="auto"/>
        </w:rPr>
      </w:pPr>
      <w:r>
        <w:rPr>
          <w:rFonts w:ascii="Arial" w:cs="Arial" w:eastAsia="Arial" w:hAnsi="Arial"/>
          <w:sz w:val="17"/>
          <w:szCs w:val="17"/>
          <w:color w:val="auto"/>
        </w:rPr>
        <w:t>133 -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15875</wp:posOffset>
            </wp:positionV>
            <wp:extent cx="725170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51700" cy="8255"/>
                    </a:xfrm>
                    <a:prstGeom prst="rect">
                      <a:avLst/>
                    </a:prstGeom>
                    <a:noFill/>
                  </pic:spPr>
                </pic:pic>
              </a:graphicData>
            </a:graphic>
          </wp:anchor>
        </w:drawing>
      </w:r>
    </w:p>
    <w:p>
      <w:pPr>
        <w:sectPr>
          <w:pgSz w:w="11900" w:h="16838" w:orient="portrait"/>
          <w:cols w:equalWidth="0" w:num="1">
            <w:col w:w="11416"/>
          </w:cols>
          <w:pgMar w:left="244" w:top="880" w:right="239" w:bottom="1440" w:gutter="0" w:footer="0" w:header="0"/>
        </w:sectPr>
      </w:pPr>
    </w:p>
    <w:bookmarkStart w:id="139" w:name="page140"/>
    <w:bookmarkEnd w:id="139"/>
    <w:p>
      <w:pPr>
        <w:ind w:right="100"/>
        <w:spacing w:after="0" w:line="285" w:lineRule="auto"/>
        <w:rPr>
          <w:sz w:val="20"/>
          <w:szCs w:val="20"/>
          <w:color w:val="auto"/>
        </w:rPr>
      </w:pPr>
      <w:r>
        <w:rPr>
          <w:rFonts w:ascii="Arial" w:cs="Arial" w:eastAsia="Arial" w:hAnsi="Arial"/>
          <w:sz w:val="17"/>
          <w:szCs w:val="17"/>
          <w:color w:val="auto"/>
        </w:rPr>
        <w:t>Foreign currency transactions are made at the free market exchange rates of the countries where Credicorp’s Subsidiaries are established. As of December 31, 2017 and 2016, the Group’s assets and liabilities by currencies were as follows: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332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080" w:type="dxa"/>
            <w:vAlign w:val="bottom"/>
            <w:tcBorders>
              <w:bottom w:val="single" w:sz="8" w:color="auto"/>
            </w:tcBorders>
            <w:gridSpan w:val="4"/>
          </w:tcPr>
          <w:p>
            <w:pPr>
              <w:jc w:val="right"/>
              <w:ind w:right="480"/>
              <w:spacing w:after="0"/>
              <w:rPr>
                <w:sz w:val="20"/>
                <w:szCs w:val="20"/>
                <w:color w:val="auto"/>
              </w:rPr>
            </w:pPr>
            <w:r>
              <w:rPr>
                <w:rFonts w:ascii="Arial" w:cs="Arial" w:eastAsia="Arial" w:hAnsi="Arial"/>
                <w:sz w:val="14"/>
                <w:szCs w:val="14"/>
                <w:b w:val="1"/>
                <w:bCs w:val="1"/>
                <w:color w:val="auto"/>
              </w:rPr>
              <w:t>At December 31, 2017</w:t>
            </w:r>
          </w:p>
        </w:tc>
        <w:tc>
          <w:tcPr>
            <w:tcW w:w="86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980" w:type="dxa"/>
            <w:vAlign w:val="bottom"/>
            <w:tcBorders>
              <w:bottom w:val="single" w:sz="8" w:color="auto"/>
            </w:tcBorders>
            <w:gridSpan w:val="4"/>
          </w:tcPr>
          <w:p>
            <w:pPr>
              <w:jc w:val="right"/>
              <w:ind w:right="351"/>
              <w:spacing w:after="0"/>
              <w:rPr>
                <w:sz w:val="20"/>
                <w:szCs w:val="20"/>
                <w:color w:val="auto"/>
              </w:rPr>
            </w:pPr>
            <w:r>
              <w:rPr>
                <w:rFonts w:ascii="Arial" w:cs="Arial" w:eastAsia="Arial" w:hAnsi="Arial"/>
                <w:sz w:val="14"/>
                <w:szCs w:val="14"/>
                <w:b w:val="1"/>
                <w:bCs w:val="1"/>
                <w:color w:val="auto"/>
              </w:rPr>
              <w:t>At December 31, 2016</w:t>
            </w:r>
          </w:p>
        </w:tc>
        <w:tc>
          <w:tcPr>
            <w:tcW w:w="8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3"/>
        </w:trPr>
        <w:tc>
          <w:tcPr>
            <w:tcW w:w="3320" w:type="dxa"/>
            <w:vAlign w:val="bottom"/>
          </w:tcPr>
          <w:p>
            <w:pPr>
              <w:spacing w:after="0"/>
              <w:rPr>
                <w:sz w:val="9"/>
                <w:szCs w:val="9"/>
                <w:color w:val="auto"/>
              </w:rPr>
            </w:pPr>
          </w:p>
        </w:tc>
        <w:tc>
          <w:tcPr>
            <w:tcW w:w="1040" w:type="dxa"/>
            <w:vAlign w:val="bottom"/>
            <w:gridSpan w:val="2"/>
            <w:vMerge w:val="restart"/>
          </w:tcPr>
          <w:p>
            <w:pPr>
              <w:jc w:val="right"/>
              <w:ind w:right="480"/>
              <w:spacing w:after="0"/>
              <w:rPr>
                <w:sz w:val="20"/>
                <w:szCs w:val="20"/>
                <w:color w:val="auto"/>
              </w:rPr>
            </w:pPr>
            <w:r>
              <w:rPr>
                <w:rFonts w:ascii="Arial" w:cs="Arial" w:eastAsia="Arial" w:hAnsi="Arial"/>
                <w:sz w:val="14"/>
                <w:szCs w:val="14"/>
                <w:b w:val="1"/>
                <w:bCs w:val="1"/>
                <w:color w:val="auto"/>
              </w:rPr>
              <w:t>Soles</w:t>
            </w:r>
          </w:p>
        </w:tc>
        <w:tc>
          <w:tcPr>
            <w:tcW w:w="104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rPr>
              <w:t>U.S. Dollar</w:t>
            </w:r>
          </w:p>
        </w:tc>
        <w:tc>
          <w:tcPr>
            <w:tcW w:w="1040" w:type="dxa"/>
            <w:vAlign w:val="bottom"/>
            <w:gridSpan w:val="2"/>
          </w:tcPr>
          <w:p>
            <w:pPr>
              <w:jc w:val="right"/>
              <w:ind w:right="460"/>
              <w:spacing w:after="0" w:line="114" w:lineRule="exact"/>
              <w:rPr>
                <w:sz w:val="20"/>
                <w:szCs w:val="20"/>
                <w:color w:val="auto"/>
              </w:rPr>
            </w:pPr>
            <w:r>
              <w:rPr>
                <w:rFonts w:ascii="Arial" w:cs="Arial" w:eastAsia="Arial" w:hAnsi="Arial"/>
                <w:sz w:val="13"/>
                <w:szCs w:val="13"/>
                <w:b w:val="1"/>
                <w:bCs w:val="1"/>
                <w:color w:val="auto"/>
              </w:rPr>
              <w:t>Other</w:t>
            </w:r>
          </w:p>
        </w:tc>
        <w:tc>
          <w:tcPr>
            <w:tcW w:w="108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rPr>
              <w:t>Total</w:t>
            </w:r>
          </w:p>
        </w:tc>
        <w:tc>
          <w:tcPr>
            <w:tcW w:w="980" w:type="dxa"/>
            <w:vAlign w:val="bottom"/>
            <w:gridSpan w:val="2"/>
            <w:vMerge w:val="restart"/>
          </w:tcPr>
          <w:p>
            <w:pPr>
              <w:jc w:val="right"/>
              <w:ind w:right="440"/>
              <w:spacing w:after="0"/>
              <w:rPr>
                <w:sz w:val="20"/>
                <w:szCs w:val="20"/>
                <w:color w:val="auto"/>
              </w:rPr>
            </w:pPr>
            <w:r>
              <w:rPr>
                <w:rFonts w:ascii="Arial" w:cs="Arial" w:eastAsia="Arial" w:hAnsi="Arial"/>
                <w:sz w:val="14"/>
                <w:szCs w:val="14"/>
                <w:b w:val="1"/>
                <w:bCs w:val="1"/>
                <w:color w:val="auto"/>
              </w:rPr>
              <w:t>Soles</w:t>
            </w:r>
          </w:p>
        </w:tc>
        <w:tc>
          <w:tcPr>
            <w:tcW w:w="98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w w:val="98"/>
              </w:rPr>
              <w:t>U.S. Dollar</w:t>
            </w:r>
          </w:p>
        </w:tc>
        <w:tc>
          <w:tcPr>
            <w:tcW w:w="1000" w:type="dxa"/>
            <w:vAlign w:val="bottom"/>
            <w:gridSpan w:val="2"/>
          </w:tcPr>
          <w:p>
            <w:pPr>
              <w:jc w:val="right"/>
              <w:ind w:right="371"/>
              <w:spacing w:after="0" w:line="114" w:lineRule="exact"/>
              <w:rPr>
                <w:sz w:val="20"/>
                <w:szCs w:val="20"/>
                <w:color w:val="auto"/>
              </w:rPr>
            </w:pPr>
            <w:r>
              <w:rPr>
                <w:rFonts w:ascii="Arial" w:cs="Arial" w:eastAsia="Arial" w:hAnsi="Arial"/>
                <w:sz w:val="13"/>
                <w:szCs w:val="13"/>
                <w:b w:val="1"/>
                <w:bCs w:val="1"/>
                <w:color w:val="auto"/>
              </w:rPr>
              <w:t>Other</w:t>
            </w:r>
          </w:p>
        </w:tc>
        <w:tc>
          <w:tcPr>
            <w:tcW w:w="94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5"/>
        </w:trPr>
        <w:tc>
          <w:tcPr>
            <w:tcW w:w="332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8"/>
              </w:rPr>
              <w:t>currencies</w:t>
            </w:r>
          </w:p>
        </w:tc>
        <w:tc>
          <w:tcPr>
            <w:tcW w:w="1080" w:type="dxa"/>
            <w:vAlign w:val="bottom"/>
            <w:gridSpan w:val="2"/>
            <w:vMerge w:val="continue"/>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1000" w:type="dxa"/>
            <w:vAlign w:val="bottom"/>
            <w:gridSpan w:val="2"/>
          </w:tcPr>
          <w:p>
            <w:pPr>
              <w:jc w:val="right"/>
              <w:ind w:right="231"/>
              <w:spacing w:after="0"/>
              <w:rPr>
                <w:sz w:val="20"/>
                <w:szCs w:val="20"/>
                <w:color w:val="auto"/>
              </w:rPr>
            </w:pPr>
            <w:r>
              <w:rPr>
                <w:rFonts w:ascii="Arial" w:cs="Arial" w:eastAsia="Arial" w:hAnsi="Arial"/>
                <w:sz w:val="14"/>
                <w:szCs w:val="14"/>
                <w:b w:val="1"/>
                <w:bCs w:val="1"/>
                <w:color w:val="auto"/>
                <w:w w:val="95"/>
              </w:rPr>
              <w:t>currencies</w:t>
            </w:r>
          </w:p>
        </w:tc>
        <w:tc>
          <w:tcPr>
            <w:tcW w:w="9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3320" w:type="dxa"/>
            <w:vAlign w:val="bottom"/>
          </w:tcPr>
          <w:p>
            <w:pPr>
              <w:spacing w:after="0"/>
              <w:rPr>
                <w:sz w:val="11"/>
                <w:szCs w:val="11"/>
                <w:color w:val="auto"/>
              </w:rPr>
            </w:pPr>
          </w:p>
        </w:tc>
        <w:tc>
          <w:tcPr>
            <w:tcW w:w="820" w:type="dxa"/>
            <w:vAlign w:val="bottom"/>
            <w:tcBorders>
              <w:top w:val="single" w:sz="8" w:color="auto"/>
            </w:tcBorders>
          </w:tcPr>
          <w:p>
            <w:pPr>
              <w:jc w:val="right"/>
              <w:ind w:right="131"/>
              <w:spacing w:after="0" w:line="136" w:lineRule="exact"/>
              <w:rPr>
                <w:sz w:val="20"/>
                <w:szCs w:val="20"/>
                <w:color w:val="auto"/>
              </w:rPr>
            </w:pPr>
            <w:r>
              <w:rPr>
                <w:rFonts w:ascii="Arial" w:cs="Arial" w:eastAsia="Arial" w:hAnsi="Arial"/>
                <w:sz w:val="14"/>
                <w:szCs w:val="14"/>
                <w:b w:val="1"/>
                <w:bCs w:val="1"/>
                <w:color w:val="auto"/>
              </w:rPr>
              <w:t>S/(000)</w:t>
            </w:r>
          </w:p>
        </w:tc>
        <w:tc>
          <w:tcPr>
            <w:tcW w:w="220" w:type="dxa"/>
            <w:vAlign w:val="bottom"/>
          </w:tcPr>
          <w:p>
            <w:pPr>
              <w:spacing w:after="0"/>
              <w:rPr>
                <w:sz w:val="11"/>
                <w:szCs w:val="11"/>
                <w:color w:val="auto"/>
              </w:rPr>
            </w:pPr>
          </w:p>
        </w:tc>
        <w:tc>
          <w:tcPr>
            <w:tcW w:w="820" w:type="dxa"/>
            <w:vAlign w:val="bottom"/>
            <w:tcBorders>
              <w:top w:val="single" w:sz="8" w:color="auto"/>
            </w:tcBorders>
          </w:tcPr>
          <w:p>
            <w:pPr>
              <w:jc w:val="right"/>
              <w:ind w:right="131"/>
              <w:spacing w:after="0" w:line="136" w:lineRule="exact"/>
              <w:rPr>
                <w:sz w:val="20"/>
                <w:szCs w:val="20"/>
                <w:color w:val="auto"/>
              </w:rPr>
            </w:pPr>
            <w:r>
              <w:rPr>
                <w:rFonts w:ascii="Arial" w:cs="Arial" w:eastAsia="Arial" w:hAnsi="Arial"/>
                <w:sz w:val="14"/>
                <w:szCs w:val="14"/>
                <w:b w:val="1"/>
                <w:bCs w:val="1"/>
                <w:color w:val="auto"/>
              </w:rPr>
              <w:t>S/(000)</w:t>
            </w:r>
          </w:p>
        </w:tc>
        <w:tc>
          <w:tcPr>
            <w:tcW w:w="220" w:type="dxa"/>
            <w:vAlign w:val="bottom"/>
          </w:tcPr>
          <w:p>
            <w:pPr>
              <w:spacing w:after="0"/>
              <w:rPr>
                <w:sz w:val="11"/>
                <w:szCs w:val="11"/>
                <w:color w:val="auto"/>
              </w:rPr>
            </w:pPr>
          </w:p>
        </w:tc>
        <w:tc>
          <w:tcPr>
            <w:tcW w:w="820" w:type="dxa"/>
            <w:vAlign w:val="bottom"/>
            <w:tcBorders>
              <w:top w:val="single" w:sz="8" w:color="auto"/>
            </w:tcBorders>
          </w:tcPr>
          <w:p>
            <w:pPr>
              <w:jc w:val="right"/>
              <w:ind w:right="131"/>
              <w:spacing w:after="0" w:line="136" w:lineRule="exact"/>
              <w:rPr>
                <w:sz w:val="20"/>
                <w:szCs w:val="20"/>
                <w:color w:val="auto"/>
              </w:rPr>
            </w:pPr>
            <w:r>
              <w:rPr>
                <w:rFonts w:ascii="Arial" w:cs="Arial" w:eastAsia="Arial" w:hAnsi="Arial"/>
                <w:sz w:val="14"/>
                <w:szCs w:val="14"/>
                <w:b w:val="1"/>
                <w:bCs w:val="1"/>
                <w:color w:val="auto"/>
              </w:rPr>
              <w:t>S/(000)</w:t>
            </w:r>
          </w:p>
        </w:tc>
        <w:tc>
          <w:tcPr>
            <w:tcW w:w="220" w:type="dxa"/>
            <w:vAlign w:val="bottom"/>
          </w:tcPr>
          <w:p>
            <w:pPr>
              <w:spacing w:after="0"/>
              <w:rPr>
                <w:sz w:val="11"/>
                <w:szCs w:val="11"/>
                <w:color w:val="auto"/>
              </w:rPr>
            </w:pPr>
          </w:p>
        </w:tc>
        <w:tc>
          <w:tcPr>
            <w:tcW w:w="860" w:type="dxa"/>
            <w:vAlign w:val="bottom"/>
            <w:tcBorders>
              <w:top w:val="single" w:sz="8" w:color="auto"/>
            </w:tcBorders>
          </w:tcPr>
          <w:p>
            <w:pPr>
              <w:jc w:val="right"/>
              <w:ind w:right="151"/>
              <w:spacing w:after="0" w:line="136" w:lineRule="exact"/>
              <w:rPr>
                <w:sz w:val="20"/>
                <w:szCs w:val="20"/>
                <w:color w:val="auto"/>
              </w:rPr>
            </w:pPr>
            <w:r>
              <w:rPr>
                <w:rFonts w:ascii="Arial" w:cs="Arial" w:eastAsia="Arial" w:hAnsi="Arial"/>
                <w:sz w:val="14"/>
                <w:szCs w:val="14"/>
                <w:b w:val="1"/>
                <w:bCs w:val="1"/>
                <w:color w:val="auto"/>
              </w:rPr>
              <w:t>S/(000)</w:t>
            </w:r>
          </w:p>
        </w:tc>
        <w:tc>
          <w:tcPr>
            <w:tcW w:w="220" w:type="dxa"/>
            <w:vAlign w:val="bottom"/>
          </w:tcPr>
          <w:p>
            <w:pPr>
              <w:spacing w:after="0"/>
              <w:rPr>
                <w:sz w:val="11"/>
                <w:szCs w:val="11"/>
                <w:color w:val="auto"/>
              </w:rPr>
            </w:pPr>
          </w:p>
        </w:tc>
        <w:tc>
          <w:tcPr>
            <w:tcW w:w="780" w:type="dxa"/>
            <w:vAlign w:val="bottom"/>
            <w:tcBorders>
              <w:top w:val="single" w:sz="8" w:color="auto"/>
            </w:tcBorders>
          </w:tcPr>
          <w:p>
            <w:pPr>
              <w:jc w:val="right"/>
              <w:ind w:right="111"/>
              <w:spacing w:after="0" w:line="136" w:lineRule="exact"/>
              <w:rPr>
                <w:sz w:val="20"/>
                <w:szCs w:val="20"/>
                <w:color w:val="auto"/>
              </w:rPr>
            </w:pPr>
            <w:r>
              <w:rPr>
                <w:rFonts w:ascii="Arial" w:cs="Arial" w:eastAsia="Arial" w:hAnsi="Arial"/>
                <w:sz w:val="14"/>
                <w:szCs w:val="14"/>
                <w:b w:val="1"/>
                <w:bCs w:val="1"/>
                <w:color w:val="auto"/>
              </w:rPr>
              <w:t>S/(000)</w:t>
            </w:r>
          </w:p>
        </w:tc>
        <w:tc>
          <w:tcPr>
            <w:tcW w:w="200" w:type="dxa"/>
            <w:vAlign w:val="bottom"/>
          </w:tcPr>
          <w:p>
            <w:pPr>
              <w:spacing w:after="0"/>
              <w:rPr>
                <w:sz w:val="11"/>
                <w:szCs w:val="11"/>
                <w:color w:val="auto"/>
              </w:rPr>
            </w:pPr>
          </w:p>
        </w:tc>
        <w:tc>
          <w:tcPr>
            <w:tcW w:w="780" w:type="dxa"/>
            <w:vAlign w:val="bottom"/>
            <w:tcBorders>
              <w:top w:val="single" w:sz="8" w:color="auto"/>
            </w:tcBorders>
          </w:tcPr>
          <w:p>
            <w:pPr>
              <w:jc w:val="right"/>
              <w:ind w:right="111"/>
              <w:spacing w:after="0" w:line="136" w:lineRule="exact"/>
              <w:rPr>
                <w:sz w:val="20"/>
                <w:szCs w:val="20"/>
                <w:color w:val="auto"/>
              </w:rPr>
            </w:pPr>
            <w:r>
              <w:rPr>
                <w:rFonts w:ascii="Arial" w:cs="Arial" w:eastAsia="Arial" w:hAnsi="Arial"/>
                <w:sz w:val="14"/>
                <w:szCs w:val="14"/>
                <w:b w:val="1"/>
                <w:bCs w:val="1"/>
                <w:color w:val="auto"/>
              </w:rPr>
              <w:t>S/(000)</w:t>
            </w:r>
          </w:p>
        </w:tc>
        <w:tc>
          <w:tcPr>
            <w:tcW w:w="200" w:type="dxa"/>
            <w:vAlign w:val="bottom"/>
          </w:tcPr>
          <w:p>
            <w:pPr>
              <w:spacing w:after="0"/>
              <w:rPr>
                <w:sz w:val="11"/>
                <w:szCs w:val="11"/>
                <w:color w:val="auto"/>
              </w:rPr>
            </w:pPr>
          </w:p>
        </w:tc>
        <w:tc>
          <w:tcPr>
            <w:tcW w:w="780" w:type="dxa"/>
            <w:vAlign w:val="bottom"/>
            <w:tcBorders>
              <w:top w:val="single" w:sz="8" w:color="auto"/>
            </w:tcBorders>
          </w:tcPr>
          <w:p>
            <w:pPr>
              <w:jc w:val="right"/>
              <w:ind w:right="111"/>
              <w:spacing w:after="0" w:line="136" w:lineRule="exact"/>
              <w:rPr>
                <w:sz w:val="20"/>
                <w:szCs w:val="20"/>
                <w:color w:val="auto"/>
              </w:rPr>
            </w:pPr>
            <w:r>
              <w:rPr>
                <w:rFonts w:ascii="Arial" w:cs="Arial" w:eastAsia="Arial" w:hAnsi="Arial"/>
                <w:sz w:val="14"/>
                <w:szCs w:val="14"/>
                <w:b w:val="1"/>
                <w:bCs w:val="1"/>
                <w:color w:val="auto"/>
              </w:rPr>
              <w:t>S/(000)</w:t>
            </w:r>
          </w:p>
        </w:tc>
        <w:tc>
          <w:tcPr>
            <w:tcW w:w="220" w:type="dxa"/>
            <w:vAlign w:val="bottom"/>
          </w:tcPr>
          <w:p>
            <w:pPr>
              <w:spacing w:after="0"/>
              <w:rPr>
                <w:sz w:val="11"/>
                <w:szCs w:val="11"/>
                <w:color w:val="auto"/>
              </w:rPr>
            </w:pPr>
          </w:p>
        </w:tc>
        <w:tc>
          <w:tcPr>
            <w:tcW w:w="840" w:type="dxa"/>
            <w:vAlign w:val="bottom"/>
            <w:tcBorders>
              <w:top w:val="single" w:sz="8" w:color="auto"/>
            </w:tcBorders>
          </w:tcPr>
          <w:p>
            <w:pPr>
              <w:jc w:val="right"/>
              <w:ind w:right="151"/>
              <w:spacing w:after="0" w:line="136" w:lineRule="exact"/>
              <w:rPr>
                <w:sz w:val="20"/>
                <w:szCs w:val="20"/>
                <w:color w:val="auto"/>
              </w:rPr>
            </w:pPr>
            <w:r>
              <w:rPr>
                <w:rFonts w:ascii="Arial" w:cs="Arial" w:eastAsia="Arial" w:hAnsi="Arial"/>
                <w:sz w:val="14"/>
                <w:szCs w:val="14"/>
                <w:b w:val="1"/>
                <w:bCs w:val="1"/>
                <w:color w:val="auto"/>
              </w:rPr>
              <w:t>S/(000)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3320" w:type="dxa"/>
            <w:vAlign w:val="bottom"/>
            <w:shd w:val="clear" w:color="auto" w:fill="CCEEFF"/>
          </w:tcPr>
          <w:p>
            <w:pPr>
              <w:spacing w:after="0" w:line="143" w:lineRule="exact"/>
              <w:rPr>
                <w:sz w:val="20"/>
                <w:szCs w:val="20"/>
                <w:color w:val="auto"/>
              </w:rPr>
            </w:pPr>
            <w:r>
              <w:rPr>
                <w:rFonts w:ascii="Arial" w:cs="Arial" w:eastAsia="Arial" w:hAnsi="Arial"/>
                <w:sz w:val="14"/>
                <w:szCs w:val="14"/>
                <w:b w:val="1"/>
                <w:bCs w:val="1"/>
                <w:color w:val="auto"/>
              </w:rPr>
              <w:t>Monetary assets</w:t>
            </w:r>
          </w:p>
        </w:tc>
        <w:tc>
          <w:tcPr>
            <w:tcW w:w="8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3320" w:type="dxa"/>
            <w:vAlign w:val="bottom"/>
          </w:tcPr>
          <w:p>
            <w:pPr>
              <w:spacing w:after="0" w:line="143" w:lineRule="exact"/>
              <w:rPr>
                <w:sz w:val="20"/>
                <w:szCs w:val="20"/>
                <w:color w:val="auto"/>
              </w:rPr>
            </w:pPr>
            <w:r>
              <w:rPr>
                <w:rFonts w:ascii="Arial" w:cs="Arial" w:eastAsia="Arial" w:hAnsi="Arial"/>
                <w:sz w:val="14"/>
                <w:szCs w:val="14"/>
                <w:color w:val="auto"/>
              </w:rPr>
              <w:t>Cash and due from banks</w:t>
            </w:r>
          </w:p>
        </w:tc>
        <w:tc>
          <w:tcPr>
            <w:tcW w:w="820" w:type="dxa"/>
            <w:vAlign w:val="bottom"/>
          </w:tcPr>
          <w:p>
            <w:pPr>
              <w:jc w:val="right"/>
              <w:spacing w:after="0" w:line="143" w:lineRule="exact"/>
              <w:rPr>
                <w:sz w:val="20"/>
                <w:szCs w:val="20"/>
                <w:color w:val="auto"/>
              </w:rPr>
            </w:pPr>
            <w:r>
              <w:rPr>
                <w:rFonts w:ascii="Arial" w:cs="Arial" w:eastAsia="Arial" w:hAnsi="Arial"/>
                <w:sz w:val="14"/>
                <w:szCs w:val="14"/>
                <w:color w:val="auto"/>
              </w:rPr>
              <w:t>3,149,300</w:t>
            </w:r>
          </w:p>
        </w:tc>
        <w:tc>
          <w:tcPr>
            <w:tcW w:w="220" w:type="dxa"/>
            <w:vAlign w:val="bottom"/>
          </w:tcPr>
          <w:p>
            <w:pPr>
              <w:spacing w:after="0"/>
              <w:rPr>
                <w:sz w:val="12"/>
                <w:szCs w:val="12"/>
                <w:color w:val="auto"/>
              </w:rPr>
            </w:pPr>
          </w:p>
        </w:tc>
        <w:tc>
          <w:tcPr>
            <w:tcW w:w="820" w:type="dxa"/>
            <w:vAlign w:val="bottom"/>
          </w:tcPr>
          <w:p>
            <w:pPr>
              <w:jc w:val="right"/>
              <w:spacing w:after="0" w:line="143" w:lineRule="exact"/>
              <w:rPr>
                <w:sz w:val="20"/>
                <w:szCs w:val="20"/>
                <w:color w:val="auto"/>
              </w:rPr>
            </w:pPr>
            <w:r>
              <w:rPr>
                <w:rFonts w:ascii="Arial" w:cs="Arial" w:eastAsia="Arial" w:hAnsi="Arial"/>
                <w:sz w:val="14"/>
                <w:szCs w:val="14"/>
                <w:color w:val="auto"/>
              </w:rPr>
              <w:t>18,578,798</w:t>
            </w:r>
          </w:p>
        </w:tc>
        <w:tc>
          <w:tcPr>
            <w:tcW w:w="220" w:type="dxa"/>
            <w:vAlign w:val="bottom"/>
          </w:tcPr>
          <w:p>
            <w:pPr>
              <w:spacing w:after="0"/>
              <w:rPr>
                <w:sz w:val="12"/>
                <w:szCs w:val="12"/>
                <w:color w:val="auto"/>
              </w:rPr>
            </w:pPr>
          </w:p>
        </w:tc>
        <w:tc>
          <w:tcPr>
            <w:tcW w:w="1040" w:type="dxa"/>
            <w:vAlign w:val="bottom"/>
            <w:gridSpan w:val="2"/>
          </w:tcPr>
          <w:p>
            <w:pPr>
              <w:jc w:val="right"/>
              <w:ind w:right="220"/>
              <w:spacing w:after="0" w:line="143" w:lineRule="exact"/>
              <w:rPr>
                <w:sz w:val="20"/>
                <w:szCs w:val="20"/>
                <w:color w:val="auto"/>
              </w:rPr>
            </w:pPr>
            <w:r>
              <w:rPr>
                <w:rFonts w:ascii="Arial" w:cs="Arial" w:eastAsia="Arial" w:hAnsi="Arial"/>
                <w:sz w:val="14"/>
                <w:szCs w:val="14"/>
                <w:color w:val="auto"/>
              </w:rPr>
              <w:t>1,493,889</w:t>
            </w:r>
          </w:p>
        </w:tc>
        <w:tc>
          <w:tcPr>
            <w:tcW w:w="1080" w:type="dxa"/>
            <w:vAlign w:val="bottom"/>
            <w:gridSpan w:val="2"/>
          </w:tcPr>
          <w:p>
            <w:pPr>
              <w:jc w:val="right"/>
              <w:ind w:right="220"/>
              <w:spacing w:after="0" w:line="143" w:lineRule="exact"/>
              <w:rPr>
                <w:sz w:val="20"/>
                <w:szCs w:val="20"/>
                <w:color w:val="auto"/>
              </w:rPr>
            </w:pPr>
            <w:r>
              <w:rPr>
                <w:rFonts w:ascii="Arial" w:cs="Arial" w:eastAsia="Arial" w:hAnsi="Arial"/>
                <w:sz w:val="14"/>
                <w:szCs w:val="14"/>
                <w:color w:val="auto"/>
              </w:rPr>
              <w:t>23,221,987</w:t>
            </w:r>
          </w:p>
        </w:tc>
        <w:tc>
          <w:tcPr>
            <w:tcW w:w="980" w:type="dxa"/>
            <w:vAlign w:val="bottom"/>
            <w:gridSpan w:val="2"/>
          </w:tcPr>
          <w:p>
            <w:pPr>
              <w:jc w:val="right"/>
              <w:ind w:right="200"/>
              <w:spacing w:after="0" w:line="143" w:lineRule="exact"/>
              <w:rPr>
                <w:sz w:val="20"/>
                <w:szCs w:val="20"/>
                <w:color w:val="auto"/>
              </w:rPr>
            </w:pPr>
            <w:r>
              <w:rPr>
                <w:rFonts w:ascii="Arial" w:cs="Arial" w:eastAsia="Arial" w:hAnsi="Arial"/>
                <w:sz w:val="14"/>
                <w:szCs w:val="14"/>
                <w:color w:val="auto"/>
              </w:rPr>
              <w:t>2,675,238</w:t>
            </w:r>
          </w:p>
        </w:tc>
        <w:tc>
          <w:tcPr>
            <w:tcW w:w="980" w:type="dxa"/>
            <w:vAlign w:val="bottom"/>
            <w:gridSpan w:val="2"/>
          </w:tcPr>
          <w:p>
            <w:pPr>
              <w:jc w:val="right"/>
              <w:ind w:right="160"/>
              <w:spacing w:after="0" w:line="143" w:lineRule="exact"/>
              <w:rPr>
                <w:sz w:val="20"/>
                <w:szCs w:val="20"/>
                <w:color w:val="auto"/>
              </w:rPr>
            </w:pPr>
            <w:r>
              <w:rPr>
                <w:rFonts w:ascii="Arial" w:cs="Arial" w:eastAsia="Arial" w:hAnsi="Arial"/>
                <w:sz w:val="14"/>
                <w:szCs w:val="14"/>
                <w:color w:val="auto"/>
              </w:rPr>
              <w:t>12,131,203</w:t>
            </w:r>
          </w:p>
        </w:tc>
        <w:tc>
          <w:tcPr>
            <w:tcW w:w="1000" w:type="dxa"/>
            <w:vAlign w:val="bottom"/>
            <w:gridSpan w:val="2"/>
          </w:tcPr>
          <w:p>
            <w:pPr>
              <w:jc w:val="right"/>
              <w:ind w:right="151"/>
              <w:spacing w:after="0" w:line="143" w:lineRule="exact"/>
              <w:rPr>
                <w:sz w:val="20"/>
                <w:szCs w:val="20"/>
                <w:color w:val="auto"/>
              </w:rPr>
            </w:pPr>
            <w:r>
              <w:rPr>
                <w:rFonts w:ascii="Arial" w:cs="Arial" w:eastAsia="Arial" w:hAnsi="Arial"/>
                <w:sz w:val="14"/>
                <w:szCs w:val="14"/>
                <w:color w:val="auto"/>
              </w:rPr>
              <w:t>1,839,328</w:t>
            </w:r>
          </w:p>
        </w:tc>
        <w:tc>
          <w:tcPr>
            <w:tcW w:w="940" w:type="dxa"/>
            <w:vAlign w:val="bottom"/>
            <w:gridSpan w:val="2"/>
          </w:tcPr>
          <w:p>
            <w:pPr>
              <w:jc w:val="right"/>
              <w:ind w:right="60"/>
              <w:spacing w:after="0" w:line="143" w:lineRule="exact"/>
              <w:rPr>
                <w:sz w:val="20"/>
                <w:szCs w:val="20"/>
                <w:color w:val="auto"/>
              </w:rPr>
            </w:pPr>
            <w:r>
              <w:rPr>
                <w:rFonts w:ascii="Arial" w:cs="Arial" w:eastAsia="Arial" w:hAnsi="Arial"/>
                <w:sz w:val="14"/>
                <w:szCs w:val="14"/>
                <w:color w:val="auto"/>
              </w:rPr>
              <w:t>16,645,769</w:t>
            </w:r>
          </w:p>
        </w:tc>
        <w:tc>
          <w:tcPr>
            <w:tcW w:w="0" w:type="dxa"/>
            <w:vAlign w:val="bottom"/>
          </w:tcPr>
          <w:p>
            <w:pPr>
              <w:spacing w:after="0"/>
              <w:rPr>
                <w:sz w:val="1"/>
                <w:szCs w:val="1"/>
                <w:color w:val="auto"/>
              </w:rPr>
            </w:pPr>
          </w:p>
        </w:tc>
      </w:tr>
      <w:tr>
        <w:trPr>
          <w:trHeight w:val="124"/>
        </w:trPr>
        <w:tc>
          <w:tcPr>
            <w:tcW w:w="3320" w:type="dxa"/>
            <w:vAlign w:val="bottom"/>
            <w:shd w:val="clear" w:color="auto" w:fill="CCEEFF"/>
          </w:tcPr>
          <w:p>
            <w:pPr>
              <w:spacing w:after="0" w:line="125" w:lineRule="exact"/>
              <w:rPr>
                <w:sz w:val="20"/>
                <w:szCs w:val="20"/>
                <w:color w:val="auto"/>
              </w:rPr>
            </w:pPr>
            <w:r>
              <w:rPr>
                <w:rFonts w:ascii="Arial" w:cs="Arial" w:eastAsia="Arial" w:hAnsi="Arial"/>
                <w:sz w:val="14"/>
                <w:szCs w:val="14"/>
                <w:color w:val="auto"/>
              </w:rPr>
              <w:t>Cash collateral, reverse repurchase agreements and</w:t>
            </w:r>
          </w:p>
        </w:tc>
        <w:tc>
          <w:tcPr>
            <w:tcW w:w="8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1"/>
        </w:trPr>
        <w:tc>
          <w:tcPr>
            <w:tcW w:w="3320" w:type="dxa"/>
            <w:vAlign w:val="bottom"/>
            <w:shd w:val="clear" w:color="auto" w:fill="CCEEFF"/>
          </w:tcPr>
          <w:p>
            <w:pPr>
              <w:spacing w:after="0"/>
              <w:rPr>
                <w:sz w:val="20"/>
                <w:szCs w:val="20"/>
                <w:color w:val="auto"/>
              </w:rPr>
            </w:pPr>
            <w:r>
              <w:rPr>
                <w:rFonts w:ascii="Arial" w:cs="Arial" w:eastAsia="Arial" w:hAnsi="Arial"/>
                <w:sz w:val="14"/>
                <w:szCs w:val="14"/>
                <w:color w:val="auto"/>
              </w:rPr>
              <w:t>securities borrowings Borrowings</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119,976</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6,915,937</w:t>
            </w:r>
          </w:p>
        </w:tc>
        <w:tc>
          <w:tcPr>
            <w:tcW w:w="22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444,507</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7,480,420</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4,021</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10,621,045</w:t>
            </w:r>
          </w:p>
        </w:tc>
        <w:tc>
          <w:tcPr>
            <w:tcW w:w="1000" w:type="dxa"/>
            <w:vAlign w:val="bottom"/>
            <w:gridSpan w:val="2"/>
            <w:shd w:val="clear" w:color="auto" w:fill="CCEEFF"/>
          </w:tcPr>
          <w:p>
            <w:pPr>
              <w:jc w:val="right"/>
              <w:ind w:right="151"/>
              <w:spacing w:after="0"/>
              <w:rPr>
                <w:sz w:val="20"/>
                <w:szCs w:val="20"/>
                <w:color w:val="auto"/>
              </w:rPr>
            </w:pPr>
            <w:r>
              <w:rPr>
                <w:rFonts w:ascii="Arial" w:cs="Arial" w:eastAsia="Arial" w:hAnsi="Arial"/>
                <w:sz w:val="14"/>
                <w:szCs w:val="14"/>
                <w:color w:val="auto"/>
              </w:rPr>
              <w:t>294,558</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10,919,624</w:t>
            </w:r>
          </w:p>
        </w:tc>
        <w:tc>
          <w:tcPr>
            <w:tcW w:w="0" w:type="dxa"/>
            <w:vAlign w:val="bottom"/>
          </w:tcPr>
          <w:p>
            <w:pPr>
              <w:spacing w:after="0"/>
              <w:rPr>
                <w:sz w:val="1"/>
                <w:szCs w:val="1"/>
                <w:color w:val="auto"/>
              </w:rPr>
            </w:pPr>
          </w:p>
        </w:tc>
      </w:tr>
      <w:tr>
        <w:trPr>
          <w:trHeight w:val="143"/>
        </w:trPr>
        <w:tc>
          <w:tcPr>
            <w:tcW w:w="3320" w:type="dxa"/>
            <w:vAlign w:val="bottom"/>
          </w:tcPr>
          <w:p>
            <w:pPr>
              <w:spacing w:after="0" w:line="143" w:lineRule="exact"/>
              <w:rPr>
                <w:sz w:val="20"/>
                <w:szCs w:val="20"/>
                <w:color w:val="auto"/>
              </w:rPr>
            </w:pPr>
            <w:r>
              <w:rPr>
                <w:rFonts w:ascii="Arial" w:cs="Arial" w:eastAsia="Arial" w:hAnsi="Arial"/>
                <w:sz w:val="14"/>
                <w:szCs w:val="14"/>
                <w:color w:val="auto"/>
              </w:rPr>
              <w:t>Trading securities</w:t>
            </w:r>
          </w:p>
        </w:tc>
        <w:tc>
          <w:tcPr>
            <w:tcW w:w="820" w:type="dxa"/>
            <w:vAlign w:val="bottom"/>
          </w:tcPr>
          <w:p>
            <w:pPr>
              <w:jc w:val="right"/>
              <w:spacing w:after="0" w:line="143" w:lineRule="exact"/>
              <w:rPr>
                <w:sz w:val="20"/>
                <w:szCs w:val="20"/>
                <w:color w:val="auto"/>
              </w:rPr>
            </w:pPr>
            <w:r>
              <w:rPr>
                <w:rFonts w:ascii="Arial" w:cs="Arial" w:eastAsia="Arial" w:hAnsi="Arial"/>
                <w:sz w:val="14"/>
                <w:szCs w:val="14"/>
                <w:color w:val="auto"/>
              </w:rPr>
              <w:t>2,222,061</w:t>
            </w:r>
          </w:p>
        </w:tc>
        <w:tc>
          <w:tcPr>
            <w:tcW w:w="220" w:type="dxa"/>
            <w:vAlign w:val="bottom"/>
          </w:tcPr>
          <w:p>
            <w:pPr>
              <w:spacing w:after="0"/>
              <w:rPr>
                <w:sz w:val="12"/>
                <w:szCs w:val="12"/>
                <w:color w:val="auto"/>
              </w:rPr>
            </w:pPr>
          </w:p>
        </w:tc>
        <w:tc>
          <w:tcPr>
            <w:tcW w:w="1040" w:type="dxa"/>
            <w:vAlign w:val="bottom"/>
            <w:gridSpan w:val="2"/>
          </w:tcPr>
          <w:p>
            <w:pPr>
              <w:jc w:val="right"/>
              <w:ind w:right="220"/>
              <w:spacing w:after="0" w:line="143" w:lineRule="exact"/>
              <w:rPr>
                <w:sz w:val="20"/>
                <w:szCs w:val="20"/>
                <w:color w:val="auto"/>
              </w:rPr>
            </w:pPr>
            <w:r>
              <w:rPr>
                <w:rFonts w:ascii="Arial" w:cs="Arial" w:eastAsia="Arial" w:hAnsi="Arial"/>
                <w:sz w:val="14"/>
                <w:szCs w:val="14"/>
                <w:color w:val="auto"/>
              </w:rPr>
              <w:t>209,543</w:t>
            </w:r>
          </w:p>
        </w:tc>
        <w:tc>
          <w:tcPr>
            <w:tcW w:w="1040" w:type="dxa"/>
            <w:vAlign w:val="bottom"/>
            <w:gridSpan w:val="2"/>
          </w:tcPr>
          <w:p>
            <w:pPr>
              <w:jc w:val="right"/>
              <w:ind w:right="220"/>
              <w:spacing w:after="0" w:line="143" w:lineRule="exact"/>
              <w:rPr>
                <w:sz w:val="20"/>
                <w:szCs w:val="20"/>
                <w:color w:val="auto"/>
              </w:rPr>
            </w:pPr>
            <w:r>
              <w:rPr>
                <w:rFonts w:ascii="Arial" w:cs="Arial" w:eastAsia="Arial" w:hAnsi="Arial"/>
                <w:sz w:val="14"/>
                <w:szCs w:val="14"/>
                <w:color w:val="auto"/>
              </w:rPr>
              <w:t>1,593,133</w:t>
            </w:r>
          </w:p>
        </w:tc>
        <w:tc>
          <w:tcPr>
            <w:tcW w:w="1080" w:type="dxa"/>
            <w:vAlign w:val="bottom"/>
            <w:gridSpan w:val="2"/>
          </w:tcPr>
          <w:p>
            <w:pPr>
              <w:jc w:val="right"/>
              <w:ind w:right="220"/>
              <w:spacing w:after="0" w:line="143" w:lineRule="exact"/>
              <w:rPr>
                <w:sz w:val="20"/>
                <w:szCs w:val="20"/>
                <w:color w:val="auto"/>
              </w:rPr>
            </w:pPr>
            <w:r>
              <w:rPr>
                <w:rFonts w:ascii="Arial" w:cs="Arial" w:eastAsia="Arial" w:hAnsi="Arial"/>
                <w:sz w:val="14"/>
                <w:szCs w:val="14"/>
                <w:color w:val="auto"/>
              </w:rPr>
              <w:t>4,024,737</w:t>
            </w:r>
          </w:p>
        </w:tc>
        <w:tc>
          <w:tcPr>
            <w:tcW w:w="980" w:type="dxa"/>
            <w:vAlign w:val="bottom"/>
            <w:gridSpan w:val="2"/>
          </w:tcPr>
          <w:p>
            <w:pPr>
              <w:jc w:val="right"/>
              <w:ind w:right="200"/>
              <w:spacing w:after="0" w:line="143" w:lineRule="exact"/>
              <w:rPr>
                <w:sz w:val="20"/>
                <w:szCs w:val="20"/>
                <w:color w:val="auto"/>
              </w:rPr>
            </w:pPr>
            <w:r>
              <w:rPr>
                <w:rFonts w:ascii="Arial" w:cs="Arial" w:eastAsia="Arial" w:hAnsi="Arial"/>
                <w:sz w:val="14"/>
                <w:szCs w:val="14"/>
                <w:color w:val="auto"/>
              </w:rPr>
              <w:t>2,433,444</w:t>
            </w:r>
          </w:p>
        </w:tc>
        <w:tc>
          <w:tcPr>
            <w:tcW w:w="980" w:type="dxa"/>
            <w:vAlign w:val="bottom"/>
            <w:gridSpan w:val="2"/>
          </w:tcPr>
          <w:p>
            <w:pPr>
              <w:jc w:val="right"/>
              <w:ind w:right="160"/>
              <w:spacing w:after="0" w:line="143" w:lineRule="exact"/>
              <w:rPr>
                <w:sz w:val="20"/>
                <w:szCs w:val="20"/>
                <w:color w:val="auto"/>
              </w:rPr>
            </w:pPr>
            <w:r>
              <w:rPr>
                <w:rFonts w:ascii="Arial" w:cs="Arial" w:eastAsia="Arial" w:hAnsi="Arial"/>
                <w:sz w:val="14"/>
                <w:szCs w:val="14"/>
                <w:color w:val="auto"/>
              </w:rPr>
              <w:t>172,999</w:t>
            </w:r>
          </w:p>
        </w:tc>
        <w:tc>
          <w:tcPr>
            <w:tcW w:w="1000" w:type="dxa"/>
            <w:vAlign w:val="bottom"/>
            <w:gridSpan w:val="2"/>
          </w:tcPr>
          <w:p>
            <w:pPr>
              <w:jc w:val="right"/>
              <w:ind w:right="151"/>
              <w:spacing w:after="0" w:line="143" w:lineRule="exact"/>
              <w:rPr>
                <w:sz w:val="20"/>
                <w:szCs w:val="20"/>
                <w:color w:val="auto"/>
              </w:rPr>
            </w:pPr>
            <w:r>
              <w:rPr>
                <w:rFonts w:ascii="Arial" w:cs="Arial" w:eastAsia="Arial" w:hAnsi="Arial"/>
                <w:sz w:val="14"/>
                <w:szCs w:val="14"/>
                <w:color w:val="auto"/>
              </w:rPr>
              <w:t>1,408,576</w:t>
            </w:r>
          </w:p>
        </w:tc>
        <w:tc>
          <w:tcPr>
            <w:tcW w:w="940" w:type="dxa"/>
            <w:vAlign w:val="bottom"/>
            <w:gridSpan w:val="2"/>
          </w:tcPr>
          <w:p>
            <w:pPr>
              <w:jc w:val="right"/>
              <w:ind w:right="60"/>
              <w:spacing w:after="0" w:line="143" w:lineRule="exact"/>
              <w:rPr>
                <w:sz w:val="20"/>
                <w:szCs w:val="20"/>
                <w:color w:val="auto"/>
              </w:rPr>
            </w:pPr>
            <w:r>
              <w:rPr>
                <w:rFonts w:ascii="Arial" w:cs="Arial" w:eastAsia="Arial" w:hAnsi="Arial"/>
                <w:sz w:val="14"/>
                <w:szCs w:val="14"/>
                <w:color w:val="auto"/>
              </w:rPr>
              <w:t>4,015,019</w:t>
            </w:r>
          </w:p>
        </w:tc>
        <w:tc>
          <w:tcPr>
            <w:tcW w:w="0" w:type="dxa"/>
            <w:vAlign w:val="bottom"/>
          </w:tcPr>
          <w:p>
            <w:pPr>
              <w:spacing w:after="0"/>
              <w:rPr>
                <w:sz w:val="1"/>
                <w:szCs w:val="1"/>
                <w:color w:val="auto"/>
              </w:rPr>
            </w:pPr>
          </w:p>
        </w:tc>
      </w:tr>
      <w:tr>
        <w:trPr>
          <w:trHeight w:val="143"/>
        </w:trPr>
        <w:tc>
          <w:tcPr>
            <w:tcW w:w="332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rPr>
              <w:t>Available-for-sale investments</w:t>
            </w:r>
          </w:p>
        </w:tc>
        <w:tc>
          <w:tcPr>
            <w:tcW w:w="82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rPr>
              <w:t>13,804,121</w:t>
            </w: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rPr>
              <w:t>7,697,970</w:t>
            </w:r>
          </w:p>
        </w:tc>
        <w:tc>
          <w:tcPr>
            <w:tcW w:w="22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220"/>
              <w:spacing w:after="0" w:line="143" w:lineRule="exact"/>
              <w:rPr>
                <w:sz w:val="20"/>
                <w:szCs w:val="20"/>
                <w:color w:val="auto"/>
              </w:rPr>
            </w:pPr>
            <w:r>
              <w:rPr>
                <w:rFonts w:ascii="Arial" w:cs="Arial" w:eastAsia="Arial" w:hAnsi="Arial"/>
                <w:sz w:val="14"/>
                <w:szCs w:val="14"/>
                <w:color w:val="auto"/>
              </w:rPr>
              <w:t>810,517</w:t>
            </w:r>
          </w:p>
        </w:tc>
        <w:tc>
          <w:tcPr>
            <w:tcW w:w="1080" w:type="dxa"/>
            <w:vAlign w:val="bottom"/>
            <w:gridSpan w:val="2"/>
            <w:shd w:val="clear" w:color="auto" w:fill="CCEEFF"/>
          </w:tcPr>
          <w:p>
            <w:pPr>
              <w:jc w:val="right"/>
              <w:ind w:right="220"/>
              <w:spacing w:after="0" w:line="143" w:lineRule="exact"/>
              <w:rPr>
                <w:sz w:val="20"/>
                <w:szCs w:val="20"/>
                <w:color w:val="auto"/>
              </w:rPr>
            </w:pPr>
            <w:r>
              <w:rPr>
                <w:rFonts w:ascii="Arial" w:cs="Arial" w:eastAsia="Arial" w:hAnsi="Arial"/>
                <w:sz w:val="14"/>
                <w:szCs w:val="14"/>
                <w:color w:val="auto"/>
              </w:rPr>
              <w:t>22,312,608</w:t>
            </w:r>
          </w:p>
        </w:tc>
        <w:tc>
          <w:tcPr>
            <w:tcW w:w="980" w:type="dxa"/>
            <w:vAlign w:val="bottom"/>
            <w:gridSpan w:val="2"/>
            <w:shd w:val="clear" w:color="auto" w:fill="CCEEFF"/>
          </w:tcPr>
          <w:p>
            <w:pPr>
              <w:jc w:val="right"/>
              <w:ind w:right="200"/>
              <w:spacing w:after="0" w:line="143" w:lineRule="exact"/>
              <w:rPr>
                <w:sz w:val="20"/>
                <w:szCs w:val="20"/>
                <w:color w:val="auto"/>
              </w:rPr>
            </w:pPr>
            <w:r>
              <w:rPr>
                <w:rFonts w:ascii="Arial" w:cs="Arial" w:eastAsia="Arial" w:hAnsi="Arial"/>
                <w:sz w:val="14"/>
                <w:szCs w:val="14"/>
                <w:color w:val="auto"/>
              </w:rPr>
              <w:t>8,326,735</w:t>
            </w:r>
          </w:p>
        </w:tc>
        <w:tc>
          <w:tcPr>
            <w:tcW w:w="980" w:type="dxa"/>
            <w:vAlign w:val="bottom"/>
            <w:gridSpan w:val="2"/>
            <w:shd w:val="clear" w:color="auto" w:fill="CCEEFF"/>
          </w:tcPr>
          <w:p>
            <w:pPr>
              <w:jc w:val="right"/>
              <w:ind w:right="160"/>
              <w:spacing w:after="0" w:line="143" w:lineRule="exact"/>
              <w:rPr>
                <w:sz w:val="20"/>
                <w:szCs w:val="20"/>
                <w:color w:val="auto"/>
              </w:rPr>
            </w:pPr>
            <w:r>
              <w:rPr>
                <w:rFonts w:ascii="Arial" w:cs="Arial" w:eastAsia="Arial" w:hAnsi="Arial"/>
                <w:sz w:val="14"/>
                <w:szCs w:val="14"/>
                <w:color w:val="auto"/>
              </w:rPr>
              <w:t>7,301,306</w:t>
            </w:r>
          </w:p>
        </w:tc>
        <w:tc>
          <w:tcPr>
            <w:tcW w:w="1000" w:type="dxa"/>
            <w:vAlign w:val="bottom"/>
            <w:gridSpan w:val="2"/>
            <w:shd w:val="clear" w:color="auto" w:fill="CCEEFF"/>
          </w:tcPr>
          <w:p>
            <w:pPr>
              <w:jc w:val="right"/>
              <w:ind w:right="151"/>
              <w:spacing w:after="0" w:line="143" w:lineRule="exact"/>
              <w:rPr>
                <w:sz w:val="20"/>
                <w:szCs w:val="20"/>
                <w:color w:val="auto"/>
              </w:rPr>
            </w:pPr>
            <w:r>
              <w:rPr>
                <w:rFonts w:ascii="Arial" w:cs="Arial" w:eastAsia="Arial" w:hAnsi="Arial"/>
                <w:sz w:val="14"/>
                <w:szCs w:val="14"/>
                <w:color w:val="auto"/>
              </w:rPr>
              <w:t>367,248</w:t>
            </w:r>
          </w:p>
        </w:tc>
        <w:tc>
          <w:tcPr>
            <w:tcW w:w="940" w:type="dxa"/>
            <w:vAlign w:val="bottom"/>
            <w:gridSpan w:val="2"/>
            <w:shd w:val="clear" w:color="auto" w:fill="CCEEFF"/>
          </w:tcPr>
          <w:p>
            <w:pPr>
              <w:jc w:val="right"/>
              <w:ind w:right="60"/>
              <w:spacing w:after="0" w:line="143" w:lineRule="exact"/>
              <w:rPr>
                <w:sz w:val="20"/>
                <w:szCs w:val="20"/>
                <w:color w:val="auto"/>
              </w:rPr>
            </w:pPr>
            <w:r>
              <w:rPr>
                <w:rFonts w:ascii="Arial" w:cs="Arial" w:eastAsia="Arial" w:hAnsi="Arial"/>
                <w:sz w:val="14"/>
                <w:szCs w:val="14"/>
                <w:color w:val="auto"/>
              </w:rPr>
              <w:t>15,995,289</w:t>
            </w:r>
          </w:p>
        </w:tc>
        <w:tc>
          <w:tcPr>
            <w:tcW w:w="0" w:type="dxa"/>
            <w:vAlign w:val="bottom"/>
          </w:tcPr>
          <w:p>
            <w:pPr>
              <w:spacing w:after="0"/>
              <w:rPr>
                <w:sz w:val="1"/>
                <w:szCs w:val="1"/>
                <w:color w:val="auto"/>
              </w:rPr>
            </w:pPr>
          </w:p>
        </w:tc>
      </w:tr>
      <w:tr>
        <w:trPr>
          <w:trHeight w:val="143"/>
        </w:trPr>
        <w:tc>
          <w:tcPr>
            <w:tcW w:w="3320" w:type="dxa"/>
            <w:vAlign w:val="bottom"/>
          </w:tcPr>
          <w:p>
            <w:pPr>
              <w:spacing w:after="0" w:line="143" w:lineRule="exact"/>
              <w:rPr>
                <w:sz w:val="20"/>
                <w:szCs w:val="20"/>
                <w:color w:val="auto"/>
              </w:rPr>
            </w:pPr>
            <w:r>
              <w:rPr>
                <w:rFonts w:ascii="Arial" w:cs="Arial" w:eastAsia="Arial" w:hAnsi="Arial"/>
                <w:sz w:val="14"/>
                <w:szCs w:val="14"/>
                <w:color w:val="auto"/>
              </w:rPr>
              <w:t>Held-to-maturity investments</w:t>
            </w:r>
          </w:p>
        </w:tc>
        <w:tc>
          <w:tcPr>
            <w:tcW w:w="820" w:type="dxa"/>
            <w:vAlign w:val="bottom"/>
          </w:tcPr>
          <w:p>
            <w:pPr>
              <w:jc w:val="right"/>
              <w:spacing w:after="0" w:line="143" w:lineRule="exact"/>
              <w:rPr>
                <w:sz w:val="20"/>
                <w:szCs w:val="20"/>
                <w:color w:val="auto"/>
              </w:rPr>
            </w:pPr>
            <w:r>
              <w:rPr>
                <w:rFonts w:ascii="Arial" w:cs="Arial" w:eastAsia="Arial" w:hAnsi="Arial"/>
                <w:sz w:val="14"/>
                <w:szCs w:val="14"/>
                <w:color w:val="auto"/>
              </w:rPr>
              <w:t>3,453,790</w:t>
            </w:r>
          </w:p>
        </w:tc>
        <w:tc>
          <w:tcPr>
            <w:tcW w:w="220" w:type="dxa"/>
            <w:vAlign w:val="bottom"/>
          </w:tcPr>
          <w:p>
            <w:pPr>
              <w:spacing w:after="0"/>
              <w:rPr>
                <w:sz w:val="12"/>
                <w:szCs w:val="12"/>
                <w:color w:val="auto"/>
              </w:rPr>
            </w:pPr>
          </w:p>
        </w:tc>
        <w:tc>
          <w:tcPr>
            <w:tcW w:w="1040" w:type="dxa"/>
            <w:vAlign w:val="bottom"/>
            <w:gridSpan w:val="2"/>
          </w:tcPr>
          <w:p>
            <w:pPr>
              <w:jc w:val="right"/>
              <w:ind w:right="220"/>
              <w:spacing w:after="0" w:line="143" w:lineRule="exact"/>
              <w:rPr>
                <w:sz w:val="20"/>
                <w:szCs w:val="20"/>
                <w:color w:val="auto"/>
              </w:rPr>
            </w:pPr>
            <w:r>
              <w:rPr>
                <w:rFonts w:ascii="Arial" w:cs="Arial" w:eastAsia="Arial" w:hAnsi="Arial"/>
                <w:sz w:val="14"/>
                <w:szCs w:val="14"/>
                <w:color w:val="auto"/>
              </w:rPr>
              <w:t>959,583</w:t>
            </w:r>
          </w:p>
        </w:tc>
        <w:tc>
          <w:tcPr>
            <w:tcW w:w="1040" w:type="dxa"/>
            <w:vAlign w:val="bottom"/>
            <w:gridSpan w:val="2"/>
          </w:tcPr>
          <w:p>
            <w:pPr>
              <w:jc w:val="right"/>
              <w:ind w:right="220"/>
              <w:spacing w:after="0" w:line="143" w:lineRule="exact"/>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220"/>
              <w:spacing w:after="0" w:line="143" w:lineRule="exact"/>
              <w:rPr>
                <w:sz w:val="20"/>
                <w:szCs w:val="20"/>
                <w:color w:val="auto"/>
              </w:rPr>
            </w:pPr>
            <w:r>
              <w:rPr>
                <w:rFonts w:ascii="Arial" w:cs="Arial" w:eastAsia="Arial" w:hAnsi="Arial"/>
                <w:sz w:val="14"/>
                <w:szCs w:val="14"/>
                <w:color w:val="auto"/>
              </w:rPr>
              <w:t>4,413,373</w:t>
            </w:r>
          </w:p>
        </w:tc>
        <w:tc>
          <w:tcPr>
            <w:tcW w:w="980" w:type="dxa"/>
            <w:vAlign w:val="bottom"/>
            <w:gridSpan w:val="2"/>
          </w:tcPr>
          <w:p>
            <w:pPr>
              <w:jc w:val="right"/>
              <w:ind w:right="200"/>
              <w:spacing w:after="0" w:line="143" w:lineRule="exact"/>
              <w:rPr>
                <w:sz w:val="20"/>
                <w:szCs w:val="20"/>
                <w:color w:val="auto"/>
              </w:rPr>
            </w:pPr>
            <w:r>
              <w:rPr>
                <w:rFonts w:ascii="Arial" w:cs="Arial" w:eastAsia="Arial" w:hAnsi="Arial"/>
                <w:sz w:val="14"/>
                <w:szCs w:val="14"/>
                <w:color w:val="auto"/>
              </w:rPr>
              <w:t>4,102,739</w:t>
            </w:r>
          </w:p>
        </w:tc>
        <w:tc>
          <w:tcPr>
            <w:tcW w:w="980" w:type="dxa"/>
            <w:vAlign w:val="bottom"/>
            <w:gridSpan w:val="2"/>
          </w:tcPr>
          <w:p>
            <w:pPr>
              <w:jc w:val="right"/>
              <w:ind w:right="160"/>
              <w:spacing w:after="0" w:line="143" w:lineRule="exact"/>
              <w:rPr>
                <w:sz w:val="20"/>
                <w:szCs w:val="20"/>
                <w:color w:val="auto"/>
              </w:rPr>
            </w:pPr>
            <w:r>
              <w:rPr>
                <w:rFonts w:ascii="Arial" w:cs="Arial" w:eastAsia="Arial" w:hAnsi="Arial"/>
                <w:sz w:val="14"/>
                <w:szCs w:val="14"/>
                <w:color w:val="auto"/>
              </w:rPr>
              <w:t>1,015,681</w:t>
            </w:r>
          </w:p>
        </w:tc>
        <w:tc>
          <w:tcPr>
            <w:tcW w:w="1000" w:type="dxa"/>
            <w:vAlign w:val="bottom"/>
            <w:gridSpan w:val="2"/>
          </w:tcPr>
          <w:p>
            <w:pPr>
              <w:jc w:val="right"/>
              <w:ind w:right="151"/>
              <w:spacing w:after="0" w:line="143" w:lineRule="exact"/>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60"/>
              <w:spacing w:after="0" w:line="143" w:lineRule="exact"/>
              <w:rPr>
                <w:sz w:val="20"/>
                <w:szCs w:val="20"/>
                <w:color w:val="auto"/>
              </w:rPr>
            </w:pPr>
            <w:r>
              <w:rPr>
                <w:rFonts w:ascii="Arial" w:cs="Arial" w:eastAsia="Arial" w:hAnsi="Arial"/>
                <w:sz w:val="14"/>
                <w:szCs w:val="14"/>
                <w:color w:val="auto"/>
              </w:rPr>
              <w:t>5,118,420</w:t>
            </w:r>
          </w:p>
        </w:tc>
        <w:tc>
          <w:tcPr>
            <w:tcW w:w="0" w:type="dxa"/>
            <w:vAlign w:val="bottom"/>
          </w:tcPr>
          <w:p>
            <w:pPr>
              <w:spacing w:after="0"/>
              <w:rPr>
                <w:sz w:val="1"/>
                <w:szCs w:val="1"/>
                <w:color w:val="auto"/>
              </w:rPr>
            </w:pPr>
          </w:p>
        </w:tc>
      </w:tr>
      <w:tr>
        <w:trPr>
          <w:trHeight w:val="143"/>
        </w:trPr>
        <w:tc>
          <w:tcPr>
            <w:tcW w:w="332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rPr>
              <w:t>Loans, net</w:t>
            </w:r>
          </w:p>
        </w:tc>
        <w:tc>
          <w:tcPr>
            <w:tcW w:w="82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rPr>
              <w:t>56,226,385</w:t>
            </w: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rPr>
              <w:t>33,580,636</w:t>
            </w:r>
          </w:p>
        </w:tc>
        <w:tc>
          <w:tcPr>
            <w:tcW w:w="22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220"/>
              <w:spacing w:after="0" w:line="143" w:lineRule="exact"/>
              <w:rPr>
                <w:sz w:val="20"/>
                <w:szCs w:val="20"/>
                <w:color w:val="auto"/>
              </w:rPr>
            </w:pPr>
            <w:r>
              <w:rPr>
                <w:rFonts w:ascii="Arial" w:cs="Arial" w:eastAsia="Arial" w:hAnsi="Arial"/>
                <w:sz w:val="14"/>
                <w:szCs w:val="14"/>
                <w:color w:val="auto"/>
              </w:rPr>
              <w:t>6,170,256</w:t>
            </w:r>
          </w:p>
        </w:tc>
        <w:tc>
          <w:tcPr>
            <w:tcW w:w="1080" w:type="dxa"/>
            <w:vAlign w:val="bottom"/>
            <w:gridSpan w:val="2"/>
            <w:shd w:val="clear" w:color="auto" w:fill="CCEEFF"/>
          </w:tcPr>
          <w:p>
            <w:pPr>
              <w:jc w:val="right"/>
              <w:ind w:right="220"/>
              <w:spacing w:after="0" w:line="143" w:lineRule="exact"/>
              <w:rPr>
                <w:sz w:val="20"/>
                <w:szCs w:val="20"/>
                <w:color w:val="auto"/>
              </w:rPr>
            </w:pPr>
            <w:r>
              <w:rPr>
                <w:rFonts w:ascii="Arial" w:cs="Arial" w:eastAsia="Arial" w:hAnsi="Arial"/>
                <w:sz w:val="14"/>
                <w:szCs w:val="14"/>
                <w:color w:val="auto"/>
              </w:rPr>
              <w:t>95,977,277</w:t>
            </w:r>
          </w:p>
        </w:tc>
        <w:tc>
          <w:tcPr>
            <w:tcW w:w="980" w:type="dxa"/>
            <w:vAlign w:val="bottom"/>
            <w:gridSpan w:val="2"/>
            <w:shd w:val="clear" w:color="auto" w:fill="CCEEFF"/>
          </w:tcPr>
          <w:p>
            <w:pPr>
              <w:jc w:val="right"/>
              <w:ind w:right="200"/>
              <w:spacing w:after="0" w:line="143" w:lineRule="exact"/>
              <w:rPr>
                <w:sz w:val="20"/>
                <w:szCs w:val="20"/>
                <w:color w:val="auto"/>
              </w:rPr>
            </w:pPr>
            <w:r>
              <w:rPr>
                <w:rFonts w:ascii="Arial" w:cs="Arial" w:eastAsia="Arial" w:hAnsi="Arial"/>
                <w:sz w:val="14"/>
                <w:szCs w:val="14"/>
                <w:color w:val="auto"/>
              </w:rPr>
              <w:t>53,118,275</w:t>
            </w:r>
          </w:p>
        </w:tc>
        <w:tc>
          <w:tcPr>
            <w:tcW w:w="980" w:type="dxa"/>
            <w:vAlign w:val="bottom"/>
            <w:gridSpan w:val="2"/>
            <w:shd w:val="clear" w:color="auto" w:fill="CCEEFF"/>
          </w:tcPr>
          <w:p>
            <w:pPr>
              <w:jc w:val="right"/>
              <w:ind w:right="160"/>
              <w:spacing w:after="0" w:line="143" w:lineRule="exact"/>
              <w:rPr>
                <w:sz w:val="20"/>
                <w:szCs w:val="20"/>
                <w:color w:val="auto"/>
              </w:rPr>
            </w:pPr>
            <w:r>
              <w:rPr>
                <w:rFonts w:ascii="Arial" w:cs="Arial" w:eastAsia="Arial" w:hAnsi="Arial"/>
                <w:sz w:val="14"/>
                <w:szCs w:val="14"/>
                <w:color w:val="auto"/>
              </w:rPr>
              <w:t>32,215,401</w:t>
            </w:r>
          </w:p>
        </w:tc>
        <w:tc>
          <w:tcPr>
            <w:tcW w:w="1000" w:type="dxa"/>
            <w:vAlign w:val="bottom"/>
            <w:gridSpan w:val="2"/>
            <w:shd w:val="clear" w:color="auto" w:fill="CCEEFF"/>
          </w:tcPr>
          <w:p>
            <w:pPr>
              <w:jc w:val="right"/>
              <w:ind w:right="151"/>
              <w:spacing w:after="0" w:line="143" w:lineRule="exact"/>
              <w:rPr>
                <w:sz w:val="20"/>
                <w:szCs w:val="20"/>
                <w:color w:val="auto"/>
              </w:rPr>
            </w:pPr>
            <w:r>
              <w:rPr>
                <w:rFonts w:ascii="Arial" w:cs="Arial" w:eastAsia="Arial" w:hAnsi="Arial"/>
                <w:sz w:val="14"/>
                <w:szCs w:val="14"/>
                <w:color w:val="auto"/>
              </w:rPr>
              <w:t>5,228,092</w:t>
            </w:r>
          </w:p>
        </w:tc>
        <w:tc>
          <w:tcPr>
            <w:tcW w:w="940" w:type="dxa"/>
            <w:vAlign w:val="bottom"/>
            <w:gridSpan w:val="2"/>
            <w:shd w:val="clear" w:color="auto" w:fill="CCEEFF"/>
          </w:tcPr>
          <w:p>
            <w:pPr>
              <w:jc w:val="right"/>
              <w:ind w:right="60"/>
              <w:spacing w:after="0" w:line="143" w:lineRule="exact"/>
              <w:rPr>
                <w:sz w:val="20"/>
                <w:szCs w:val="20"/>
                <w:color w:val="auto"/>
              </w:rPr>
            </w:pPr>
            <w:r>
              <w:rPr>
                <w:rFonts w:ascii="Arial" w:cs="Arial" w:eastAsia="Arial" w:hAnsi="Arial"/>
                <w:sz w:val="14"/>
                <w:szCs w:val="14"/>
                <w:color w:val="auto"/>
              </w:rPr>
              <w:t>90,561,768</w:t>
            </w:r>
          </w:p>
        </w:tc>
        <w:tc>
          <w:tcPr>
            <w:tcW w:w="0" w:type="dxa"/>
            <w:vAlign w:val="bottom"/>
          </w:tcPr>
          <w:p>
            <w:pPr>
              <w:spacing w:after="0"/>
              <w:rPr>
                <w:sz w:val="1"/>
                <w:szCs w:val="1"/>
                <w:color w:val="auto"/>
              </w:rPr>
            </w:pPr>
          </w:p>
        </w:tc>
      </w:tr>
      <w:tr>
        <w:trPr>
          <w:trHeight w:val="143"/>
        </w:trPr>
        <w:tc>
          <w:tcPr>
            <w:tcW w:w="3320" w:type="dxa"/>
            <w:vAlign w:val="bottom"/>
          </w:tcPr>
          <w:p>
            <w:pPr>
              <w:spacing w:after="0" w:line="143" w:lineRule="exact"/>
              <w:rPr>
                <w:sz w:val="20"/>
                <w:szCs w:val="20"/>
                <w:color w:val="auto"/>
              </w:rPr>
            </w:pPr>
            <w:r>
              <w:rPr>
                <w:rFonts w:ascii="Arial" w:cs="Arial" w:eastAsia="Arial" w:hAnsi="Arial"/>
                <w:sz w:val="14"/>
                <w:szCs w:val="14"/>
                <w:color w:val="auto"/>
              </w:rPr>
              <w:t>Financial assets at fair value through profit or loss</w:t>
            </w:r>
          </w:p>
        </w:tc>
        <w:tc>
          <w:tcPr>
            <w:tcW w:w="1040" w:type="dxa"/>
            <w:vAlign w:val="bottom"/>
            <w:gridSpan w:val="2"/>
          </w:tcPr>
          <w:p>
            <w:pPr>
              <w:jc w:val="right"/>
              <w:ind w:right="220"/>
              <w:spacing w:after="0" w:line="143" w:lineRule="exact"/>
              <w:rPr>
                <w:sz w:val="20"/>
                <w:szCs w:val="20"/>
                <w:color w:val="auto"/>
              </w:rPr>
            </w:pPr>
            <w:r>
              <w:rPr>
                <w:rFonts w:ascii="Arial" w:cs="Arial" w:eastAsia="Arial" w:hAnsi="Arial"/>
                <w:sz w:val="14"/>
                <w:szCs w:val="14"/>
                <w:color w:val="auto"/>
              </w:rPr>
              <w:t>48,454</w:t>
            </w:r>
          </w:p>
        </w:tc>
        <w:tc>
          <w:tcPr>
            <w:tcW w:w="1040" w:type="dxa"/>
            <w:vAlign w:val="bottom"/>
            <w:gridSpan w:val="2"/>
          </w:tcPr>
          <w:p>
            <w:pPr>
              <w:jc w:val="right"/>
              <w:ind w:right="220"/>
              <w:spacing w:after="0" w:line="143" w:lineRule="exact"/>
              <w:rPr>
                <w:sz w:val="20"/>
                <w:szCs w:val="20"/>
                <w:color w:val="auto"/>
              </w:rPr>
            </w:pPr>
            <w:r>
              <w:rPr>
                <w:rFonts w:ascii="Arial" w:cs="Arial" w:eastAsia="Arial" w:hAnsi="Arial"/>
                <w:sz w:val="14"/>
                <w:szCs w:val="14"/>
                <w:color w:val="auto"/>
              </w:rPr>
              <w:t>489,231</w:t>
            </w:r>
          </w:p>
        </w:tc>
        <w:tc>
          <w:tcPr>
            <w:tcW w:w="1040" w:type="dxa"/>
            <w:vAlign w:val="bottom"/>
            <w:gridSpan w:val="2"/>
          </w:tcPr>
          <w:p>
            <w:pPr>
              <w:jc w:val="right"/>
              <w:ind w:right="220"/>
              <w:spacing w:after="0" w:line="143" w:lineRule="exact"/>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220"/>
              <w:spacing w:after="0" w:line="143" w:lineRule="exact"/>
              <w:rPr>
                <w:sz w:val="20"/>
                <w:szCs w:val="20"/>
                <w:color w:val="auto"/>
              </w:rPr>
            </w:pPr>
            <w:r>
              <w:rPr>
                <w:rFonts w:ascii="Arial" w:cs="Arial" w:eastAsia="Arial" w:hAnsi="Arial"/>
                <w:sz w:val="14"/>
                <w:szCs w:val="14"/>
                <w:color w:val="auto"/>
              </w:rPr>
              <w:t>537,685</w:t>
            </w:r>
          </w:p>
        </w:tc>
        <w:tc>
          <w:tcPr>
            <w:tcW w:w="980" w:type="dxa"/>
            <w:vAlign w:val="bottom"/>
            <w:gridSpan w:val="2"/>
          </w:tcPr>
          <w:p>
            <w:pPr>
              <w:jc w:val="right"/>
              <w:ind w:right="200"/>
              <w:spacing w:after="0" w:line="143" w:lineRule="exact"/>
              <w:rPr>
                <w:sz w:val="20"/>
                <w:szCs w:val="20"/>
                <w:color w:val="auto"/>
              </w:rPr>
            </w:pPr>
            <w:r>
              <w:rPr>
                <w:rFonts w:ascii="Arial" w:cs="Arial" w:eastAsia="Arial" w:hAnsi="Arial"/>
                <w:sz w:val="14"/>
                <w:szCs w:val="14"/>
                <w:color w:val="auto"/>
              </w:rPr>
              <w:t>85,333</w:t>
            </w:r>
          </w:p>
        </w:tc>
        <w:tc>
          <w:tcPr>
            <w:tcW w:w="980" w:type="dxa"/>
            <w:vAlign w:val="bottom"/>
            <w:gridSpan w:val="2"/>
          </w:tcPr>
          <w:p>
            <w:pPr>
              <w:jc w:val="right"/>
              <w:ind w:right="160"/>
              <w:spacing w:after="0" w:line="143" w:lineRule="exact"/>
              <w:rPr>
                <w:sz w:val="20"/>
                <w:szCs w:val="20"/>
                <w:color w:val="auto"/>
              </w:rPr>
            </w:pPr>
            <w:r>
              <w:rPr>
                <w:rFonts w:ascii="Arial" w:cs="Arial" w:eastAsia="Arial" w:hAnsi="Arial"/>
                <w:sz w:val="14"/>
                <w:szCs w:val="14"/>
                <w:color w:val="auto"/>
              </w:rPr>
              <w:t>373,766</w:t>
            </w:r>
          </w:p>
        </w:tc>
        <w:tc>
          <w:tcPr>
            <w:tcW w:w="1000" w:type="dxa"/>
            <w:vAlign w:val="bottom"/>
            <w:gridSpan w:val="2"/>
          </w:tcPr>
          <w:p>
            <w:pPr>
              <w:jc w:val="right"/>
              <w:ind w:right="151"/>
              <w:spacing w:after="0" w:line="143" w:lineRule="exact"/>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60"/>
              <w:spacing w:after="0" w:line="143" w:lineRule="exact"/>
              <w:rPr>
                <w:sz w:val="20"/>
                <w:szCs w:val="20"/>
                <w:color w:val="auto"/>
              </w:rPr>
            </w:pPr>
            <w:r>
              <w:rPr>
                <w:rFonts w:ascii="Arial" w:cs="Arial" w:eastAsia="Arial" w:hAnsi="Arial"/>
                <w:sz w:val="14"/>
                <w:szCs w:val="14"/>
                <w:color w:val="auto"/>
              </w:rPr>
              <w:t>459,099</w:t>
            </w:r>
          </w:p>
        </w:tc>
        <w:tc>
          <w:tcPr>
            <w:tcW w:w="0" w:type="dxa"/>
            <w:vAlign w:val="bottom"/>
          </w:tcPr>
          <w:p>
            <w:pPr>
              <w:spacing w:after="0"/>
              <w:rPr>
                <w:sz w:val="1"/>
                <w:szCs w:val="1"/>
                <w:color w:val="auto"/>
              </w:rPr>
            </w:pPr>
          </w:p>
        </w:tc>
      </w:tr>
      <w:tr>
        <w:trPr>
          <w:trHeight w:val="156"/>
        </w:trPr>
        <w:tc>
          <w:tcPr>
            <w:tcW w:w="3320" w:type="dxa"/>
            <w:vAlign w:val="bottom"/>
            <w:shd w:val="clear" w:color="auto" w:fill="CCEEFF"/>
          </w:tcPr>
          <w:p>
            <w:pPr>
              <w:spacing w:after="0" w:line="156" w:lineRule="exact"/>
              <w:rPr>
                <w:sz w:val="20"/>
                <w:szCs w:val="20"/>
                <w:color w:val="auto"/>
              </w:rPr>
            </w:pPr>
            <w:r>
              <w:rPr>
                <w:rFonts w:ascii="Arial" w:cs="Arial" w:eastAsia="Arial" w:hAnsi="Arial"/>
                <w:sz w:val="14"/>
                <w:szCs w:val="14"/>
                <w:color w:val="auto"/>
              </w:rPr>
              <w:t>Other assets</w:t>
            </w:r>
          </w:p>
        </w:tc>
        <w:tc>
          <w:tcPr>
            <w:tcW w:w="820" w:type="dxa"/>
            <w:vAlign w:val="bottom"/>
            <w:shd w:val="clear" w:color="auto" w:fill="CCEEFF"/>
          </w:tcPr>
          <w:p>
            <w:pPr>
              <w:jc w:val="right"/>
              <w:spacing w:after="0" w:line="156" w:lineRule="exact"/>
              <w:rPr>
                <w:sz w:val="20"/>
                <w:szCs w:val="20"/>
                <w:color w:val="auto"/>
              </w:rPr>
            </w:pPr>
            <w:r>
              <w:rPr>
                <w:rFonts w:ascii="Arial" w:cs="Arial" w:eastAsia="Arial" w:hAnsi="Arial"/>
                <w:sz w:val="14"/>
                <w:szCs w:val="14"/>
                <w:color w:val="auto"/>
              </w:rPr>
              <w:t>1,219,985</w:t>
            </w:r>
          </w:p>
        </w:tc>
        <w:tc>
          <w:tcPr>
            <w:tcW w:w="220" w:type="dxa"/>
            <w:vAlign w:val="bottom"/>
            <w:shd w:val="clear" w:color="auto" w:fill="CCEEFF"/>
          </w:tcPr>
          <w:p>
            <w:pPr>
              <w:spacing w:after="0"/>
              <w:rPr>
                <w:sz w:val="13"/>
                <w:szCs w:val="13"/>
                <w:color w:val="auto"/>
              </w:rPr>
            </w:pPr>
          </w:p>
        </w:tc>
        <w:tc>
          <w:tcPr>
            <w:tcW w:w="820" w:type="dxa"/>
            <w:vAlign w:val="bottom"/>
            <w:shd w:val="clear" w:color="auto" w:fill="CCEEFF"/>
          </w:tcPr>
          <w:p>
            <w:pPr>
              <w:jc w:val="right"/>
              <w:spacing w:after="0" w:line="156" w:lineRule="exact"/>
              <w:rPr>
                <w:sz w:val="20"/>
                <w:szCs w:val="20"/>
                <w:color w:val="auto"/>
              </w:rPr>
            </w:pPr>
            <w:r>
              <w:rPr>
                <w:rFonts w:ascii="Arial" w:cs="Arial" w:eastAsia="Arial" w:hAnsi="Arial"/>
                <w:sz w:val="14"/>
                <w:szCs w:val="14"/>
                <w:color w:val="auto"/>
              </w:rPr>
              <w:t>2,268,659</w:t>
            </w:r>
          </w:p>
        </w:tc>
        <w:tc>
          <w:tcPr>
            <w:tcW w:w="22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220"/>
              <w:spacing w:after="0" w:line="156" w:lineRule="exact"/>
              <w:rPr>
                <w:sz w:val="20"/>
                <w:szCs w:val="20"/>
                <w:color w:val="auto"/>
              </w:rPr>
            </w:pPr>
            <w:r>
              <w:rPr>
                <w:rFonts w:ascii="Arial" w:cs="Arial" w:eastAsia="Arial" w:hAnsi="Arial"/>
                <w:sz w:val="14"/>
                <w:szCs w:val="14"/>
                <w:color w:val="auto"/>
              </w:rPr>
              <w:t>876,864</w:t>
            </w:r>
          </w:p>
        </w:tc>
        <w:tc>
          <w:tcPr>
            <w:tcW w:w="1080" w:type="dxa"/>
            <w:vAlign w:val="bottom"/>
            <w:gridSpan w:val="2"/>
            <w:shd w:val="clear" w:color="auto" w:fill="CCEEFF"/>
          </w:tcPr>
          <w:p>
            <w:pPr>
              <w:jc w:val="right"/>
              <w:ind w:right="220"/>
              <w:spacing w:after="0" w:line="156" w:lineRule="exact"/>
              <w:rPr>
                <w:sz w:val="20"/>
                <w:szCs w:val="20"/>
                <w:color w:val="auto"/>
              </w:rPr>
            </w:pPr>
            <w:r>
              <w:rPr>
                <w:rFonts w:ascii="Arial" w:cs="Arial" w:eastAsia="Arial" w:hAnsi="Arial"/>
                <w:sz w:val="14"/>
                <w:szCs w:val="14"/>
                <w:color w:val="auto"/>
              </w:rPr>
              <w:t>4,365,508</w:t>
            </w:r>
          </w:p>
        </w:tc>
        <w:tc>
          <w:tcPr>
            <w:tcW w:w="980" w:type="dxa"/>
            <w:vAlign w:val="bottom"/>
            <w:gridSpan w:val="2"/>
            <w:shd w:val="clear" w:color="auto" w:fill="CCEEFF"/>
          </w:tcPr>
          <w:p>
            <w:pPr>
              <w:jc w:val="right"/>
              <w:ind w:right="200"/>
              <w:spacing w:after="0" w:line="156" w:lineRule="exact"/>
              <w:rPr>
                <w:sz w:val="20"/>
                <w:szCs w:val="20"/>
                <w:color w:val="auto"/>
              </w:rPr>
            </w:pPr>
            <w:r>
              <w:rPr>
                <w:rFonts w:ascii="Arial" w:cs="Arial" w:eastAsia="Arial" w:hAnsi="Arial"/>
                <w:sz w:val="14"/>
                <w:szCs w:val="14"/>
                <w:color w:val="auto"/>
              </w:rPr>
              <w:t>1,456,407</w:t>
            </w:r>
          </w:p>
        </w:tc>
        <w:tc>
          <w:tcPr>
            <w:tcW w:w="980" w:type="dxa"/>
            <w:vAlign w:val="bottom"/>
            <w:gridSpan w:val="2"/>
            <w:shd w:val="clear" w:color="auto" w:fill="CCEEFF"/>
          </w:tcPr>
          <w:p>
            <w:pPr>
              <w:jc w:val="right"/>
              <w:ind w:right="160"/>
              <w:spacing w:after="0" w:line="156" w:lineRule="exact"/>
              <w:rPr>
                <w:sz w:val="20"/>
                <w:szCs w:val="20"/>
                <w:color w:val="auto"/>
              </w:rPr>
            </w:pPr>
            <w:r>
              <w:rPr>
                <w:rFonts w:ascii="Arial" w:cs="Arial" w:eastAsia="Arial" w:hAnsi="Arial"/>
                <w:sz w:val="14"/>
                <w:szCs w:val="14"/>
                <w:color w:val="auto"/>
              </w:rPr>
              <w:t>1,993,385</w:t>
            </w:r>
          </w:p>
        </w:tc>
        <w:tc>
          <w:tcPr>
            <w:tcW w:w="1000" w:type="dxa"/>
            <w:vAlign w:val="bottom"/>
            <w:gridSpan w:val="2"/>
            <w:shd w:val="clear" w:color="auto" w:fill="CCEEFF"/>
          </w:tcPr>
          <w:p>
            <w:pPr>
              <w:jc w:val="right"/>
              <w:ind w:right="151"/>
              <w:spacing w:after="0" w:line="156" w:lineRule="exact"/>
              <w:rPr>
                <w:sz w:val="20"/>
                <w:szCs w:val="20"/>
                <w:color w:val="auto"/>
              </w:rPr>
            </w:pPr>
            <w:r>
              <w:rPr>
                <w:rFonts w:ascii="Arial" w:cs="Arial" w:eastAsia="Arial" w:hAnsi="Arial"/>
                <w:sz w:val="14"/>
                <w:szCs w:val="14"/>
                <w:color w:val="auto"/>
              </w:rPr>
              <w:t>538,039</w:t>
            </w:r>
          </w:p>
        </w:tc>
        <w:tc>
          <w:tcPr>
            <w:tcW w:w="940" w:type="dxa"/>
            <w:vAlign w:val="bottom"/>
            <w:gridSpan w:val="2"/>
            <w:shd w:val="clear" w:color="auto" w:fill="CCEEFF"/>
          </w:tcPr>
          <w:p>
            <w:pPr>
              <w:jc w:val="right"/>
              <w:ind w:right="60"/>
              <w:spacing w:after="0" w:line="156" w:lineRule="exact"/>
              <w:rPr>
                <w:sz w:val="20"/>
                <w:szCs w:val="20"/>
                <w:color w:val="auto"/>
              </w:rPr>
            </w:pPr>
            <w:r>
              <w:rPr>
                <w:rFonts w:ascii="Arial" w:cs="Arial" w:eastAsia="Arial" w:hAnsi="Arial"/>
                <w:sz w:val="14"/>
                <w:szCs w:val="14"/>
                <w:color w:val="auto"/>
              </w:rPr>
              <w:t>3,987,831</w:t>
            </w:r>
          </w:p>
        </w:tc>
        <w:tc>
          <w:tcPr>
            <w:tcW w:w="0" w:type="dxa"/>
            <w:vAlign w:val="bottom"/>
          </w:tcPr>
          <w:p>
            <w:pPr>
              <w:spacing w:after="0"/>
              <w:rPr>
                <w:sz w:val="1"/>
                <w:szCs w:val="1"/>
                <w:color w:val="auto"/>
              </w:rPr>
            </w:pPr>
          </w:p>
        </w:tc>
      </w:tr>
      <w:tr>
        <w:trPr>
          <w:trHeight w:val="176"/>
        </w:trPr>
        <w:tc>
          <w:tcPr>
            <w:tcW w:w="3320" w:type="dxa"/>
            <w:vAlign w:val="bottom"/>
            <w:tcBorders>
              <w:bottom w:val="single" w:sz="8" w:color="CCEEFF"/>
            </w:tcBorders>
          </w:tcPr>
          <w:p>
            <w:pPr>
              <w:spacing w:after="0" w:line="136" w:lineRule="exact"/>
              <w:rPr>
                <w:sz w:val="20"/>
                <w:szCs w:val="20"/>
                <w:color w:val="auto"/>
              </w:rPr>
            </w:pPr>
            <w:r>
              <w:rPr>
                <w:rFonts w:ascii="Arial" w:cs="Arial" w:eastAsia="Arial" w:hAnsi="Arial"/>
                <w:sz w:val="14"/>
                <w:szCs w:val="14"/>
                <w:b w:val="1"/>
                <w:bCs w:val="1"/>
                <w:color w:val="auto"/>
              </w:rPr>
              <w:t>Total</w:t>
            </w:r>
          </w:p>
        </w:tc>
        <w:tc>
          <w:tcPr>
            <w:tcW w:w="820" w:type="dxa"/>
            <w:vAlign w:val="bottom"/>
            <w:tcBorders>
              <w:top w:val="single" w:sz="8" w:color="auto"/>
              <w:bottom w:val="single" w:sz="8" w:color="auto"/>
            </w:tcBorders>
          </w:tcPr>
          <w:p>
            <w:pPr>
              <w:jc w:val="right"/>
              <w:spacing w:after="0" w:line="136" w:lineRule="exact"/>
              <w:rPr>
                <w:sz w:val="20"/>
                <w:szCs w:val="20"/>
                <w:color w:val="auto"/>
              </w:rPr>
            </w:pPr>
            <w:r>
              <w:rPr>
                <w:rFonts w:ascii="Arial" w:cs="Arial" w:eastAsia="Arial" w:hAnsi="Arial"/>
                <w:sz w:val="14"/>
                <w:szCs w:val="14"/>
                <w:color w:val="auto"/>
              </w:rPr>
              <w:t>80,244,072</w:t>
            </w:r>
          </w:p>
        </w:tc>
        <w:tc>
          <w:tcPr>
            <w:tcW w:w="220" w:type="dxa"/>
            <w:vAlign w:val="bottom"/>
            <w:tcBorders>
              <w:bottom w:val="single" w:sz="8" w:color="CCEEFF"/>
            </w:tcBorders>
          </w:tcPr>
          <w:p>
            <w:pPr>
              <w:spacing w:after="0"/>
              <w:rPr>
                <w:sz w:val="15"/>
                <w:szCs w:val="15"/>
                <w:color w:val="auto"/>
              </w:rPr>
            </w:pPr>
          </w:p>
        </w:tc>
        <w:tc>
          <w:tcPr>
            <w:tcW w:w="820" w:type="dxa"/>
            <w:vAlign w:val="bottom"/>
            <w:tcBorders>
              <w:top w:val="single" w:sz="8" w:color="auto"/>
              <w:bottom w:val="single" w:sz="8" w:color="auto"/>
            </w:tcBorders>
          </w:tcPr>
          <w:p>
            <w:pPr>
              <w:jc w:val="right"/>
              <w:spacing w:after="0" w:line="136" w:lineRule="exact"/>
              <w:rPr>
                <w:sz w:val="20"/>
                <w:szCs w:val="20"/>
                <w:color w:val="auto"/>
              </w:rPr>
            </w:pPr>
            <w:r>
              <w:rPr>
                <w:rFonts w:ascii="Arial" w:cs="Arial" w:eastAsia="Arial" w:hAnsi="Arial"/>
                <w:sz w:val="14"/>
                <w:szCs w:val="14"/>
                <w:color w:val="auto"/>
              </w:rPr>
              <w:t>70,700,357</w:t>
            </w:r>
          </w:p>
        </w:tc>
        <w:tc>
          <w:tcPr>
            <w:tcW w:w="220" w:type="dxa"/>
            <w:vAlign w:val="bottom"/>
            <w:tcBorders>
              <w:bottom w:val="single" w:sz="8" w:color="CCEEFF"/>
            </w:tcBorders>
          </w:tcPr>
          <w:p>
            <w:pPr>
              <w:spacing w:after="0"/>
              <w:rPr>
                <w:sz w:val="15"/>
                <w:szCs w:val="15"/>
                <w:color w:val="auto"/>
              </w:rPr>
            </w:pPr>
          </w:p>
        </w:tc>
        <w:tc>
          <w:tcPr>
            <w:tcW w:w="820" w:type="dxa"/>
            <w:vAlign w:val="bottom"/>
            <w:tcBorders>
              <w:top w:val="single" w:sz="8" w:color="auto"/>
              <w:bottom w:val="single" w:sz="8" w:color="auto"/>
            </w:tcBorders>
          </w:tcPr>
          <w:p>
            <w:pPr>
              <w:jc w:val="right"/>
              <w:spacing w:after="0" w:line="136" w:lineRule="exact"/>
              <w:rPr>
                <w:sz w:val="20"/>
                <w:szCs w:val="20"/>
                <w:color w:val="auto"/>
              </w:rPr>
            </w:pPr>
            <w:r>
              <w:rPr>
                <w:rFonts w:ascii="Arial" w:cs="Arial" w:eastAsia="Arial" w:hAnsi="Arial"/>
                <w:sz w:val="14"/>
                <w:szCs w:val="14"/>
                <w:color w:val="auto"/>
              </w:rPr>
              <w:t>11,389,166</w:t>
            </w:r>
          </w:p>
        </w:tc>
        <w:tc>
          <w:tcPr>
            <w:tcW w:w="220" w:type="dxa"/>
            <w:vAlign w:val="bottom"/>
            <w:tcBorders>
              <w:bottom w:val="single" w:sz="8" w:color="CCEEFF"/>
            </w:tcBorders>
          </w:tcPr>
          <w:p>
            <w:pPr>
              <w:spacing w:after="0"/>
              <w:rPr>
                <w:sz w:val="15"/>
                <w:szCs w:val="15"/>
                <w:color w:val="auto"/>
              </w:rPr>
            </w:pPr>
          </w:p>
        </w:tc>
        <w:tc>
          <w:tcPr>
            <w:tcW w:w="860" w:type="dxa"/>
            <w:vAlign w:val="bottom"/>
            <w:tcBorders>
              <w:top w:val="single" w:sz="8" w:color="auto"/>
              <w:bottom w:val="single" w:sz="8" w:color="auto"/>
            </w:tcBorders>
          </w:tcPr>
          <w:p>
            <w:pPr>
              <w:jc w:val="right"/>
              <w:spacing w:after="0" w:line="136" w:lineRule="exact"/>
              <w:rPr>
                <w:sz w:val="20"/>
                <w:szCs w:val="20"/>
                <w:color w:val="auto"/>
              </w:rPr>
            </w:pPr>
            <w:r>
              <w:rPr>
                <w:rFonts w:ascii="Arial" w:cs="Arial" w:eastAsia="Arial" w:hAnsi="Arial"/>
                <w:sz w:val="14"/>
                <w:szCs w:val="14"/>
                <w:color w:val="auto"/>
              </w:rPr>
              <w:t>162,333,595</w:t>
            </w:r>
          </w:p>
        </w:tc>
        <w:tc>
          <w:tcPr>
            <w:tcW w:w="220" w:type="dxa"/>
            <w:vAlign w:val="bottom"/>
            <w:tcBorders>
              <w:bottom w:val="single" w:sz="8" w:color="CCEEFF"/>
            </w:tcBorders>
          </w:tcPr>
          <w:p>
            <w:pPr>
              <w:spacing w:after="0"/>
              <w:rPr>
                <w:sz w:val="15"/>
                <w:szCs w:val="15"/>
                <w:color w:val="auto"/>
              </w:rPr>
            </w:pPr>
          </w:p>
        </w:tc>
        <w:tc>
          <w:tcPr>
            <w:tcW w:w="780" w:type="dxa"/>
            <w:vAlign w:val="bottom"/>
            <w:tcBorders>
              <w:top w:val="single" w:sz="8" w:color="auto"/>
              <w:bottom w:val="single" w:sz="8" w:color="auto"/>
            </w:tcBorders>
          </w:tcPr>
          <w:p>
            <w:pPr>
              <w:jc w:val="right"/>
              <w:spacing w:after="0" w:line="136" w:lineRule="exact"/>
              <w:rPr>
                <w:sz w:val="20"/>
                <w:szCs w:val="20"/>
                <w:color w:val="auto"/>
              </w:rPr>
            </w:pPr>
            <w:r>
              <w:rPr>
                <w:rFonts w:ascii="Arial" w:cs="Arial" w:eastAsia="Arial" w:hAnsi="Arial"/>
                <w:sz w:val="14"/>
                <w:szCs w:val="14"/>
                <w:color w:val="auto"/>
              </w:rPr>
              <w:t>72,202,192</w:t>
            </w:r>
          </w:p>
        </w:tc>
        <w:tc>
          <w:tcPr>
            <w:tcW w:w="200" w:type="dxa"/>
            <w:vAlign w:val="bottom"/>
            <w:tcBorders>
              <w:bottom w:val="single" w:sz="8" w:color="CCEEFF"/>
            </w:tcBorders>
          </w:tcPr>
          <w:p>
            <w:pPr>
              <w:spacing w:after="0"/>
              <w:rPr>
                <w:sz w:val="15"/>
                <w:szCs w:val="15"/>
                <w:color w:val="auto"/>
              </w:rPr>
            </w:pPr>
          </w:p>
        </w:tc>
        <w:tc>
          <w:tcPr>
            <w:tcW w:w="780" w:type="dxa"/>
            <w:vAlign w:val="bottom"/>
            <w:tcBorders>
              <w:top w:val="single" w:sz="8" w:color="auto"/>
              <w:bottom w:val="single" w:sz="8" w:color="auto"/>
            </w:tcBorders>
          </w:tcPr>
          <w:p>
            <w:pPr>
              <w:jc w:val="right"/>
              <w:spacing w:after="0" w:line="136" w:lineRule="exact"/>
              <w:rPr>
                <w:sz w:val="20"/>
                <w:szCs w:val="20"/>
                <w:color w:val="auto"/>
              </w:rPr>
            </w:pPr>
            <w:r>
              <w:rPr>
                <w:rFonts w:ascii="Arial" w:cs="Arial" w:eastAsia="Arial" w:hAnsi="Arial"/>
                <w:sz w:val="14"/>
                <w:szCs w:val="14"/>
                <w:color w:val="auto"/>
              </w:rPr>
              <w:t>65,824,786</w:t>
            </w:r>
          </w:p>
        </w:tc>
        <w:tc>
          <w:tcPr>
            <w:tcW w:w="200" w:type="dxa"/>
            <w:vAlign w:val="bottom"/>
            <w:tcBorders>
              <w:bottom w:val="single" w:sz="8" w:color="CCEEFF"/>
            </w:tcBorders>
          </w:tcPr>
          <w:p>
            <w:pPr>
              <w:spacing w:after="0"/>
              <w:rPr>
                <w:sz w:val="15"/>
                <w:szCs w:val="15"/>
                <w:color w:val="auto"/>
              </w:rPr>
            </w:pPr>
          </w:p>
        </w:tc>
        <w:tc>
          <w:tcPr>
            <w:tcW w:w="780" w:type="dxa"/>
            <w:vAlign w:val="bottom"/>
            <w:tcBorders>
              <w:top w:val="single" w:sz="8" w:color="auto"/>
              <w:bottom w:val="single" w:sz="8" w:color="auto"/>
            </w:tcBorders>
          </w:tcPr>
          <w:p>
            <w:pPr>
              <w:jc w:val="right"/>
              <w:spacing w:after="0" w:line="136" w:lineRule="exact"/>
              <w:rPr>
                <w:sz w:val="20"/>
                <w:szCs w:val="20"/>
                <w:color w:val="auto"/>
              </w:rPr>
            </w:pPr>
            <w:r>
              <w:rPr>
                <w:rFonts w:ascii="Arial" w:cs="Arial" w:eastAsia="Arial" w:hAnsi="Arial"/>
                <w:sz w:val="14"/>
                <w:szCs w:val="14"/>
                <w:color w:val="auto"/>
              </w:rPr>
              <w:t>9,675,841</w:t>
            </w:r>
          </w:p>
        </w:tc>
        <w:tc>
          <w:tcPr>
            <w:tcW w:w="220" w:type="dxa"/>
            <w:vAlign w:val="bottom"/>
            <w:tcBorders>
              <w:bottom w:val="single" w:sz="8" w:color="CCEEFF"/>
            </w:tcBorders>
          </w:tcPr>
          <w:p>
            <w:pPr>
              <w:spacing w:after="0"/>
              <w:rPr>
                <w:sz w:val="15"/>
                <w:szCs w:val="15"/>
                <w:color w:val="auto"/>
              </w:rPr>
            </w:pPr>
          </w:p>
        </w:tc>
        <w:tc>
          <w:tcPr>
            <w:tcW w:w="840" w:type="dxa"/>
            <w:vAlign w:val="bottom"/>
            <w:tcBorders>
              <w:top w:val="single" w:sz="8" w:color="auto"/>
              <w:bottom w:val="single" w:sz="8" w:color="auto"/>
            </w:tcBorders>
          </w:tcPr>
          <w:p>
            <w:pPr>
              <w:jc w:val="right"/>
              <w:spacing w:after="0" w:line="136" w:lineRule="exact"/>
              <w:rPr>
                <w:sz w:val="20"/>
                <w:szCs w:val="20"/>
                <w:color w:val="auto"/>
              </w:rPr>
            </w:pPr>
            <w:r>
              <w:rPr>
                <w:rFonts w:ascii="Arial" w:cs="Arial" w:eastAsia="Arial" w:hAnsi="Arial"/>
                <w:sz w:val="14"/>
                <w:szCs w:val="14"/>
                <w:color w:val="auto"/>
              </w:rPr>
              <w:t>147,702,819</w:t>
            </w:r>
          </w:p>
        </w:tc>
        <w:tc>
          <w:tcPr>
            <w:tcW w:w="1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332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3320" w:type="dxa"/>
            <w:vAlign w:val="bottom"/>
          </w:tcPr>
          <w:p>
            <w:pPr>
              <w:spacing w:after="0" w:line="143" w:lineRule="exact"/>
              <w:rPr>
                <w:sz w:val="20"/>
                <w:szCs w:val="20"/>
                <w:color w:val="auto"/>
              </w:rPr>
            </w:pPr>
            <w:r>
              <w:rPr>
                <w:rFonts w:ascii="Arial" w:cs="Arial" w:eastAsia="Arial" w:hAnsi="Arial"/>
                <w:sz w:val="14"/>
                <w:szCs w:val="14"/>
                <w:b w:val="1"/>
                <w:bCs w:val="1"/>
                <w:color w:val="auto"/>
              </w:rPr>
              <w:t>Monetary liabilities</w:t>
            </w: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332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rPr>
              <w:t>Deposits and obligations</w:t>
            </w:r>
          </w:p>
        </w:tc>
        <w:tc>
          <w:tcPr>
            <w:tcW w:w="1040" w:type="dxa"/>
            <w:vAlign w:val="bottom"/>
            <w:gridSpan w:val="2"/>
            <w:shd w:val="clear" w:color="auto" w:fill="CCEEFF"/>
          </w:tcPr>
          <w:p>
            <w:pPr>
              <w:jc w:val="right"/>
              <w:ind w:right="180"/>
              <w:spacing w:after="0" w:line="143" w:lineRule="exact"/>
              <w:rPr>
                <w:sz w:val="20"/>
                <w:szCs w:val="20"/>
                <w:color w:val="auto"/>
              </w:rPr>
            </w:pPr>
            <w:r>
              <w:rPr>
                <w:rFonts w:ascii="Arial" w:cs="Arial" w:eastAsia="Arial" w:hAnsi="Arial"/>
                <w:sz w:val="14"/>
                <w:szCs w:val="14"/>
                <w:color w:val="auto"/>
              </w:rPr>
              <w:t>(43,334,026)</w:t>
            </w:r>
          </w:p>
        </w:tc>
        <w:tc>
          <w:tcPr>
            <w:tcW w:w="1040" w:type="dxa"/>
            <w:vAlign w:val="bottom"/>
            <w:gridSpan w:val="2"/>
            <w:shd w:val="clear" w:color="auto" w:fill="CCEEFF"/>
          </w:tcPr>
          <w:p>
            <w:pPr>
              <w:jc w:val="right"/>
              <w:ind w:right="180"/>
              <w:spacing w:after="0" w:line="143" w:lineRule="exact"/>
              <w:rPr>
                <w:sz w:val="20"/>
                <w:szCs w:val="20"/>
                <w:color w:val="auto"/>
              </w:rPr>
            </w:pPr>
            <w:r>
              <w:rPr>
                <w:rFonts w:ascii="Arial" w:cs="Arial" w:eastAsia="Arial" w:hAnsi="Arial"/>
                <w:sz w:val="14"/>
                <w:szCs w:val="14"/>
                <w:color w:val="auto"/>
              </w:rPr>
              <w:t>(45,875,469)</w:t>
            </w:r>
          </w:p>
        </w:tc>
        <w:tc>
          <w:tcPr>
            <w:tcW w:w="1040" w:type="dxa"/>
            <w:vAlign w:val="bottom"/>
            <w:gridSpan w:val="2"/>
            <w:shd w:val="clear" w:color="auto" w:fill="CCEEFF"/>
          </w:tcPr>
          <w:p>
            <w:pPr>
              <w:jc w:val="right"/>
              <w:ind w:right="180"/>
              <w:spacing w:after="0" w:line="143" w:lineRule="exact"/>
              <w:rPr>
                <w:sz w:val="20"/>
                <w:szCs w:val="20"/>
                <w:color w:val="auto"/>
              </w:rPr>
            </w:pPr>
            <w:r>
              <w:rPr>
                <w:rFonts w:ascii="Arial" w:cs="Arial" w:eastAsia="Arial" w:hAnsi="Arial"/>
                <w:sz w:val="14"/>
                <w:szCs w:val="14"/>
                <w:color w:val="auto"/>
              </w:rPr>
              <w:t>(7,960,916)</w:t>
            </w:r>
          </w:p>
        </w:tc>
        <w:tc>
          <w:tcPr>
            <w:tcW w:w="1080" w:type="dxa"/>
            <w:vAlign w:val="bottom"/>
            <w:gridSpan w:val="2"/>
            <w:shd w:val="clear" w:color="auto" w:fill="CCEEFF"/>
          </w:tcPr>
          <w:p>
            <w:pPr>
              <w:jc w:val="right"/>
              <w:ind w:right="160"/>
              <w:spacing w:after="0" w:line="143" w:lineRule="exact"/>
              <w:rPr>
                <w:sz w:val="20"/>
                <w:szCs w:val="20"/>
                <w:color w:val="auto"/>
              </w:rPr>
            </w:pPr>
            <w:r>
              <w:rPr>
                <w:rFonts w:ascii="Arial" w:cs="Arial" w:eastAsia="Arial" w:hAnsi="Arial"/>
                <w:sz w:val="14"/>
                <w:szCs w:val="14"/>
                <w:color w:val="auto"/>
              </w:rPr>
              <w:t>(97,170,411)</w:t>
            </w:r>
          </w:p>
        </w:tc>
        <w:tc>
          <w:tcPr>
            <w:tcW w:w="980" w:type="dxa"/>
            <w:vAlign w:val="bottom"/>
            <w:gridSpan w:val="2"/>
            <w:shd w:val="clear" w:color="auto" w:fill="CCEEFF"/>
          </w:tcPr>
          <w:p>
            <w:pPr>
              <w:jc w:val="right"/>
              <w:ind w:right="160"/>
              <w:spacing w:after="0" w:line="143" w:lineRule="exact"/>
              <w:rPr>
                <w:sz w:val="20"/>
                <w:szCs w:val="20"/>
                <w:color w:val="auto"/>
              </w:rPr>
            </w:pPr>
            <w:r>
              <w:rPr>
                <w:rFonts w:ascii="Arial" w:cs="Arial" w:eastAsia="Arial" w:hAnsi="Arial"/>
                <w:sz w:val="14"/>
                <w:szCs w:val="14"/>
                <w:color w:val="auto"/>
              </w:rPr>
              <w:t>(37,468,123)</w:t>
            </w:r>
          </w:p>
        </w:tc>
        <w:tc>
          <w:tcPr>
            <w:tcW w:w="980" w:type="dxa"/>
            <w:vAlign w:val="bottom"/>
            <w:gridSpan w:val="2"/>
            <w:shd w:val="clear" w:color="auto" w:fill="CCEEFF"/>
          </w:tcPr>
          <w:p>
            <w:pPr>
              <w:jc w:val="right"/>
              <w:ind w:right="120"/>
              <w:spacing w:after="0" w:line="143" w:lineRule="exact"/>
              <w:rPr>
                <w:sz w:val="20"/>
                <w:szCs w:val="20"/>
                <w:color w:val="auto"/>
              </w:rPr>
            </w:pPr>
            <w:r>
              <w:rPr>
                <w:rFonts w:ascii="Arial" w:cs="Arial" w:eastAsia="Arial" w:hAnsi="Arial"/>
                <w:sz w:val="14"/>
                <w:szCs w:val="14"/>
                <w:color w:val="auto"/>
              </w:rPr>
              <w:t>(41,514,198)</w:t>
            </w:r>
          </w:p>
        </w:tc>
        <w:tc>
          <w:tcPr>
            <w:tcW w:w="1000" w:type="dxa"/>
            <w:vAlign w:val="bottom"/>
            <w:gridSpan w:val="2"/>
            <w:shd w:val="clear" w:color="auto" w:fill="CCEEFF"/>
          </w:tcPr>
          <w:p>
            <w:pPr>
              <w:jc w:val="right"/>
              <w:ind w:right="91"/>
              <w:spacing w:after="0" w:line="143" w:lineRule="exact"/>
              <w:rPr>
                <w:sz w:val="20"/>
                <w:szCs w:val="20"/>
                <w:color w:val="auto"/>
              </w:rPr>
            </w:pPr>
            <w:r>
              <w:rPr>
                <w:rFonts w:ascii="Arial" w:cs="Arial" w:eastAsia="Arial" w:hAnsi="Arial"/>
                <w:sz w:val="14"/>
                <w:szCs w:val="14"/>
                <w:color w:val="auto"/>
              </w:rPr>
              <w:t>(6,934,066)</w:t>
            </w:r>
          </w:p>
        </w:tc>
        <w:tc>
          <w:tcPr>
            <w:tcW w:w="940" w:type="dxa"/>
            <w:vAlign w:val="bottom"/>
            <w:gridSpan w:val="2"/>
            <w:shd w:val="clear" w:color="auto" w:fill="CCEEFF"/>
          </w:tcPr>
          <w:p>
            <w:pPr>
              <w:jc w:val="right"/>
              <w:ind w:right="20"/>
              <w:spacing w:after="0" w:line="143" w:lineRule="exact"/>
              <w:rPr>
                <w:sz w:val="20"/>
                <w:szCs w:val="20"/>
                <w:color w:val="auto"/>
              </w:rPr>
            </w:pPr>
            <w:r>
              <w:rPr>
                <w:rFonts w:ascii="Arial" w:cs="Arial" w:eastAsia="Arial" w:hAnsi="Arial"/>
                <w:sz w:val="14"/>
                <w:szCs w:val="14"/>
                <w:color w:val="auto"/>
              </w:rPr>
              <w:t>(85,916,387)</w:t>
            </w:r>
          </w:p>
        </w:tc>
        <w:tc>
          <w:tcPr>
            <w:tcW w:w="0" w:type="dxa"/>
            <w:vAlign w:val="bottom"/>
          </w:tcPr>
          <w:p>
            <w:pPr>
              <w:spacing w:after="0"/>
              <w:rPr>
                <w:sz w:val="1"/>
                <w:szCs w:val="1"/>
                <w:color w:val="auto"/>
              </w:rPr>
            </w:pPr>
          </w:p>
        </w:tc>
      </w:tr>
      <w:tr>
        <w:trPr>
          <w:trHeight w:val="124"/>
        </w:trPr>
        <w:tc>
          <w:tcPr>
            <w:tcW w:w="3320" w:type="dxa"/>
            <w:vAlign w:val="bottom"/>
          </w:tcPr>
          <w:p>
            <w:pPr>
              <w:spacing w:after="0" w:line="125" w:lineRule="exact"/>
              <w:rPr>
                <w:sz w:val="20"/>
                <w:szCs w:val="20"/>
                <w:color w:val="auto"/>
              </w:rPr>
            </w:pPr>
            <w:r>
              <w:rPr>
                <w:rFonts w:ascii="Arial" w:cs="Arial" w:eastAsia="Arial" w:hAnsi="Arial"/>
                <w:sz w:val="14"/>
                <w:szCs w:val="14"/>
                <w:color w:val="auto"/>
              </w:rPr>
              <w:t>Payables from repurchase agreements and security</w:t>
            </w:r>
          </w:p>
        </w:tc>
        <w:tc>
          <w:tcPr>
            <w:tcW w:w="8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1"/>
        </w:trPr>
        <w:tc>
          <w:tcPr>
            <w:tcW w:w="3320" w:type="dxa"/>
            <w:vAlign w:val="bottom"/>
          </w:tcPr>
          <w:p>
            <w:pPr>
              <w:spacing w:after="0"/>
              <w:rPr>
                <w:sz w:val="20"/>
                <w:szCs w:val="20"/>
                <w:color w:val="auto"/>
              </w:rPr>
            </w:pPr>
            <w:r>
              <w:rPr>
                <w:rFonts w:ascii="Arial" w:cs="Arial" w:eastAsia="Arial" w:hAnsi="Arial"/>
                <w:sz w:val="14"/>
                <w:szCs w:val="14"/>
                <w:color w:val="auto"/>
              </w:rPr>
              <w:t>Lendings</w:t>
            </w:r>
          </w:p>
        </w:tc>
        <w:tc>
          <w:tcPr>
            <w:tcW w:w="1040" w:type="dxa"/>
            <w:vAlign w:val="bottom"/>
            <w:gridSpan w:val="2"/>
          </w:tcPr>
          <w:p>
            <w:pPr>
              <w:jc w:val="right"/>
              <w:ind w:right="180"/>
              <w:spacing w:after="0"/>
              <w:rPr>
                <w:sz w:val="20"/>
                <w:szCs w:val="20"/>
                <w:color w:val="auto"/>
              </w:rPr>
            </w:pPr>
            <w:r>
              <w:rPr>
                <w:rFonts w:ascii="Arial" w:cs="Arial" w:eastAsia="Arial" w:hAnsi="Arial"/>
                <w:sz w:val="14"/>
                <w:szCs w:val="14"/>
                <w:color w:val="auto"/>
              </w:rPr>
              <w:t>(10,155,790)</w:t>
            </w:r>
          </w:p>
        </w:tc>
        <w:tc>
          <w:tcPr>
            <w:tcW w:w="1040" w:type="dxa"/>
            <w:vAlign w:val="bottom"/>
            <w:gridSpan w:val="2"/>
          </w:tcPr>
          <w:p>
            <w:pPr>
              <w:jc w:val="right"/>
              <w:ind w:right="180"/>
              <w:spacing w:after="0"/>
              <w:rPr>
                <w:sz w:val="20"/>
                <w:szCs w:val="20"/>
                <w:color w:val="auto"/>
              </w:rPr>
            </w:pPr>
            <w:r>
              <w:rPr>
                <w:rFonts w:ascii="Arial" w:cs="Arial" w:eastAsia="Arial" w:hAnsi="Arial"/>
                <w:sz w:val="14"/>
                <w:szCs w:val="14"/>
                <w:color w:val="auto"/>
              </w:rPr>
              <w:t>(1,582,783)</w:t>
            </w:r>
          </w:p>
        </w:tc>
        <w:tc>
          <w:tcPr>
            <w:tcW w:w="1040" w:type="dxa"/>
            <w:vAlign w:val="bottom"/>
            <w:gridSpan w:val="2"/>
          </w:tcPr>
          <w:p>
            <w:pPr>
              <w:jc w:val="right"/>
              <w:ind w:right="180"/>
              <w:spacing w:after="0"/>
              <w:rPr>
                <w:sz w:val="20"/>
                <w:szCs w:val="20"/>
                <w:color w:val="auto"/>
              </w:rPr>
            </w:pPr>
            <w:r>
              <w:rPr>
                <w:rFonts w:ascii="Arial" w:cs="Arial" w:eastAsia="Arial" w:hAnsi="Arial"/>
                <w:sz w:val="14"/>
                <w:szCs w:val="14"/>
                <w:color w:val="auto"/>
              </w:rPr>
              <w:t>(1,677,270)</w:t>
            </w:r>
          </w:p>
        </w:tc>
        <w:tc>
          <w:tcPr>
            <w:tcW w:w="1080" w:type="dxa"/>
            <w:vAlign w:val="bottom"/>
            <w:gridSpan w:val="2"/>
          </w:tcPr>
          <w:p>
            <w:pPr>
              <w:jc w:val="right"/>
              <w:ind w:right="160"/>
              <w:spacing w:after="0"/>
              <w:rPr>
                <w:sz w:val="20"/>
                <w:szCs w:val="20"/>
                <w:color w:val="auto"/>
              </w:rPr>
            </w:pPr>
            <w:r>
              <w:rPr>
                <w:rFonts w:ascii="Arial" w:cs="Arial" w:eastAsia="Arial" w:hAnsi="Arial"/>
                <w:sz w:val="14"/>
                <w:szCs w:val="14"/>
                <w:color w:val="auto"/>
              </w:rPr>
              <w:t>(13,415,843)</w:t>
            </w: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(12,522,337)</w:t>
            </w:r>
          </w:p>
        </w:tc>
        <w:tc>
          <w:tcPr>
            <w:tcW w:w="980" w:type="dxa"/>
            <w:vAlign w:val="bottom"/>
            <w:gridSpan w:val="2"/>
          </w:tcPr>
          <w:p>
            <w:pPr>
              <w:jc w:val="right"/>
              <w:ind w:right="120"/>
              <w:spacing w:after="0"/>
              <w:rPr>
                <w:sz w:val="20"/>
                <w:szCs w:val="20"/>
                <w:color w:val="auto"/>
              </w:rPr>
            </w:pPr>
            <w:r>
              <w:rPr>
                <w:rFonts w:ascii="Arial" w:cs="Arial" w:eastAsia="Arial" w:hAnsi="Arial"/>
                <w:sz w:val="14"/>
                <w:szCs w:val="14"/>
                <w:color w:val="auto"/>
              </w:rPr>
              <w:t>(1,313,163)</w:t>
            </w:r>
          </w:p>
        </w:tc>
        <w:tc>
          <w:tcPr>
            <w:tcW w:w="1000" w:type="dxa"/>
            <w:vAlign w:val="bottom"/>
            <w:gridSpan w:val="2"/>
          </w:tcPr>
          <w:p>
            <w:pPr>
              <w:jc w:val="right"/>
              <w:ind w:right="91"/>
              <w:spacing w:after="0"/>
              <w:rPr>
                <w:sz w:val="20"/>
                <w:szCs w:val="20"/>
                <w:color w:val="auto"/>
              </w:rPr>
            </w:pPr>
            <w:r>
              <w:rPr>
                <w:rFonts w:ascii="Arial" w:cs="Arial" w:eastAsia="Arial" w:hAnsi="Arial"/>
                <w:sz w:val="14"/>
                <w:szCs w:val="14"/>
                <w:color w:val="auto"/>
              </w:rPr>
              <w:t>(1,292,499)</w:t>
            </w:r>
          </w:p>
        </w:tc>
        <w:tc>
          <w:tcPr>
            <w:tcW w:w="940" w:type="dxa"/>
            <w:vAlign w:val="bottom"/>
            <w:gridSpan w:val="2"/>
          </w:tcPr>
          <w:p>
            <w:pPr>
              <w:jc w:val="right"/>
              <w:ind w:right="20"/>
              <w:spacing w:after="0"/>
              <w:rPr>
                <w:sz w:val="20"/>
                <w:szCs w:val="20"/>
                <w:color w:val="auto"/>
              </w:rPr>
            </w:pPr>
            <w:r>
              <w:rPr>
                <w:rFonts w:ascii="Arial" w:cs="Arial" w:eastAsia="Arial" w:hAnsi="Arial"/>
                <w:sz w:val="14"/>
                <w:szCs w:val="14"/>
                <w:color w:val="auto"/>
              </w:rPr>
              <w:t>(15,127,999)</w:t>
            </w:r>
          </w:p>
        </w:tc>
        <w:tc>
          <w:tcPr>
            <w:tcW w:w="0" w:type="dxa"/>
            <w:vAlign w:val="bottom"/>
          </w:tcPr>
          <w:p>
            <w:pPr>
              <w:spacing w:after="0"/>
              <w:rPr>
                <w:sz w:val="1"/>
                <w:szCs w:val="1"/>
                <w:color w:val="auto"/>
              </w:rPr>
            </w:pPr>
          </w:p>
        </w:tc>
      </w:tr>
      <w:tr>
        <w:trPr>
          <w:trHeight w:val="143"/>
        </w:trPr>
        <w:tc>
          <w:tcPr>
            <w:tcW w:w="332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rPr>
              <w:t>Due to bank and correspondents</w:t>
            </w:r>
          </w:p>
        </w:tc>
        <w:tc>
          <w:tcPr>
            <w:tcW w:w="1040" w:type="dxa"/>
            <w:vAlign w:val="bottom"/>
            <w:gridSpan w:val="2"/>
            <w:shd w:val="clear" w:color="auto" w:fill="CCEEFF"/>
          </w:tcPr>
          <w:p>
            <w:pPr>
              <w:jc w:val="right"/>
              <w:ind w:right="180"/>
              <w:spacing w:after="0" w:line="143" w:lineRule="exact"/>
              <w:rPr>
                <w:sz w:val="20"/>
                <w:szCs w:val="20"/>
                <w:color w:val="auto"/>
              </w:rPr>
            </w:pPr>
            <w:r>
              <w:rPr>
                <w:rFonts w:ascii="Arial" w:cs="Arial" w:eastAsia="Arial" w:hAnsi="Arial"/>
                <w:sz w:val="14"/>
                <w:szCs w:val="14"/>
                <w:color w:val="auto"/>
              </w:rPr>
              <w:t>(3,229,753)</w:t>
            </w:r>
          </w:p>
        </w:tc>
        <w:tc>
          <w:tcPr>
            <w:tcW w:w="1040" w:type="dxa"/>
            <w:vAlign w:val="bottom"/>
            <w:gridSpan w:val="2"/>
            <w:shd w:val="clear" w:color="auto" w:fill="CCEEFF"/>
          </w:tcPr>
          <w:p>
            <w:pPr>
              <w:jc w:val="right"/>
              <w:ind w:right="180"/>
              <w:spacing w:after="0" w:line="143" w:lineRule="exact"/>
              <w:rPr>
                <w:sz w:val="20"/>
                <w:szCs w:val="20"/>
                <w:color w:val="auto"/>
              </w:rPr>
            </w:pPr>
            <w:r>
              <w:rPr>
                <w:rFonts w:ascii="Arial" w:cs="Arial" w:eastAsia="Arial" w:hAnsi="Arial"/>
                <w:sz w:val="14"/>
                <w:szCs w:val="14"/>
                <w:color w:val="auto"/>
              </w:rPr>
              <w:t>(4,463,659)</w:t>
            </w:r>
          </w:p>
        </w:tc>
        <w:tc>
          <w:tcPr>
            <w:tcW w:w="1040" w:type="dxa"/>
            <w:vAlign w:val="bottom"/>
            <w:gridSpan w:val="2"/>
            <w:shd w:val="clear" w:color="auto" w:fill="CCEEFF"/>
          </w:tcPr>
          <w:p>
            <w:pPr>
              <w:jc w:val="right"/>
              <w:ind w:right="180"/>
              <w:spacing w:after="0" w:line="143" w:lineRule="exact"/>
              <w:rPr>
                <w:sz w:val="20"/>
                <w:szCs w:val="20"/>
                <w:color w:val="auto"/>
              </w:rPr>
            </w:pPr>
            <w:r>
              <w:rPr>
                <w:rFonts w:ascii="Arial" w:cs="Arial" w:eastAsia="Arial" w:hAnsi="Arial"/>
                <w:sz w:val="14"/>
                <w:szCs w:val="14"/>
                <w:color w:val="auto"/>
              </w:rPr>
              <w:t>(303,477)</w:t>
            </w:r>
          </w:p>
        </w:tc>
        <w:tc>
          <w:tcPr>
            <w:tcW w:w="1080" w:type="dxa"/>
            <w:vAlign w:val="bottom"/>
            <w:gridSpan w:val="2"/>
            <w:shd w:val="clear" w:color="auto" w:fill="CCEEFF"/>
          </w:tcPr>
          <w:p>
            <w:pPr>
              <w:jc w:val="right"/>
              <w:ind w:right="160"/>
              <w:spacing w:after="0" w:line="143" w:lineRule="exact"/>
              <w:rPr>
                <w:sz w:val="20"/>
                <w:szCs w:val="20"/>
                <w:color w:val="auto"/>
              </w:rPr>
            </w:pPr>
            <w:r>
              <w:rPr>
                <w:rFonts w:ascii="Arial" w:cs="Arial" w:eastAsia="Arial" w:hAnsi="Arial"/>
                <w:sz w:val="14"/>
                <w:szCs w:val="14"/>
                <w:color w:val="auto"/>
              </w:rPr>
              <w:t>(7,996,889)</w:t>
            </w:r>
          </w:p>
        </w:tc>
        <w:tc>
          <w:tcPr>
            <w:tcW w:w="980" w:type="dxa"/>
            <w:vAlign w:val="bottom"/>
            <w:gridSpan w:val="2"/>
            <w:shd w:val="clear" w:color="auto" w:fill="CCEEFF"/>
          </w:tcPr>
          <w:p>
            <w:pPr>
              <w:jc w:val="right"/>
              <w:ind w:right="160"/>
              <w:spacing w:after="0" w:line="143" w:lineRule="exact"/>
              <w:rPr>
                <w:sz w:val="20"/>
                <w:szCs w:val="20"/>
                <w:color w:val="auto"/>
              </w:rPr>
            </w:pPr>
            <w:r>
              <w:rPr>
                <w:rFonts w:ascii="Arial" w:cs="Arial" w:eastAsia="Arial" w:hAnsi="Arial"/>
                <w:sz w:val="14"/>
                <w:szCs w:val="14"/>
                <w:color w:val="auto"/>
              </w:rPr>
              <w:t>(2,630,256)</w:t>
            </w:r>
          </w:p>
        </w:tc>
        <w:tc>
          <w:tcPr>
            <w:tcW w:w="980" w:type="dxa"/>
            <w:vAlign w:val="bottom"/>
            <w:gridSpan w:val="2"/>
            <w:shd w:val="clear" w:color="auto" w:fill="CCEEFF"/>
          </w:tcPr>
          <w:p>
            <w:pPr>
              <w:jc w:val="right"/>
              <w:ind w:right="120"/>
              <w:spacing w:after="0" w:line="143" w:lineRule="exact"/>
              <w:rPr>
                <w:sz w:val="20"/>
                <w:szCs w:val="20"/>
                <w:color w:val="auto"/>
              </w:rPr>
            </w:pPr>
            <w:r>
              <w:rPr>
                <w:rFonts w:ascii="Arial" w:cs="Arial" w:eastAsia="Arial" w:hAnsi="Arial"/>
                <w:sz w:val="14"/>
                <w:szCs w:val="14"/>
                <w:color w:val="auto"/>
              </w:rPr>
              <w:t>(4,644,838)</w:t>
            </w:r>
          </w:p>
        </w:tc>
        <w:tc>
          <w:tcPr>
            <w:tcW w:w="1000" w:type="dxa"/>
            <w:vAlign w:val="bottom"/>
            <w:gridSpan w:val="2"/>
            <w:shd w:val="clear" w:color="auto" w:fill="CCEEFF"/>
          </w:tcPr>
          <w:p>
            <w:pPr>
              <w:jc w:val="right"/>
              <w:ind w:right="91"/>
              <w:spacing w:after="0" w:line="143" w:lineRule="exact"/>
              <w:rPr>
                <w:sz w:val="20"/>
                <w:szCs w:val="20"/>
                <w:color w:val="auto"/>
              </w:rPr>
            </w:pPr>
            <w:r>
              <w:rPr>
                <w:rFonts w:ascii="Arial" w:cs="Arial" w:eastAsia="Arial" w:hAnsi="Arial"/>
                <w:sz w:val="14"/>
                <w:szCs w:val="14"/>
                <w:color w:val="auto"/>
              </w:rPr>
              <w:t>(218,822)</w:t>
            </w:r>
          </w:p>
        </w:tc>
        <w:tc>
          <w:tcPr>
            <w:tcW w:w="940" w:type="dxa"/>
            <w:vAlign w:val="bottom"/>
            <w:gridSpan w:val="2"/>
            <w:shd w:val="clear" w:color="auto" w:fill="CCEEFF"/>
          </w:tcPr>
          <w:p>
            <w:pPr>
              <w:jc w:val="right"/>
              <w:ind w:right="20"/>
              <w:spacing w:after="0" w:line="143" w:lineRule="exact"/>
              <w:rPr>
                <w:sz w:val="20"/>
                <w:szCs w:val="20"/>
                <w:color w:val="auto"/>
              </w:rPr>
            </w:pPr>
            <w:r>
              <w:rPr>
                <w:rFonts w:ascii="Arial" w:cs="Arial" w:eastAsia="Arial" w:hAnsi="Arial"/>
                <w:sz w:val="14"/>
                <w:szCs w:val="14"/>
                <w:color w:val="auto"/>
              </w:rPr>
              <w:t>(7,493,916)</w:t>
            </w:r>
          </w:p>
        </w:tc>
        <w:tc>
          <w:tcPr>
            <w:tcW w:w="0" w:type="dxa"/>
            <w:vAlign w:val="bottom"/>
          </w:tcPr>
          <w:p>
            <w:pPr>
              <w:spacing w:after="0"/>
              <w:rPr>
                <w:sz w:val="1"/>
                <w:szCs w:val="1"/>
                <w:color w:val="auto"/>
              </w:rPr>
            </w:pPr>
          </w:p>
        </w:tc>
      </w:tr>
      <w:tr>
        <w:trPr>
          <w:trHeight w:val="143"/>
        </w:trPr>
        <w:tc>
          <w:tcPr>
            <w:tcW w:w="3320" w:type="dxa"/>
            <w:vAlign w:val="bottom"/>
          </w:tcPr>
          <w:p>
            <w:pPr>
              <w:spacing w:after="0" w:line="143" w:lineRule="exact"/>
              <w:rPr>
                <w:sz w:val="20"/>
                <w:szCs w:val="20"/>
                <w:color w:val="auto"/>
              </w:rPr>
            </w:pPr>
            <w:r>
              <w:rPr>
                <w:rFonts w:ascii="Arial" w:cs="Arial" w:eastAsia="Arial" w:hAnsi="Arial"/>
                <w:sz w:val="14"/>
                <w:szCs w:val="14"/>
                <w:color w:val="auto"/>
              </w:rPr>
              <w:t>Financial liabilities at fair value through profit or loss</w:t>
            </w:r>
          </w:p>
        </w:tc>
        <w:tc>
          <w:tcPr>
            <w:tcW w:w="1040" w:type="dxa"/>
            <w:vAlign w:val="bottom"/>
            <w:gridSpan w:val="2"/>
          </w:tcPr>
          <w:p>
            <w:pPr>
              <w:jc w:val="right"/>
              <w:ind w:right="180"/>
              <w:spacing w:after="0" w:line="143" w:lineRule="exact"/>
              <w:rPr>
                <w:sz w:val="20"/>
                <w:szCs w:val="20"/>
                <w:color w:val="auto"/>
              </w:rPr>
            </w:pPr>
            <w:r>
              <w:rPr>
                <w:rFonts w:ascii="Arial" w:cs="Arial" w:eastAsia="Arial" w:hAnsi="Arial"/>
                <w:sz w:val="14"/>
                <w:szCs w:val="14"/>
                <w:color w:val="auto"/>
              </w:rPr>
              <w:t>(3,094)</w:t>
            </w:r>
          </w:p>
        </w:tc>
        <w:tc>
          <w:tcPr>
            <w:tcW w:w="1040" w:type="dxa"/>
            <w:vAlign w:val="bottom"/>
            <w:gridSpan w:val="2"/>
          </w:tcPr>
          <w:p>
            <w:pPr>
              <w:jc w:val="right"/>
              <w:ind w:right="180"/>
              <w:spacing w:after="0" w:line="143" w:lineRule="exact"/>
              <w:rPr>
                <w:sz w:val="20"/>
                <w:szCs w:val="20"/>
                <w:color w:val="auto"/>
              </w:rPr>
            </w:pPr>
            <w:r>
              <w:rPr>
                <w:rFonts w:ascii="Arial" w:cs="Arial" w:eastAsia="Arial" w:hAnsi="Arial"/>
                <w:sz w:val="14"/>
                <w:szCs w:val="14"/>
                <w:color w:val="auto"/>
              </w:rPr>
              <w:t>(26,057)</w:t>
            </w:r>
          </w:p>
        </w:tc>
        <w:tc>
          <w:tcPr>
            <w:tcW w:w="1040" w:type="dxa"/>
            <w:vAlign w:val="bottom"/>
            <w:gridSpan w:val="2"/>
          </w:tcPr>
          <w:p>
            <w:pPr>
              <w:jc w:val="right"/>
              <w:ind w:right="180"/>
              <w:spacing w:after="0" w:line="143" w:lineRule="exact"/>
              <w:rPr>
                <w:sz w:val="20"/>
                <w:szCs w:val="20"/>
                <w:color w:val="auto"/>
              </w:rPr>
            </w:pPr>
            <w:r>
              <w:rPr>
                <w:rFonts w:ascii="Arial" w:cs="Arial" w:eastAsia="Arial" w:hAnsi="Arial"/>
                <w:sz w:val="14"/>
                <w:szCs w:val="14"/>
                <w:color w:val="auto"/>
              </w:rPr>
              <w:t>(138,938)</w:t>
            </w:r>
          </w:p>
        </w:tc>
        <w:tc>
          <w:tcPr>
            <w:tcW w:w="1080" w:type="dxa"/>
            <w:vAlign w:val="bottom"/>
            <w:gridSpan w:val="2"/>
          </w:tcPr>
          <w:p>
            <w:pPr>
              <w:jc w:val="right"/>
              <w:ind w:right="160"/>
              <w:spacing w:after="0" w:line="143" w:lineRule="exact"/>
              <w:rPr>
                <w:sz w:val="20"/>
                <w:szCs w:val="20"/>
                <w:color w:val="auto"/>
              </w:rPr>
            </w:pPr>
            <w:r>
              <w:rPr>
                <w:rFonts w:ascii="Arial" w:cs="Arial" w:eastAsia="Arial" w:hAnsi="Arial"/>
                <w:sz w:val="14"/>
                <w:szCs w:val="14"/>
                <w:color w:val="auto"/>
              </w:rPr>
              <w:t>(168,089)</w:t>
            </w:r>
          </w:p>
        </w:tc>
        <w:tc>
          <w:tcPr>
            <w:tcW w:w="980" w:type="dxa"/>
            <w:vAlign w:val="bottom"/>
            <w:gridSpan w:val="2"/>
          </w:tcPr>
          <w:p>
            <w:pPr>
              <w:jc w:val="right"/>
              <w:ind w:right="200"/>
              <w:spacing w:after="0" w:line="143" w:lineRule="exact"/>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120"/>
              <w:spacing w:after="0" w:line="143" w:lineRule="exact"/>
              <w:rPr>
                <w:sz w:val="20"/>
                <w:szCs w:val="20"/>
                <w:color w:val="auto"/>
              </w:rPr>
            </w:pPr>
            <w:r>
              <w:rPr>
                <w:rFonts w:ascii="Arial" w:cs="Arial" w:eastAsia="Arial" w:hAnsi="Arial"/>
                <w:sz w:val="14"/>
                <w:szCs w:val="14"/>
                <w:color w:val="auto"/>
              </w:rPr>
              <w:t>(6,052)</w:t>
            </w:r>
          </w:p>
        </w:tc>
        <w:tc>
          <w:tcPr>
            <w:tcW w:w="1000" w:type="dxa"/>
            <w:vAlign w:val="bottom"/>
            <w:gridSpan w:val="2"/>
          </w:tcPr>
          <w:p>
            <w:pPr>
              <w:jc w:val="right"/>
              <w:ind w:right="91"/>
              <w:spacing w:after="0" w:line="143" w:lineRule="exact"/>
              <w:rPr>
                <w:sz w:val="20"/>
                <w:szCs w:val="20"/>
                <w:color w:val="auto"/>
              </w:rPr>
            </w:pPr>
            <w:r>
              <w:rPr>
                <w:rFonts w:ascii="Arial" w:cs="Arial" w:eastAsia="Arial" w:hAnsi="Arial"/>
                <w:sz w:val="14"/>
                <w:szCs w:val="14"/>
                <w:color w:val="auto"/>
              </w:rPr>
              <w:t>(203,468)</w:t>
            </w:r>
          </w:p>
        </w:tc>
        <w:tc>
          <w:tcPr>
            <w:tcW w:w="940" w:type="dxa"/>
            <w:vAlign w:val="bottom"/>
            <w:gridSpan w:val="2"/>
          </w:tcPr>
          <w:p>
            <w:pPr>
              <w:jc w:val="right"/>
              <w:ind w:right="20"/>
              <w:spacing w:after="0" w:line="143" w:lineRule="exact"/>
              <w:rPr>
                <w:sz w:val="20"/>
                <w:szCs w:val="20"/>
                <w:color w:val="auto"/>
              </w:rPr>
            </w:pPr>
            <w:r>
              <w:rPr>
                <w:rFonts w:ascii="Arial" w:cs="Arial" w:eastAsia="Arial" w:hAnsi="Arial"/>
                <w:sz w:val="14"/>
                <w:szCs w:val="14"/>
                <w:color w:val="auto"/>
              </w:rPr>
              <w:t>(209,520)</w:t>
            </w:r>
          </w:p>
        </w:tc>
        <w:tc>
          <w:tcPr>
            <w:tcW w:w="0" w:type="dxa"/>
            <w:vAlign w:val="bottom"/>
          </w:tcPr>
          <w:p>
            <w:pPr>
              <w:spacing w:after="0"/>
              <w:rPr>
                <w:sz w:val="1"/>
                <w:szCs w:val="1"/>
                <w:color w:val="auto"/>
              </w:rPr>
            </w:pPr>
          </w:p>
        </w:tc>
      </w:tr>
      <w:tr>
        <w:trPr>
          <w:trHeight w:val="124"/>
        </w:trPr>
        <w:tc>
          <w:tcPr>
            <w:tcW w:w="3320" w:type="dxa"/>
            <w:vAlign w:val="bottom"/>
            <w:shd w:val="clear" w:color="auto" w:fill="CCEEFF"/>
          </w:tcPr>
          <w:p>
            <w:pPr>
              <w:spacing w:after="0" w:line="125" w:lineRule="exact"/>
              <w:rPr>
                <w:sz w:val="20"/>
                <w:szCs w:val="20"/>
                <w:color w:val="auto"/>
              </w:rPr>
            </w:pPr>
            <w:r>
              <w:rPr>
                <w:rFonts w:ascii="Arial" w:cs="Arial" w:eastAsia="Arial" w:hAnsi="Arial"/>
                <w:sz w:val="14"/>
                <w:szCs w:val="14"/>
                <w:color w:val="auto"/>
                <w:w w:val="98"/>
              </w:rPr>
              <w:t>Insurance claims reserves and technical reserves and</w:t>
            </w:r>
          </w:p>
        </w:tc>
        <w:tc>
          <w:tcPr>
            <w:tcW w:w="8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1"/>
        </w:trPr>
        <w:tc>
          <w:tcPr>
            <w:tcW w:w="3320" w:type="dxa"/>
            <w:vAlign w:val="bottom"/>
            <w:shd w:val="clear" w:color="auto" w:fill="CCEEFF"/>
          </w:tcPr>
          <w:p>
            <w:pPr>
              <w:spacing w:after="0"/>
              <w:rPr>
                <w:sz w:val="20"/>
                <w:szCs w:val="20"/>
                <w:color w:val="auto"/>
              </w:rPr>
            </w:pPr>
            <w:r>
              <w:rPr>
                <w:rFonts w:ascii="Arial" w:cs="Arial" w:eastAsia="Arial" w:hAnsi="Arial"/>
                <w:sz w:val="14"/>
                <w:szCs w:val="14"/>
                <w:color w:val="auto"/>
              </w:rPr>
              <w:t>unearned premiums</w:t>
            </w: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(3,632,896)</w:t>
            </w: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(3,809,742)</w:t>
            </w: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(1,122)</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(7,443,760)</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(3,134,680)</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(3,650,466)</w:t>
            </w:r>
          </w:p>
        </w:tc>
        <w:tc>
          <w:tcPr>
            <w:tcW w:w="1000" w:type="dxa"/>
            <w:vAlign w:val="bottom"/>
            <w:gridSpan w:val="2"/>
            <w:shd w:val="clear" w:color="auto" w:fill="CCEEFF"/>
          </w:tcPr>
          <w:p>
            <w:pPr>
              <w:jc w:val="right"/>
              <w:ind w:right="91"/>
              <w:spacing w:after="0"/>
              <w:rPr>
                <w:sz w:val="20"/>
                <w:szCs w:val="20"/>
                <w:color w:val="auto"/>
              </w:rPr>
            </w:pPr>
            <w:r>
              <w:rPr>
                <w:rFonts w:ascii="Arial" w:cs="Arial" w:eastAsia="Arial" w:hAnsi="Arial"/>
                <w:sz w:val="14"/>
                <w:szCs w:val="14"/>
                <w:color w:val="auto"/>
              </w:rPr>
              <w:t>(1,043)</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(6,786,189)</w:t>
            </w:r>
          </w:p>
        </w:tc>
        <w:tc>
          <w:tcPr>
            <w:tcW w:w="0" w:type="dxa"/>
            <w:vAlign w:val="bottom"/>
          </w:tcPr>
          <w:p>
            <w:pPr>
              <w:spacing w:after="0"/>
              <w:rPr>
                <w:sz w:val="1"/>
                <w:szCs w:val="1"/>
                <w:color w:val="auto"/>
              </w:rPr>
            </w:pPr>
          </w:p>
        </w:tc>
      </w:tr>
      <w:tr>
        <w:trPr>
          <w:trHeight w:val="143"/>
        </w:trPr>
        <w:tc>
          <w:tcPr>
            <w:tcW w:w="3320" w:type="dxa"/>
            <w:vAlign w:val="bottom"/>
          </w:tcPr>
          <w:p>
            <w:pPr>
              <w:spacing w:after="0" w:line="143" w:lineRule="exact"/>
              <w:rPr>
                <w:sz w:val="20"/>
                <w:szCs w:val="20"/>
                <w:color w:val="auto"/>
              </w:rPr>
            </w:pPr>
            <w:r>
              <w:rPr>
                <w:rFonts w:ascii="Arial" w:cs="Arial" w:eastAsia="Arial" w:hAnsi="Arial"/>
                <w:sz w:val="14"/>
                <w:szCs w:val="14"/>
                <w:color w:val="auto"/>
              </w:rPr>
              <w:t>Bonds and Notes issued</w:t>
            </w:r>
          </w:p>
        </w:tc>
        <w:tc>
          <w:tcPr>
            <w:tcW w:w="1040" w:type="dxa"/>
            <w:vAlign w:val="bottom"/>
            <w:gridSpan w:val="2"/>
          </w:tcPr>
          <w:p>
            <w:pPr>
              <w:jc w:val="right"/>
              <w:ind w:right="180"/>
              <w:spacing w:after="0" w:line="143" w:lineRule="exact"/>
              <w:rPr>
                <w:sz w:val="20"/>
                <w:szCs w:val="20"/>
                <w:color w:val="auto"/>
              </w:rPr>
            </w:pPr>
            <w:r>
              <w:rPr>
                <w:rFonts w:ascii="Arial" w:cs="Arial" w:eastAsia="Arial" w:hAnsi="Arial"/>
                <w:sz w:val="14"/>
                <w:szCs w:val="14"/>
                <w:color w:val="auto"/>
              </w:rPr>
              <w:t>(3,869,494)</w:t>
            </w:r>
          </w:p>
        </w:tc>
        <w:tc>
          <w:tcPr>
            <w:tcW w:w="1040" w:type="dxa"/>
            <w:vAlign w:val="bottom"/>
            <w:gridSpan w:val="2"/>
          </w:tcPr>
          <w:p>
            <w:pPr>
              <w:jc w:val="right"/>
              <w:ind w:right="180"/>
              <w:spacing w:after="0" w:line="143" w:lineRule="exact"/>
              <w:rPr>
                <w:sz w:val="20"/>
                <w:szCs w:val="20"/>
                <w:color w:val="auto"/>
              </w:rPr>
            </w:pPr>
            <w:r>
              <w:rPr>
                <w:rFonts w:ascii="Arial" w:cs="Arial" w:eastAsia="Arial" w:hAnsi="Arial"/>
                <w:sz w:val="14"/>
                <w:szCs w:val="14"/>
                <w:color w:val="auto"/>
              </w:rPr>
              <w:t>(12,271,451)</w:t>
            </w:r>
          </w:p>
        </w:tc>
        <w:tc>
          <w:tcPr>
            <w:tcW w:w="1040" w:type="dxa"/>
            <w:vAlign w:val="bottom"/>
            <w:gridSpan w:val="2"/>
          </w:tcPr>
          <w:p>
            <w:pPr>
              <w:jc w:val="right"/>
              <w:ind w:right="180"/>
              <w:spacing w:after="0" w:line="143" w:lineRule="exact"/>
              <w:rPr>
                <w:sz w:val="20"/>
                <w:szCs w:val="20"/>
                <w:color w:val="auto"/>
              </w:rPr>
            </w:pPr>
            <w:r>
              <w:rPr>
                <w:rFonts w:ascii="Arial" w:cs="Arial" w:eastAsia="Arial" w:hAnsi="Arial"/>
                <w:sz w:val="14"/>
                <w:szCs w:val="14"/>
                <w:color w:val="auto"/>
              </w:rPr>
              <w:t>(101,312)</w:t>
            </w:r>
          </w:p>
        </w:tc>
        <w:tc>
          <w:tcPr>
            <w:tcW w:w="1080" w:type="dxa"/>
            <w:vAlign w:val="bottom"/>
            <w:gridSpan w:val="2"/>
          </w:tcPr>
          <w:p>
            <w:pPr>
              <w:jc w:val="right"/>
              <w:ind w:right="160"/>
              <w:spacing w:after="0" w:line="143" w:lineRule="exact"/>
              <w:rPr>
                <w:sz w:val="20"/>
                <w:szCs w:val="20"/>
                <w:color w:val="auto"/>
              </w:rPr>
            </w:pPr>
            <w:r>
              <w:rPr>
                <w:rFonts w:ascii="Arial" w:cs="Arial" w:eastAsia="Arial" w:hAnsi="Arial"/>
                <w:sz w:val="14"/>
                <w:szCs w:val="14"/>
                <w:color w:val="auto"/>
              </w:rPr>
              <w:t>(16,242,257)</w:t>
            </w:r>
          </w:p>
        </w:tc>
        <w:tc>
          <w:tcPr>
            <w:tcW w:w="980" w:type="dxa"/>
            <w:vAlign w:val="bottom"/>
            <w:gridSpan w:val="2"/>
          </w:tcPr>
          <w:p>
            <w:pPr>
              <w:jc w:val="right"/>
              <w:ind w:right="160"/>
              <w:spacing w:after="0" w:line="143" w:lineRule="exact"/>
              <w:rPr>
                <w:sz w:val="20"/>
                <w:szCs w:val="20"/>
                <w:color w:val="auto"/>
              </w:rPr>
            </w:pPr>
            <w:r>
              <w:rPr>
                <w:rFonts w:ascii="Arial" w:cs="Arial" w:eastAsia="Arial" w:hAnsi="Arial"/>
                <w:sz w:val="14"/>
                <w:szCs w:val="14"/>
                <w:color w:val="auto"/>
              </w:rPr>
              <w:t>(2,544,031)</w:t>
            </w:r>
          </w:p>
        </w:tc>
        <w:tc>
          <w:tcPr>
            <w:tcW w:w="980" w:type="dxa"/>
            <w:vAlign w:val="bottom"/>
            <w:gridSpan w:val="2"/>
          </w:tcPr>
          <w:p>
            <w:pPr>
              <w:jc w:val="right"/>
              <w:ind w:right="120"/>
              <w:spacing w:after="0" w:line="143" w:lineRule="exact"/>
              <w:rPr>
                <w:sz w:val="20"/>
                <w:szCs w:val="20"/>
                <w:color w:val="auto"/>
              </w:rPr>
            </w:pPr>
            <w:r>
              <w:rPr>
                <w:rFonts w:ascii="Arial" w:cs="Arial" w:eastAsia="Arial" w:hAnsi="Arial"/>
                <w:sz w:val="14"/>
                <w:szCs w:val="14"/>
                <w:color w:val="auto"/>
              </w:rPr>
              <w:t>(13,291,371)</w:t>
            </w:r>
          </w:p>
        </w:tc>
        <w:tc>
          <w:tcPr>
            <w:tcW w:w="1000" w:type="dxa"/>
            <w:vAlign w:val="bottom"/>
            <w:gridSpan w:val="2"/>
          </w:tcPr>
          <w:p>
            <w:pPr>
              <w:jc w:val="right"/>
              <w:ind w:right="91"/>
              <w:spacing w:after="0" w:line="143" w:lineRule="exact"/>
              <w:rPr>
                <w:sz w:val="20"/>
                <w:szCs w:val="20"/>
                <w:color w:val="auto"/>
              </w:rPr>
            </w:pPr>
            <w:r>
              <w:rPr>
                <w:rFonts w:ascii="Arial" w:cs="Arial" w:eastAsia="Arial" w:hAnsi="Arial"/>
                <w:sz w:val="14"/>
                <w:szCs w:val="14"/>
                <w:color w:val="auto"/>
              </w:rPr>
              <w:t>(104,201)</w:t>
            </w:r>
          </w:p>
        </w:tc>
        <w:tc>
          <w:tcPr>
            <w:tcW w:w="940" w:type="dxa"/>
            <w:vAlign w:val="bottom"/>
            <w:gridSpan w:val="2"/>
          </w:tcPr>
          <w:p>
            <w:pPr>
              <w:jc w:val="right"/>
              <w:ind w:right="20"/>
              <w:spacing w:after="0" w:line="143" w:lineRule="exact"/>
              <w:rPr>
                <w:sz w:val="20"/>
                <w:szCs w:val="20"/>
                <w:color w:val="auto"/>
              </w:rPr>
            </w:pPr>
            <w:r>
              <w:rPr>
                <w:rFonts w:ascii="Arial" w:cs="Arial" w:eastAsia="Arial" w:hAnsi="Arial"/>
                <w:sz w:val="14"/>
                <w:szCs w:val="14"/>
                <w:color w:val="auto"/>
              </w:rPr>
              <w:t>(15,939,603)</w:t>
            </w:r>
          </w:p>
        </w:tc>
        <w:tc>
          <w:tcPr>
            <w:tcW w:w="0" w:type="dxa"/>
            <w:vAlign w:val="bottom"/>
          </w:tcPr>
          <w:p>
            <w:pPr>
              <w:spacing w:after="0"/>
              <w:rPr>
                <w:sz w:val="1"/>
                <w:szCs w:val="1"/>
                <w:color w:val="auto"/>
              </w:rPr>
            </w:pPr>
          </w:p>
        </w:tc>
      </w:tr>
      <w:tr>
        <w:trPr>
          <w:trHeight w:val="156"/>
        </w:trPr>
        <w:tc>
          <w:tcPr>
            <w:tcW w:w="3320" w:type="dxa"/>
            <w:vAlign w:val="bottom"/>
            <w:shd w:val="clear" w:color="auto" w:fill="CCEEFF"/>
          </w:tcPr>
          <w:p>
            <w:pPr>
              <w:spacing w:after="0" w:line="156" w:lineRule="exact"/>
              <w:rPr>
                <w:sz w:val="20"/>
                <w:szCs w:val="20"/>
                <w:color w:val="auto"/>
              </w:rPr>
            </w:pPr>
            <w:r>
              <w:rPr>
                <w:rFonts w:ascii="Arial" w:cs="Arial" w:eastAsia="Arial" w:hAnsi="Arial"/>
                <w:sz w:val="14"/>
                <w:szCs w:val="14"/>
                <w:color w:val="auto"/>
              </w:rPr>
              <w:t>Other liabilities</w:t>
            </w:r>
          </w:p>
        </w:tc>
        <w:tc>
          <w:tcPr>
            <w:tcW w:w="1040" w:type="dxa"/>
            <w:vAlign w:val="bottom"/>
            <w:gridSpan w:val="2"/>
            <w:shd w:val="clear" w:color="auto" w:fill="CCEEFF"/>
          </w:tcPr>
          <w:p>
            <w:pPr>
              <w:jc w:val="right"/>
              <w:ind w:right="180"/>
              <w:spacing w:after="0" w:line="156" w:lineRule="exact"/>
              <w:rPr>
                <w:sz w:val="20"/>
                <w:szCs w:val="20"/>
                <w:color w:val="auto"/>
              </w:rPr>
            </w:pPr>
            <w:r>
              <w:rPr>
                <w:rFonts w:ascii="Arial" w:cs="Arial" w:eastAsia="Arial" w:hAnsi="Arial"/>
                <w:sz w:val="14"/>
                <w:szCs w:val="14"/>
                <w:color w:val="auto"/>
              </w:rPr>
              <w:t>(2,737,797)</w:t>
            </w:r>
          </w:p>
        </w:tc>
        <w:tc>
          <w:tcPr>
            <w:tcW w:w="1040" w:type="dxa"/>
            <w:vAlign w:val="bottom"/>
            <w:gridSpan w:val="2"/>
            <w:shd w:val="clear" w:color="auto" w:fill="CCEEFF"/>
          </w:tcPr>
          <w:p>
            <w:pPr>
              <w:jc w:val="right"/>
              <w:ind w:right="180"/>
              <w:spacing w:after="0" w:line="156" w:lineRule="exact"/>
              <w:rPr>
                <w:sz w:val="20"/>
                <w:szCs w:val="20"/>
                <w:color w:val="auto"/>
              </w:rPr>
            </w:pPr>
            <w:r>
              <w:rPr>
                <w:rFonts w:ascii="Arial" w:cs="Arial" w:eastAsia="Arial" w:hAnsi="Arial"/>
                <w:sz w:val="14"/>
                <w:szCs w:val="14"/>
                <w:color w:val="auto"/>
              </w:rPr>
              <w:t>(2,030,093)</w:t>
            </w:r>
          </w:p>
        </w:tc>
        <w:tc>
          <w:tcPr>
            <w:tcW w:w="1040" w:type="dxa"/>
            <w:vAlign w:val="bottom"/>
            <w:gridSpan w:val="2"/>
            <w:shd w:val="clear" w:color="auto" w:fill="CCEEFF"/>
          </w:tcPr>
          <w:p>
            <w:pPr>
              <w:jc w:val="right"/>
              <w:ind w:right="180"/>
              <w:spacing w:after="0" w:line="156" w:lineRule="exact"/>
              <w:rPr>
                <w:sz w:val="20"/>
                <w:szCs w:val="20"/>
                <w:color w:val="auto"/>
              </w:rPr>
            </w:pPr>
            <w:r>
              <w:rPr>
                <w:rFonts w:ascii="Arial" w:cs="Arial" w:eastAsia="Arial" w:hAnsi="Arial"/>
                <w:sz w:val="14"/>
                <w:szCs w:val="14"/>
                <w:color w:val="auto"/>
              </w:rPr>
              <w:t>(1,013,441)</w:t>
            </w:r>
          </w:p>
        </w:tc>
        <w:tc>
          <w:tcPr>
            <w:tcW w:w="1080" w:type="dxa"/>
            <w:vAlign w:val="bottom"/>
            <w:gridSpan w:val="2"/>
            <w:shd w:val="clear" w:color="auto" w:fill="CCEEFF"/>
          </w:tcPr>
          <w:p>
            <w:pPr>
              <w:jc w:val="right"/>
              <w:ind w:right="160"/>
              <w:spacing w:after="0" w:line="156" w:lineRule="exact"/>
              <w:rPr>
                <w:sz w:val="20"/>
                <w:szCs w:val="20"/>
                <w:color w:val="auto"/>
              </w:rPr>
            </w:pPr>
            <w:r>
              <w:rPr>
                <w:rFonts w:ascii="Arial" w:cs="Arial" w:eastAsia="Arial" w:hAnsi="Arial"/>
                <w:sz w:val="14"/>
                <w:szCs w:val="14"/>
                <w:color w:val="auto"/>
              </w:rPr>
              <w:t>(5,781,331)</w:t>
            </w:r>
          </w:p>
        </w:tc>
        <w:tc>
          <w:tcPr>
            <w:tcW w:w="980" w:type="dxa"/>
            <w:vAlign w:val="bottom"/>
            <w:gridSpan w:val="2"/>
            <w:shd w:val="clear" w:color="auto" w:fill="CCEEFF"/>
          </w:tcPr>
          <w:p>
            <w:pPr>
              <w:jc w:val="right"/>
              <w:ind w:right="160"/>
              <w:spacing w:after="0" w:line="156" w:lineRule="exact"/>
              <w:rPr>
                <w:sz w:val="20"/>
                <w:szCs w:val="20"/>
                <w:color w:val="auto"/>
              </w:rPr>
            </w:pPr>
            <w:r>
              <w:rPr>
                <w:rFonts w:ascii="Arial" w:cs="Arial" w:eastAsia="Arial" w:hAnsi="Arial"/>
                <w:sz w:val="14"/>
                <w:szCs w:val="14"/>
                <w:color w:val="auto"/>
              </w:rPr>
              <w:t>(2,434,407)</w:t>
            </w:r>
          </w:p>
        </w:tc>
        <w:tc>
          <w:tcPr>
            <w:tcW w:w="980" w:type="dxa"/>
            <w:vAlign w:val="bottom"/>
            <w:gridSpan w:val="2"/>
            <w:shd w:val="clear" w:color="auto" w:fill="CCEEFF"/>
          </w:tcPr>
          <w:p>
            <w:pPr>
              <w:jc w:val="right"/>
              <w:ind w:right="120"/>
              <w:spacing w:after="0" w:line="156" w:lineRule="exact"/>
              <w:rPr>
                <w:sz w:val="20"/>
                <w:szCs w:val="20"/>
                <w:color w:val="auto"/>
              </w:rPr>
            </w:pPr>
            <w:r>
              <w:rPr>
                <w:rFonts w:ascii="Arial" w:cs="Arial" w:eastAsia="Arial" w:hAnsi="Arial"/>
                <w:sz w:val="14"/>
                <w:szCs w:val="14"/>
                <w:color w:val="auto"/>
              </w:rPr>
              <w:t>(1,492,911)</w:t>
            </w:r>
          </w:p>
        </w:tc>
        <w:tc>
          <w:tcPr>
            <w:tcW w:w="1000" w:type="dxa"/>
            <w:vAlign w:val="bottom"/>
            <w:gridSpan w:val="2"/>
            <w:shd w:val="clear" w:color="auto" w:fill="CCEEFF"/>
          </w:tcPr>
          <w:p>
            <w:pPr>
              <w:jc w:val="right"/>
              <w:ind w:right="91"/>
              <w:spacing w:after="0" w:line="156" w:lineRule="exact"/>
              <w:rPr>
                <w:sz w:val="20"/>
                <w:szCs w:val="20"/>
                <w:color w:val="auto"/>
              </w:rPr>
            </w:pPr>
            <w:r>
              <w:rPr>
                <w:rFonts w:ascii="Arial" w:cs="Arial" w:eastAsia="Arial" w:hAnsi="Arial"/>
                <w:sz w:val="14"/>
                <w:szCs w:val="14"/>
                <w:color w:val="auto"/>
              </w:rPr>
              <w:t>(917,779)</w:t>
            </w:r>
          </w:p>
        </w:tc>
        <w:tc>
          <w:tcPr>
            <w:tcW w:w="940" w:type="dxa"/>
            <w:vAlign w:val="bottom"/>
            <w:gridSpan w:val="2"/>
            <w:shd w:val="clear" w:color="auto" w:fill="CCEEFF"/>
          </w:tcPr>
          <w:p>
            <w:pPr>
              <w:jc w:val="right"/>
              <w:ind w:right="20"/>
              <w:spacing w:after="0" w:line="156" w:lineRule="exact"/>
              <w:rPr>
                <w:sz w:val="20"/>
                <w:szCs w:val="20"/>
                <w:color w:val="auto"/>
              </w:rPr>
            </w:pPr>
            <w:r>
              <w:rPr>
                <w:rFonts w:ascii="Arial" w:cs="Arial" w:eastAsia="Arial" w:hAnsi="Arial"/>
                <w:sz w:val="14"/>
                <w:szCs w:val="14"/>
                <w:color w:val="auto"/>
              </w:rPr>
              <w:t>(4,845,097)</w:t>
            </w:r>
          </w:p>
        </w:tc>
        <w:tc>
          <w:tcPr>
            <w:tcW w:w="0" w:type="dxa"/>
            <w:vAlign w:val="bottom"/>
          </w:tcPr>
          <w:p>
            <w:pPr>
              <w:spacing w:after="0"/>
              <w:rPr>
                <w:sz w:val="1"/>
                <w:szCs w:val="1"/>
                <w:color w:val="auto"/>
              </w:rPr>
            </w:pPr>
          </w:p>
        </w:tc>
      </w:tr>
      <w:tr>
        <w:trPr>
          <w:trHeight w:val="176"/>
        </w:trPr>
        <w:tc>
          <w:tcPr>
            <w:tcW w:w="3320" w:type="dxa"/>
            <w:vAlign w:val="bottom"/>
            <w:tcBorders>
              <w:bottom w:val="single" w:sz="8" w:color="CCEEFF"/>
            </w:tcBorders>
          </w:tcPr>
          <w:p>
            <w:pPr>
              <w:spacing w:after="0" w:line="136" w:lineRule="exact"/>
              <w:rPr>
                <w:sz w:val="20"/>
                <w:szCs w:val="20"/>
                <w:color w:val="auto"/>
              </w:rPr>
            </w:pPr>
            <w:r>
              <w:rPr>
                <w:rFonts w:ascii="Arial" w:cs="Arial" w:eastAsia="Arial" w:hAnsi="Arial"/>
                <w:sz w:val="14"/>
                <w:szCs w:val="14"/>
                <w:b w:val="1"/>
                <w:bCs w:val="1"/>
                <w:color w:val="auto"/>
              </w:rPr>
              <w:t>Total</w:t>
            </w:r>
          </w:p>
        </w:tc>
        <w:tc>
          <w:tcPr>
            <w:tcW w:w="820" w:type="dxa"/>
            <w:vAlign w:val="bottom"/>
            <w:tcBorders>
              <w:top w:val="single" w:sz="8" w:color="auto"/>
              <w:bottom w:val="single" w:sz="8" w:color="auto"/>
            </w:tcBorders>
          </w:tcPr>
          <w:p>
            <w:pPr>
              <w:jc w:val="right"/>
              <w:spacing w:after="0" w:line="136" w:lineRule="exact"/>
              <w:rPr>
                <w:sz w:val="20"/>
                <w:szCs w:val="20"/>
                <w:color w:val="auto"/>
              </w:rPr>
            </w:pPr>
            <w:r>
              <w:rPr>
                <w:rFonts w:ascii="Arial" w:cs="Arial" w:eastAsia="Arial" w:hAnsi="Arial"/>
                <w:sz w:val="14"/>
                <w:szCs w:val="14"/>
                <w:color w:val="auto"/>
              </w:rPr>
              <w:t>(66,962,850)</w:t>
            </w:r>
          </w:p>
        </w:tc>
        <w:tc>
          <w:tcPr>
            <w:tcW w:w="220" w:type="dxa"/>
            <w:vAlign w:val="bottom"/>
            <w:tcBorders>
              <w:bottom w:val="single" w:sz="8" w:color="CCEEFF"/>
            </w:tcBorders>
          </w:tcPr>
          <w:p>
            <w:pPr>
              <w:spacing w:after="0"/>
              <w:rPr>
                <w:sz w:val="15"/>
                <w:szCs w:val="15"/>
                <w:color w:val="auto"/>
              </w:rPr>
            </w:pPr>
          </w:p>
        </w:tc>
        <w:tc>
          <w:tcPr>
            <w:tcW w:w="820" w:type="dxa"/>
            <w:vAlign w:val="bottom"/>
            <w:tcBorders>
              <w:top w:val="single" w:sz="8" w:color="auto"/>
              <w:bottom w:val="single" w:sz="8" w:color="auto"/>
            </w:tcBorders>
          </w:tcPr>
          <w:p>
            <w:pPr>
              <w:jc w:val="right"/>
              <w:spacing w:after="0" w:line="136" w:lineRule="exact"/>
              <w:rPr>
                <w:sz w:val="20"/>
                <w:szCs w:val="20"/>
                <w:color w:val="auto"/>
              </w:rPr>
            </w:pPr>
            <w:r>
              <w:rPr>
                <w:rFonts w:ascii="Arial" w:cs="Arial" w:eastAsia="Arial" w:hAnsi="Arial"/>
                <w:sz w:val="14"/>
                <w:szCs w:val="14"/>
                <w:color w:val="auto"/>
              </w:rPr>
              <w:t>(70,059,254)</w:t>
            </w:r>
          </w:p>
        </w:tc>
        <w:tc>
          <w:tcPr>
            <w:tcW w:w="220" w:type="dxa"/>
            <w:vAlign w:val="bottom"/>
            <w:tcBorders>
              <w:bottom w:val="single" w:sz="8" w:color="CCEEFF"/>
            </w:tcBorders>
          </w:tcPr>
          <w:p>
            <w:pPr>
              <w:spacing w:after="0"/>
              <w:rPr>
                <w:sz w:val="15"/>
                <w:szCs w:val="15"/>
                <w:color w:val="auto"/>
              </w:rPr>
            </w:pPr>
          </w:p>
        </w:tc>
        <w:tc>
          <w:tcPr>
            <w:tcW w:w="820" w:type="dxa"/>
            <w:vAlign w:val="bottom"/>
            <w:tcBorders>
              <w:top w:val="single" w:sz="8" w:color="auto"/>
              <w:bottom w:val="single" w:sz="8" w:color="auto"/>
            </w:tcBorders>
          </w:tcPr>
          <w:p>
            <w:pPr>
              <w:jc w:val="right"/>
              <w:spacing w:after="0" w:line="136" w:lineRule="exact"/>
              <w:rPr>
                <w:sz w:val="20"/>
                <w:szCs w:val="20"/>
                <w:color w:val="auto"/>
              </w:rPr>
            </w:pPr>
            <w:r>
              <w:rPr>
                <w:rFonts w:ascii="Arial" w:cs="Arial" w:eastAsia="Arial" w:hAnsi="Arial"/>
                <w:sz w:val="14"/>
                <w:szCs w:val="14"/>
                <w:color w:val="auto"/>
              </w:rPr>
              <w:t>(11,196,476)</w:t>
            </w:r>
          </w:p>
        </w:tc>
        <w:tc>
          <w:tcPr>
            <w:tcW w:w="220" w:type="dxa"/>
            <w:vAlign w:val="bottom"/>
            <w:tcBorders>
              <w:bottom w:val="single" w:sz="8" w:color="CCEEFF"/>
            </w:tcBorders>
          </w:tcPr>
          <w:p>
            <w:pPr>
              <w:spacing w:after="0"/>
              <w:rPr>
                <w:sz w:val="15"/>
                <w:szCs w:val="15"/>
                <w:color w:val="auto"/>
              </w:rPr>
            </w:pPr>
          </w:p>
        </w:tc>
        <w:tc>
          <w:tcPr>
            <w:tcW w:w="860" w:type="dxa"/>
            <w:vAlign w:val="bottom"/>
            <w:tcBorders>
              <w:top w:val="single" w:sz="8" w:color="auto"/>
              <w:bottom w:val="single" w:sz="8" w:color="auto"/>
            </w:tcBorders>
          </w:tcPr>
          <w:p>
            <w:pPr>
              <w:jc w:val="right"/>
              <w:spacing w:after="0" w:line="136" w:lineRule="exact"/>
              <w:rPr>
                <w:sz w:val="20"/>
                <w:szCs w:val="20"/>
                <w:color w:val="auto"/>
              </w:rPr>
            </w:pPr>
            <w:r>
              <w:rPr>
                <w:rFonts w:ascii="Arial" w:cs="Arial" w:eastAsia="Arial" w:hAnsi="Arial"/>
                <w:sz w:val="14"/>
                <w:szCs w:val="14"/>
                <w:color w:val="auto"/>
                <w:w w:val="96"/>
              </w:rPr>
              <w:t>(148,218,580)</w:t>
            </w:r>
          </w:p>
        </w:tc>
        <w:tc>
          <w:tcPr>
            <w:tcW w:w="220" w:type="dxa"/>
            <w:vAlign w:val="bottom"/>
            <w:tcBorders>
              <w:bottom w:val="single" w:sz="8" w:color="CCEEFF"/>
            </w:tcBorders>
          </w:tcPr>
          <w:p>
            <w:pPr>
              <w:spacing w:after="0"/>
              <w:rPr>
                <w:sz w:val="15"/>
                <w:szCs w:val="15"/>
                <w:color w:val="auto"/>
              </w:rPr>
            </w:pPr>
          </w:p>
        </w:tc>
        <w:tc>
          <w:tcPr>
            <w:tcW w:w="780" w:type="dxa"/>
            <w:vAlign w:val="bottom"/>
            <w:tcBorders>
              <w:top w:val="single" w:sz="8" w:color="auto"/>
              <w:bottom w:val="single" w:sz="8" w:color="auto"/>
            </w:tcBorders>
          </w:tcPr>
          <w:p>
            <w:pPr>
              <w:jc w:val="right"/>
              <w:spacing w:after="0" w:line="136" w:lineRule="exact"/>
              <w:rPr>
                <w:sz w:val="20"/>
                <w:szCs w:val="20"/>
                <w:color w:val="auto"/>
              </w:rPr>
            </w:pPr>
            <w:r>
              <w:rPr>
                <w:rFonts w:ascii="Arial" w:cs="Arial" w:eastAsia="Arial" w:hAnsi="Arial"/>
                <w:sz w:val="14"/>
                <w:szCs w:val="14"/>
                <w:color w:val="auto"/>
                <w:w w:val="95"/>
              </w:rPr>
              <w:t>(60,733,834)</w:t>
            </w:r>
          </w:p>
        </w:tc>
        <w:tc>
          <w:tcPr>
            <w:tcW w:w="200" w:type="dxa"/>
            <w:vAlign w:val="bottom"/>
            <w:tcBorders>
              <w:bottom w:val="single" w:sz="8" w:color="CCEEFF"/>
            </w:tcBorders>
          </w:tcPr>
          <w:p>
            <w:pPr>
              <w:spacing w:after="0"/>
              <w:rPr>
                <w:sz w:val="15"/>
                <w:szCs w:val="15"/>
                <w:color w:val="auto"/>
              </w:rPr>
            </w:pPr>
          </w:p>
        </w:tc>
        <w:tc>
          <w:tcPr>
            <w:tcW w:w="780" w:type="dxa"/>
            <w:vAlign w:val="bottom"/>
            <w:tcBorders>
              <w:top w:val="single" w:sz="8" w:color="auto"/>
              <w:bottom w:val="single" w:sz="8" w:color="auto"/>
            </w:tcBorders>
          </w:tcPr>
          <w:p>
            <w:pPr>
              <w:jc w:val="right"/>
              <w:spacing w:after="0" w:line="136" w:lineRule="exact"/>
              <w:rPr>
                <w:sz w:val="20"/>
                <w:szCs w:val="20"/>
                <w:color w:val="auto"/>
              </w:rPr>
            </w:pPr>
            <w:r>
              <w:rPr>
                <w:rFonts w:ascii="Arial" w:cs="Arial" w:eastAsia="Arial" w:hAnsi="Arial"/>
                <w:sz w:val="14"/>
                <w:szCs w:val="14"/>
                <w:color w:val="auto"/>
                <w:w w:val="95"/>
              </w:rPr>
              <w:t>(65,912,999)</w:t>
            </w:r>
          </w:p>
        </w:tc>
        <w:tc>
          <w:tcPr>
            <w:tcW w:w="200" w:type="dxa"/>
            <w:vAlign w:val="bottom"/>
            <w:tcBorders>
              <w:bottom w:val="single" w:sz="8" w:color="CCEEFF"/>
            </w:tcBorders>
          </w:tcPr>
          <w:p>
            <w:pPr>
              <w:spacing w:after="0"/>
              <w:rPr>
                <w:sz w:val="15"/>
                <w:szCs w:val="15"/>
                <w:color w:val="auto"/>
              </w:rPr>
            </w:pPr>
          </w:p>
        </w:tc>
        <w:tc>
          <w:tcPr>
            <w:tcW w:w="780" w:type="dxa"/>
            <w:vAlign w:val="bottom"/>
            <w:tcBorders>
              <w:top w:val="single" w:sz="8" w:color="auto"/>
              <w:bottom w:val="single" w:sz="8" w:color="auto"/>
            </w:tcBorders>
          </w:tcPr>
          <w:p>
            <w:pPr>
              <w:jc w:val="right"/>
              <w:spacing w:after="0" w:line="136" w:lineRule="exact"/>
              <w:rPr>
                <w:sz w:val="20"/>
                <w:szCs w:val="20"/>
                <w:color w:val="auto"/>
              </w:rPr>
            </w:pPr>
            <w:r>
              <w:rPr>
                <w:rFonts w:ascii="Arial" w:cs="Arial" w:eastAsia="Arial" w:hAnsi="Arial"/>
                <w:sz w:val="14"/>
                <w:szCs w:val="14"/>
                <w:color w:val="auto"/>
              </w:rPr>
              <w:t>(9,671,878)</w:t>
            </w:r>
          </w:p>
        </w:tc>
        <w:tc>
          <w:tcPr>
            <w:tcW w:w="220" w:type="dxa"/>
            <w:vAlign w:val="bottom"/>
            <w:tcBorders>
              <w:bottom w:val="single" w:sz="8" w:color="CCEEFF"/>
            </w:tcBorders>
          </w:tcPr>
          <w:p>
            <w:pPr>
              <w:spacing w:after="0"/>
              <w:rPr>
                <w:sz w:val="15"/>
                <w:szCs w:val="15"/>
                <w:color w:val="auto"/>
              </w:rPr>
            </w:pPr>
          </w:p>
        </w:tc>
        <w:tc>
          <w:tcPr>
            <w:tcW w:w="840" w:type="dxa"/>
            <w:vAlign w:val="bottom"/>
            <w:tcBorders>
              <w:top w:val="single" w:sz="8" w:color="auto"/>
              <w:bottom w:val="single" w:sz="8" w:color="auto"/>
            </w:tcBorders>
          </w:tcPr>
          <w:p>
            <w:pPr>
              <w:jc w:val="right"/>
              <w:spacing w:after="0" w:line="136" w:lineRule="exact"/>
              <w:rPr>
                <w:sz w:val="20"/>
                <w:szCs w:val="20"/>
                <w:color w:val="auto"/>
              </w:rPr>
            </w:pPr>
            <w:r>
              <w:rPr>
                <w:rFonts w:ascii="Arial" w:cs="Arial" w:eastAsia="Arial" w:hAnsi="Arial"/>
                <w:sz w:val="14"/>
                <w:szCs w:val="14"/>
                <w:color w:val="auto"/>
                <w:w w:val="99"/>
              </w:rPr>
              <w:t>(136,318,711</w:t>
            </w:r>
          </w:p>
        </w:tc>
        <w:tc>
          <w:tcPr>
            <w:tcW w:w="100" w:type="dxa"/>
            <w:vAlign w:val="bottom"/>
            <w:tcBorders>
              <w:bottom w:val="single" w:sz="8" w:color="CCEEFF"/>
            </w:tcBorders>
          </w:tcPr>
          <w:p>
            <w:pPr>
              <w:jc w:val="right"/>
              <w:ind w:right="20"/>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rPr>
                <w:sz w:val="1"/>
                <w:szCs w:val="1"/>
                <w:color w:val="auto"/>
              </w:rPr>
            </w:pPr>
          </w:p>
        </w:tc>
      </w:tr>
      <w:tr>
        <w:trPr>
          <w:trHeight w:val="122"/>
        </w:trPr>
        <w:tc>
          <w:tcPr>
            <w:tcW w:w="3320" w:type="dxa"/>
            <w:vAlign w:val="bottom"/>
            <w:shd w:val="clear" w:color="auto" w:fill="CCEEFF"/>
          </w:tcPr>
          <w:p>
            <w:pPr>
              <w:spacing w:after="0"/>
              <w:rPr>
                <w:sz w:val="10"/>
                <w:szCs w:val="10"/>
                <w:color w:val="auto"/>
              </w:rPr>
            </w:pPr>
          </w:p>
        </w:tc>
        <w:tc>
          <w:tcPr>
            <w:tcW w:w="820" w:type="dxa"/>
            <w:vAlign w:val="bottom"/>
            <w:tcBorders>
              <w:bottom w:val="single" w:sz="8" w:color="auto"/>
            </w:tcBorders>
            <w:shd w:val="clear" w:color="auto" w:fill="CCEEFF"/>
          </w:tcPr>
          <w:p>
            <w:pPr>
              <w:jc w:val="right"/>
              <w:spacing w:after="0" w:line="122" w:lineRule="exact"/>
              <w:rPr>
                <w:sz w:val="20"/>
                <w:szCs w:val="20"/>
                <w:color w:val="auto"/>
              </w:rPr>
            </w:pPr>
            <w:r>
              <w:rPr>
                <w:rFonts w:ascii="Arial" w:cs="Arial" w:eastAsia="Arial" w:hAnsi="Arial"/>
                <w:sz w:val="14"/>
                <w:szCs w:val="14"/>
                <w:color w:val="auto"/>
              </w:rPr>
              <w:t>13,281,222</w:t>
            </w:r>
          </w:p>
        </w:tc>
        <w:tc>
          <w:tcPr>
            <w:tcW w:w="220" w:type="dxa"/>
            <w:vAlign w:val="bottom"/>
            <w:shd w:val="clear" w:color="auto" w:fill="CCEEFF"/>
          </w:tcPr>
          <w:p>
            <w:pPr>
              <w:spacing w:after="0"/>
              <w:rPr>
                <w:sz w:val="10"/>
                <w:szCs w:val="10"/>
                <w:color w:val="auto"/>
              </w:rPr>
            </w:pPr>
          </w:p>
        </w:tc>
        <w:tc>
          <w:tcPr>
            <w:tcW w:w="820" w:type="dxa"/>
            <w:vAlign w:val="bottom"/>
            <w:tcBorders>
              <w:bottom w:val="single" w:sz="8" w:color="auto"/>
            </w:tcBorders>
            <w:shd w:val="clear" w:color="auto" w:fill="CCEEFF"/>
          </w:tcPr>
          <w:p>
            <w:pPr>
              <w:jc w:val="right"/>
              <w:spacing w:after="0" w:line="122" w:lineRule="exact"/>
              <w:rPr>
                <w:sz w:val="20"/>
                <w:szCs w:val="20"/>
                <w:color w:val="auto"/>
              </w:rPr>
            </w:pPr>
            <w:r>
              <w:rPr>
                <w:rFonts w:ascii="Arial" w:cs="Arial" w:eastAsia="Arial" w:hAnsi="Arial"/>
                <w:sz w:val="14"/>
                <w:szCs w:val="14"/>
                <w:color w:val="auto"/>
              </w:rPr>
              <w:t>641,103</w:t>
            </w:r>
          </w:p>
        </w:tc>
        <w:tc>
          <w:tcPr>
            <w:tcW w:w="220" w:type="dxa"/>
            <w:vAlign w:val="bottom"/>
            <w:shd w:val="clear" w:color="auto" w:fill="CCEEFF"/>
          </w:tcPr>
          <w:p>
            <w:pPr>
              <w:spacing w:after="0"/>
              <w:rPr>
                <w:sz w:val="10"/>
                <w:szCs w:val="10"/>
                <w:color w:val="auto"/>
              </w:rPr>
            </w:pPr>
          </w:p>
        </w:tc>
        <w:tc>
          <w:tcPr>
            <w:tcW w:w="820" w:type="dxa"/>
            <w:vAlign w:val="bottom"/>
            <w:tcBorders>
              <w:bottom w:val="single" w:sz="8" w:color="auto"/>
            </w:tcBorders>
            <w:shd w:val="clear" w:color="auto" w:fill="CCEEFF"/>
          </w:tcPr>
          <w:p>
            <w:pPr>
              <w:jc w:val="right"/>
              <w:spacing w:after="0" w:line="122" w:lineRule="exact"/>
              <w:rPr>
                <w:sz w:val="20"/>
                <w:szCs w:val="20"/>
                <w:color w:val="auto"/>
              </w:rPr>
            </w:pPr>
            <w:r>
              <w:rPr>
                <w:rFonts w:ascii="Arial" w:cs="Arial" w:eastAsia="Arial" w:hAnsi="Arial"/>
                <w:sz w:val="14"/>
                <w:szCs w:val="14"/>
                <w:color w:val="auto"/>
              </w:rPr>
              <w:t>192,690</w:t>
            </w:r>
          </w:p>
        </w:tc>
        <w:tc>
          <w:tcPr>
            <w:tcW w:w="220" w:type="dxa"/>
            <w:vAlign w:val="bottom"/>
            <w:shd w:val="clear" w:color="auto" w:fill="CCEEFF"/>
          </w:tcPr>
          <w:p>
            <w:pPr>
              <w:spacing w:after="0"/>
              <w:rPr>
                <w:sz w:val="10"/>
                <w:szCs w:val="10"/>
                <w:color w:val="auto"/>
              </w:rPr>
            </w:pPr>
          </w:p>
        </w:tc>
        <w:tc>
          <w:tcPr>
            <w:tcW w:w="860" w:type="dxa"/>
            <w:vAlign w:val="bottom"/>
            <w:tcBorders>
              <w:bottom w:val="single" w:sz="8" w:color="auto"/>
            </w:tcBorders>
            <w:shd w:val="clear" w:color="auto" w:fill="CCEEFF"/>
          </w:tcPr>
          <w:p>
            <w:pPr>
              <w:jc w:val="right"/>
              <w:spacing w:after="0" w:line="122" w:lineRule="exact"/>
              <w:rPr>
                <w:sz w:val="20"/>
                <w:szCs w:val="20"/>
                <w:color w:val="auto"/>
              </w:rPr>
            </w:pPr>
            <w:r>
              <w:rPr>
                <w:rFonts w:ascii="Arial" w:cs="Arial" w:eastAsia="Arial" w:hAnsi="Arial"/>
                <w:sz w:val="14"/>
                <w:szCs w:val="14"/>
                <w:color w:val="auto"/>
              </w:rPr>
              <w:t>14,115,015</w:t>
            </w:r>
          </w:p>
        </w:tc>
        <w:tc>
          <w:tcPr>
            <w:tcW w:w="220" w:type="dxa"/>
            <w:vAlign w:val="bottom"/>
            <w:shd w:val="clear" w:color="auto" w:fill="CCEEFF"/>
          </w:tcPr>
          <w:p>
            <w:pPr>
              <w:spacing w:after="0"/>
              <w:rPr>
                <w:sz w:val="10"/>
                <w:szCs w:val="10"/>
                <w:color w:val="auto"/>
              </w:rPr>
            </w:pPr>
          </w:p>
        </w:tc>
        <w:tc>
          <w:tcPr>
            <w:tcW w:w="780" w:type="dxa"/>
            <w:vAlign w:val="bottom"/>
            <w:tcBorders>
              <w:bottom w:val="single" w:sz="8" w:color="auto"/>
            </w:tcBorders>
            <w:shd w:val="clear" w:color="auto" w:fill="CCEEFF"/>
          </w:tcPr>
          <w:p>
            <w:pPr>
              <w:jc w:val="right"/>
              <w:spacing w:after="0" w:line="122" w:lineRule="exact"/>
              <w:rPr>
                <w:sz w:val="20"/>
                <w:szCs w:val="20"/>
                <w:color w:val="auto"/>
              </w:rPr>
            </w:pPr>
            <w:r>
              <w:rPr>
                <w:rFonts w:ascii="Arial" w:cs="Arial" w:eastAsia="Arial" w:hAnsi="Arial"/>
                <w:sz w:val="14"/>
                <w:szCs w:val="14"/>
                <w:color w:val="auto"/>
              </w:rPr>
              <w:t>11,468,358</w:t>
            </w:r>
          </w:p>
        </w:tc>
        <w:tc>
          <w:tcPr>
            <w:tcW w:w="200" w:type="dxa"/>
            <w:vAlign w:val="bottom"/>
            <w:shd w:val="clear" w:color="auto" w:fill="CCEEFF"/>
          </w:tcPr>
          <w:p>
            <w:pPr>
              <w:spacing w:after="0"/>
              <w:rPr>
                <w:sz w:val="10"/>
                <w:szCs w:val="10"/>
                <w:color w:val="auto"/>
              </w:rPr>
            </w:pPr>
          </w:p>
        </w:tc>
        <w:tc>
          <w:tcPr>
            <w:tcW w:w="780" w:type="dxa"/>
            <w:vAlign w:val="bottom"/>
            <w:tcBorders>
              <w:bottom w:val="single" w:sz="8" w:color="auto"/>
            </w:tcBorders>
            <w:shd w:val="clear" w:color="auto" w:fill="CCEEFF"/>
          </w:tcPr>
          <w:p>
            <w:pPr>
              <w:jc w:val="right"/>
              <w:spacing w:after="0" w:line="122" w:lineRule="exact"/>
              <w:rPr>
                <w:sz w:val="20"/>
                <w:szCs w:val="20"/>
                <w:color w:val="auto"/>
              </w:rPr>
            </w:pPr>
            <w:r>
              <w:rPr>
                <w:rFonts w:ascii="Arial" w:cs="Arial" w:eastAsia="Arial" w:hAnsi="Arial"/>
                <w:sz w:val="14"/>
                <w:szCs w:val="14"/>
                <w:color w:val="auto"/>
              </w:rPr>
              <w:t>(88,213</w:t>
            </w:r>
          </w:p>
        </w:tc>
        <w:tc>
          <w:tcPr>
            <w:tcW w:w="200" w:type="dxa"/>
            <w:vAlign w:val="bottom"/>
            <w:shd w:val="clear" w:color="auto" w:fill="CCEEFF"/>
          </w:tcPr>
          <w:p>
            <w:pPr>
              <w:jc w:val="right"/>
              <w:ind w:right="120"/>
              <w:spacing w:after="0"/>
              <w:rPr>
                <w:sz w:val="20"/>
                <w:szCs w:val="20"/>
                <w:color w:val="auto"/>
              </w:rPr>
            </w:pPr>
            <w:r>
              <w:rPr>
                <w:rFonts w:ascii="Arial" w:cs="Arial" w:eastAsia="Arial" w:hAnsi="Arial"/>
                <w:sz w:val="8"/>
                <w:szCs w:val="8"/>
                <w:color w:val="auto"/>
                <w:w w:val="73"/>
              </w:rPr>
              <w:t>)</w:t>
            </w:r>
          </w:p>
        </w:tc>
        <w:tc>
          <w:tcPr>
            <w:tcW w:w="780" w:type="dxa"/>
            <w:vAlign w:val="bottom"/>
            <w:tcBorders>
              <w:bottom w:val="single" w:sz="8" w:color="auto"/>
            </w:tcBorders>
            <w:shd w:val="clear" w:color="auto" w:fill="CCEEFF"/>
          </w:tcPr>
          <w:p>
            <w:pPr>
              <w:jc w:val="right"/>
              <w:spacing w:after="0" w:line="122" w:lineRule="exact"/>
              <w:rPr>
                <w:sz w:val="20"/>
                <w:szCs w:val="20"/>
                <w:color w:val="auto"/>
              </w:rPr>
            </w:pPr>
            <w:r>
              <w:rPr>
                <w:rFonts w:ascii="Arial" w:cs="Arial" w:eastAsia="Arial" w:hAnsi="Arial"/>
                <w:sz w:val="14"/>
                <w:szCs w:val="14"/>
                <w:color w:val="auto"/>
              </w:rPr>
              <w:t>3,963</w:t>
            </w:r>
          </w:p>
        </w:tc>
        <w:tc>
          <w:tcPr>
            <w:tcW w:w="220" w:type="dxa"/>
            <w:vAlign w:val="bottom"/>
            <w:shd w:val="clear" w:color="auto" w:fill="CCEEFF"/>
          </w:tcPr>
          <w:p>
            <w:pPr>
              <w:spacing w:after="0"/>
              <w:rPr>
                <w:sz w:val="10"/>
                <w:szCs w:val="10"/>
                <w:color w:val="auto"/>
              </w:rPr>
            </w:pPr>
          </w:p>
        </w:tc>
        <w:tc>
          <w:tcPr>
            <w:tcW w:w="840" w:type="dxa"/>
            <w:vAlign w:val="bottom"/>
            <w:tcBorders>
              <w:bottom w:val="single" w:sz="8" w:color="auto"/>
            </w:tcBorders>
            <w:shd w:val="clear" w:color="auto" w:fill="CCEEFF"/>
          </w:tcPr>
          <w:p>
            <w:pPr>
              <w:jc w:val="right"/>
              <w:spacing w:after="0" w:line="122" w:lineRule="exact"/>
              <w:rPr>
                <w:sz w:val="20"/>
                <w:szCs w:val="20"/>
                <w:color w:val="auto"/>
              </w:rPr>
            </w:pPr>
            <w:r>
              <w:rPr>
                <w:rFonts w:ascii="Arial" w:cs="Arial" w:eastAsia="Arial" w:hAnsi="Arial"/>
                <w:sz w:val="14"/>
                <w:szCs w:val="14"/>
                <w:color w:val="auto"/>
              </w:rPr>
              <w:t>11,384,108</w:t>
            </w: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6"/>
        </w:trPr>
        <w:tc>
          <w:tcPr>
            <w:tcW w:w="3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332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rPr>
              <w:t>Forwards position, net</w:t>
            </w:r>
          </w:p>
        </w:tc>
        <w:tc>
          <w:tcPr>
            <w:tcW w:w="1040" w:type="dxa"/>
            <w:vAlign w:val="bottom"/>
            <w:gridSpan w:val="2"/>
            <w:shd w:val="clear" w:color="auto" w:fill="CCEEFF"/>
          </w:tcPr>
          <w:p>
            <w:pPr>
              <w:jc w:val="right"/>
              <w:ind w:right="220"/>
              <w:spacing w:after="0" w:line="143" w:lineRule="exact"/>
              <w:rPr>
                <w:sz w:val="20"/>
                <w:szCs w:val="20"/>
                <w:color w:val="auto"/>
              </w:rPr>
            </w:pPr>
            <w:r>
              <w:rPr>
                <w:rFonts w:ascii="Arial" w:cs="Arial" w:eastAsia="Arial" w:hAnsi="Arial"/>
                <w:sz w:val="14"/>
                <w:szCs w:val="14"/>
                <w:color w:val="auto"/>
              </w:rPr>
              <w:t>859,439</w:t>
            </w:r>
          </w:p>
        </w:tc>
        <w:tc>
          <w:tcPr>
            <w:tcW w:w="1040" w:type="dxa"/>
            <w:vAlign w:val="bottom"/>
            <w:gridSpan w:val="2"/>
            <w:shd w:val="clear" w:color="auto" w:fill="CCEEFF"/>
          </w:tcPr>
          <w:p>
            <w:pPr>
              <w:jc w:val="right"/>
              <w:ind w:right="180"/>
              <w:spacing w:after="0" w:line="143" w:lineRule="exact"/>
              <w:rPr>
                <w:sz w:val="20"/>
                <w:szCs w:val="20"/>
                <w:color w:val="auto"/>
              </w:rPr>
            </w:pPr>
            <w:r>
              <w:rPr>
                <w:rFonts w:ascii="Arial" w:cs="Arial" w:eastAsia="Arial" w:hAnsi="Arial"/>
                <w:sz w:val="14"/>
                <w:szCs w:val="14"/>
                <w:color w:val="auto"/>
              </w:rPr>
              <w:t>(824,434)</w:t>
            </w:r>
          </w:p>
        </w:tc>
        <w:tc>
          <w:tcPr>
            <w:tcW w:w="1040" w:type="dxa"/>
            <w:vAlign w:val="bottom"/>
            <w:gridSpan w:val="2"/>
            <w:shd w:val="clear" w:color="auto" w:fill="CCEEFF"/>
          </w:tcPr>
          <w:p>
            <w:pPr>
              <w:jc w:val="right"/>
              <w:ind w:right="180"/>
              <w:spacing w:after="0" w:line="143" w:lineRule="exact"/>
              <w:rPr>
                <w:sz w:val="20"/>
                <w:szCs w:val="20"/>
                <w:color w:val="auto"/>
              </w:rPr>
            </w:pPr>
            <w:r>
              <w:rPr>
                <w:rFonts w:ascii="Arial" w:cs="Arial" w:eastAsia="Arial" w:hAnsi="Arial"/>
                <w:sz w:val="14"/>
                <w:szCs w:val="14"/>
                <w:color w:val="auto"/>
              </w:rPr>
              <w:t>(19,186)</w:t>
            </w:r>
          </w:p>
        </w:tc>
        <w:tc>
          <w:tcPr>
            <w:tcW w:w="1080" w:type="dxa"/>
            <w:vAlign w:val="bottom"/>
            <w:gridSpan w:val="2"/>
            <w:shd w:val="clear" w:color="auto" w:fill="CCEEFF"/>
          </w:tcPr>
          <w:p>
            <w:pPr>
              <w:jc w:val="right"/>
              <w:ind w:right="220"/>
              <w:spacing w:after="0" w:line="143" w:lineRule="exact"/>
              <w:rPr>
                <w:sz w:val="20"/>
                <w:szCs w:val="20"/>
                <w:color w:val="auto"/>
              </w:rPr>
            </w:pPr>
            <w:r>
              <w:rPr>
                <w:rFonts w:ascii="Arial" w:cs="Arial" w:eastAsia="Arial" w:hAnsi="Arial"/>
                <w:sz w:val="14"/>
                <w:szCs w:val="14"/>
                <w:color w:val="auto"/>
              </w:rPr>
              <w:t>15,819</w:t>
            </w:r>
          </w:p>
        </w:tc>
        <w:tc>
          <w:tcPr>
            <w:tcW w:w="980" w:type="dxa"/>
            <w:vAlign w:val="bottom"/>
            <w:gridSpan w:val="2"/>
            <w:shd w:val="clear" w:color="auto" w:fill="CCEEFF"/>
          </w:tcPr>
          <w:p>
            <w:pPr>
              <w:jc w:val="right"/>
              <w:ind w:right="200"/>
              <w:spacing w:after="0" w:line="143" w:lineRule="exact"/>
              <w:rPr>
                <w:sz w:val="20"/>
                <w:szCs w:val="20"/>
                <w:color w:val="auto"/>
              </w:rPr>
            </w:pPr>
            <w:r>
              <w:rPr>
                <w:rFonts w:ascii="Arial" w:cs="Arial" w:eastAsia="Arial" w:hAnsi="Arial"/>
                <w:sz w:val="14"/>
                <w:szCs w:val="14"/>
                <w:color w:val="auto"/>
              </w:rPr>
              <w:t>508,304</w:t>
            </w:r>
          </w:p>
        </w:tc>
        <w:tc>
          <w:tcPr>
            <w:tcW w:w="980" w:type="dxa"/>
            <w:vAlign w:val="bottom"/>
            <w:gridSpan w:val="2"/>
            <w:shd w:val="clear" w:color="auto" w:fill="CCEEFF"/>
          </w:tcPr>
          <w:p>
            <w:pPr>
              <w:jc w:val="right"/>
              <w:ind w:right="120"/>
              <w:spacing w:after="0" w:line="143" w:lineRule="exact"/>
              <w:rPr>
                <w:sz w:val="20"/>
                <w:szCs w:val="20"/>
                <w:color w:val="auto"/>
              </w:rPr>
            </w:pPr>
            <w:r>
              <w:rPr>
                <w:rFonts w:ascii="Arial" w:cs="Arial" w:eastAsia="Arial" w:hAnsi="Arial"/>
                <w:sz w:val="14"/>
                <w:szCs w:val="14"/>
                <w:color w:val="auto"/>
              </w:rPr>
              <w:t>(529,352)</w:t>
            </w:r>
          </w:p>
        </w:tc>
        <w:tc>
          <w:tcPr>
            <w:tcW w:w="1000" w:type="dxa"/>
            <w:vAlign w:val="bottom"/>
            <w:gridSpan w:val="2"/>
            <w:shd w:val="clear" w:color="auto" w:fill="CCEEFF"/>
          </w:tcPr>
          <w:p>
            <w:pPr>
              <w:jc w:val="right"/>
              <w:ind w:right="91"/>
              <w:spacing w:after="0" w:line="143" w:lineRule="exact"/>
              <w:rPr>
                <w:sz w:val="20"/>
                <w:szCs w:val="20"/>
                <w:color w:val="auto"/>
              </w:rPr>
            </w:pPr>
            <w:r>
              <w:rPr>
                <w:rFonts w:ascii="Arial" w:cs="Arial" w:eastAsia="Arial" w:hAnsi="Arial"/>
                <w:sz w:val="14"/>
                <w:szCs w:val="14"/>
                <w:color w:val="auto"/>
              </w:rPr>
              <w:t>(93,844)</w:t>
            </w:r>
          </w:p>
        </w:tc>
        <w:tc>
          <w:tcPr>
            <w:tcW w:w="940" w:type="dxa"/>
            <w:vAlign w:val="bottom"/>
            <w:gridSpan w:val="2"/>
            <w:shd w:val="clear" w:color="auto" w:fill="CCEEFF"/>
          </w:tcPr>
          <w:p>
            <w:pPr>
              <w:jc w:val="right"/>
              <w:ind w:right="20"/>
              <w:spacing w:after="0" w:line="143" w:lineRule="exact"/>
              <w:rPr>
                <w:sz w:val="20"/>
                <w:szCs w:val="20"/>
                <w:color w:val="auto"/>
              </w:rPr>
            </w:pPr>
            <w:r>
              <w:rPr>
                <w:rFonts w:ascii="Arial" w:cs="Arial" w:eastAsia="Arial" w:hAnsi="Arial"/>
                <w:sz w:val="14"/>
                <w:szCs w:val="14"/>
                <w:color w:val="auto"/>
              </w:rPr>
              <w:t>(114,892)</w:t>
            </w:r>
          </w:p>
        </w:tc>
        <w:tc>
          <w:tcPr>
            <w:tcW w:w="0" w:type="dxa"/>
            <w:vAlign w:val="bottom"/>
          </w:tcPr>
          <w:p>
            <w:pPr>
              <w:spacing w:after="0"/>
              <w:rPr>
                <w:sz w:val="1"/>
                <w:szCs w:val="1"/>
                <w:color w:val="auto"/>
              </w:rPr>
            </w:pPr>
          </w:p>
        </w:tc>
      </w:tr>
      <w:tr>
        <w:trPr>
          <w:trHeight w:val="143"/>
        </w:trPr>
        <w:tc>
          <w:tcPr>
            <w:tcW w:w="3320" w:type="dxa"/>
            <w:vAlign w:val="bottom"/>
          </w:tcPr>
          <w:p>
            <w:pPr>
              <w:spacing w:after="0" w:line="143" w:lineRule="exact"/>
              <w:rPr>
                <w:sz w:val="20"/>
                <w:szCs w:val="20"/>
                <w:color w:val="auto"/>
              </w:rPr>
            </w:pPr>
            <w:r>
              <w:rPr>
                <w:rFonts w:ascii="Arial" w:cs="Arial" w:eastAsia="Arial" w:hAnsi="Arial"/>
                <w:sz w:val="14"/>
                <w:szCs w:val="14"/>
                <w:color w:val="auto"/>
              </w:rPr>
              <w:t>Currency swaps position, net</w:t>
            </w:r>
          </w:p>
        </w:tc>
        <w:tc>
          <w:tcPr>
            <w:tcW w:w="1040" w:type="dxa"/>
            <w:vAlign w:val="bottom"/>
            <w:gridSpan w:val="2"/>
          </w:tcPr>
          <w:p>
            <w:pPr>
              <w:jc w:val="right"/>
              <w:ind w:right="220"/>
              <w:spacing w:after="0" w:line="143" w:lineRule="exact"/>
              <w:rPr>
                <w:sz w:val="20"/>
                <w:szCs w:val="20"/>
                <w:color w:val="auto"/>
              </w:rPr>
            </w:pPr>
            <w:r>
              <w:rPr>
                <w:rFonts w:ascii="Arial" w:cs="Arial" w:eastAsia="Arial" w:hAnsi="Arial"/>
                <w:sz w:val="14"/>
                <w:szCs w:val="14"/>
                <w:color w:val="auto"/>
              </w:rPr>
              <w:t>370,697</w:t>
            </w:r>
          </w:p>
        </w:tc>
        <w:tc>
          <w:tcPr>
            <w:tcW w:w="1040" w:type="dxa"/>
            <w:vAlign w:val="bottom"/>
            <w:gridSpan w:val="2"/>
          </w:tcPr>
          <w:p>
            <w:pPr>
              <w:jc w:val="right"/>
              <w:ind w:right="180"/>
              <w:spacing w:after="0" w:line="143" w:lineRule="exact"/>
              <w:rPr>
                <w:sz w:val="20"/>
                <w:szCs w:val="20"/>
                <w:color w:val="auto"/>
              </w:rPr>
            </w:pPr>
            <w:r>
              <w:rPr>
                <w:rFonts w:ascii="Arial" w:cs="Arial" w:eastAsia="Arial" w:hAnsi="Arial"/>
                <w:sz w:val="14"/>
                <w:szCs w:val="14"/>
                <w:color w:val="auto"/>
              </w:rPr>
              <w:t>(371,301)</w:t>
            </w:r>
          </w:p>
        </w:tc>
        <w:tc>
          <w:tcPr>
            <w:tcW w:w="1040" w:type="dxa"/>
            <w:vAlign w:val="bottom"/>
            <w:gridSpan w:val="2"/>
          </w:tcPr>
          <w:p>
            <w:pPr>
              <w:jc w:val="right"/>
              <w:ind w:right="220"/>
              <w:spacing w:after="0" w:line="143" w:lineRule="exact"/>
              <w:rPr>
                <w:sz w:val="20"/>
                <w:szCs w:val="20"/>
                <w:color w:val="auto"/>
              </w:rPr>
            </w:pPr>
            <w:r>
              <w:rPr>
                <w:rFonts w:ascii="Arial" w:cs="Arial" w:eastAsia="Arial" w:hAnsi="Arial"/>
                <w:sz w:val="14"/>
                <w:szCs w:val="14"/>
                <w:color w:val="auto"/>
              </w:rPr>
              <w:t>3,776</w:t>
            </w:r>
          </w:p>
        </w:tc>
        <w:tc>
          <w:tcPr>
            <w:tcW w:w="1080" w:type="dxa"/>
            <w:vAlign w:val="bottom"/>
            <w:gridSpan w:val="2"/>
          </w:tcPr>
          <w:p>
            <w:pPr>
              <w:jc w:val="right"/>
              <w:ind w:right="220"/>
              <w:spacing w:after="0" w:line="143" w:lineRule="exact"/>
              <w:rPr>
                <w:sz w:val="20"/>
                <w:szCs w:val="20"/>
                <w:color w:val="auto"/>
              </w:rPr>
            </w:pPr>
            <w:r>
              <w:rPr>
                <w:rFonts w:ascii="Arial" w:cs="Arial" w:eastAsia="Arial" w:hAnsi="Arial"/>
                <w:sz w:val="14"/>
                <w:szCs w:val="14"/>
                <w:color w:val="auto"/>
              </w:rPr>
              <w:t>3,172</w:t>
            </w:r>
          </w:p>
        </w:tc>
        <w:tc>
          <w:tcPr>
            <w:tcW w:w="980" w:type="dxa"/>
            <w:vAlign w:val="bottom"/>
            <w:gridSpan w:val="2"/>
          </w:tcPr>
          <w:p>
            <w:pPr>
              <w:jc w:val="right"/>
              <w:ind w:right="200"/>
              <w:spacing w:after="0" w:line="143" w:lineRule="exact"/>
              <w:rPr>
                <w:sz w:val="20"/>
                <w:szCs w:val="20"/>
                <w:color w:val="auto"/>
              </w:rPr>
            </w:pPr>
            <w:r>
              <w:rPr>
                <w:rFonts w:ascii="Arial" w:cs="Arial" w:eastAsia="Arial" w:hAnsi="Arial"/>
                <w:sz w:val="14"/>
                <w:szCs w:val="14"/>
                <w:color w:val="auto"/>
              </w:rPr>
              <w:t>245,063</w:t>
            </w:r>
          </w:p>
        </w:tc>
        <w:tc>
          <w:tcPr>
            <w:tcW w:w="980" w:type="dxa"/>
            <w:vAlign w:val="bottom"/>
            <w:gridSpan w:val="2"/>
          </w:tcPr>
          <w:p>
            <w:pPr>
              <w:jc w:val="right"/>
              <w:ind w:right="120"/>
              <w:spacing w:after="0" w:line="143" w:lineRule="exact"/>
              <w:rPr>
                <w:sz w:val="20"/>
                <w:szCs w:val="20"/>
                <w:color w:val="auto"/>
              </w:rPr>
            </w:pPr>
            <w:r>
              <w:rPr>
                <w:rFonts w:ascii="Arial" w:cs="Arial" w:eastAsia="Arial" w:hAnsi="Arial"/>
                <w:sz w:val="14"/>
                <w:szCs w:val="14"/>
                <w:color w:val="auto"/>
              </w:rPr>
              <w:t>(245,098)</w:t>
            </w:r>
          </w:p>
        </w:tc>
        <w:tc>
          <w:tcPr>
            <w:tcW w:w="1000" w:type="dxa"/>
            <w:vAlign w:val="bottom"/>
            <w:gridSpan w:val="2"/>
          </w:tcPr>
          <w:p>
            <w:pPr>
              <w:jc w:val="right"/>
              <w:ind w:right="151"/>
              <w:spacing w:after="0" w:line="143" w:lineRule="exact"/>
              <w:rPr>
                <w:sz w:val="20"/>
                <w:szCs w:val="20"/>
                <w:color w:val="auto"/>
              </w:rPr>
            </w:pPr>
            <w:r>
              <w:rPr>
                <w:rFonts w:ascii="Arial" w:cs="Arial" w:eastAsia="Arial" w:hAnsi="Arial"/>
                <w:sz w:val="14"/>
                <w:szCs w:val="14"/>
                <w:color w:val="auto"/>
              </w:rPr>
              <w:t>35</w:t>
            </w:r>
          </w:p>
        </w:tc>
        <w:tc>
          <w:tcPr>
            <w:tcW w:w="940" w:type="dxa"/>
            <w:vAlign w:val="bottom"/>
            <w:gridSpan w:val="2"/>
          </w:tcPr>
          <w:p>
            <w:pPr>
              <w:jc w:val="right"/>
              <w:ind w:right="60"/>
              <w:spacing w:after="0" w:line="143"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3"/>
        </w:trPr>
        <w:tc>
          <w:tcPr>
            <w:tcW w:w="332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rPr>
              <w:t>Cross currency swaps position, net</w:t>
            </w:r>
          </w:p>
        </w:tc>
        <w:tc>
          <w:tcPr>
            <w:tcW w:w="1040" w:type="dxa"/>
            <w:vAlign w:val="bottom"/>
            <w:gridSpan w:val="2"/>
            <w:shd w:val="clear" w:color="auto" w:fill="CCEEFF"/>
          </w:tcPr>
          <w:p>
            <w:pPr>
              <w:jc w:val="right"/>
              <w:ind w:right="180"/>
              <w:spacing w:after="0" w:line="143" w:lineRule="exact"/>
              <w:rPr>
                <w:sz w:val="20"/>
                <w:szCs w:val="20"/>
                <w:color w:val="auto"/>
              </w:rPr>
            </w:pPr>
            <w:r>
              <w:rPr>
                <w:rFonts w:ascii="Arial" w:cs="Arial" w:eastAsia="Arial" w:hAnsi="Arial"/>
                <w:sz w:val="14"/>
                <w:szCs w:val="14"/>
                <w:color w:val="auto"/>
              </w:rPr>
              <w:t>(1,725,567)</w:t>
            </w:r>
          </w:p>
        </w:tc>
        <w:tc>
          <w:tcPr>
            <w:tcW w:w="82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rPr>
              <w:t>1,814,960</w:t>
            </w:r>
          </w:p>
        </w:tc>
        <w:tc>
          <w:tcPr>
            <w:tcW w:w="22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80"/>
              <w:spacing w:after="0" w:line="143" w:lineRule="exact"/>
              <w:rPr>
                <w:sz w:val="20"/>
                <w:szCs w:val="20"/>
                <w:color w:val="auto"/>
              </w:rPr>
            </w:pPr>
            <w:r>
              <w:rPr>
                <w:rFonts w:ascii="Arial" w:cs="Arial" w:eastAsia="Arial" w:hAnsi="Arial"/>
                <w:sz w:val="14"/>
                <w:szCs w:val="14"/>
                <w:color w:val="auto"/>
              </w:rPr>
              <w:t>(92,565)</w:t>
            </w:r>
          </w:p>
        </w:tc>
        <w:tc>
          <w:tcPr>
            <w:tcW w:w="1080" w:type="dxa"/>
            <w:vAlign w:val="bottom"/>
            <w:gridSpan w:val="2"/>
            <w:shd w:val="clear" w:color="auto" w:fill="CCEEFF"/>
          </w:tcPr>
          <w:p>
            <w:pPr>
              <w:jc w:val="right"/>
              <w:ind w:right="160"/>
              <w:spacing w:after="0" w:line="143" w:lineRule="exact"/>
              <w:rPr>
                <w:sz w:val="20"/>
                <w:szCs w:val="20"/>
                <w:color w:val="auto"/>
              </w:rPr>
            </w:pPr>
            <w:r>
              <w:rPr>
                <w:rFonts w:ascii="Arial" w:cs="Arial" w:eastAsia="Arial" w:hAnsi="Arial"/>
                <w:sz w:val="14"/>
                <w:szCs w:val="14"/>
                <w:color w:val="auto"/>
              </w:rPr>
              <w:t>(3,172)</w:t>
            </w:r>
          </w:p>
        </w:tc>
        <w:tc>
          <w:tcPr>
            <w:tcW w:w="980" w:type="dxa"/>
            <w:vAlign w:val="bottom"/>
            <w:gridSpan w:val="2"/>
            <w:shd w:val="clear" w:color="auto" w:fill="CCEEFF"/>
          </w:tcPr>
          <w:p>
            <w:pPr>
              <w:jc w:val="right"/>
              <w:ind w:right="160"/>
              <w:spacing w:after="0" w:line="143" w:lineRule="exact"/>
              <w:rPr>
                <w:sz w:val="20"/>
                <w:szCs w:val="20"/>
                <w:color w:val="auto"/>
              </w:rPr>
            </w:pPr>
            <w:r>
              <w:rPr>
                <w:rFonts w:ascii="Arial" w:cs="Arial" w:eastAsia="Arial" w:hAnsi="Arial"/>
                <w:sz w:val="14"/>
                <w:szCs w:val="14"/>
                <w:color w:val="auto"/>
              </w:rPr>
              <w:t>(1,340,985)</w:t>
            </w:r>
          </w:p>
        </w:tc>
        <w:tc>
          <w:tcPr>
            <w:tcW w:w="980" w:type="dxa"/>
            <w:vAlign w:val="bottom"/>
            <w:gridSpan w:val="2"/>
            <w:shd w:val="clear" w:color="auto" w:fill="CCEEFF"/>
          </w:tcPr>
          <w:p>
            <w:pPr>
              <w:jc w:val="right"/>
              <w:ind w:right="160"/>
              <w:spacing w:after="0" w:line="143" w:lineRule="exact"/>
              <w:rPr>
                <w:sz w:val="20"/>
                <w:szCs w:val="20"/>
                <w:color w:val="auto"/>
              </w:rPr>
            </w:pPr>
            <w:r>
              <w:rPr>
                <w:rFonts w:ascii="Arial" w:cs="Arial" w:eastAsia="Arial" w:hAnsi="Arial"/>
                <w:sz w:val="14"/>
                <w:szCs w:val="14"/>
                <w:color w:val="auto"/>
              </w:rPr>
              <w:t>1,433,012</w:t>
            </w:r>
          </w:p>
        </w:tc>
        <w:tc>
          <w:tcPr>
            <w:tcW w:w="1000" w:type="dxa"/>
            <w:vAlign w:val="bottom"/>
            <w:gridSpan w:val="2"/>
            <w:shd w:val="clear" w:color="auto" w:fill="CCEEFF"/>
          </w:tcPr>
          <w:p>
            <w:pPr>
              <w:jc w:val="right"/>
              <w:ind w:right="91"/>
              <w:spacing w:after="0" w:line="143" w:lineRule="exact"/>
              <w:rPr>
                <w:sz w:val="20"/>
                <w:szCs w:val="20"/>
                <w:color w:val="auto"/>
              </w:rPr>
            </w:pPr>
            <w:r>
              <w:rPr>
                <w:rFonts w:ascii="Arial" w:cs="Arial" w:eastAsia="Arial" w:hAnsi="Arial"/>
                <w:sz w:val="14"/>
                <w:szCs w:val="14"/>
                <w:color w:val="auto"/>
              </w:rPr>
              <w:t>(92,027)</w:t>
            </w:r>
          </w:p>
        </w:tc>
        <w:tc>
          <w:tcPr>
            <w:tcW w:w="940" w:type="dxa"/>
            <w:vAlign w:val="bottom"/>
            <w:gridSpan w:val="2"/>
            <w:shd w:val="clear" w:color="auto" w:fill="CCEEFF"/>
          </w:tcPr>
          <w:p>
            <w:pPr>
              <w:jc w:val="right"/>
              <w:ind w:right="60"/>
              <w:spacing w:after="0" w:line="143"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6"/>
        </w:trPr>
        <w:tc>
          <w:tcPr>
            <w:tcW w:w="3320" w:type="dxa"/>
            <w:vAlign w:val="bottom"/>
          </w:tcPr>
          <w:p>
            <w:pPr>
              <w:spacing w:after="0" w:line="156" w:lineRule="exact"/>
              <w:rPr>
                <w:sz w:val="20"/>
                <w:szCs w:val="20"/>
                <w:color w:val="auto"/>
              </w:rPr>
            </w:pPr>
            <w:r>
              <w:rPr>
                <w:rFonts w:ascii="Arial" w:cs="Arial" w:eastAsia="Arial" w:hAnsi="Arial"/>
                <w:sz w:val="14"/>
                <w:szCs w:val="14"/>
                <w:color w:val="auto"/>
              </w:rPr>
              <w:t>Options, net</w:t>
            </w:r>
          </w:p>
        </w:tc>
        <w:tc>
          <w:tcPr>
            <w:tcW w:w="1040" w:type="dxa"/>
            <w:vAlign w:val="bottom"/>
            <w:gridSpan w:val="2"/>
          </w:tcPr>
          <w:p>
            <w:pPr>
              <w:jc w:val="right"/>
              <w:ind w:right="220"/>
              <w:spacing w:after="0" w:line="156" w:lineRule="exact"/>
              <w:rPr>
                <w:sz w:val="20"/>
                <w:szCs w:val="20"/>
                <w:color w:val="auto"/>
              </w:rPr>
            </w:pPr>
            <w:r>
              <w:rPr>
                <w:rFonts w:ascii="Arial" w:cs="Arial" w:eastAsia="Arial" w:hAnsi="Arial"/>
                <w:sz w:val="14"/>
                <w:szCs w:val="14"/>
                <w:color w:val="auto"/>
              </w:rPr>
              <w:t>60,704</w:t>
            </w:r>
          </w:p>
        </w:tc>
        <w:tc>
          <w:tcPr>
            <w:tcW w:w="1040" w:type="dxa"/>
            <w:vAlign w:val="bottom"/>
            <w:gridSpan w:val="2"/>
          </w:tcPr>
          <w:p>
            <w:pPr>
              <w:jc w:val="right"/>
              <w:ind w:right="180"/>
              <w:spacing w:after="0" w:line="156" w:lineRule="exact"/>
              <w:rPr>
                <w:sz w:val="20"/>
                <w:szCs w:val="20"/>
                <w:color w:val="auto"/>
              </w:rPr>
            </w:pPr>
            <w:r>
              <w:rPr>
                <w:rFonts w:ascii="Arial" w:cs="Arial" w:eastAsia="Arial" w:hAnsi="Arial"/>
                <w:sz w:val="14"/>
                <w:szCs w:val="14"/>
                <w:color w:val="auto"/>
              </w:rPr>
              <w:t>(60,704)</w:t>
            </w:r>
          </w:p>
        </w:tc>
        <w:tc>
          <w:tcPr>
            <w:tcW w:w="1040" w:type="dxa"/>
            <w:vAlign w:val="bottom"/>
            <w:gridSpan w:val="2"/>
          </w:tcPr>
          <w:p>
            <w:pPr>
              <w:jc w:val="right"/>
              <w:ind w:right="220"/>
              <w:spacing w:after="0" w:line="156" w:lineRule="exact"/>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220"/>
              <w:spacing w:after="0" w:line="156" w:lineRule="exact"/>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160"/>
              <w:spacing w:after="0" w:line="156" w:lineRule="exact"/>
              <w:rPr>
                <w:sz w:val="20"/>
                <w:szCs w:val="20"/>
                <w:color w:val="auto"/>
              </w:rPr>
            </w:pPr>
            <w:r>
              <w:rPr>
                <w:rFonts w:ascii="Arial" w:cs="Arial" w:eastAsia="Arial" w:hAnsi="Arial"/>
                <w:sz w:val="14"/>
                <w:szCs w:val="14"/>
                <w:color w:val="auto"/>
              </w:rPr>
              <w:t>(86,059)</w:t>
            </w:r>
          </w:p>
        </w:tc>
        <w:tc>
          <w:tcPr>
            <w:tcW w:w="980" w:type="dxa"/>
            <w:vAlign w:val="bottom"/>
            <w:gridSpan w:val="2"/>
          </w:tcPr>
          <w:p>
            <w:pPr>
              <w:jc w:val="right"/>
              <w:ind w:right="160"/>
              <w:spacing w:after="0" w:line="156" w:lineRule="exact"/>
              <w:rPr>
                <w:sz w:val="20"/>
                <w:szCs w:val="20"/>
                <w:color w:val="auto"/>
              </w:rPr>
            </w:pPr>
            <w:r>
              <w:rPr>
                <w:rFonts w:ascii="Arial" w:cs="Arial" w:eastAsia="Arial" w:hAnsi="Arial"/>
                <w:sz w:val="14"/>
                <w:szCs w:val="14"/>
                <w:color w:val="auto"/>
              </w:rPr>
              <w:t>86,059</w:t>
            </w:r>
          </w:p>
        </w:tc>
        <w:tc>
          <w:tcPr>
            <w:tcW w:w="1000" w:type="dxa"/>
            <w:vAlign w:val="bottom"/>
            <w:gridSpan w:val="2"/>
          </w:tcPr>
          <w:p>
            <w:pPr>
              <w:jc w:val="right"/>
              <w:ind w:right="151"/>
              <w:spacing w:after="0" w:line="156" w:lineRule="exact"/>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60"/>
              <w:spacing w:after="0" w:line="156"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320" w:type="dxa"/>
            <w:vAlign w:val="bottom"/>
            <w:tcBorders>
              <w:top w:val="single" w:sz="8" w:color="CCEEFF"/>
              <w:bottom w:val="single" w:sz="8" w:color="CCEEFF"/>
            </w:tcBorders>
            <w:shd w:val="clear" w:color="auto" w:fill="CCEEFF"/>
          </w:tcPr>
          <w:p>
            <w:pPr>
              <w:spacing w:after="0" w:line="149" w:lineRule="exact"/>
              <w:rPr>
                <w:sz w:val="20"/>
                <w:szCs w:val="20"/>
                <w:color w:val="auto"/>
              </w:rPr>
            </w:pPr>
            <w:r>
              <w:rPr>
                <w:rFonts w:ascii="Arial" w:cs="Arial" w:eastAsia="Arial" w:hAnsi="Arial"/>
                <w:sz w:val="14"/>
                <w:szCs w:val="14"/>
                <w:color w:val="auto"/>
              </w:rPr>
              <w:t>Net monetary position</w:t>
            </w:r>
          </w:p>
        </w:tc>
        <w:tc>
          <w:tcPr>
            <w:tcW w:w="82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12,846,495</w:t>
            </w:r>
          </w:p>
        </w:tc>
        <w:tc>
          <w:tcPr>
            <w:tcW w:w="220" w:type="dxa"/>
            <w:vAlign w:val="bottom"/>
            <w:tcBorders>
              <w:top w:val="single" w:sz="8" w:color="CCEEFF"/>
              <w:bottom w:val="single" w:sz="8" w:color="CCEEFF"/>
            </w:tcBorders>
            <w:shd w:val="clear" w:color="auto" w:fill="CCEEFF"/>
          </w:tcPr>
          <w:p>
            <w:pPr>
              <w:spacing w:after="0"/>
              <w:rPr>
                <w:sz w:val="12"/>
                <w:szCs w:val="12"/>
                <w:color w:val="auto"/>
              </w:rPr>
            </w:pPr>
          </w:p>
        </w:tc>
        <w:tc>
          <w:tcPr>
            <w:tcW w:w="82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1,199,624</w:t>
            </w:r>
          </w:p>
        </w:tc>
        <w:tc>
          <w:tcPr>
            <w:tcW w:w="220" w:type="dxa"/>
            <w:vAlign w:val="bottom"/>
            <w:tcBorders>
              <w:top w:val="single" w:sz="8" w:color="CCEEFF"/>
              <w:bottom w:val="single" w:sz="8" w:color="CCEEFF"/>
            </w:tcBorders>
            <w:shd w:val="clear" w:color="auto" w:fill="CCEEFF"/>
          </w:tcPr>
          <w:p>
            <w:pPr>
              <w:spacing w:after="0"/>
              <w:rPr>
                <w:sz w:val="12"/>
                <w:szCs w:val="12"/>
                <w:color w:val="auto"/>
              </w:rPr>
            </w:pPr>
          </w:p>
        </w:tc>
        <w:tc>
          <w:tcPr>
            <w:tcW w:w="82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84,715</w:t>
            </w:r>
          </w:p>
        </w:tc>
        <w:tc>
          <w:tcPr>
            <w:tcW w:w="220" w:type="dxa"/>
            <w:vAlign w:val="bottom"/>
            <w:tcBorders>
              <w:top w:val="single" w:sz="8" w:color="CCEEFF"/>
              <w:bottom w:val="single" w:sz="8" w:color="CCEEFF"/>
            </w:tcBorders>
            <w:shd w:val="clear" w:color="auto" w:fill="CCEEFF"/>
          </w:tcPr>
          <w:p>
            <w:pPr>
              <w:spacing w:after="0"/>
              <w:rPr>
                <w:sz w:val="12"/>
                <w:szCs w:val="12"/>
                <w:color w:val="auto"/>
              </w:rPr>
            </w:pPr>
          </w:p>
        </w:tc>
        <w:tc>
          <w:tcPr>
            <w:tcW w:w="86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14,130,834</w:t>
            </w:r>
          </w:p>
        </w:tc>
        <w:tc>
          <w:tcPr>
            <w:tcW w:w="220" w:type="dxa"/>
            <w:vAlign w:val="bottom"/>
            <w:tcBorders>
              <w:top w:val="single" w:sz="8" w:color="CCEEFF"/>
              <w:bottom w:val="single" w:sz="8" w:color="CCEEFF"/>
            </w:tcBorders>
            <w:shd w:val="clear" w:color="auto" w:fill="CCEEFF"/>
          </w:tcPr>
          <w:p>
            <w:pPr>
              <w:spacing w:after="0"/>
              <w:rPr>
                <w:sz w:val="12"/>
                <w:szCs w:val="12"/>
                <w:color w:val="auto"/>
              </w:rPr>
            </w:pPr>
          </w:p>
        </w:tc>
        <w:tc>
          <w:tcPr>
            <w:tcW w:w="78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10,794,681</w:t>
            </w:r>
          </w:p>
        </w:tc>
        <w:tc>
          <w:tcPr>
            <w:tcW w:w="200" w:type="dxa"/>
            <w:vAlign w:val="bottom"/>
            <w:tcBorders>
              <w:top w:val="single" w:sz="8" w:color="CCEEFF"/>
              <w:bottom w:val="single" w:sz="8" w:color="CCEEFF"/>
            </w:tcBorders>
            <w:shd w:val="clear" w:color="auto" w:fill="CCEEFF"/>
          </w:tcPr>
          <w:p>
            <w:pPr>
              <w:spacing w:after="0"/>
              <w:rPr>
                <w:sz w:val="12"/>
                <w:szCs w:val="12"/>
                <w:color w:val="auto"/>
              </w:rPr>
            </w:pPr>
          </w:p>
        </w:tc>
        <w:tc>
          <w:tcPr>
            <w:tcW w:w="78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656,408</w:t>
            </w:r>
          </w:p>
        </w:tc>
        <w:tc>
          <w:tcPr>
            <w:tcW w:w="200" w:type="dxa"/>
            <w:vAlign w:val="bottom"/>
            <w:tcBorders>
              <w:top w:val="single" w:sz="8" w:color="CCEEFF"/>
              <w:bottom w:val="single" w:sz="8" w:color="CCEEFF"/>
            </w:tcBorders>
            <w:shd w:val="clear" w:color="auto" w:fill="CCEEFF"/>
          </w:tcPr>
          <w:p>
            <w:pPr>
              <w:spacing w:after="0"/>
              <w:rPr>
                <w:sz w:val="12"/>
                <w:szCs w:val="12"/>
                <w:color w:val="auto"/>
              </w:rPr>
            </w:pPr>
          </w:p>
        </w:tc>
        <w:tc>
          <w:tcPr>
            <w:tcW w:w="78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(181,873</w:t>
            </w:r>
          </w:p>
        </w:tc>
        <w:tc>
          <w:tcPr>
            <w:tcW w:w="220" w:type="dxa"/>
            <w:vAlign w:val="bottom"/>
            <w:tcBorders>
              <w:top w:val="single" w:sz="8" w:color="CCEEFF"/>
              <w:bottom w:val="single" w:sz="8" w:color="CCEEFF"/>
            </w:tcBorders>
            <w:shd w:val="clear" w:color="auto" w:fill="CCEEFF"/>
          </w:tcPr>
          <w:p>
            <w:pPr>
              <w:jc w:val="right"/>
              <w:ind w:right="91"/>
              <w:spacing w:after="0" w:line="149" w:lineRule="exact"/>
              <w:rPr>
                <w:sz w:val="20"/>
                <w:szCs w:val="20"/>
                <w:color w:val="auto"/>
              </w:rPr>
            </w:pPr>
            <w:r>
              <w:rPr>
                <w:rFonts w:ascii="Arial" w:cs="Arial" w:eastAsia="Arial" w:hAnsi="Arial"/>
                <w:sz w:val="14"/>
                <w:szCs w:val="14"/>
                <w:color w:val="auto"/>
                <w:w w:val="84"/>
              </w:rPr>
              <w:t>)</w:t>
            </w:r>
          </w:p>
        </w:tc>
        <w:tc>
          <w:tcPr>
            <w:tcW w:w="84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11,269,216</w:t>
            </w: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3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- 134 -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15875</wp:posOffset>
            </wp:positionV>
            <wp:extent cx="725170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51700" cy="8255"/>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140" w:name="page141"/>
    <w:bookmarkEnd w:id="140"/>
    <w:p>
      <w:pPr>
        <w:ind w:left="320"/>
        <w:spacing w:after="0" w:line="280" w:lineRule="auto"/>
        <w:rPr>
          <w:sz w:val="20"/>
          <w:szCs w:val="20"/>
          <w:color w:val="auto"/>
        </w:rPr>
      </w:pPr>
      <w:r>
        <w:rPr>
          <w:rFonts w:ascii="Arial" w:cs="Arial" w:eastAsia="Arial" w:hAnsi="Arial"/>
          <w:sz w:val="16"/>
          <w:szCs w:val="16"/>
          <w:color w:val="auto"/>
        </w:rPr>
        <w:t>The Group manages foreign exchange risk by monitoring and controlling the currency position values exposed to changes in exchange rates. The Group measures its performance in soles. (since 2014 considering its change in functional currency, before it was measured in U.S. Dollars), so if the net foreign exchange position (U.S. Dollar) is an asset, any depreciation of soles with respect to this currency would positively affect the Group’s consolidated statement of financial position. The current position in a foreign currency comprises exchange rate-linked assets and liabilities in that currency. An institution’s open position in individual currencies comprises assets, liabilities and off-balance sheet items denominated in the respective foreign currency for which the institution itself bears the risk; any appreciation/depreciation of the foreign exchange would affect the consolidated statement of income.</w:t>
      </w:r>
    </w:p>
    <w:p>
      <w:pPr>
        <w:spacing w:after="0" w:line="167" w:lineRule="exact"/>
        <w:rPr>
          <w:sz w:val="20"/>
          <w:szCs w:val="20"/>
          <w:color w:val="auto"/>
        </w:rPr>
      </w:pPr>
    </w:p>
    <w:p>
      <w:pPr>
        <w:jc w:val="both"/>
        <w:ind w:left="320" w:right="240"/>
        <w:spacing w:after="0" w:line="322" w:lineRule="auto"/>
        <w:rPr>
          <w:sz w:val="20"/>
          <w:szCs w:val="20"/>
          <w:color w:val="auto"/>
        </w:rPr>
      </w:pPr>
      <w:r>
        <w:rPr>
          <w:rFonts w:ascii="Arial" w:cs="Arial" w:eastAsia="Arial" w:hAnsi="Arial"/>
          <w:sz w:val="15"/>
          <w:szCs w:val="15"/>
          <w:color w:val="auto"/>
        </w:rPr>
        <w:t>The Group’s net foreign exchange position is the sum of its positive open non-soles positions (net long position) less the sum of its negative open non-soles positions (net short position). Any depreciation/appreciation of the foreign exchange position would affect the consolidated statement of income. A currency mismatch would leave the Group’s consolidated statement of financial position vulnerable to a fluctuation of the foreign currency (exchange rate shock).</w:t>
      </w:r>
    </w:p>
    <w:p>
      <w:pPr>
        <w:spacing w:after="0" w:line="137" w:lineRule="exact"/>
        <w:rPr>
          <w:sz w:val="20"/>
          <w:szCs w:val="20"/>
          <w:color w:val="auto"/>
        </w:rPr>
      </w:pPr>
    </w:p>
    <w:p>
      <w:pPr>
        <w:ind w:left="320" w:right="80"/>
        <w:spacing w:after="0" w:line="286" w:lineRule="auto"/>
        <w:rPr>
          <w:sz w:val="20"/>
          <w:szCs w:val="20"/>
          <w:color w:val="auto"/>
        </w:rPr>
      </w:pPr>
      <w:r>
        <w:rPr>
          <w:rFonts w:ascii="Arial" w:cs="Arial" w:eastAsia="Arial" w:hAnsi="Arial"/>
          <w:sz w:val="16"/>
          <w:szCs w:val="16"/>
          <w:color w:val="auto"/>
        </w:rPr>
        <w:t>The table below shows the sensitivity analysis of the U.S. Dollar, the currency to which the Group had significant exposure as of December 31, 2017 and 2016 in its non-trading monetary assets and liabilities and its forecast cash flows. The analysis calculates the effect of a reasonably possible movement of the currency rate against Soles with all other variables held constant on the consolidated statement of income, before income tax. A negative amount in the table reflects a potential net reduction in the consolidated statement of income, while a positive amount reflects a net potential increase:</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320" w:type="dxa"/>
            <w:vAlign w:val="bottom"/>
          </w:tcPr>
          <w:p>
            <w:pPr>
              <w:spacing w:after="0"/>
              <w:rPr>
                <w:sz w:val="18"/>
                <w:szCs w:val="18"/>
                <w:color w:val="auto"/>
              </w:rPr>
            </w:pPr>
          </w:p>
        </w:tc>
        <w:tc>
          <w:tcPr>
            <w:tcW w:w="6800" w:type="dxa"/>
            <w:vAlign w:val="bottom"/>
            <w:vMerge w:val="restart"/>
          </w:tcPr>
          <w:p>
            <w:pPr>
              <w:spacing w:after="0"/>
              <w:rPr>
                <w:sz w:val="20"/>
                <w:szCs w:val="20"/>
                <w:color w:val="auto"/>
              </w:rPr>
            </w:pPr>
            <w:r>
              <w:rPr>
                <w:rFonts w:ascii="Arial" w:cs="Arial" w:eastAsia="Arial" w:hAnsi="Arial"/>
                <w:sz w:val="17"/>
                <w:szCs w:val="17"/>
                <w:b w:val="1"/>
                <w:bCs w:val="1"/>
                <w:color w:val="auto"/>
              </w:rPr>
              <w:t>Currency rate sensitivity</w:t>
            </w:r>
          </w:p>
        </w:tc>
        <w:tc>
          <w:tcPr>
            <w:tcW w:w="1440" w:type="dxa"/>
            <w:vAlign w:val="bottom"/>
            <w:gridSpan w:val="2"/>
          </w:tcPr>
          <w:p>
            <w:pPr>
              <w:jc w:val="center"/>
              <w:ind w:right="240"/>
              <w:spacing w:after="0"/>
              <w:rPr>
                <w:sz w:val="20"/>
                <w:szCs w:val="20"/>
                <w:color w:val="auto"/>
              </w:rPr>
            </w:pPr>
            <w:r>
              <w:rPr>
                <w:rFonts w:ascii="Arial" w:cs="Arial" w:eastAsia="Arial" w:hAnsi="Arial"/>
                <w:sz w:val="17"/>
                <w:szCs w:val="17"/>
                <w:b w:val="1"/>
                <w:bCs w:val="1"/>
                <w:color w:val="auto"/>
                <w:w w:val="92"/>
              </w:rPr>
              <w:t>Change in</w:t>
            </w: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320" w:type="dxa"/>
            <w:vAlign w:val="bottom"/>
          </w:tcPr>
          <w:p>
            <w:pPr>
              <w:spacing w:after="0"/>
              <w:rPr>
                <w:sz w:val="19"/>
                <w:szCs w:val="19"/>
                <w:color w:val="auto"/>
              </w:rPr>
            </w:pPr>
          </w:p>
        </w:tc>
        <w:tc>
          <w:tcPr>
            <w:tcW w:w="6800" w:type="dxa"/>
            <w:vAlign w:val="bottom"/>
            <w:vMerge w:val="continue"/>
          </w:tcPr>
          <w:p>
            <w:pPr>
              <w:spacing w:after="0"/>
              <w:rPr>
                <w:sz w:val="19"/>
                <w:szCs w:val="19"/>
                <w:color w:val="auto"/>
              </w:rPr>
            </w:pPr>
          </w:p>
        </w:tc>
        <w:tc>
          <w:tcPr>
            <w:tcW w:w="1440" w:type="dxa"/>
            <w:vAlign w:val="bottom"/>
            <w:gridSpan w:val="2"/>
          </w:tcPr>
          <w:p>
            <w:pPr>
              <w:jc w:val="center"/>
              <w:ind w:right="220"/>
              <w:spacing w:after="0"/>
              <w:rPr>
                <w:sz w:val="20"/>
                <w:szCs w:val="20"/>
                <w:color w:val="auto"/>
              </w:rPr>
            </w:pPr>
            <w:r>
              <w:rPr>
                <w:rFonts w:ascii="Arial" w:cs="Arial" w:eastAsia="Arial" w:hAnsi="Arial"/>
                <w:sz w:val="17"/>
                <w:szCs w:val="17"/>
                <w:b w:val="1"/>
                <w:bCs w:val="1"/>
                <w:color w:val="auto"/>
                <w:w w:val="90"/>
              </w:rPr>
              <w:t>currency rates</w:t>
            </w:r>
          </w:p>
        </w:tc>
        <w:tc>
          <w:tcPr>
            <w:tcW w:w="1200" w:type="dxa"/>
            <w:vAlign w:val="bottom"/>
          </w:tcPr>
          <w:p>
            <w:pPr>
              <w:jc w:val="right"/>
              <w:ind w:right="333"/>
              <w:spacing w:after="0"/>
              <w:rPr>
                <w:sz w:val="20"/>
                <w:szCs w:val="20"/>
                <w:color w:val="auto"/>
              </w:rPr>
            </w:pPr>
            <w:r>
              <w:rPr>
                <w:rFonts w:ascii="Arial" w:cs="Arial" w:eastAsia="Arial" w:hAnsi="Arial"/>
                <w:sz w:val="17"/>
                <w:szCs w:val="17"/>
                <w:b w:val="1"/>
                <w:bCs w:val="1"/>
                <w:color w:val="auto"/>
              </w:rPr>
              <w:t>2017</w:t>
            </w:r>
          </w:p>
        </w:tc>
        <w:tc>
          <w:tcPr>
            <w:tcW w:w="200" w:type="dxa"/>
            <w:vAlign w:val="bottom"/>
          </w:tcPr>
          <w:p>
            <w:pPr>
              <w:spacing w:after="0"/>
              <w:rPr>
                <w:sz w:val="19"/>
                <w:szCs w:val="19"/>
                <w:color w:val="auto"/>
              </w:rPr>
            </w:pPr>
          </w:p>
        </w:tc>
        <w:tc>
          <w:tcPr>
            <w:tcW w:w="1200" w:type="dxa"/>
            <w:vAlign w:val="bottom"/>
          </w:tcPr>
          <w:p>
            <w:pPr>
              <w:jc w:val="right"/>
              <w:ind w:right="333"/>
              <w:spacing w:after="0"/>
              <w:rPr>
                <w:sz w:val="20"/>
                <w:szCs w:val="20"/>
                <w:color w:val="auto"/>
              </w:rPr>
            </w:pPr>
            <w:r>
              <w:rPr>
                <w:rFonts w:ascii="Arial" w:cs="Arial" w:eastAsia="Arial" w:hAnsi="Arial"/>
                <w:sz w:val="17"/>
                <w:szCs w:val="17"/>
                <w:b w:val="1"/>
                <w:bCs w:val="1"/>
                <w:color w:val="auto"/>
              </w:rPr>
              <w:t>2016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20" w:type="dxa"/>
            <w:vAlign w:val="bottom"/>
          </w:tcPr>
          <w:p>
            <w:pPr>
              <w:spacing w:after="0"/>
              <w:rPr>
                <w:sz w:val="19"/>
                <w:szCs w:val="19"/>
                <w:color w:val="auto"/>
              </w:rPr>
            </w:pPr>
          </w:p>
        </w:tc>
        <w:tc>
          <w:tcPr>
            <w:tcW w:w="6800" w:type="dxa"/>
            <w:vAlign w:val="bottom"/>
          </w:tcPr>
          <w:p>
            <w:pPr>
              <w:spacing w:after="0"/>
              <w:rPr>
                <w:sz w:val="19"/>
                <w:szCs w:val="19"/>
                <w:color w:val="auto"/>
              </w:rPr>
            </w:pPr>
          </w:p>
        </w:tc>
        <w:tc>
          <w:tcPr>
            <w:tcW w:w="1220" w:type="dxa"/>
            <w:vAlign w:val="bottom"/>
            <w:tcBorders>
              <w:top w:val="single" w:sz="8" w:color="auto"/>
            </w:tcBorders>
          </w:tcPr>
          <w:p>
            <w:pPr>
              <w:jc w:val="center"/>
              <w:spacing w:after="0"/>
              <w:rPr>
                <w:sz w:val="20"/>
                <w:szCs w:val="20"/>
                <w:color w:val="auto"/>
              </w:rPr>
            </w:pPr>
            <w:r>
              <w:rPr>
                <w:rFonts w:ascii="Arial" w:cs="Arial" w:eastAsia="Arial" w:hAnsi="Arial"/>
                <w:sz w:val="17"/>
                <w:szCs w:val="17"/>
                <w:b w:val="1"/>
                <w:bCs w:val="1"/>
                <w:color w:val="auto"/>
              </w:rPr>
              <w:t>%</w:t>
            </w:r>
          </w:p>
        </w:tc>
        <w:tc>
          <w:tcPr>
            <w:tcW w:w="220" w:type="dxa"/>
            <w:vAlign w:val="bottom"/>
          </w:tcPr>
          <w:p>
            <w:pPr>
              <w:spacing w:after="0"/>
              <w:rPr>
                <w:sz w:val="19"/>
                <w:szCs w:val="19"/>
                <w:color w:val="auto"/>
              </w:rPr>
            </w:pPr>
          </w:p>
        </w:tc>
        <w:tc>
          <w:tcPr>
            <w:tcW w:w="1200" w:type="dxa"/>
            <w:vAlign w:val="bottom"/>
            <w:tcBorders>
              <w:top w:val="single" w:sz="8" w:color="auto"/>
            </w:tcBorders>
          </w:tcPr>
          <w:p>
            <w:pPr>
              <w:jc w:val="center"/>
              <w:spacing w:after="0"/>
              <w:rPr>
                <w:sz w:val="20"/>
                <w:szCs w:val="20"/>
                <w:color w:val="auto"/>
              </w:rPr>
            </w:pPr>
            <w:r>
              <w:rPr>
                <w:rFonts w:ascii="Arial" w:cs="Arial" w:eastAsia="Arial" w:hAnsi="Arial"/>
                <w:sz w:val="17"/>
                <w:szCs w:val="17"/>
                <w:b w:val="1"/>
                <w:bCs w:val="1"/>
                <w:color w:val="auto"/>
                <w:w w:val="93"/>
              </w:rPr>
              <w:t>S/(000)</w:t>
            </w:r>
          </w:p>
        </w:tc>
        <w:tc>
          <w:tcPr>
            <w:tcW w:w="200" w:type="dxa"/>
            <w:vAlign w:val="bottom"/>
          </w:tcPr>
          <w:p>
            <w:pPr>
              <w:spacing w:after="0"/>
              <w:rPr>
                <w:sz w:val="19"/>
                <w:szCs w:val="19"/>
                <w:color w:val="auto"/>
              </w:rPr>
            </w:pPr>
          </w:p>
        </w:tc>
        <w:tc>
          <w:tcPr>
            <w:tcW w:w="1200" w:type="dxa"/>
            <w:vAlign w:val="bottom"/>
            <w:tcBorders>
              <w:top w:val="single" w:sz="8" w:color="auto"/>
            </w:tcBorders>
          </w:tcPr>
          <w:p>
            <w:pPr>
              <w:jc w:val="center"/>
              <w:spacing w:after="0"/>
              <w:rPr>
                <w:sz w:val="20"/>
                <w:szCs w:val="20"/>
                <w:color w:val="auto"/>
              </w:rPr>
            </w:pPr>
            <w:r>
              <w:rPr>
                <w:rFonts w:ascii="Arial" w:cs="Arial" w:eastAsia="Arial" w:hAnsi="Arial"/>
                <w:sz w:val="17"/>
                <w:szCs w:val="17"/>
                <w:b w:val="1"/>
                <w:bCs w:val="1"/>
                <w:color w:val="auto"/>
                <w:w w:val="93"/>
              </w:rPr>
              <w:t>S/(000)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320" w:type="dxa"/>
            <w:vAlign w:val="bottom"/>
          </w:tcPr>
          <w:p>
            <w:pPr>
              <w:spacing w:after="0"/>
              <w:rPr>
                <w:sz w:val="16"/>
                <w:szCs w:val="16"/>
                <w:color w:val="auto"/>
              </w:rPr>
            </w:pPr>
          </w:p>
        </w:tc>
        <w:tc>
          <w:tcPr>
            <w:tcW w:w="68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320" w:type="dxa"/>
            <w:vAlign w:val="bottom"/>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7"/>
                <w:szCs w:val="17"/>
                <w:color w:val="auto"/>
              </w:rPr>
              <w:t>Depreciation -</w:t>
            </w: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20" w:type="dxa"/>
            <w:vAlign w:val="bottom"/>
          </w:tcPr>
          <w:p>
            <w:pPr>
              <w:spacing w:after="0"/>
              <w:rPr>
                <w:sz w:val="18"/>
                <w:szCs w:val="18"/>
                <w:color w:val="auto"/>
              </w:rPr>
            </w:pPr>
          </w:p>
        </w:tc>
        <w:tc>
          <w:tcPr>
            <w:tcW w:w="6800" w:type="dxa"/>
            <w:vAlign w:val="bottom"/>
          </w:tcPr>
          <w:p>
            <w:pPr>
              <w:spacing w:after="0"/>
              <w:rPr>
                <w:sz w:val="20"/>
                <w:szCs w:val="20"/>
                <w:color w:val="auto"/>
              </w:rPr>
            </w:pPr>
            <w:r>
              <w:rPr>
                <w:rFonts w:ascii="Arial" w:cs="Arial" w:eastAsia="Arial" w:hAnsi="Arial"/>
                <w:sz w:val="17"/>
                <w:szCs w:val="17"/>
                <w:color w:val="auto"/>
              </w:rPr>
              <w:t>U.S. Dollar</w:t>
            </w:r>
          </w:p>
        </w:tc>
        <w:tc>
          <w:tcPr>
            <w:tcW w:w="1440" w:type="dxa"/>
            <w:vAlign w:val="bottom"/>
            <w:gridSpan w:val="2"/>
          </w:tcPr>
          <w:p>
            <w:pPr>
              <w:jc w:val="right"/>
              <w:ind w:right="220"/>
              <w:spacing w:after="0"/>
              <w:rPr>
                <w:sz w:val="20"/>
                <w:szCs w:val="20"/>
                <w:color w:val="auto"/>
              </w:rPr>
            </w:pPr>
            <w:r>
              <w:rPr>
                <w:rFonts w:ascii="Arial" w:cs="Arial" w:eastAsia="Arial" w:hAnsi="Arial"/>
                <w:sz w:val="17"/>
                <w:szCs w:val="17"/>
                <w:color w:val="auto"/>
              </w:rPr>
              <w:t>5</w:t>
            </w:r>
          </w:p>
        </w:tc>
        <w:tc>
          <w:tcPr>
            <w:tcW w:w="1400" w:type="dxa"/>
            <w:vAlign w:val="bottom"/>
            <w:gridSpan w:val="2"/>
          </w:tcPr>
          <w:p>
            <w:pPr>
              <w:jc w:val="right"/>
              <w:ind w:right="140"/>
              <w:spacing w:after="0"/>
              <w:rPr>
                <w:sz w:val="20"/>
                <w:szCs w:val="20"/>
                <w:color w:val="auto"/>
              </w:rPr>
            </w:pPr>
            <w:r>
              <w:rPr>
                <w:rFonts w:ascii="Arial" w:cs="Arial" w:eastAsia="Arial" w:hAnsi="Arial"/>
                <w:sz w:val="17"/>
                <w:szCs w:val="17"/>
                <w:color w:val="auto"/>
              </w:rPr>
              <w:t>(57,125)</w:t>
            </w:r>
          </w:p>
        </w:tc>
        <w:tc>
          <w:tcPr>
            <w:tcW w:w="1300" w:type="dxa"/>
            <w:vAlign w:val="bottom"/>
            <w:gridSpan w:val="2"/>
          </w:tcPr>
          <w:p>
            <w:pPr>
              <w:jc w:val="right"/>
              <w:ind w:right="40"/>
              <w:spacing w:after="0"/>
              <w:rPr>
                <w:sz w:val="20"/>
                <w:szCs w:val="20"/>
                <w:color w:val="auto"/>
              </w:rPr>
            </w:pPr>
            <w:r>
              <w:rPr>
                <w:rFonts w:ascii="Arial" w:cs="Arial" w:eastAsia="Arial" w:hAnsi="Arial"/>
                <w:sz w:val="17"/>
                <w:szCs w:val="17"/>
                <w:color w:val="auto"/>
              </w:rPr>
              <w:t>(31,257)</w:t>
            </w:r>
          </w:p>
        </w:tc>
        <w:tc>
          <w:tcPr>
            <w:tcW w:w="0" w:type="dxa"/>
            <w:vAlign w:val="bottom"/>
          </w:tcPr>
          <w:p>
            <w:pPr>
              <w:spacing w:after="0"/>
              <w:rPr>
                <w:sz w:val="1"/>
                <w:szCs w:val="1"/>
                <w:color w:val="auto"/>
              </w:rPr>
            </w:pPr>
          </w:p>
        </w:tc>
      </w:tr>
      <w:tr>
        <w:trPr>
          <w:trHeight w:val="208"/>
        </w:trPr>
        <w:tc>
          <w:tcPr>
            <w:tcW w:w="320" w:type="dxa"/>
            <w:vAlign w:val="bottom"/>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7"/>
                <w:szCs w:val="17"/>
                <w:color w:val="auto"/>
              </w:rPr>
              <w:t>U.S. Dollar</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10</w:t>
            </w:r>
          </w:p>
        </w:tc>
        <w:tc>
          <w:tcPr>
            <w:tcW w:w="14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(109,057)</w:t>
            </w:r>
          </w:p>
        </w:tc>
        <w:tc>
          <w:tcPr>
            <w:tcW w:w="13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(59,673)</w:t>
            </w:r>
          </w:p>
        </w:tc>
        <w:tc>
          <w:tcPr>
            <w:tcW w:w="0" w:type="dxa"/>
            <w:vAlign w:val="bottom"/>
          </w:tcPr>
          <w:p>
            <w:pPr>
              <w:spacing w:after="0"/>
              <w:rPr>
                <w:sz w:val="1"/>
                <w:szCs w:val="1"/>
                <w:color w:val="auto"/>
              </w:rPr>
            </w:pPr>
          </w:p>
        </w:tc>
      </w:tr>
      <w:tr>
        <w:trPr>
          <w:trHeight w:val="208"/>
        </w:trPr>
        <w:tc>
          <w:tcPr>
            <w:tcW w:w="320" w:type="dxa"/>
            <w:vAlign w:val="bottom"/>
          </w:tcPr>
          <w:p>
            <w:pPr>
              <w:spacing w:after="0"/>
              <w:rPr>
                <w:sz w:val="18"/>
                <w:szCs w:val="18"/>
                <w:color w:val="auto"/>
              </w:rPr>
            </w:pPr>
          </w:p>
        </w:tc>
        <w:tc>
          <w:tcPr>
            <w:tcW w:w="68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20" w:type="dxa"/>
            <w:vAlign w:val="bottom"/>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7"/>
                <w:szCs w:val="17"/>
                <w:color w:val="auto"/>
              </w:rPr>
              <w:t>Appreciation -</w:t>
            </w: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20" w:type="dxa"/>
            <w:vAlign w:val="bottom"/>
          </w:tcPr>
          <w:p>
            <w:pPr>
              <w:spacing w:after="0"/>
              <w:rPr>
                <w:sz w:val="18"/>
                <w:szCs w:val="18"/>
                <w:color w:val="auto"/>
              </w:rPr>
            </w:pPr>
          </w:p>
        </w:tc>
        <w:tc>
          <w:tcPr>
            <w:tcW w:w="6800" w:type="dxa"/>
            <w:vAlign w:val="bottom"/>
          </w:tcPr>
          <w:p>
            <w:pPr>
              <w:spacing w:after="0"/>
              <w:rPr>
                <w:sz w:val="20"/>
                <w:szCs w:val="20"/>
                <w:color w:val="auto"/>
              </w:rPr>
            </w:pPr>
            <w:r>
              <w:rPr>
                <w:rFonts w:ascii="Arial" w:cs="Arial" w:eastAsia="Arial" w:hAnsi="Arial"/>
                <w:sz w:val="17"/>
                <w:szCs w:val="17"/>
                <w:color w:val="auto"/>
              </w:rPr>
              <w:t>U.S. Dollar</w:t>
            </w:r>
          </w:p>
        </w:tc>
        <w:tc>
          <w:tcPr>
            <w:tcW w:w="1440" w:type="dxa"/>
            <w:vAlign w:val="bottom"/>
            <w:gridSpan w:val="2"/>
          </w:tcPr>
          <w:p>
            <w:pPr>
              <w:jc w:val="right"/>
              <w:ind w:right="220"/>
              <w:spacing w:after="0"/>
              <w:rPr>
                <w:sz w:val="20"/>
                <w:szCs w:val="20"/>
                <w:color w:val="auto"/>
              </w:rPr>
            </w:pPr>
            <w:r>
              <w:rPr>
                <w:rFonts w:ascii="Arial" w:cs="Arial" w:eastAsia="Arial" w:hAnsi="Arial"/>
                <w:sz w:val="17"/>
                <w:szCs w:val="17"/>
                <w:color w:val="auto"/>
              </w:rPr>
              <w:t>5</w:t>
            </w:r>
          </w:p>
        </w:tc>
        <w:tc>
          <w:tcPr>
            <w:tcW w:w="1400" w:type="dxa"/>
            <w:vAlign w:val="bottom"/>
            <w:gridSpan w:val="2"/>
          </w:tcPr>
          <w:p>
            <w:pPr>
              <w:jc w:val="right"/>
              <w:ind w:right="200"/>
              <w:spacing w:after="0"/>
              <w:rPr>
                <w:sz w:val="20"/>
                <w:szCs w:val="20"/>
                <w:color w:val="auto"/>
              </w:rPr>
            </w:pPr>
            <w:r>
              <w:rPr>
                <w:rFonts w:ascii="Arial" w:cs="Arial" w:eastAsia="Arial" w:hAnsi="Arial"/>
                <w:sz w:val="17"/>
                <w:szCs w:val="17"/>
                <w:color w:val="auto"/>
              </w:rPr>
              <w:t>63,138</w:t>
            </w:r>
          </w:p>
        </w:tc>
        <w:tc>
          <w:tcPr>
            <w:tcW w:w="1300" w:type="dxa"/>
            <w:vAlign w:val="bottom"/>
            <w:gridSpan w:val="2"/>
          </w:tcPr>
          <w:p>
            <w:pPr>
              <w:jc w:val="right"/>
              <w:ind w:right="100"/>
              <w:spacing w:after="0"/>
              <w:rPr>
                <w:sz w:val="20"/>
                <w:szCs w:val="20"/>
                <w:color w:val="auto"/>
              </w:rPr>
            </w:pPr>
            <w:r>
              <w:rPr>
                <w:rFonts w:ascii="Arial" w:cs="Arial" w:eastAsia="Arial" w:hAnsi="Arial"/>
                <w:sz w:val="17"/>
                <w:szCs w:val="17"/>
                <w:color w:val="auto"/>
              </w:rPr>
              <w:t>34,548</w:t>
            </w:r>
          </w:p>
        </w:tc>
        <w:tc>
          <w:tcPr>
            <w:tcW w:w="0" w:type="dxa"/>
            <w:vAlign w:val="bottom"/>
          </w:tcPr>
          <w:p>
            <w:pPr>
              <w:spacing w:after="0"/>
              <w:rPr>
                <w:sz w:val="1"/>
                <w:szCs w:val="1"/>
                <w:color w:val="auto"/>
              </w:rPr>
            </w:pPr>
          </w:p>
        </w:tc>
      </w:tr>
      <w:tr>
        <w:trPr>
          <w:trHeight w:val="208"/>
        </w:trPr>
        <w:tc>
          <w:tcPr>
            <w:tcW w:w="320" w:type="dxa"/>
            <w:vAlign w:val="bottom"/>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7"/>
                <w:szCs w:val="17"/>
                <w:color w:val="auto"/>
              </w:rPr>
              <w:t>U.S. Dollar</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10</w:t>
            </w: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133,292</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72,934</w:t>
            </w:r>
          </w:p>
        </w:tc>
        <w:tc>
          <w:tcPr>
            <w:tcW w:w="0" w:type="dxa"/>
            <w:vAlign w:val="bottom"/>
          </w:tcPr>
          <w:p>
            <w:pPr>
              <w:spacing w:after="0"/>
              <w:rPr>
                <w:sz w:val="1"/>
                <w:szCs w:val="1"/>
                <w:color w:val="auto"/>
              </w:rPr>
            </w:pPr>
          </w:p>
        </w:tc>
      </w:tr>
      <w:tr>
        <w:trPr>
          <w:trHeight w:val="416"/>
        </w:trPr>
        <w:tc>
          <w:tcPr>
            <w:tcW w:w="320" w:type="dxa"/>
            <w:vAlign w:val="bottom"/>
          </w:tcPr>
          <w:p>
            <w:pPr>
              <w:jc w:val="right"/>
              <w:spacing w:after="0"/>
              <w:rPr>
                <w:sz w:val="20"/>
                <w:szCs w:val="20"/>
                <w:color w:val="auto"/>
              </w:rPr>
            </w:pPr>
            <w:r>
              <w:rPr>
                <w:rFonts w:ascii="Arial" w:cs="Arial" w:eastAsia="Arial" w:hAnsi="Arial"/>
                <w:sz w:val="17"/>
                <w:szCs w:val="17"/>
                <w:b w:val="1"/>
                <w:bCs w:val="1"/>
                <w:color w:val="auto"/>
                <w:w w:val="84"/>
              </w:rPr>
              <w:t>32.3</w:t>
            </w:r>
          </w:p>
        </w:tc>
        <w:tc>
          <w:tcPr>
            <w:tcW w:w="6800" w:type="dxa"/>
            <w:vAlign w:val="bottom"/>
          </w:tcPr>
          <w:p>
            <w:pPr>
              <w:ind w:left="300"/>
              <w:spacing w:after="0"/>
              <w:rPr>
                <w:sz w:val="20"/>
                <w:szCs w:val="20"/>
                <w:color w:val="auto"/>
              </w:rPr>
            </w:pPr>
            <w:r>
              <w:rPr>
                <w:rFonts w:ascii="Arial" w:cs="Arial" w:eastAsia="Arial" w:hAnsi="Arial"/>
                <w:sz w:val="17"/>
                <w:szCs w:val="17"/>
                <w:b w:val="1"/>
                <w:bCs w:val="1"/>
                <w:color w:val="auto"/>
              </w:rPr>
              <w:t>Liquidity risk</w:t>
            </w:r>
          </w:p>
        </w:tc>
        <w:tc>
          <w:tcPr>
            <w:tcW w:w="1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95"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Liquidity risk is the risk that the Group is unable to meet its payment obligations associated with its short-term financial liabilities when they fall due and to replace funds when they are withdrawn. The consequence may be the failure to meet obligations to repay depositors, fulfill commitments to lend or meet other operating cash needs.</w:t>
      </w:r>
    </w:p>
    <w:p>
      <w:pPr>
        <w:spacing w:after="0" w:line="172" w:lineRule="exact"/>
        <w:rPr>
          <w:sz w:val="20"/>
          <w:szCs w:val="20"/>
          <w:color w:val="auto"/>
        </w:rPr>
      </w:pPr>
    </w:p>
    <w:p>
      <w:pPr>
        <w:ind w:right="160"/>
        <w:spacing w:after="0" w:line="311" w:lineRule="auto"/>
        <w:rPr>
          <w:sz w:val="20"/>
          <w:szCs w:val="20"/>
          <w:color w:val="auto"/>
        </w:rPr>
      </w:pPr>
      <w:r>
        <w:rPr>
          <w:rFonts w:ascii="Arial" w:cs="Arial" w:eastAsia="Arial" w:hAnsi="Arial"/>
          <w:sz w:val="15"/>
          <w:szCs w:val="15"/>
          <w:color w:val="auto"/>
        </w:rPr>
        <w:t>The Group is exposed to daily calls on, among others, its available cash resources from overnight deposits, current accounts, maturing deposits, loan draw-downs, guarantees and other calls. The Management of the Group’s subsidiaries sets limits on the minimum proportion of funds available to meet such calls and on the minimum level of inter-bank and other borrowing facilities that should be in place to cover withdrawals at unexpected levels of demand. Sources of liquidity are regularly reviewed by the Market Risk Management Department to maintain a wide diversification by currency, geography, provider, product and term.</w:t>
      </w:r>
    </w:p>
    <w:p>
      <w:pPr>
        <w:spacing w:after="0" w:line="35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- 135 -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15875</wp:posOffset>
            </wp:positionV>
            <wp:extent cx="725170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51700" cy="8255"/>
                    </a:xfrm>
                    <a:prstGeom prst="rect">
                      <a:avLst/>
                    </a:prstGeom>
                    <a:noFill/>
                  </pic:spPr>
                </pic:pic>
              </a:graphicData>
            </a:graphic>
          </wp:anchor>
        </w:drawing>
      </w:r>
    </w:p>
    <w:p>
      <w:pPr>
        <w:sectPr>
          <w:pgSz w:w="11900" w:h="16838" w:orient="portrait"/>
          <w:cols w:equalWidth="0" w:num="1">
            <w:col w:w="11400"/>
          </w:cols>
          <w:pgMar w:left="240" w:top="881" w:right="259" w:bottom="1440" w:gutter="0" w:footer="0" w:header="0"/>
        </w:sectPr>
      </w:pPr>
    </w:p>
    <w:bookmarkStart w:id="141" w:name="page142"/>
    <w:bookmarkEnd w:id="141"/>
    <w:p>
      <w:pPr>
        <w:ind w:right="180"/>
        <w:spacing w:after="0" w:line="270" w:lineRule="auto"/>
        <w:rPr>
          <w:sz w:val="20"/>
          <w:szCs w:val="20"/>
          <w:color w:val="auto"/>
        </w:rPr>
      </w:pPr>
      <w:r>
        <w:rPr>
          <w:rFonts w:ascii="Arial" w:cs="Arial" w:eastAsia="Arial" w:hAnsi="Arial"/>
          <w:sz w:val="17"/>
          <w:szCs w:val="17"/>
          <w:color w:val="auto"/>
        </w:rPr>
        <w:t>The matching and controlled mismatching of the maturities and interest rates of assets and liabilities is fundamental to the management of the Group. It is unusual for banks to be completely matched, as transacted business is often based on uncertain terms and of different types. An unmatched position potentially enhances profitability, but also increases the risk of losses.</w:t>
      </w:r>
    </w:p>
    <w:p>
      <w:pPr>
        <w:spacing w:after="0" w:line="172" w:lineRule="exact"/>
        <w:rPr>
          <w:sz w:val="20"/>
          <w:szCs w:val="20"/>
          <w:color w:val="auto"/>
        </w:rPr>
      </w:pPr>
    </w:p>
    <w:p>
      <w:pPr>
        <w:spacing w:after="0" w:line="285" w:lineRule="auto"/>
        <w:rPr>
          <w:sz w:val="20"/>
          <w:szCs w:val="20"/>
          <w:color w:val="auto"/>
        </w:rPr>
      </w:pPr>
      <w:r>
        <w:rPr>
          <w:rFonts w:ascii="Arial" w:cs="Arial" w:eastAsia="Arial" w:hAnsi="Arial"/>
          <w:sz w:val="17"/>
          <w:szCs w:val="17"/>
          <w:color w:val="auto"/>
        </w:rPr>
        <w:t>The maturities of assets and liabilities and the ability to replace, at an acceptable cost, interest-bearing liabilities as they mature are important factors in assessing the liquidity of the Group.</w:t>
      </w:r>
    </w:p>
    <w:p>
      <w:pPr>
        <w:spacing w:after="0" w:line="159" w:lineRule="exact"/>
        <w:rPr>
          <w:sz w:val="20"/>
          <w:szCs w:val="20"/>
          <w:color w:val="auto"/>
        </w:rPr>
      </w:pPr>
    </w:p>
    <w:p>
      <w:pPr>
        <w:ind w:right="40"/>
        <w:spacing w:after="0" w:line="265" w:lineRule="auto"/>
        <w:rPr>
          <w:sz w:val="20"/>
          <w:szCs w:val="20"/>
          <w:color w:val="auto"/>
        </w:rPr>
      </w:pPr>
      <w:r>
        <w:rPr>
          <w:rFonts w:ascii="Arial" w:cs="Arial" w:eastAsia="Arial" w:hAnsi="Arial"/>
          <w:sz w:val="17"/>
          <w:szCs w:val="17"/>
          <w:color w:val="auto"/>
        </w:rPr>
        <w:t>A mismatch, in the maturity of long-term illiquid assets against short-term liabilities, exposes the consolidated statement of financial position to risks related both to rollover and to interest rates. If liquid assets do not cover maturing debts, a consolidated statement of financial position is vulnerable to a rollover risk. Furthermore, a sharp increase in interest rates can dramatically increase the cost of rolling over short-term liabilities, leading to a rapid increase in debt service. The contractual-maturity gap report is useful in showing liquidity characteristics.</w:t>
      </w:r>
    </w:p>
    <w:p>
      <w:pPr>
        <w:spacing w:after="0" w:line="176" w:lineRule="exact"/>
        <w:rPr>
          <w:sz w:val="20"/>
          <w:szCs w:val="20"/>
          <w:color w:val="auto"/>
        </w:rPr>
      </w:pPr>
    </w:p>
    <w:p>
      <w:pPr>
        <w:ind w:right="160"/>
        <w:spacing w:after="0" w:line="270" w:lineRule="auto"/>
        <w:rPr>
          <w:sz w:val="20"/>
          <w:szCs w:val="20"/>
          <w:color w:val="auto"/>
        </w:rPr>
      </w:pPr>
      <w:r>
        <w:rPr>
          <w:rFonts w:ascii="Arial" w:cs="Arial" w:eastAsia="Arial" w:hAnsi="Arial"/>
          <w:sz w:val="17"/>
          <w:szCs w:val="17"/>
          <w:color w:val="auto"/>
        </w:rPr>
        <w:t>Corporate policies have been implemented for liquidity risk management by the Group. These policies are consistent with the particular characteristics of each operating segment in which each of the Group companies operate. Risk Management heads set up limits and autonomy models to determine the adequate liquidity indicators to be managed.</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Commercial banking</w:t>
      </w:r>
      <w:r>
        <w:rPr>
          <w:rFonts w:ascii="Arial" w:cs="Arial" w:eastAsia="Arial" w:hAnsi="Arial"/>
          <w:sz w:val="17"/>
          <w:szCs w:val="17"/>
          <w:color w:val="auto"/>
        </w:rPr>
        <w:t>:</w:t>
      </w:r>
    </w:p>
    <w:p>
      <w:pPr>
        <w:spacing w:after="0" w:line="31" w:lineRule="exact"/>
        <w:rPr>
          <w:sz w:val="20"/>
          <w:szCs w:val="20"/>
          <w:color w:val="auto"/>
        </w:rPr>
      </w:pPr>
    </w:p>
    <w:p>
      <w:pPr>
        <w:ind w:right="20"/>
        <w:spacing w:after="0" w:line="258" w:lineRule="auto"/>
        <w:rPr>
          <w:sz w:val="20"/>
          <w:szCs w:val="20"/>
          <w:color w:val="auto"/>
        </w:rPr>
      </w:pPr>
      <w:r>
        <w:rPr>
          <w:rFonts w:ascii="Arial" w:cs="Arial" w:eastAsia="Arial" w:hAnsi="Arial"/>
          <w:sz w:val="17"/>
          <w:szCs w:val="17"/>
          <w:color w:val="auto"/>
        </w:rPr>
        <w:t>Liquidity risk exposure in BCP Peru, BCP Bolivia, Mibanco and Atlantic Security Bank is based on indicators such as the Internal Liquidity Coverage Ratio (RCLI, the Spanish acronym) which measures the amount of liquid assets available to meet cash outflows needs within a given stress scenario for a period of 30 days and the Internal Ratio of Stable Net Funding (RFNEI, the Spanish acronym), which is intended to guarantee that long-term assets are financed at least with a minimum number of stable liabilities within a prolonged liquidity crisis scenario; the latter works as a minimum compliance mechanism that supplements the RCLI. The core limits of these indicators are 100% and any excess is presented in the Credicorp Treasury Risk Committee, Credicorp Risk Committee and ALM of the respective subsidiary.</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Insurance:</w:t>
      </w:r>
    </w:p>
    <w:p>
      <w:pPr>
        <w:spacing w:after="0" w:line="31"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color w:val="auto"/>
        </w:rPr>
        <w:t>Liquidity risk management in Pacífico Grupo Asegurador follows a particular approach given the nature of the business. For annually renewable businesses, mainly “Pacífico Seguros”, the emphasis of liquidity is focused on the quick availability or resources in the event of a systemic event (e.g. earthquake); for this purpose, there are minimum investment indicators in place relating to local cash/time deposits and foreign fixed-income instruments of high quality and liquidity.</w:t>
      </w:r>
    </w:p>
    <w:p>
      <w:pPr>
        <w:spacing w:after="0" w:line="161" w:lineRule="exact"/>
        <w:rPr>
          <w:sz w:val="20"/>
          <w:szCs w:val="20"/>
          <w:color w:val="auto"/>
        </w:rPr>
      </w:pPr>
    </w:p>
    <w:p>
      <w:pPr>
        <w:ind w:right="40"/>
        <w:spacing w:after="0" w:line="265" w:lineRule="auto"/>
        <w:rPr>
          <w:sz w:val="20"/>
          <w:szCs w:val="20"/>
          <w:color w:val="auto"/>
        </w:rPr>
      </w:pPr>
      <w:r>
        <w:rPr>
          <w:rFonts w:ascii="Arial" w:cs="Arial" w:eastAsia="Arial" w:hAnsi="Arial"/>
          <w:sz w:val="17"/>
          <w:szCs w:val="17"/>
          <w:color w:val="auto"/>
        </w:rPr>
        <w:t>For long-term businesses such as Pacífico Seguros, given the nature of the products offered and the contractual relationship with customers (the liquidity risk is not material); the emphasis is on maintaining sufficient flow of assets and matching their maturities with maturities of obligations (mathematical technical reserves); for this purpose there are indicators that measure the asset/liability sufficiency and adequacy as well as calculations or economic capital subject to interest rate risk, a methodology of Credicorp.</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AFPs:</w:t>
      </w:r>
    </w:p>
    <w:p>
      <w:pPr>
        <w:spacing w:after="0" w:line="31" w:lineRule="exact"/>
        <w:rPr>
          <w:sz w:val="20"/>
          <w:szCs w:val="20"/>
          <w:color w:val="auto"/>
        </w:rPr>
      </w:pPr>
    </w:p>
    <w:p>
      <w:pPr>
        <w:ind w:right="20"/>
        <w:spacing w:after="0" w:line="262" w:lineRule="auto"/>
        <w:rPr>
          <w:sz w:val="20"/>
          <w:szCs w:val="20"/>
          <w:color w:val="auto"/>
        </w:rPr>
      </w:pPr>
      <w:r>
        <w:rPr>
          <w:rFonts w:ascii="Arial" w:cs="Arial" w:eastAsia="Arial" w:hAnsi="Arial"/>
          <w:sz w:val="17"/>
          <w:szCs w:val="17"/>
          <w:color w:val="auto"/>
        </w:rPr>
        <w:t>Liquidity risk management in AFP Prima is carried out in a differentiated manner between the fund administrator and the funds being managed. Liquidity management regarding the fund administrator is focused on meeting periodic operating expense needs, which are supported with the collection of commissions. The fund administering entity does not record unexpected outflows of liquidity.</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- 136 -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15875</wp:posOffset>
            </wp:positionV>
            <wp:extent cx="725170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51700" cy="8255"/>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142" w:name="page143"/>
    <w:bookmarkEnd w:id="142"/>
    <w:p>
      <w:pPr>
        <w:spacing w:after="0"/>
        <w:rPr>
          <w:sz w:val="20"/>
          <w:szCs w:val="20"/>
          <w:color w:val="auto"/>
        </w:rPr>
      </w:pPr>
      <w:r>
        <w:rPr>
          <w:rFonts w:ascii="Arial" w:cs="Arial" w:eastAsia="Arial" w:hAnsi="Arial"/>
          <w:sz w:val="17"/>
          <w:szCs w:val="17"/>
          <w:b w:val="1"/>
          <w:bCs w:val="1"/>
          <w:color w:val="auto"/>
        </w:rPr>
        <w:t>Investment banking:</w:t>
      </w:r>
    </w:p>
    <w:p>
      <w:pPr>
        <w:spacing w:after="0" w:line="31" w:lineRule="exact"/>
        <w:rPr>
          <w:sz w:val="20"/>
          <w:szCs w:val="20"/>
          <w:color w:val="auto"/>
        </w:rPr>
      </w:pPr>
    </w:p>
    <w:p>
      <w:pPr>
        <w:spacing w:after="0" w:line="281" w:lineRule="auto"/>
        <w:rPr>
          <w:sz w:val="20"/>
          <w:szCs w:val="20"/>
          <w:color w:val="auto"/>
        </w:rPr>
      </w:pPr>
      <w:r>
        <w:rPr>
          <w:rFonts w:ascii="Arial" w:cs="Arial" w:eastAsia="Arial" w:hAnsi="Arial"/>
          <w:sz w:val="16"/>
          <w:szCs w:val="16"/>
          <w:color w:val="auto"/>
        </w:rPr>
        <w:t>Liquidity risk in the Grupo Credicorp Capital (Credicorp Capital Colombia, IM Trust y Credicorp Capital Perú) principally affects the security brokerage. In managing this risk, limits of use of liquidity have been established as well as matching maturities by dealing desk; follow-up on liquidity is performed on a daily basis for a short-term horizon covering the coming settlements. If short-term unmatched maturities are identified, repos are used. On the other hand, structural liquidity risk of Credicorp Capital is not significant given the low levels of debt, which is monitored regularly using financial planning tools.</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color w:val="auto"/>
        </w:rPr>
        <w:t>Companies perform a liquidity risk management using the liquidity Gap or contractual maturity Gap.</w:t>
      </w:r>
    </w:p>
    <w:p>
      <w:pPr>
        <w:spacing w:after="0" w:line="200" w:lineRule="exact"/>
        <w:rPr>
          <w:sz w:val="20"/>
          <w:szCs w:val="20"/>
          <w:color w:val="auto"/>
        </w:rPr>
      </w:pPr>
    </w:p>
    <w:p>
      <w:pPr>
        <w:spacing w:after="0" w:line="228" w:lineRule="exact"/>
        <w:rPr>
          <w:sz w:val="20"/>
          <w:szCs w:val="20"/>
          <w:color w:val="auto"/>
        </w:rPr>
      </w:pPr>
    </w:p>
    <w:p>
      <w:pPr>
        <w:jc w:val="center"/>
        <w:ind w:right="-299"/>
        <w:spacing w:after="0"/>
        <w:rPr>
          <w:sz w:val="20"/>
          <w:szCs w:val="20"/>
          <w:color w:val="auto"/>
        </w:rPr>
      </w:pPr>
      <w:r>
        <w:rPr>
          <w:rFonts w:ascii="Arial" w:cs="Arial" w:eastAsia="Arial" w:hAnsi="Arial"/>
          <w:sz w:val="17"/>
          <w:szCs w:val="17"/>
          <w:color w:val="auto"/>
        </w:rPr>
        <w:t>- 137 -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15875</wp:posOffset>
            </wp:positionV>
            <wp:extent cx="725170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51700" cy="8255"/>
                    </a:xfrm>
                    <a:prstGeom prst="rect">
                      <a:avLst/>
                    </a:prstGeom>
                    <a:noFill/>
                  </pic:spPr>
                </pic:pic>
              </a:graphicData>
            </a:graphic>
          </wp:anchor>
        </w:drawing>
      </w:r>
    </w:p>
    <w:p>
      <w:pPr>
        <w:sectPr>
          <w:pgSz w:w="11900" w:h="16838" w:orient="portrait"/>
          <w:cols w:equalWidth="0" w:num="1">
            <w:col w:w="11140"/>
          </w:cols>
          <w:pgMar w:left="240" w:top="875" w:right="519" w:bottom="1440" w:gutter="0" w:footer="0" w:header="0"/>
        </w:sectPr>
      </w:pPr>
    </w:p>
    <w:bookmarkStart w:id="143" w:name="page144"/>
    <w:bookmarkEnd w:id="143"/>
    <w:p>
      <w:pPr>
        <w:ind w:right="880"/>
        <w:spacing w:after="0" w:line="285" w:lineRule="auto"/>
        <w:rPr>
          <w:sz w:val="20"/>
          <w:szCs w:val="20"/>
          <w:color w:val="auto"/>
        </w:rPr>
      </w:pPr>
      <w:r>
        <w:rPr>
          <w:rFonts w:ascii="Arial" w:cs="Arial" w:eastAsia="Arial" w:hAnsi="Arial"/>
          <w:sz w:val="17"/>
          <w:szCs w:val="17"/>
          <w:color w:val="auto"/>
        </w:rPr>
        <w:t>The table below presents the cash flows payable by the Group by remaining contractual maturities (including future interest payments) at the date of the consolidated statement of financial position. The amounts disclosed in the table are the contractual undiscounted cash flows: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104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6"/>
          </w:tcPr>
          <w:p>
            <w:pPr>
              <w:spacing w:after="0"/>
              <w:rPr>
                <w:sz w:val="20"/>
                <w:szCs w:val="20"/>
                <w:color w:val="auto"/>
              </w:rPr>
            </w:pPr>
            <w:r>
              <w:rPr>
                <w:rFonts w:ascii="Arial" w:cs="Arial" w:eastAsia="Arial" w:hAnsi="Arial"/>
                <w:sz w:val="14"/>
                <w:szCs w:val="14"/>
                <w:b w:val="1"/>
                <w:bCs w:val="1"/>
                <w:color w:val="auto"/>
                <w:w w:val="99"/>
              </w:rPr>
              <w:t>As of December 31, 2017</w:t>
            </w:r>
          </w:p>
        </w:tc>
        <w:tc>
          <w:tcPr>
            <w:tcW w:w="7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7"/>
          </w:tcPr>
          <w:p>
            <w:pPr>
              <w:jc w:val="center"/>
              <w:ind w:right="140"/>
              <w:spacing w:after="0"/>
              <w:rPr>
                <w:sz w:val="20"/>
                <w:szCs w:val="20"/>
                <w:color w:val="auto"/>
              </w:rPr>
            </w:pPr>
            <w:r>
              <w:rPr>
                <w:rFonts w:ascii="Arial" w:cs="Arial" w:eastAsia="Arial" w:hAnsi="Arial"/>
                <w:sz w:val="14"/>
                <w:szCs w:val="14"/>
                <w:b w:val="1"/>
                <w:bCs w:val="1"/>
                <w:color w:val="auto"/>
                <w:w w:val="88"/>
              </w:rPr>
              <w:t>As of December 31, 2016</w:t>
            </w:r>
          </w:p>
        </w:tc>
        <w:tc>
          <w:tcPr>
            <w:tcW w:w="6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3"/>
        </w:trPr>
        <w:tc>
          <w:tcPr>
            <w:tcW w:w="1040" w:type="dxa"/>
            <w:vAlign w:val="bottom"/>
          </w:tcPr>
          <w:p>
            <w:pPr>
              <w:spacing w:after="0"/>
              <w:rPr>
                <w:sz w:val="9"/>
                <w:szCs w:val="9"/>
                <w:color w:val="auto"/>
              </w:rPr>
            </w:pPr>
          </w:p>
        </w:tc>
        <w:tc>
          <w:tcPr>
            <w:tcW w:w="1040" w:type="dxa"/>
            <w:vAlign w:val="bottom"/>
            <w:gridSpan w:val="4"/>
            <w:vMerge w:val="restart"/>
          </w:tcPr>
          <w:p>
            <w:pPr>
              <w:ind w:left="60"/>
              <w:spacing w:after="0"/>
              <w:rPr>
                <w:sz w:val="20"/>
                <w:szCs w:val="20"/>
                <w:color w:val="auto"/>
              </w:rPr>
            </w:pPr>
            <w:r>
              <w:rPr>
                <w:rFonts w:ascii="Arial" w:cs="Arial" w:eastAsia="Arial" w:hAnsi="Arial"/>
                <w:sz w:val="14"/>
                <w:szCs w:val="14"/>
                <w:b w:val="1"/>
                <w:bCs w:val="1"/>
                <w:color w:val="auto"/>
              </w:rPr>
              <w:t>Up to a month</w:t>
            </w:r>
          </w:p>
        </w:tc>
        <w:tc>
          <w:tcPr>
            <w:tcW w:w="820" w:type="dxa"/>
            <w:vAlign w:val="bottom"/>
            <w:gridSpan w:val="3"/>
          </w:tcPr>
          <w:p>
            <w:pPr>
              <w:jc w:val="right"/>
              <w:ind w:right="200"/>
              <w:spacing w:after="0" w:line="114" w:lineRule="exact"/>
              <w:rPr>
                <w:sz w:val="20"/>
                <w:szCs w:val="20"/>
                <w:color w:val="auto"/>
              </w:rPr>
            </w:pPr>
            <w:r>
              <w:rPr>
                <w:rFonts w:ascii="Arial" w:cs="Arial" w:eastAsia="Arial" w:hAnsi="Arial"/>
                <w:sz w:val="13"/>
                <w:szCs w:val="13"/>
                <w:b w:val="1"/>
                <w:bCs w:val="1"/>
                <w:color w:val="auto"/>
              </w:rPr>
              <w:t>From 1 to</w:t>
            </w:r>
          </w:p>
        </w:tc>
        <w:tc>
          <w:tcPr>
            <w:tcW w:w="840" w:type="dxa"/>
            <w:vAlign w:val="bottom"/>
            <w:gridSpan w:val="3"/>
          </w:tcPr>
          <w:p>
            <w:pPr>
              <w:ind w:left="40"/>
              <w:spacing w:after="0" w:line="114" w:lineRule="exact"/>
              <w:rPr>
                <w:sz w:val="20"/>
                <w:szCs w:val="20"/>
                <w:color w:val="auto"/>
              </w:rPr>
            </w:pPr>
            <w:r>
              <w:rPr>
                <w:rFonts w:ascii="Arial" w:cs="Arial" w:eastAsia="Arial" w:hAnsi="Arial"/>
                <w:sz w:val="13"/>
                <w:szCs w:val="13"/>
                <w:b w:val="1"/>
                <w:bCs w:val="1"/>
                <w:color w:val="auto"/>
              </w:rPr>
              <w:t>From 3 to</w:t>
            </w:r>
          </w:p>
        </w:tc>
        <w:tc>
          <w:tcPr>
            <w:tcW w:w="820" w:type="dxa"/>
            <w:vAlign w:val="bottom"/>
            <w:gridSpan w:val="3"/>
          </w:tcPr>
          <w:p>
            <w:pPr>
              <w:jc w:val="center"/>
              <w:ind w:right="160"/>
              <w:spacing w:after="0" w:line="114" w:lineRule="exact"/>
              <w:rPr>
                <w:sz w:val="20"/>
                <w:szCs w:val="20"/>
                <w:color w:val="auto"/>
              </w:rPr>
            </w:pPr>
            <w:r>
              <w:rPr>
                <w:rFonts w:ascii="Arial" w:cs="Arial" w:eastAsia="Arial" w:hAnsi="Arial"/>
                <w:sz w:val="13"/>
                <w:szCs w:val="13"/>
                <w:b w:val="1"/>
                <w:bCs w:val="1"/>
                <w:color w:val="auto"/>
                <w:w w:val="97"/>
              </w:rPr>
              <w:t>From 1 to</w:t>
            </w:r>
          </w:p>
        </w:tc>
        <w:tc>
          <w:tcPr>
            <w:tcW w:w="840" w:type="dxa"/>
            <w:vAlign w:val="bottom"/>
            <w:gridSpan w:val="3"/>
          </w:tcPr>
          <w:p>
            <w:pPr>
              <w:jc w:val="center"/>
              <w:ind w:right="140"/>
              <w:spacing w:after="0" w:line="114" w:lineRule="exact"/>
              <w:rPr>
                <w:sz w:val="20"/>
                <w:szCs w:val="20"/>
                <w:color w:val="auto"/>
              </w:rPr>
            </w:pPr>
            <w:r>
              <w:rPr>
                <w:rFonts w:ascii="Arial" w:cs="Arial" w:eastAsia="Arial" w:hAnsi="Arial"/>
                <w:sz w:val="13"/>
                <w:szCs w:val="13"/>
                <w:b w:val="1"/>
                <w:bCs w:val="1"/>
                <w:color w:val="auto"/>
              </w:rPr>
              <w:t>Over 5</w:t>
            </w:r>
          </w:p>
        </w:tc>
        <w:tc>
          <w:tcPr>
            <w:tcW w:w="900" w:type="dxa"/>
            <w:vAlign w:val="bottom"/>
            <w:gridSpan w:val="3"/>
            <w:vMerge w:val="restart"/>
          </w:tcPr>
          <w:p>
            <w:pPr>
              <w:ind w:left="220"/>
              <w:spacing w:after="0"/>
              <w:rPr>
                <w:sz w:val="20"/>
                <w:szCs w:val="20"/>
                <w:color w:val="auto"/>
              </w:rPr>
            </w:pPr>
            <w:r>
              <w:rPr>
                <w:rFonts w:ascii="Arial" w:cs="Arial" w:eastAsia="Arial" w:hAnsi="Arial"/>
                <w:sz w:val="14"/>
                <w:szCs w:val="14"/>
                <w:b w:val="1"/>
                <w:bCs w:val="1"/>
                <w:color w:val="auto"/>
              </w:rPr>
              <w:t>Total</w:t>
            </w:r>
          </w:p>
        </w:tc>
        <w:tc>
          <w:tcPr>
            <w:tcW w:w="9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Up to a month</w:t>
            </w:r>
          </w:p>
        </w:tc>
        <w:tc>
          <w:tcPr>
            <w:tcW w:w="760" w:type="dxa"/>
            <w:vAlign w:val="bottom"/>
            <w:gridSpan w:val="2"/>
          </w:tcPr>
          <w:p>
            <w:pPr>
              <w:jc w:val="right"/>
              <w:ind w:right="71"/>
              <w:spacing w:after="0" w:line="114" w:lineRule="exact"/>
              <w:rPr>
                <w:sz w:val="20"/>
                <w:szCs w:val="20"/>
                <w:color w:val="auto"/>
              </w:rPr>
            </w:pPr>
            <w:r>
              <w:rPr>
                <w:rFonts w:ascii="Arial" w:cs="Arial" w:eastAsia="Arial" w:hAnsi="Arial"/>
                <w:sz w:val="13"/>
                <w:szCs w:val="13"/>
                <w:b w:val="1"/>
                <w:bCs w:val="1"/>
                <w:color w:val="auto"/>
              </w:rPr>
              <w:t>From 1 to</w:t>
            </w:r>
          </w:p>
        </w:tc>
        <w:tc>
          <w:tcPr>
            <w:tcW w:w="80" w:type="dxa"/>
            <w:vAlign w:val="bottom"/>
          </w:tcPr>
          <w:p>
            <w:pPr>
              <w:spacing w:after="0"/>
              <w:rPr>
                <w:sz w:val="9"/>
                <w:szCs w:val="9"/>
                <w:color w:val="auto"/>
              </w:rPr>
            </w:pPr>
          </w:p>
        </w:tc>
        <w:tc>
          <w:tcPr>
            <w:tcW w:w="820" w:type="dxa"/>
            <w:vAlign w:val="bottom"/>
            <w:gridSpan w:val="3"/>
          </w:tcPr>
          <w:p>
            <w:pPr>
              <w:ind w:left="20"/>
              <w:spacing w:after="0" w:line="114" w:lineRule="exact"/>
              <w:rPr>
                <w:sz w:val="20"/>
                <w:szCs w:val="20"/>
                <w:color w:val="auto"/>
              </w:rPr>
            </w:pPr>
            <w:r>
              <w:rPr>
                <w:rFonts w:ascii="Arial" w:cs="Arial" w:eastAsia="Arial" w:hAnsi="Arial"/>
                <w:sz w:val="13"/>
                <w:szCs w:val="13"/>
                <w:b w:val="1"/>
                <w:bCs w:val="1"/>
                <w:color w:val="auto"/>
              </w:rPr>
              <w:t>From 3 to</w:t>
            </w:r>
          </w:p>
        </w:tc>
        <w:tc>
          <w:tcPr>
            <w:tcW w:w="820" w:type="dxa"/>
            <w:vAlign w:val="bottom"/>
            <w:gridSpan w:val="3"/>
          </w:tcPr>
          <w:p>
            <w:pPr>
              <w:jc w:val="center"/>
              <w:ind w:right="120"/>
              <w:spacing w:after="0" w:line="114" w:lineRule="exact"/>
              <w:rPr>
                <w:sz w:val="20"/>
                <w:szCs w:val="20"/>
                <w:color w:val="auto"/>
              </w:rPr>
            </w:pPr>
            <w:r>
              <w:rPr>
                <w:rFonts w:ascii="Arial" w:cs="Arial" w:eastAsia="Arial" w:hAnsi="Arial"/>
                <w:sz w:val="13"/>
                <w:szCs w:val="13"/>
                <w:b w:val="1"/>
                <w:bCs w:val="1"/>
                <w:color w:val="auto"/>
                <w:w w:val="97"/>
              </w:rPr>
              <w:t>From 1 to</w:t>
            </w:r>
          </w:p>
        </w:tc>
        <w:tc>
          <w:tcPr>
            <w:tcW w:w="840" w:type="dxa"/>
            <w:vAlign w:val="bottom"/>
            <w:gridSpan w:val="3"/>
          </w:tcPr>
          <w:p>
            <w:pPr>
              <w:jc w:val="center"/>
              <w:ind w:right="160"/>
              <w:spacing w:after="0" w:line="114" w:lineRule="exact"/>
              <w:rPr>
                <w:sz w:val="20"/>
                <w:szCs w:val="20"/>
                <w:color w:val="auto"/>
              </w:rPr>
            </w:pPr>
            <w:r>
              <w:rPr>
                <w:rFonts w:ascii="Arial" w:cs="Arial" w:eastAsia="Arial" w:hAnsi="Arial"/>
                <w:sz w:val="13"/>
                <w:szCs w:val="13"/>
                <w:b w:val="1"/>
                <w:bCs w:val="1"/>
                <w:color w:val="auto"/>
                <w:w w:val="98"/>
              </w:rPr>
              <w:t>Over 5</w:t>
            </w:r>
          </w:p>
        </w:tc>
        <w:tc>
          <w:tcPr>
            <w:tcW w:w="82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5"/>
        </w:trPr>
        <w:tc>
          <w:tcPr>
            <w:tcW w:w="1040" w:type="dxa"/>
            <w:vAlign w:val="bottom"/>
          </w:tcPr>
          <w:p>
            <w:pPr>
              <w:spacing w:after="0"/>
              <w:rPr>
                <w:sz w:val="14"/>
                <w:szCs w:val="14"/>
                <w:color w:val="auto"/>
              </w:rPr>
            </w:pPr>
          </w:p>
        </w:tc>
        <w:tc>
          <w:tcPr>
            <w:tcW w:w="1040" w:type="dxa"/>
            <w:vAlign w:val="bottom"/>
            <w:gridSpan w:val="4"/>
            <w:vMerge w:val="continue"/>
          </w:tcPr>
          <w:p>
            <w:pPr>
              <w:spacing w:after="0"/>
              <w:rPr>
                <w:sz w:val="14"/>
                <w:szCs w:val="14"/>
                <w:color w:val="auto"/>
              </w:rPr>
            </w:pPr>
          </w:p>
        </w:tc>
        <w:tc>
          <w:tcPr>
            <w:tcW w:w="82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w w:val="96"/>
              </w:rPr>
              <w:t>3 months</w:t>
            </w:r>
          </w:p>
        </w:tc>
        <w:tc>
          <w:tcPr>
            <w:tcW w:w="840" w:type="dxa"/>
            <w:vAlign w:val="bottom"/>
            <w:gridSpan w:val="3"/>
          </w:tcPr>
          <w:p>
            <w:pPr>
              <w:ind w:left="40"/>
              <w:spacing w:after="0"/>
              <w:rPr>
                <w:sz w:val="20"/>
                <w:szCs w:val="20"/>
                <w:color w:val="auto"/>
              </w:rPr>
            </w:pPr>
            <w:r>
              <w:rPr>
                <w:rFonts w:ascii="Arial" w:cs="Arial" w:eastAsia="Arial" w:hAnsi="Arial"/>
                <w:sz w:val="14"/>
                <w:szCs w:val="14"/>
                <w:b w:val="1"/>
                <w:bCs w:val="1"/>
                <w:color w:val="auto"/>
              </w:rPr>
              <w:t>12 months</w:t>
            </w:r>
          </w:p>
        </w:tc>
        <w:tc>
          <w:tcPr>
            <w:tcW w:w="82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86"/>
              </w:rPr>
              <w:t>5 years</w:t>
            </w:r>
          </w:p>
        </w:tc>
        <w:tc>
          <w:tcPr>
            <w:tcW w:w="84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85"/>
              </w:rPr>
              <w:t>Year</w:t>
            </w:r>
          </w:p>
        </w:tc>
        <w:tc>
          <w:tcPr>
            <w:tcW w:w="900" w:type="dxa"/>
            <w:vAlign w:val="bottom"/>
            <w:gridSpan w:val="3"/>
            <w:vMerge w:val="continue"/>
          </w:tcPr>
          <w:p>
            <w:pPr>
              <w:spacing w:after="0"/>
              <w:rPr>
                <w:sz w:val="14"/>
                <w:szCs w:val="14"/>
                <w:color w:val="auto"/>
              </w:rPr>
            </w:pPr>
          </w:p>
        </w:tc>
        <w:tc>
          <w:tcPr>
            <w:tcW w:w="980" w:type="dxa"/>
            <w:vAlign w:val="bottom"/>
            <w:gridSpan w:val="3"/>
            <w:vMerge w:val="continue"/>
          </w:tcPr>
          <w:p>
            <w:pPr>
              <w:spacing w:after="0"/>
              <w:rPr>
                <w:sz w:val="14"/>
                <w:szCs w:val="14"/>
                <w:color w:val="auto"/>
              </w:rPr>
            </w:pPr>
          </w:p>
        </w:tc>
        <w:tc>
          <w:tcPr>
            <w:tcW w:w="760" w:type="dxa"/>
            <w:vAlign w:val="bottom"/>
            <w:gridSpan w:val="2"/>
          </w:tcPr>
          <w:p>
            <w:pPr>
              <w:jc w:val="right"/>
              <w:ind w:right="71"/>
              <w:spacing w:after="0"/>
              <w:rPr>
                <w:sz w:val="20"/>
                <w:szCs w:val="20"/>
                <w:color w:val="auto"/>
              </w:rPr>
            </w:pPr>
            <w:r>
              <w:rPr>
                <w:rFonts w:ascii="Arial" w:cs="Arial" w:eastAsia="Arial" w:hAnsi="Arial"/>
                <w:sz w:val="14"/>
                <w:szCs w:val="14"/>
                <w:b w:val="1"/>
                <w:bCs w:val="1"/>
                <w:color w:val="auto"/>
                <w:w w:val="96"/>
              </w:rPr>
              <w:t>3 months</w:t>
            </w:r>
          </w:p>
        </w:tc>
        <w:tc>
          <w:tcPr>
            <w:tcW w:w="80" w:type="dxa"/>
            <w:vAlign w:val="bottom"/>
          </w:tcPr>
          <w:p>
            <w:pPr>
              <w:spacing w:after="0"/>
              <w:rPr>
                <w:sz w:val="14"/>
                <w:szCs w:val="14"/>
                <w:color w:val="auto"/>
              </w:rPr>
            </w:pPr>
          </w:p>
        </w:tc>
        <w:tc>
          <w:tcPr>
            <w:tcW w:w="820" w:type="dxa"/>
            <w:vAlign w:val="bottom"/>
            <w:gridSpan w:val="3"/>
          </w:tcPr>
          <w:p>
            <w:pPr>
              <w:ind w:left="20"/>
              <w:spacing w:after="0"/>
              <w:rPr>
                <w:sz w:val="20"/>
                <w:szCs w:val="20"/>
                <w:color w:val="auto"/>
              </w:rPr>
            </w:pPr>
            <w:r>
              <w:rPr>
                <w:rFonts w:ascii="Arial" w:cs="Arial" w:eastAsia="Arial" w:hAnsi="Arial"/>
                <w:sz w:val="14"/>
                <w:szCs w:val="14"/>
                <w:b w:val="1"/>
                <w:bCs w:val="1"/>
                <w:color w:val="auto"/>
              </w:rPr>
              <w:t>12 months</w:t>
            </w:r>
          </w:p>
        </w:tc>
        <w:tc>
          <w:tcPr>
            <w:tcW w:w="82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86"/>
              </w:rPr>
              <w:t>5 years</w:t>
            </w:r>
          </w:p>
        </w:tc>
        <w:tc>
          <w:tcPr>
            <w:tcW w:w="84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2"/>
              </w:rPr>
              <w:t>Year</w:t>
            </w:r>
          </w:p>
        </w:tc>
        <w:tc>
          <w:tcPr>
            <w:tcW w:w="8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1040" w:type="dxa"/>
            <w:vAlign w:val="bottom"/>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jc w:val="right"/>
              <w:ind w:right="151"/>
              <w:spacing w:after="0"/>
              <w:rPr>
                <w:sz w:val="20"/>
                <w:szCs w:val="20"/>
                <w:color w:val="auto"/>
              </w:rPr>
            </w:pPr>
            <w:r>
              <w:rPr>
                <w:rFonts w:ascii="Arial" w:cs="Arial" w:eastAsia="Arial" w:hAnsi="Arial"/>
                <w:sz w:val="14"/>
                <w:szCs w:val="14"/>
                <w:b w:val="1"/>
                <w:bCs w:val="1"/>
                <w:color w:val="auto"/>
              </w:rPr>
              <w:t>S/(000)</w:t>
            </w:r>
          </w:p>
        </w:tc>
        <w:tc>
          <w:tcPr>
            <w:tcW w:w="60" w:type="dxa"/>
            <w:vAlign w:val="bottom"/>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jc w:val="right"/>
              <w:ind w:right="71"/>
              <w:spacing w:after="0"/>
              <w:rPr>
                <w:sz w:val="20"/>
                <w:szCs w:val="20"/>
                <w:color w:val="auto"/>
              </w:rPr>
            </w:pPr>
            <w:r>
              <w:rPr>
                <w:rFonts w:ascii="Arial" w:cs="Arial" w:eastAsia="Arial" w:hAnsi="Arial"/>
                <w:sz w:val="14"/>
                <w:szCs w:val="14"/>
                <w:b w:val="1"/>
                <w:bCs w:val="1"/>
                <w:color w:val="auto"/>
              </w:rPr>
              <w:t>S/(000)</w:t>
            </w:r>
          </w:p>
        </w:tc>
        <w:tc>
          <w:tcPr>
            <w:tcW w:w="60" w:type="dxa"/>
            <w:vAlign w:val="bottom"/>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ind w:left="140"/>
              <w:spacing w:after="0"/>
              <w:rPr>
                <w:sz w:val="20"/>
                <w:szCs w:val="20"/>
                <w:color w:val="auto"/>
              </w:rPr>
            </w:pPr>
            <w:r>
              <w:rPr>
                <w:rFonts w:ascii="Arial" w:cs="Arial" w:eastAsia="Arial" w:hAnsi="Arial"/>
                <w:sz w:val="14"/>
                <w:szCs w:val="14"/>
                <w:b w:val="1"/>
                <w:bCs w:val="1"/>
                <w:color w:val="auto"/>
              </w:rPr>
              <w:t>S/(000)</w:t>
            </w:r>
          </w:p>
        </w:tc>
        <w:tc>
          <w:tcPr>
            <w:tcW w:w="8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S/(000)</w:t>
            </w:r>
          </w:p>
        </w:tc>
        <w:tc>
          <w:tcPr>
            <w:tcW w:w="80" w:type="dxa"/>
            <w:vAlign w:val="bottom"/>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S/(000)</w:t>
            </w:r>
          </w:p>
        </w:tc>
        <w:tc>
          <w:tcPr>
            <w:tcW w:w="80" w:type="dxa"/>
            <w:vAlign w:val="bottom"/>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jc w:val="right"/>
              <w:ind w:right="111"/>
              <w:spacing w:after="0"/>
              <w:rPr>
                <w:sz w:val="20"/>
                <w:szCs w:val="20"/>
                <w:color w:val="auto"/>
              </w:rPr>
            </w:pPr>
            <w:r>
              <w:rPr>
                <w:rFonts w:ascii="Arial" w:cs="Arial" w:eastAsia="Arial" w:hAnsi="Arial"/>
                <w:sz w:val="14"/>
                <w:szCs w:val="14"/>
                <w:b w:val="1"/>
                <w:bCs w:val="1"/>
                <w:color w:val="auto"/>
              </w:rPr>
              <w:t>S/(000)</w:t>
            </w:r>
          </w:p>
        </w:tc>
        <w:tc>
          <w:tcPr>
            <w:tcW w:w="80" w:type="dxa"/>
            <w:vAlign w:val="bottom"/>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jc w:val="right"/>
              <w:ind w:right="131"/>
              <w:spacing w:after="0"/>
              <w:rPr>
                <w:sz w:val="20"/>
                <w:szCs w:val="20"/>
                <w:color w:val="auto"/>
              </w:rPr>
            </w:pPr>
            <w:r>
              <w:rPr>
                <w:rFonts w:ascii="Arial" w:cs="Arial" w:eastAsia="Arial" w:hAnsi="Arial"/>
                <w:sz w:val="14"/>
                <w:szCs w:val="14"/>
                <w:b w:val="1"/>
                <w:bCs w:val="1"/>
                <w:color w:val="auto"/>
              </w:rPr>
              <w:t>S/(000)</w:t>
            </w:r>
          </w:p>
        </w:tc>
        <w:tc>
          <w:tcPr>
            <w:tcW w:w="80" w:type="dxa"/>
            <w:vAlign w:val="bottom"/>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jc w:val="right"/>
              <w:ind w:right="51"/>
              <w:spacing w:after="0"/>
              <w:rPr>
                <w:sz w:val="20"/>
                <w:szCs w:val="20"/>
                <w:color w:val="auto"/>
              </w:rPr>
            </w:pPr>
            <w:r>
              <w:rPr>
                <w:rFonts w:ascii="Arial" w:cs="Arial" w:eastAsia="Arial" w:hAnsi="Arial"/>
                <w:sz w:val="14"/>
                <w:szCs w:val="14"/>
                <w:b w:val="1"/>
                <w:bCs w:val="1"/>
                <w:color w:val="auto"/>
              </w:rPr>
              <w:t>S/(000)</w:t>
            </w:r>
          </w:p>
        </w:tc>
        <w:tc>
          <w:tcPr>
            <w:tcW w:w="8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jc w:val="right"/>
              <w:ind w:right="72"/>
              <w:spacing w:after="0"/>
              <w:rPr>
                <w:sz w:val="20"/>
                <w:szCs w:val="20"/>
                <w:color w:val="auto"/>
              </w:rPr>
            </w:pPr>
            <w:r>
              <w:rPr>
                <w:rFonts w:ascii="Arial" w:cs="Arial" w:eastAsia="Arial" w:hAnsi="Arial"/>
                <w:sz w:val="14"/>
                <w:szCs w:val="14"/>
                <w:b w:val="1"/>
                <w:bCs w:val="1"/>
                <w:color w:val="auto"/>
              </w:rPr>
              <w:t>S/(000)</w:t>
            </w:r>
          </w:p>
        </w:tc>
        <w:tc>
          <w:tcPr>
            <w:tcW w:w="80" w:type="dxa"/>
            <w:vAlign w:val="bottom"/>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S/(000)</w:t>
            </w:r>
          </w:p>
        </w:tc>
        <w:tc>
          <w:tcPr>
            <w:tcW w:w="60" w:type="dxa"/>
            <w:vAlign w:val="bottom"/>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S/000</w:t>
            </w:r>
          </w:p>
        </w:tc>
        <w:tc>
          <w:tcPr>
            <w:tcW w:w="8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jc w:val="right"/>
              <w:ind w:right="151"/>
              <w:spacing w:after="0"/>
              <w:rPr>
                <w:sz w:val="20"/>
                <w:szCs w:val="20"/>
                <w:color w:val="auto"/>
              </w:rPr>
            </w:pPr>
            <w:r>
              <w:rPr>
                <w:rFonts w:ascii="Arial" w:cs="Arial" w:eastAsia="Arial" w:hAnsi="Arial"/>
                <w:sz w:val="14"/>
                <w:szCs w:val="14"/>
                <w:b w:val="1"/>
                <w:bCs w:val="1"/>
                <w:color w:val="auto"/>
              </w:rPr>
              <w:t>S/000</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10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1040" w:type="dxa"/>
            <w:vAlign w:val="bottom"/>
            <w:shd w:val="clear" w:color="auto" w:fill="CCEEFF"/>
          </w:tcPr>
          <w:p>
            <w:pPr>
              <w:spacing w:after="0" w:line="143" w:lineRule="exact"/>
              <w:rPr>
                <w:sz w:val="20"/>
                <w:szCs w:val="20"/>
                <w:color w:val="auto"/>
              </w:rPr>
            </w:pPr>
            <w:r>
              <w:rPr>
                <w:rFonts w:ascii="Arial" w:cs="Arial" w:eastAsia="Arial" w:hAnsi="Arial"/>
                <w:sz w:val="14"/>
                <w:szCs w:val="14"/>
                <w:b w:val="1"/>
                <w:bCs w:val="1"/>
                <w:color w:val="auto"/>
                <w:w w:val="94"/>
              </w:rPr>
              <w:t>Financial assets</w:t>
            </w:r>
          </w:p>
        </w:tc>
        <w:tc>
          <w:tcPr>
            <w:tcW w:w="980" w:type="dxa"/>
            <w:vAlign w:val="bottom"/>
            <w:gridSpan w:val="3"/>
            <w:shd w:val="clear" w:color="auto" w:fill="CCEEFF"/>
          </w:tcPr>
          <w:p>
            <w:pPr>
              <w:jc w:val="right"/>
              <w:ind w:right="20"/>
              <w:spacing w:after="0" w:line="143" w:lineRule="exact"/>
              <w:rPr>
                <w:sz w:val="20"/>
                <w:szCs w:val="20"/>
                <w:color w:val="auto"/>
              </w:rPr>
            </w:pPr>
            <w:r>
              <w:rPr>
                <w:rFonts w:ascii="Arial" w:cs="Arial" w:eastAsia="Arial" w:hAnsi="Arial"/>
                <w:sz w:val="14"/>
                <w:szCs w:val="14"/>
                <w:color w:val="auto"/>
              </w:rPr>
              <w:t>32,069,384</w:t>
            </w:r>
          </w:p>
        </w:tc>
        <w:tc>
          <w:tcPr>
            <w:tcW w:w="6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w w:val="96"/>
              </w:rPr>
              <w:t>23,845,192</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1"/>
              <w:spacing w:after="0" w:line="143" w:lineRule="exact"/>
              <w:rPr>
                <w:sz w:val="20"/>
                <w:szCs w:val="20"/>
                <w:color w:val="auto"/>
              </w:rPr>
            </w:pPr>
            <w:r>
              <w:rPr>
                <w:rFonts w:ascii="Arial" w:cs="Arial" w:eastAsia="Arial" w:hAnsi="Arial"/>
                <w:sz w:val="14"/>
                <w:szCs w:val="14"/>
                <w:color w:val="auto"/>
                <w:w w:val="94"/>
              </w:rPr>
              <w:t>39,885,238</w:t>
            </w: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40"/>
              <w:spacing w:after="0" w:line="143" w:lineRule="exact"/>
              <w:rPr>
                <w:sz w:val="20"/>
                <w:szCs w:val="20"/>
                <w:color w:val="auto"/>
              </w:rPr>
            </w:pPr>
            <w:r>
              <w:rPr>
                <w:rFonts w:ascii="Arial" w:cs="Arial" w:eastAsia="Arial" w:hAnsi="Arial"/>
                <w:sz w:val="14"/>
                <w:szCs w:val="14"/>
                <w:color w:val="auto"/>
                <w:w w:val="94"/>
              </w:rPr>
              <w:t>60,073,343</w:t>
            </w:r>
          </w:p>
        </w:tc>
        <w:tc>
          <w:tcPr>
            <w:tcW w:w="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40"/>
              <w:spacing w:after="0" w:line="143" w:lineRule="exact"/>
              <w:rPr>
                <w:sz w:val="20"/>
                <w:szCs w:val="20"/>
                <w:color w:val="auto"/>
              </w:rPr>
            </w:pPr>
            <w:r>
              <w:rPr>
                <w:rFonts w:ascii="Arial" w:cs="Arial" w:eastAsia="Arial" w:hAnsi="Arial"/>
                <w:sz w:val="14"/>
                <w:szCs w:val="14"/>
                <w:color w:val="auto"/>
                <w:w w:val="96"/>
              </w:rPr>
              <w:t>36,536,832</w:t>
            </w:r>
          </w:p>
        </w:tc>
        <w:tc>
          <w:tcPr>
            <w:tcW w:w="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w w:val="95"/>
              </w:rPr>
              <w:t>192,409,989</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rPr>
              <w:t>26,177,608</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1"/>
              <w:spacing w:after="0" w:line="143" w:lineRule="exact"/>
              <w:rPr>
                <w:sz w:val="20"/>
                <w:szCs w:val="20"/>
                <w:color w:val="auto"/>
              </w:rPr>
            </w:pPr>
            <w:r>
              <w:rPr>
                <w:rFonts w:ascii="Arial" w:cs="Arial" w:eastAsia="Arial" w:hAnsi="Arial"/>
                <w:sz w:val="14"/>
                <w:szCs w:val="14"/>
                <w:color w:val="auto"/>
                <w:w w:val="94"/>
              </w:rPr>
              <w:t>19,909,373</w:t>
            </w:r>
          </w:p>
        </w:tc>
        <w:tc>
          <w:tcPr>
            <w:tcW w:w="760" w:type="dxa"/>
            <w:vAlign w:val="bottom"/>
            <w:gridSpan w:val="2"/>
            <w:shd w:val="clear" w:color="auto" w:fill="CCEEFF"/>
          </w:tcPr>
          <w:p>
            <w:pPr>
              <w:jc w:val="right"/>
              <w:spacing w:after="0" w:line="143" w:lineRule="exact"/>
              <w:rPr>
                <w:sz w:val="20"/>
                <w:szCs w:val="20"/>
                <w:color w:val="auto"/>
              </w:rPr>
            </w:pPr>
            <w:r>
              <w:rPr>
                <w:rFonts w:ascii="Arial" w:cs="Arial" w:eastAsia="Arial" w:hAnsi="Arial"/>
                <w:sz w:val="14"/>
                <w:szCs w:val="14"/>
                <w:color w:val="auto"/>
              </w:rPr>
              <w:t>38,171,817</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60"/>
              <w:spacing w:after="0" w:line="143" w:lineRule="exact"/>
              <w:rPr>
                <w:sz w:val="20"/>
                <w:szCs w:val="20"/>
                <w:color w:val="auto"/>
              </w:rPr>
            </w:pPr>
            <w:r>
              <w:rPr>
                <w:rFonts w:ascii="Arial" w:cs="Arial" w:eastAsia="Arial" w:hAnsi="Arial"/>
                <w:sz w:val="14"/>
                <w:szCs w:val="14"/>
                <w:color w:val="auto"/>
                <w:w w:val="96"/>
              </w:rPr>
              <w:t>62,824,369</w:t>
            </w: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w w:val="94"/>
              </w:rPr>
              <w:t>36,406,209</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60"/>
              <w:spacing w:after="0" w:line="143" w:lineRule="exact"/>
              <w:rPr>
                <w:sz w:val="20"/>
                <w:szCs w:val="20"/>
                <w:color w:val="auto"/>
              </w:rPr>
            </w:pPr>
            <w:r>
              <w:rPr>
                <w:rFonts w:ascii="Arial" w:cs="Arial" w:eastAsia="Arial" w:hAnsi="Arial"/>
                <w:sz w:val="14"/>
                <w:szCs w:val="14"/>
                <w:color w:val="auto"/>
                <w:w w:val="95"/>
              </w:rPr>
              <w:t>183,489,376</w:t>
            </w:r>
          </w:p>
        </w:tc>
        <w:tc>
          <w:tcPr>
            <w:tcW w:w="0" w:type="dxa"/>
            <w:vAlign w:val="bottom"/>
          </w:tcPr>
          <w:p>
            <w:pPr>
              <w:spacing w:after="0"/>
              <w:rPr>
                <w:sz w:val="1"/>
                <w:szCs w:val="1"/>
                <w:color w:val="auto"/>
              </w:rPr>
            </w:pPr>
          </w:p>
        </w:tc>
      </w:tr>
      <w:tr>
        <w:trPr>
          <w:trHeight w:val="156"/>
        </w:trPr>
        <w:tc>
          <w:tcPr>
            <w:tcW w:w="10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0"/>
        </w:trPr>
        <w:tc>
          <w:tcPr>
            <w:tcW w:w="1040" w:type="dxa"/>
            <w:vAlign w:val="bottom"/>
            <w:shd w:val="clear" w:color="auto" w:fill="CCEEFF"/>
          </w:tcPr>
          <w:p>
            <w:pPr>
              <w:spacing w:after="0" w:line="121" w:lineRule="exact"/>
              <w:rPr>
                <w:sz w:val="20"/>
                <w:szCs w:val="20"/>
                <w:color w:val="auto"/>
              </w:rPr>
            </w:pPr>
            <w:r>
              <w:rPr>
                <w:rFonts w:ascii="Arial" w:cs="Arial" w:eastAsia="Arial" w:hAnsi="Arial"/>
                <w:sz w:val="13"/>
                <w:szCs w:val="13"/>
                <w:b w:val="1"/>
                <w:bCs w:val="1"/>
                <w:color w:val="auto"/>
              </w:rPr>
              <w:t>Financial</w:t>
            </w:r>
          </w:p>
        </w:tc>
        <w:tc>
          <w:tcPr>
            <w:tcW w:w="6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1040" w:type="dxa"/>
            <w:vAlign w:val="bottom"/>
            <w:shd w:val="clear" w:color="auto" w:fill="CCEEFF"/>
          </w:tcPr>
          <w:p>
            <w:pPr>
              <w:spacing w:after="0" w:line="143" w:lineRule="exact"/>
              <w:rPr>
                <w:sz w:val="20"/>
                <w:szCs w:val="20"/>
                <w:color w:val="auto"/>
              </w:rPr>
            </w:pPr>
            <w:r>
              <w:rPr>
                <w:rFonts w:ascii="Arial" w:cs="Arial" w:eastAsia="Arial" w:hAnsi="Arial"/>
                <w:sz w:val="14"/>
                <w:szCs w:val="14"/>
                <w:b w:val="1"/>
                <w:bCs w:val="1"/>
                <w:color w:val="auto"/>
                <w:w w:val="90"/>
              </w:rPr>
              <w:t>liabilities by type</w:t>
            </w:r>
          </w:p>
        </w:tc>
        <w:tc>
          <w:tcPr>
            <w:tcW w:w="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104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w:t>
            </w:r>
          </w:p>
        </w:tc>
        <w:tc>
          <w:tcPr>
            <w:tcW w:w="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4"/>
        </w:trPr>
        <w:tc>
          <w:tcPr>
            <w:tcW w:w="1040" w:type="dxa"/>
            <w:vAlign w:val="bottom"/>
          </w:tcPr>
          <w:p>
            <w:pPr>
              <w:spacing w:after="0" w:line="125" w:lineRule="exact"/>
              <w:rPr>
                <w:sz w:val="20"/>
                <w:szCs w:val="20"/>
                <w:color w:val="auto"/>
              </w:rPr>
            </w:pPr>
            <w:r>
              <w:rPr>
                <w:rFonts w:ascii="Arial" w:cs="Arial" w:eastAsia="Arial" w:hAnsi="Arial"/>
                <w:sz w:val="14"/>
                <w:szCs w:val="14"/>
                <w:color w:val="auto"/>
              </w:rPr>
              <w:t>Deposits and</w:t>
            </w:r>
          </w:p>
        </w:tc>
        <w:tc>
          <w:tcPr>
            <w:tcW w:w="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1"/>
        </w:trPr>
        <w:tc>
          <w:tcPr>
            <w:tcW w:w="1040" w:type="dxa"/>
            <w:vAlign w:val="bottom"/>
          </w:tcPr>
          <w:p>
            <w:pPr>
              <w:spacing w:after="0"/>
              <w:rPr>
                <w:sz w:val="20"/>
                <w:szCs w:val="20"/>
                <w:color w:val="auto"/>
              </w:rPr>
            </w:pPr>
            <w:r>
              <w:rPr>
                <w:rFonts w:ascii="Arial" w:cs="Arial" w:eastAsia="Arial" w:hAnsi="Arial"/>
                <w:sz w:val="14"/>
                <w:szCs w:val="14"/>
                <w:color w:val="auto"/>
              </w:rPr>
              <w:t>obligations</w:t>
            </w:r>
          </w:p>
        </w:tc>
        <w:tc>
          <w:tcPr>
            <w:tcW w:w="980" w:type="dxa"/>
            <w:vAlign w:val="bottom"/>
            <w:gridSpan w:val="3"/>
          </w:tcPr>
          <w:p>
            <w:pPr>
              <w:jc w:val="right"/>
              <w:ind w:right="20"/>
              <w:spacing w:after="0"/>
              <w:rPr>
                <w:sz w:val="20"/>
                <w:szCs w:val="20"/>
                <w:color w:val="auto"/>
              </w:rPr>
            </w:pPr>
            <w:r>
              <w:rPr>
                <w:rFonts w:ascii="Arial" w:cs="Arial" w:eastAsia="Arial" w:hAnsi="Arial"/>
                <w:sz w:val="14"/>
                <w:szCs w:val="14"/>
                <w:color w:val="auto"/>
              </w:rPr>
              <w:t>28,360,646</w:t>
            </w:r>
          </w:p>
        </w:tc>
        <w:tc>
          <w:tcPr>
            <w:tcW w:w="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w w:val="96"/>
              </w:rPr>
              <w:t>10,523,572</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gridSpan w:val="2"/>
          </w:tcPr>
          <w:p>
            <w:pPr>
              <w:jc w:val="right"/>
              <w:ind w:right="11"/>
              <w:spacing w:after="0"/>
              <w:rPr>
                <w:sz w:val="20"/>
                <w:szCs w:val="20"/>
                <w:color w:val="auto"/>
              </w:rPr>
            </w:pPr>
            <w:r>
              <w:rPr>
                <w:rFonts w:ascii="Arial" w:cs="Arial" w:eastAsia="Arial" w:hAnsi="Arial"/>
                <w:sz w:val="14"/>
                <w:szCs w:val="14"/>
                <w:color w:val="auto"/>
                <w:w w:val="94"/>
              </w:rPr>
              <w:t>18,803,383</w:t>
            </w:r>
          </w:p>
        </w:tc>
        <w:tc>
          <w:tcPr>
            <w:tcW w:w="80" w:type="dxa"/>
            <w:vAlign w:val="bottom"/>
          </w:tcPr>
          <w:p>
            <w:pPr>
              <w:spacing w:after="0"/>
              <w:rPr>
                <w:sz w:val="14"/>
                <w:szCs w:val="14"/>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4"/>
                <w:szCs w:val="14"/>
                <w:color w:val="auto"/>
                <w:w w:val="94"/>
              </w:rPr>
              <w:t>34,738,531</w:t>
            </w:r>
          </w:p>
        </w:tc>
        <w:tc>
          <w:tcPr>
            <w:tcW w:w="60" w:type="dxa"/>
            <w:vAlign w:val="bottom"/>
          </w:tcPr>
          <w:p>
            <w:pPr>
              <w:spacing w:after="0"/>
              <w:rPr>
                <w:sz w:val="14"/>
                <w:szCs w:val="14"/>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4"/>
                <w:szCs w:val="14"/>
                <w:color w:val="auto"/>
              </w:rPr>
              <w:t>8,662,213</w:t>
            </w:r>
          </w:p>
        </w:tc>
        <w:tc>
          <w:tcPr>
            <w:tcW w:w="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w w:val="95"/>
              </w:rPr>
              <w:t>101,088,345</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24,982,659</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gridSpan w:val="2"/>
          </w:tcPr>
          <w:p>
            <w:pPr>
              <w:jc w:val="right"/>
              <w:ind w:right="11"/>
              <w:spacing w:after="0"/>
              <w:rPr>
                <w:sz w:val="20"/>
                <w:szCs w:val="20"/>
                <w:color w:val="auto"/>
              </w:rPr>
            </w:pPr>
            <w:r>
              <w:rPr>
                <w:rFonts w:ascii="Arial" w:cs="Arial" w:eastAsia="Arial" w:hAnsi="Arial"/>
                <w:sz w:val="14"/>
                <w:szCs w:val="14"/>
                <w:color w:val="auto"/>
              </w:rPr>
              <w:t>8,678,312</w:t>
            </w:r>
          </w:p>
        </w:tc>
        <w:tc>
          <w:tcPr>
            <w:tcW w:w="760" w:type="dxa"/>
            <w:vAlign w:val="bottom"/>
            <w:gridSpan w:val="2"/>
          </w:tcPr>
          <w:p>
            <w:pPr>
              <w:jc w:val="right"/>
              <w:spacing w:after="0"/>
              <w:rPr>
                <w:sz w:val="20"/>
                <w:szCs w:val="20"/>
                <w:color w:val="auto"/>
              </w:rPr>
            </w:pPr>
            <w:r>
              <w:rPr>
                <w:rFonts w:ascii="Arial" w:cs="Arial" w:eastAsia="Arial" w:hAnsi="Arial"/>
                <w:sz w:val="14"/>
                <w:szCs w:val="14"/>
                <w:color w:val="auto"/>
              </w:rPr>
              <w:t>16,056,899</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4"/>
                <w:szCs w:val="14"/>
                <w:color w:val="auto"/>
                <w:w w:val="96"/>
              </w:rPr>
              <w:t>33,487,729</w:t>
            </w:r>
          </w:p>
        </w:tc>
        <w:tc>
          <w:tcPr>
            <w:tcW w:w="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6,077,167</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4"/>
                <w:szCs w:val="14"/>
                <w:color w:val="auto"/>
              </w:rPr>
              <w:t>89,282,766</w:t>
            </w:r>
          </w:p>
        </w:tc>
        <w:tc>
          <w:tcPr>
            <w:tcW w:w="0" w:type="dxa"/>
            <w:vAlign w:val="bottom"/>
          </w:tcPr>
          <w:p>
            <w:pPr>
              <w:spacing w:after="0"/>
              <w:rPr>
                <w:sz w:val="1"/>
                <w:szCs w:val="1"/>
                <w:color w:val="auto"/>
              </w:rPr>
            </w:pPr>
          </w:p>
        </w:tc>
      </w:tr>
      <w:tr>
        <w:trPr>
          <w:trHeight w:val="124"/>
        </w:trPr>
        <w:tc>
          <w:tcPr>
            <w:tcW w:w="1040" w:type="dxa"/>
            <w:vAlign w:val="bottom"/>
            <w:shd w:val="clear" w:color="auto" w:fill="CCEEFF"/>
          </w:tcPr>
          <w:p>
            <w:pPr>
              <w:spacing w:after="0" w:line="125" w:lineRule="exact"/>
              <w:rPr>
                <w:sz w:val="20"/>
                <w:szCs w:val="20"/>
                <w:color w:val="auto"/>
              </w:rPr>
            </w:pPr>
            <w:r>
              <w:rPr>
                <w:rFonts w:ascii="Arial" w:cs="Arial" w:eastAsia="Arial" w:hAnsi="Arial"/>
                <w:sz w:val="14"/>
                <w:szCs w:val="14"/>
                <w:color w:val="auto"/>
              </w:rPr>
              <w:t>Payables from</w:t>
            </w:r>
          </w:p>
        </w:tc>
        <w:tc>
          <w:tcPr>
            <w:tcW w:w="6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104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w w:val="94"/>
              </w:rPr>
              <w:t>reverse purchase</w:t>
            </w:r>
          </w:p>
        </w:tc>
        <w:tc>
          <w:tcPr>
            <w:tcW w:w="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104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rPr>
              <w:t>agreements and</w:t>
            </w:r>
          </w:p>
        </w:tc>
        <w:tc>
          <w:tcPr>
            <w:tcW w:w="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104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w w:val="97"/>
              </w:rPr>
              <w:t>security lendings</w:t>
            </w:r>
          </w:p>
        </w:tc>
        <w:tc>
          <w:tcPr>
            <w:tcW w:w="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104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w w:val="94"/>
              </w:rPr>
              <w:t>and due to banks</w:t>
            </w:r>
          </w:p>
        </w:tc>
        <w:tc>
          <w:tcPr>
            <w:tcW w:w="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104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rPr>
              <w:t>and</w:t>
            </w:r>
          </w:p>
        </w:tc>
        <w:tc>
          <w:tcPr>
            <w:tcW w:w="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1040" w:type="dxa"/>
            <w:vAlign w:val="bottom"/>
            <w:shd w:val="clear" w:color="auto" w:fill="CCEEFF"/>
          </w:tcPr>
          <w:p>
            <w:pPr>
              <w:spacing w:after="0"/>
              <w:rPr>
                <w:sz w:val="20"/>
                <w:szCs w:val="20"/>
                <w:color w:val="auto"/>
              </w:rPr>
            </w:pPr>
            <w:r>
              <w:rPr>
                <w:rFonts w:ascii="Arial" w:cs="Arial" w:eastAsia="Arial" w:hAnsi="Arial"/>
                <w:sz w:val="14"/>
                <w:szCs w:val="14"/>
                <w:color w:val="auto"/>
              </w:rPr>
              <w:t>correspondents</w:t>
            </w:r>
          </w:p>
        </w:tc>
        <w:tc>
          <w:tcPr>
            <w:tcW w:w="980" w:type="dxa"/>
            <w:vAlign w:val="bottom"/>
            <w:gridSpan w:val="3"/>
            <w:shd w:val="clear" w:color="auto" w:fill="CCEEFF"/>
          </w:tcPr>
          <w:p>
            <w:pPr>
              <w:jc w:val="right"/>
              <w:ind w:right="20"/>
              <w:spacing w:after="0"/>
              <w:rPr>
                <w:sz w:val="20"/>
                <w:szCs w:val="20"/>
                <w:color w:val="auto"/>
              </w:rPr>
            </w:pPr>
            <w:r>
              <w:rPr>
                <w:rFonts w:ascii="Arial" w:cs="Arial" w:eastAsia="Arial" w:hAnsi="Arial"/>
                <w:sz w:val="14"/>
                <w:szCs w:val="14"/>
                <w:color w:val="auto"/>
              </w:rPr>
              <w:t>3,658,434</w:t>
            </w:r>
          </w:p>
        </w:tc>
        <w:tc>
          <w:tcPr>
            <w:tcW w:w="6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1,801,493</w:t>
            </w: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1"/>
              <w:spacing w:after="0"/>
              <w:rPr>
                <w:sz w:val="20"/>
                <w:szCs w:val="20"/>
                <w:color w:val="auto"/>
              </w:rPr>
            </w:pPr>
            <w:r>
              <w:rPr>
                <w:rFonts w:ascii="Arial" w:cs="Arial" w:eastAsia="Arial" w:hAnsi="Arial"/>
                <w:sz w:val="14"/>
                <w:szCs w:val="14"/>
                <w:color w:val="auto"/>
              </w:rPr>
              <w:t>6,363,038</w:t>
            </w:r>
          </w:p>
        </w:tc>
        <w:tc>
          <w:tcPr>
            <w:tcW w:w="8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6,597,765</w:t>
            </w:r>
          </w:p>
        </w:tc>
        <w:tc>
          <w:tcPr>
            <w:tcW w:w="6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6,352,357</w:t>
            </w:r>
          </w:p>
        </w:tc>
        <w:tc>
          <w:tcPr>
            <w:tcW w:w="6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24,773,087</w:t>
            </w: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3,015,441</w:t>
            </w: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1"/>
              <w:spacing w:after="0"/>
              <w:rPr>
                <w:sz w:val="20"/>
                <w:szCs w:val="20"/>
                <w:color w:val="auto"/>
              </w:rPr>
            </w:pPr>
            <w:r>
              <w:rPr>
                <w:rFonts w:ascii="Arial" w:cs="Arial" w:eastAsia="Arial" w:hAnsi="Arial"/>
                <w:sz w:val="14"/>
                <w:szCs w:val="14"/>
                <w:color w:val="auto"/>
              </w:rPr>
              <w:t>2,014,116</w:t>
            </w:r>
          </w:p>
        </w:tc>
        <w:tc>
          <w:tcPr>
            <w:tcW w:w="840" w:type="dxa"/>
            <w:vAlign w:val="bottom"/>
            <w:gridSpan w:val="3"/>
            <w:shd w:val="clear" w:color="auto" w:fill="CCEEFF"/>
          </w:tcPr>
          <w:p>
            <w:pPr>
              <w:jc w:val="right"/>
              <w:ind w:right="40"/>
              <w:spacing w:after="0"/>
              <w:rPr>
                <w:sz w:val="20"/>
                <w:szCs w:val="20"/>
                <w:color w:val="auto"/>
              </w:rPr>
            </w:pPr>
            <w:r>
              <w:rPr>
                <w:rFonts w:ascii="Arial" w:cs="Arial" w:eastAsia="Arial" w:hAnsi="Arial"/>
                <w:sz w:val="14"/>
                <w:szCs w:val="14"/>
                <w:color w:val="auto"/>
              </w:rPr>
              <w:t>5,572,115</w:t>
            </w:r>
          </w:p>
        </w:tc>
        <w:tc>
          <w:tcPr>
            <w:tcW w:w="6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w w:val="96"/>
              </w:rPr>
              <w:t>10,581,827</w:t>
            </w:r>
          </w:p>
        </w:tc>
        <w:tc>
          <w:tcPr>
            <w:tcW w:w="6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5,101,938</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26,285,437</w:t>
            </w:r>
          </w:p>
        </w:tc>
        <w:tc>
          <w:tcPr>
            <w:tcW w:w="0" w:type="dxa"/>
            <w:vAlign w:val="bottom"/>
          </w:tcPr>
          <w:p>
            <w:pPr>
              <w:spacing w:after="0"/>
              <w:rPr>
                <w:sz w:val="1"/>
                <w:szCs w:val="1"/>
                <w:color w:val="auto"/>
              </w:rPr>
            </w:pPr>
          </w:p>
        </w:tc>
      </w:tr>
      <w:tr>
        <w:trPr>
          <w:trHeight w:val="124"/>
        </w:trPr>
        <w:tc>
          <w:tcPr>
            <w:tcW w:w="1040" w:type="dxa"/>
            <w:vAlign w:val="bottom"/>
          </w:tcPr>
          <w:p>
            <w:pPr>
              <w:spacing w:after="0" w:line="125" w:lineRule="exact"/>
              <w:rPr>
                <w:sz w:val="20"/>
                <w:szCs w:val="20"/>
                <w:color w:val="auto"/>
              </w:rPr>
            </w:pPr>
            <w:r>
              <w:rPr>
                <w:rFonts w:ascii="Arial" w:cs="Arial" w:eastAsia="Arial" w:hAnsi="Arial"/>
                <w:sz w:val="14"/>
                <w:szCs w:val="14"/>
                <w:color w:val="auto"/>
                <w:w w:val="92"/>
              </w:rPr>
              <w:t>Accounts payable</w:t>
            </w:r>
          </w:p>
        </w:tc>
        <w:tc>
          <w:tcPr>
            <w:tcW w:w="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1040" w:type="dxa"/>
            <w:vAlign w:val="bottom"/>
          </w:tcPr>
          <w:p>
            <w:pPr>
              <w:spacing w:after="0" w:line="143" w:lineRule="exact"/>
              <w:rPr>
                <w:sz w:val="20"/>
                <w:szCs w:val="20"/>
                <w:color w:val="auto"/>
              </w:rPr>
            </w:pPr>
            <w:r>
              <w:rPr>
                <w:rFonts w:ascii="Arial" w:cs="Arial" w:eastAsia="Arial" w:hAnsi="Arial"/>
                <w:sz w:val="14"/>
                <w:szCs w:val="14"/>
                <w:color w:val="auto"/>
                <w:w w:val="97"/>
              </w:rPr>
              <w:t>to reinsurers and</w:t>
            </w:r>
          </w:p>
        </w:tc>
        <w:tc>
          <w:tcPr>
            <w:tcW w:w="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1040" w:type="dxa"/>
            <w:vAlign w:val="bottom"/>
          </w:tcPr>
          <w:p>
            <w:pPr>
              <w:spacing w:after="0"/>
              <w:rPr>
                <w:sz w:val="20"/>
                <w:szCs w:val="20"/>
                <w:color w:val="auto"/>
              </w:rPr>
            </w:pPr>
            <w:r>
              <w:rPr>
                <w:rFonts w:ascii="Arial" w:cs="Arial" w:eastAsia="Arial" w:hAnsi="Arial"/>
                <w:sz w:val="14"/>
                <w:szCs w:val="14"/>
                <w:color w:val="auto"/>
              </w:rPr>
              <w:t>and coinsurers</w:t>
            </w:r>
          </w:p>
        </w:tc>
        <w:tc>
          <w:tcPr>
            <w:tcW w:w="980" w:type="dxa"/>
            <w:vAlign w:val="bottom"/>
            <w:gridSpan w:val="3"/>
          </w:tcPr>
          <w:p>
            <w:pPr>
              <w:jc w:val="right"/>
              <w:ind w:right="20"/>
              <w:spacing w:after="0"/>
              <w:rPr>
                <w:sz w:val="20"/>
                <w:szCs w:val="20"/>
                <w:color w:val="auto"/>
              </w:rPr>
            </w:pPr>
            <w:r>
              <w:rPr>
                <w:rFonts w:ascii="Arial" w:cs="Arial" w:eastAsia="Arial" w:hAnsi="Arial"/>
                <w:sz w:val="14"/>
                <w:szCs w:val="14"/>
                <w:color w:val="auto"/>
              </w:rPr>
              <w:t>51,426</w:t>
            </w:r>
          </w:p>
        </w:tc>
        <w:tc>
          <w:tcPr>
            <w:tcW w:w="60" w:type="dxa"/>
            <w:vAlign w:val="bottom"/>
          </w:tcPr>
          <w:p>
            <w:pPr>
              <w:spacing w:after="0"/>
              <w:rPr>
                <w:sz w:val="14"/>
                <w:szCs w:val="14"/>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4"/>
                <w:szCs w:val="14"/>
                <w:color w:val="auto"/>
              </w:rPr>
              <w:t>140,648</w:t>
            </w:r>
          </w:p>
        </w:tc>
        <w:tc>
          <w:tcPr>
            <w:tcW w:w="60" w:type="dxa"/>
            <w:vAlign w:val="bottom"/>
          </w:tcPr>
          <w:p>
            <w:pPr>
              <w:spacing w:after="0"/>
              <w:rPr>
                <w:sz w:val="14"/>
                <w:szCs w:val="14"/>
                <w:color w:val="auto"/>
              </w:rPr>
            </w:pPr>
          </w:p>
        </w:tc>
        <w:tc>
          <w:tcPr>
            <w:tcW w:w="760" w:type="dxa"/>
            <w:vAlign w:val="bottom"/>
            <w:gridSpan w:val="2"/>
          </w:tcPr>
          <w:p>
            <w:pPr>
              <w:jc w:val="right"/>
              <w:spacing w:after="0"/>
              <w:rPr>
                <w:sz w:val="20"/>
                <w:szCs w:val="20"/>
                <w:color w:val="auto"/>
              </w:rPr>
            </w:pPr>
            <w:r>
              <w:rPr>
                <w:rFonts w:ascii="Arial" w:cs="Arial" w:eastAsia="Arial" w:hAnsi="Arial"/>
                <w:sz w:val="14"/>
                <w:szCs w:val="14"/>
                <w:color w:val="auto"/>
              </w:rPr>
              <w:t>31,489</w:t>
            </w:r>
          </w:p>
        </w:tc>
        <w:tc>
          <w:tcPr>
            <w:tcW w:w="80" w:type="dxa"/>
            <w:vAlign w:val="bottom"/>
          </w:tcPr>
          <w:p>
            <w:pPr>
              <w:spacing w:after="0"/>
              <w:rPr>
                <w:sz w:val="14"/>
                <w:szCs w:val="14"/>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4"/>
                <w:szCs w:val="14"/>
                <w:color w:val="auto"/>
              </w:rPr>
              <w:t>9,862</w:t>
            </w:r>
          </w:p>
        </w:tc>
        <w:tc>
          <w:tcPr>
            <w:tcW w:w="60" w:type="dxa"/>
            <w:vAlign w:val="bottom"/>
          </w:tcPr>
          <w:p>
            <w:pPr>
              <w:spacing w:after="0"/>
              <w:rPr>
                <w:sz w:val="14"/>
                <w:szCs w:val="14"/>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4"/>
                <w:szCs w:val="14"/>
                <w:color w:val="auto"/>
              </w:rPr>
              <w:t>233,425</w:t>
            </w:r>
          </w:p>
        </w:tc>
        <w:tc>
          <w:tcPr>
            <w:tcW w:w="60" w:type="dxa"/>
            <w:vAlign w:val="bottom"/>
          </w:tcPr>
          <w:p>
            <w:pPr>
              <w:spacing w:after="0"/>
              <w:rPr>
                <w:sz w:val="14"/>
                <w:szCs w:val="14"/>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4"/>
                <w:szCs w:val="14"/>
                <w:color w:val="auto"/>
              </w:rPr>
              <w:t>38,678</w:t>
            </w:r>
          </w:p>
        </w:tc>
        <w:tc>
          <w:tcPr>
            <w:tcW w:w="60" w:type="dxa"/>
            <w:vAlign w:val="bottom"/>
          </w:tcPr>
          <w:p>
            <w:pPr>
              <w:spacing w:after="0"/>
              <w:rPr>
                <w:sz w:val="14"/>
                <w:szCs w:val="14"/>
                <w:color w:val="auto"/>
              </w:rPr>
            </w:pPr>
          </w:p>
        </w:tc>
        <w:tc>
          <w:tcPr>
            <w:tcW w:w="760" w:type="dxa"/>
            <w:vAlign w:val="bottom"/>
            <w:gridSpan w:val="2"/>
          </w:tcPr>
          <w:p>
            <w:pPr>
              <w:jc w:val="right"/>
              <w:ind w:right="11"/>
              <w:spacing w:after="0"/>
              <w:rPr>
                <w:sz w:val="20"/>
                <w:szCs w:val="20"/>
                <w:color w:val="auto"/>
              </w:rPr>
            </w:pPr>
            <w:r>
              <w:rPr>
                <w:rFonts w:ascii="Arial" w:cs="Arial" w:eastAsia="Arial" w:hAnsi="Arial"/>
                <w:sz w:val="14"/>
                <w:szCs w:val="14"/>
                <w:color w:val="auto"/>
              </w:rPr>
              <w:t>157,686</w:t>
            </w:r>
          </w:p>
        </w:tc>
        <w:tc>
          <w:tcPr>
            <w:tcW w:w="840" w:type="dxa"/>
            <w:vAlign w:val="bottom"/>
            <w:gridSpan w:val="3"/>
          </w:tcPr>
          <w:p>
            <w:pPr>
              <w:jc w:val="right"/>
              <w:ind w:right="40"/>
              <w:spacing w:after="0"/>
              <w:rPr>
                <w:sz w:val="20"/>
                <w:szCs w:val="20"/>
                <w:color w:val="auto"/>
              </w:rPr>
            </w:pPr>
            <w:r>
              <w:rPr>
                <w:rFonts w:ascii="Arial" w:cs="Arial" w:eastAsia="Arial" w:hAnsi="Arial"/>
                <w:sz w:val="14"/>
                <w:szCs w:val="14"/>
                <w:color w:val="auto"/>
              </w:rPr>
              <w:t>35,453</w:t>
            </w:r>
          </w:p>
        </w:tc>
        <w:tc>
          <w:tcPr>
            <w:tcW w:w="60" w:type="dxa"/>
            <w:vAlign w:val="bottom"/>
          </w:tcPr>
          <w:p>
            <w:pPr>
              <w:spacing w:after="0"/>
              <w:rPr>
                <w:sz w:val="14"/>
                <w:szCs w:val="14"/>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4"/>
                <w:szCs w:val="14"/>
                <w:color w:val="auto"/>
              </w:rPr>
              <w:t>5,166</w:t>
            </w:r>
          </w:p>
        </w:tc>
        <w:tc>
          <w:tcPr>
            <w:tcW w:w="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4"/>
                <w:szCs w:val="14"/>
                <w:color w:val="auto"/>
              </w:rPr>
              <w:t>236,983</w:t>
            </w:r>
          </w:p>
        </w:tc>
        <w:tc>
          <w:tcPr>
            <w:tcW w:w="0" w:type="dxa"/>
            <w:vAlign w:val="bottom"/>
          </w:tcPr>
          <w:p>
            <w:pPr>
              <w:spacing w:after="0"/>
              <w:rPr>
                <w:sz w:val="1"/>
                <w:szCs w:val="1"/>
                <w:color w:val="auto"/>
              </w:rPr>
            </w:pPr>
          </w:p>
        </w:tc>
      </w:tr>
      <w:tr>
        <w:trPr>
          <w:trHeight w:val="124"/>
        </w:trPr>
        <w:tc>
          <w:tcPr>
            <w:tcW w:w="1040" w:type="dxa"/>
            <w:vAlign w:val="bottom"/>
            <w:shd w:val="clear" w:color="auto" w:fill="CCEEFF"/>
          </w:tcPr>
          <w:p>
            <w:pPr>
              <w:spacing w:after="0" w:line="125" w:lineRule="exact"/>
              <w:rPr>
                <w:sz w:val="20"/>
                <w:szCs w:val="20"/>
                <w:color w:val="auto"/>
              </w:rPr>
            </w:pPr>
            <w:r>
              <w:rPr>
                <w:rFonts w:ascii="Arial" w:cs="Arial" w:eastAsia="Arial" w:hAnsi="Arial"/>
                <w:sz w:val="14"/>
                <w:szCs w:val="14"/>
                <w:color w:val="auto"/>
              </w:rPr>
              <w:t>Financial</w:t>
            </w:r>
          </w:p>
        </w:tc>
        <w:tc>
          <w:tcPr>
            <w:tcW w:w="6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104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rPr>
              <w:t>liabilities</w:t>
            </w:r>
          </w:p>
        </w:tc>
        <w:tc>
          <w:tcPr>
            <w:tcW w:w="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104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w w:val="94"/>
              </w:rPr>
              <w:t>designated at fair</w:t>
            </w:r>
          </w:p>
        </w:tc>
        <w:tc>
          <w:tcPr>
            <w:tcW w:w="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104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rPr>
              <w:t>value through</w:t>
            </w:r>
          </w:p>
        </w:tc>
        <w:tc>
          <w:tcPr>
            <w:tcW w:w="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1040" w:type="dxa"/>
            <w:vAlign w:val="bottom"/>
            <w:shd w:val="clear" w:color="auto" w:fill="CCEEFF"/>
          </w:tcPr>
          <w:p>
            <w:pPr>
              <w:spacing w:after="0"/>
              <w:rPr>
                <w:sz w:val="20"/>
                <w:szCs w:val="20"/>
                <w:color w:val="auto"/>
              </w:rPr>
            </w:pPr>
            <w:r>
              <w:rPr>
                <w:rFonts w:ascii="Arial" w:cs="Arial" w:eastAsia="Arial" w:hAnsi="Arial"/>
                <w:sz w:val="14"/>
                <w:szCs w:val="14"/>
                <w:color w:val="auto"/>
              </w:rPr>
              <w:t>profit or loss</w:t>
            </w:r>
          </w:p>
        </w:tc>
        <w:tc>
          <w:tcPr>
            <w:tcW w:w="980" w:type="dxa"/>
            <w:vAlign w:val="bottom"/>
            <w:gridSpan w:val="3"/>
            <w:shd w:val="clear" w:color="auto" w:fill="CCEEFF"/>
          </w:tcPr>
          <w:p>
            <w:pPr>
              <w:jc w:val="right"/>
              <w:ind w:right="20"/>
              <w:spacing w:after="0"/>
              <w:rPr>
                <w:sz w:val="20"/>
                <w:szCs w:val="20"/>
                <w:color w:val="auto"/>
              </w:rPr>
            </w:pPr>
            <w:r>
              <w:rPr>
                <w:rFonts w:ascii="Arial" w:cs="Arial" w:eastAsia="Arial" w:hAnsi="Arial"/>
                <w:sz w:val="14"/>
                <w:szCs w:val="14"/>
                <w:color w:val="auto"/>
              </w:rPr>
              <w:t>168,089</w:t>
            </w:r>
          </w:p>
        </w:tc>
        <w:tc>
          <w:tcPr>
            <w:tcW w:w="6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1"/>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168,089</w:t>
            </w:r>
          </w:p>
        </w:tc>
        <w:tc>
          <w:tcPr>
            <w:tcW w:w="6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209,520</w:t>
            </w:r>
          </w:p>
        </w:tc>
        <w:tc>
          <w:tcPr>
            <w:tcW w:w="6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1"/>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209,520</w:t>
            </w:r>
          </w:p>
        </w:tc>
        <w:tc>
          <w:tcPr>
            <w:tcW w:w="0" w:type="dxa"/>
            <w:vAlign w:val="bottom"/>
          </w:tcPr>
          <w:p>
            <w:pPr>
              <w:spacing w:after="0"/>
              <w:rPr>
                <w:sz w:val="1"/>
                <w:szCs w:val="1"/>
                <w:color w:val="auto"/>
              </w:rPr>
            </w:pPr>
          </w:p>
        </w:tc>
      </w:tr>
      <w:tr>
        <w:trPr>
          <w:trHeight w:val="124"/>
        </w:trPr>
        <w:tc>
          <w:tcPr>
            <w:tcW w:w="1040" w:type="dxa"/>
            <w:vAlign w:val="bottom"/>
          </w:tcPr>
          <w:p>
            <w:pPr>
              <w:spacing w:after="0" w:line="125" w:lineRule="exact"/>
              <w:rPr>
                <w:sz w:val="20"/>
                <w:szCs w:val="20"/>
                <w:color w:val="auto"/>
              </w:rPr>
            </w:pPr>
            <w:r>
              <w:rPr>
                <w:rFonts w:ascii="Arial" w:cs="Arial" w:eastAsia="Arial" w:hAnsi="Arial"/>
                <w:sz w:val="14"/>
                <w:szCs w:val="14"/>
                <w:color w:val="auto"/>
                <w:w w:val="94"/>
              </w:rPr>
              <w:t>Bonds and Notes</w:t>
            </w:r>
          </w:p>
        </w:tc>
        <w:tc>
          <w:tcPr>
            <w:tcW w:w="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1"/>
        </w:trPr>
        <w:tc>
          <w:tcPr>
            <w:tcW w:w="1040" w:type="dxa"/>
            <w:vAlign w:val="bottom"/>
          </w:tcPr>
          <w:p>
            <w:pPr>
              <w:spacing w:after="0"/>
              <w:rPr>
                <w:sz w:val="20"/>
                <w:szCs w:val="20"/>
                <w:color w:val="auto"/>
              </w:rPr>
            </w:pPr>
            <w:r>
              <w:rPr>
                <w:rFonts w:ascii="Arial" w:cs="Arial" w:eastAsia="Arial" w:hAnsi="Arial"/>
                <w:sz w:val="14"/>
                <w:szCs w:val="14"/>
                <w:color w:val="auto"/>
              </w:rPr>
              <w:t>issued</w:t>
            </w:r>
          </w:p>
        </w:tc>
        <w:tc>
          <w:tcPr>
            <w:tcW w:w="980" w:type="dxa"/>
            <w:vAlign w:val="bottom"/>
            <w:gridSpan w:val="3"/>
          </w:tcPr>
          <w:p>
            <w:pPr>
              <w:jc w:val="right"/>
              <w:ind w:right="20"/>
              <w:spacing w:after="0"/>
              <w:rPr>
                <w:sz w:val="20"/>
                <w:szCs w:val="20"/>
                <w:color w:val="auto"/>
              </w:rPr>
            </w:pPr>
            <w:r>
              <w:rPr>
                <w:rFonts w:ascii="Arial" w:cs="Arial" w:eastAsia="Arial" w:hAnsi="Arial"/>
                <w:sz w:val="14"/>
                <w:szCs w:val="14"/>
                <w:color w:val="auto"/>
              </w:rPr>
              <w:t>833,517</w:t>
            </w:r>
          </w:p>
        </w:tc>
        <w:tc>
          <w:tcPr>
            <w:tcW w:w="60" w:type="dxa"/>
            <w:vAlign w:val="bottom"/>
          </w:tcPr>
          <w:p>
            <w:pPr>
              <w:spacing w:after="0"/>
              <w:rPr>
                <w:sz w:val="14"/>
                <w:szCs w:val="14"/>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4"/>
                <w:szCs w:val="14"/>
                <w:color w:val="auto"/>
              </w:rPr>
              <w:t>130,988</w:t>
            </w:r>
          </w:p>
        </w:tc>
        <w:tc>
          <w:tcPr>
            <w:tcW w:w="60" w:type="dxa"/>
            <w:vAlign w:val="bottom"/>
          </w:tcPr>
          <w:p>
            <w:pPr>
              <w:spacing w:after="0"/>
              <w:rPr>
                <w:sz w:val="14"/>
                <w:szCs w:val="14"/>
                <w:color w:val="auto"/>
              </w:rPr>
            </w:pPr>
          </w:p>
        </w:tc>
        <w:tc>
          <w:tcPr>
            <w:tcW w:w="760" w:type="dxa"/>
            <w:vAlign w:val="bottom"/>
            <w:gridSpan w:val="2"/>
          </w:tcPr>
          <w:p>
            <w:pPr>
              <w:jc w:val="right"/>
              <w:ind w:right="11"/>
              <w:spacing w:after="0"/>
              <w:rPr>
                <w:sz w:val="20"/>
                <w:szCs w:val="20"/>
                <w:color w:val="auto"/>
              </w:rPr>
            </w:pPr>
            <w:r>
              <w:rPr>
                <w:rFonts w:ascii="Arial" w:cs="Arial" w:eastAsia="Arial" w:hAnsi="Arial"/>
                <w:sz w:val="14"/>
                <w:szCs w:val="14"/>
                <w:color w:val="auto"/>
              </w:rPr>
              <w:t>1,059,795</w:t>
            </w:r>
          </w:p>
        </w:tc>
        <w:tc>
          <w:tcPr>
            <w:tcW w:w="80" w:type="dxa"/>
            <w:vAlign w:val="bottom"/>
          </w:tcPr>
          <w:p>
            <w:pPr>
              <w:spacing w:after="0"/>
              <w:rPr>
                <w:sz w:val="14"/>
                <w:szCs w:val="14"/>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4"/>
                <w:szCs w:val="14"/>
                <w:color w:val="auto"/>
                <w:w w:val="94"/>
              </w:rPr>
              <w:t>13,471,851</w:t>
            </w:r>
          </w:p>
        </w:tc>
        <w:tc>
          <w:tcPr>
            <w:tcW w:w="60" w:type="dxa"/>
            <w:vAlign w:val="bottom"/>
          </w:tcPr>
          <w:p>
            <w:pPr>
              <w:spacing w:after="0"/>
              <w:rPr>
                <w:sz w:val="14"/>
                <w:szCs w:val="14"/>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4"/>
                <w:szCs w:val="14"/>
                <w:color w:val="auto"/>
              </w:rPr>
              <w:t>2,905,297</w:t>
            </w:r>
          </w:p>
        </w:tc>
        <w:tc>
          <w:tcPr>
            <w:tcW w:w="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18,401,448</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4"/>
                <w:szCs w:val="14"/>
                <w:color w:val="auto"/>
              </w:rPr>
              <w:t>125,777</w:t>
            </w:r>
          </w:p>
        </w:tc>
        <w:tc>
          <w:tcPr>
            <w:tcW w:w="60" w:type="dxa"/>
            <w:vAlign w:val="bottom"/>
          </w:tcPr>
          <w:p>
            <w:pPr>
              <w:spacing w:after="0"/>
              <w:rPr>
                <w:sz w:val="14"/>
                <w:szCs w:val="14"/>
                <w:color w:val="auto"/>
              </w:rPr>
            </w:pPr>
          </w:p>
        </w:tc>
        <w:tc>
          <w:tcPr>
            <w:tcW w:w="760" w:type="dxa"/>
            <w:vAlign w:val="bottom"/>
            <w:gridSpan w:val="2"/>
          </w:tcPr>
          <w:p>
            <w:pPr>
              <w:jc w:val="right"/>
              <w:ind w:right="11"/>
              <w:spacing w:after="0"/>
              <w:rPr>
                <w:sz w:val="20"/>
                <w:szCs w:val="20"/>
                <w:color w:val="auto"/>
              </w:rPr>
            </w:pPr>
            <w:r>
              <w:rPr>
                <w:rFonts w:ascii="Arial" w:cs="Arial" w:eastAsia="Arial" w:hAnsi="Arial"/>
                <w:sz w:val="14"/>
                <w:szCs w:val="14"/>
                <w:color w:val="auto"/>
              </w:rPr>
              <w:t>176,115</w:t>
            </w:r>
          </w:p>
        </w:tc>
        <w:tc>
          <w:tcPr>
            <w:tcW w:w="760" w:type="dxa"/>
            <w:vAlign w:val="bottom"/>
            <w:gridSpan w:val="2"/>
          </w:tcPr>
          <w:p>
            <w:pPr>
              <w:jc w:val="right"/>
              <w:spacing w:after="0"/>
              <w:rPr>
                <w:sz w:val="20"/>
                <w:szCs w:val="20"/>
                <w:color w:val="auto"/>
              </w:rPr>
            </w:pPr>
            <w:r>
              <w:rPr>
                <w:rFonts w:ascii="Arial" w:cs="Arial" w:eastAsia="Arial" w:hAnsi="Arial"/>
                <w:sz w:val="14"/>
                <w:szCs w:val="14"/>
                <w:color w:val="auto"/>
              </w:rPr>
              <w:t>1,290,997</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4"/>
                <w:szCs w:val="14"/>
                <w:color w:val="auto"/>
                <w:w w:val="96"/>
              </w:rPr>
              <w:t>10,292,536</w:t>
            </w:r>
          </w:p>
        </w:tc>
        <w:tc>
          <w:tcPr>
            <w:tcW w:w="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6,094,298</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4"/>
                <w:szCs w:val="14"/>
                <w:color w:val="auto"/>
              </w:rPr>
              <w:t>17,979,723</w:t>
            </w:r>
          </w:p>
        </w:tc>
        <w:tc>
          <w:tcPr>
            <w:tcW w:w="0" w:type="dxa"/>
            <w:vAlign w:val="bottom"/>
          </w:tcPr>
          <w:p>
            <w:pPr>
              <w:spacing w:after="0"/>
              <w:rPr>
                <w:sz w:val="1"/>
                <w:szCs w:val="1"/>
                <w:color w:val="auto"/>
              </w:rPr>
            </w:pPr>
          </w:p>
        </w:tc>
      </w:tr>
      <w:tr>
        <w:trPr>
          <w:trHeight w:val="156"/>
        </w:trPr>
        <w:tc>
          <w:tcPr>
            <w:tcW w:w="1040" w:type="dxa"/>
            <w:vAlign w:val="bottom"/>
            <w:shd w:val="clear" w:color="auto" w:fill="CCEEFF"/>
          </w:tcPr>
          <w:p>
            <w:pPr>
              <w:spacing w:after="0" w:line="156" w:lineRule="exact"/>
              <w:rPr>
                <w:sz w:val="20"/>
                <w:szCs w:val="20"/>
                <w:color w:val="auto"/>
              </w:rPr>
            </w:pPr>
            <w:r>
              <w:rPr>
                <w:rFonts w:ascii="Arial" w:cs="Arial" w:eastAsia="Arial" w:hAnsi="Arial"/>
                <w:sz w:val="14"/>
                <w:szCs w:val="14"/>
                <w:color w:val="auto"/>
              </w:rPr>
              <w:t>Other liabilities</w:t>
            </w:r>
          </w:p>
        </w:tc>
        <w:tc>
          <w:tcPr>
            <w:tcW w:w="980" w:type="dxa"/>
            <w:vAlign w:val="bottom"/>
            <w:gridSpan w:val="3"/>
            <w:shd w:val="clear" w:color="auto" w:fill="CCEEFF"/>
          </w:tcPr>
          <w:p>
            <w:pPr>
              <w:jc w:val="right"/>
              <w:ind w:right="20"/>
              <w:spacing w:after="0" w:line="156" w:lineRule="exact"/>
              <w:rPr>
                <w:sz w:val="20"/>
                <w:szCs w:val="20"/>
                <w:color w:val="auto"/>
              </w:rPr>
            </w:pPr>
            <w:r>
              <w:rPr>
                <w:rFonts w:ascii="Arial" w:cs="Arial" w:eastAsia="Arial" w:hAnsi="Arial"/>
                <w:sz w:val="14"/>
                <w:szCs w:val="14"/>
                <w:color w:val="auto"/>
              </w:rPr>
              <w:t>1,997,270</w:t>
            </w:r>
          </w:p>
        </w:tc>
        <w:tc>
          <w:tcPr>
            <w:tcW w:w="6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20"/>
              <w:spacing w:after="0" w:line="156" w:lineRule="exact"/>
              <w:rPr>
                <w:sz w:val="20"/>
                <w:szCs w:val="20"/>
                <w:color w:val="auto"/>
              </w:rPr>
            </w:pPr>
            <w:r>
              <w:rPr>
                <w:rFonts w:ascii="Arial" w:cs="Arial" w:eastAsia="Arial" w:hAnsi="Arial"/>
                <w:sz w:val="14"/>
                <w:szCs w:val="14"/>
                <w:color w:val="auto"/>
              </w:rPr>
              <w:t>293,864</w:t>
            </w:r>
          </w:p>
        </w:tc>
        <w:tc>
          <w:tcPr>
            <w:tcW w:w="6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spacing w:after="0" w:line="156" w:lineRule="exact"/>
              <w:rPr>
                <w:sz w:val="20"/>
                <w:szCs w:val="20"/>
                <w:color w:val="auto"/>
              </w:rPr>
            </w:pPr>
            <w:r>
              <w:rPr>
                <w:rFonts w:ascii="Arial" w:cs="Arial" w:eastAsia="Arial" w:hAnsi="Arial"/>
                <w:sz w:val="14"/>
                <w:szCs w:val="14"/>
                <w:color w:val="auto"/>
              </w:rPr>
              <w:t>298,986</w:t>
            </w:r>
          </w:p>
        </w:tc>
        <w:tc>
          <w:tcPr>
            <w:tcW w:w="8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40"/>
              <w:spacing w:after="0" w:line="156" w:lineRule="exact"/>
              <w:rPr>
                <w:sz w:val="20"/>
                <w:szCs w:val="20"/>
                <w:color w:val="auto"/>
              </w:rPr>
            </w:pPr>
            <w:r>
              <w:rPr>
                <w:rFonts w:ascii="Arial" w:cs="Arial" w:eastAsia="Arial" w:hAnsi="Arial"/>
                <w:sz w:val="14"/>
                <w:szCs w:val="14"/>
                <w:color w:val="auto"/>
              </w:rPr>
              <w:t>5,310</w:t>
            </w:r>
          </w:p>
        </w:tc>
        <w:tc>
          <w:tcPr>
            <w:tcW w:w="6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
              <w:spacing w:after="0" w:line="156" w:lineRule="exact"/>
              <w:rPr>
                <w:sz w:val="20"/>
                <w:szCs w:val="20"/>
                <w:color w:val="auto"/>
              </w:rPr>
            </w:pPr>
            <w:r>
              <w:rPr>
                <w:rFonts w:ascii="Arial" w:cs="Arial" w:eastAsia="Arial" w:hAnsi="Arial"/>
                <w:sz w:val="14"/>
                <w:szCs w:val="14"/>
                <w:color w:val="auto"/>
              </w:rPr>
              <w:t>1,341,955</w:t>
            </w:r>
          </w:p>
        </w:tc>
        <w:tc>
          <w:tcPr>
            <w:tcW w:w="6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line="156" w:lineRule="exact"/>
              <w:rPr>
                <w:sz w:val="20"/>
                <w:szCs w:val="20"/>
                <w:color w:val="auto"/>
              </w:rPr>
            </w:pPr>
            <w:r>
              <w:rPr>
                <w:rFonts w:ascii="Arial" w:cs="Arial" w:eastAsia="Arial" w:hAnsi="Arial"/>
                <w:sz w:val="14"/>
                <w:szCs w:val="14"/>
                <w:color w:val="auto"/>
              </w:rPr>
              <w:t>3,937,385</w:t>
            </w: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line="156" w:lineRule="exact"/>
              <w:rPr>
                <w:sz w:val="20"/>
                <w:szCs w:val="20"/>
                <w:color w:val="auto"/>
              </w:rPr>
            </w:pPr>
            <w:r>
              <w:rPr>
                <w:rFonts w:ascii="Arial" w:cs="Arial" w:eastAsia="Arial" w:hAnsi="Arial"/>
                <w:sz w:val="14"/>
                <w:szCs w:val="14"/>
                <w:color w:val="auto"/>
              </w:rPr>
              <w:t>3,941,629</w:t>
            </w: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11"/>
              <w:spacing w:after="0" w:line="156" w:lineRule="exact"/>
              <w:rPr>
                <w:sz w:val="20"/>
                <w:szCs w:val="20"/>
                <w:color w:val="auto"/>
              </w:rPr>
            </w:pPr>
            <w:r>
              <w:rPr>
                <w:rFonts w:ascii="Arial" w:cs="Arial" w:eastAsia="Arial" w:hAnsi="Arial"/>
                <w:sz w:val="14"/>
                <w:szCs w:val="14"/>
                <w:color w:val="auto"/>
              </w:rPr>
              <w:t>133,844</w:t>
            </w:r>
          </w:p>
        </w:tc>
        <w:tc>
          <w:tcPr>
            <w:tcW w:w="840" w:type="dxa"/>
            <w:vAlign w:val="bottom"/>
            <w:gridSpan w:val="3"/>
            <w:shd w:val="clear" w:color="auto" w:fill="CCEEFF"/>
          </w:tcPr>
          <w:p>
            <w:pPr>
              <w:jc w:val="right"/>
              <w:ind w:right="40"/>
              <w:spacing w:after="0" w:line="156" w:lineRule="exact"/>
              <w:rPr>
                <w:sz w:val="20"/>
                <w:szCs w:val="20"/>
                <w:color w:val="auto"/>
              </w:rPr>
            </w:pPr>
            <w:r>
              <w:rPr>
                <w:rFonts w:ascii="Arial" w:cs="Arial" w:eastAsia="Arial" w:hAnsi="Arial"/>
                <w:sz w:val="14"/>
                <w:szCs w:val="14"/>
                <w:color w:val="auto"/>
              </w:rPr>
              <w:t>200,758</w:t>
            </w:r>
          </w:p>
        </w:tc>
        <w:tc>
          <w:tcPr>
            <w:tcW w:w="6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60"/>
              <w:spacing w:after="0" w:line="156" w:lineRule="exact"/>
              <w:rPr>
                <w:sz w:val="20"/>
                <w:szCs w:val="20"/>
                <w:color w:val="auto"/>
              </w:rPr>
            </w:pPr>
            <w:r>
              <w:rPr>
                <w:rFonts w:ascii="Arial" w:cs="Arial" w:eastAsia="Arial" w:hAnsi="Arial"/>
                <w:sz w:val="14"/>
                <w:szCs w:val="14"/>
                <w:color w:val="auto"/>
              </w:rPr>
              <w:t>4,749</w:t>
            </w:r>
          </w:p>
        </w:tc>
        <w:tc>
          <w:tcPr>
            <w:tcW w:w="6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11"/>
              <w:spacing w:after="0" w:line="156" w:lineRule="exact"/>
              <w:rPr>
                <w:sz w:val="20"/>
                <w:szCs w:val="20"/>
                <w:color w:val="auto"/>
              </w:rPr>
            </w:pPr>
            <w:r>
              <w:rPr>
                <w:rFonts w:ascii="Arial" w:cs="Arial" w:eastAsia="Arial" w:hAnsi="Arial"/>
                <w:sz w:val="14"/>
                <w:szCs w:val="14"/>
                <w:color w:val="auto"/>
              </w:rPr>
              <w:t>8,305</w:t>
            </w:r>
          </w:p>
        </w:tc>
        <w:tc>
          <w:tcPr>
            <w:tcW w:w="8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60"/>
              <w:spacing w:after="0" w:line="156" w:lineRule="exact"/>
              <w:rPr>
                <w:sz w:val="20"/>
                <w:szCs w:val="20"/>
                <w:color w:val="auto"/>
              </w:rPr>
            </w:pPr>
            <w:r>
              <w:rPr>
                <w:rFonts w:ascii="Arial" w:cs="Arial" w:eastAsia="Arial" w:hAnsi="Arial"/>
                <w:sz w:val="14"/>
                <w:szCs w:val="14"/>
                <w:color w:val="auto"/>
              </w:rPr>
              <w:t>4,289,285</w:t>
            </w:r>
          </w:p>
        </w:tc>
        <w:tc>
          <w:tcPr>
            <w:tcW w:w="0" w:type="dxa"/>
            <w:vAlign w:val="bottom"/>
          </w:tcPr>
          <w:p>
            <w:pPr>
              <w:spacing w:after="0"/>
              <w:rPr>
                <w:sz w:val="1"/>
                <w:szCs w:val="1"/>
                <w:color w:val="auto"/>
              </w:rPr>
            </w:pPr>
          </w:p>
        </w:tc>
      </w:tr>
      <w:tr>
        <w:trPr>
          <w:trHeight w:val="189"/>
        </w:trPr>
        <w:tc>
          <w:tcPr>
            <w:tcW w:w="1040" w:type="dxa"/>
            <w:vAlign w:val="bottom"/>
            <w:tcBorders>
              <w:bottom w:val="single" w:sz="8" w:color="CCEEFF"/>
            </w:tcBorders>
          </w:tcPr>
          <w:p>
            <w:pPr>
              <w:spacing w:after="0" w:line="149" w:lineRule="exact"/>
              <w:rPr>
                <w:sz w:val="20"/>
                <w:szCs w:val="20"/>
                <w:color w:val="auto"/>
              </w:rPr>
            </w:pPr>
            <w:r>
              <w:rPr>
                <w:rFonts w:ascii="Arial" w:cs="Arial" w:eastAsia="Arial" w:hAnsi="Arial"/>
                <w:sz w:val="14"/>
                <w:szCs w:val="14"/>
                <w:b w:val="1"/>
                <w:bCs w:val="1"/>
                <w:color w:val="auto"/>
              </w:rPr>
              <w:t>Total liabilities</w:t>
            </w:r>
          </w:p>
        </w:tc>
        <w:tc>
          <w:tcPr>
            <w:tcW w:w="60" w:type="dxa"/>
            <w:vAlign w:val="bottom"/>
            <w:tcBorders>
              <w:bottom w:val="single" w:sz="8" w:color="CCEEFF"/>
            </w:tcBorders>
          </w:tcPr>
          <w:p>
            <w:pPr>
              <w:spacing w:after="0"/>
              <w:rPr>
                <w:sz w:val="16"/>
                <w:szCs w:val="16"/>
                <w:color w:val="auto"/>
              </w:rPr>
            </w:pPr>
          </w:p>
        </w:tc>
        <w:tc>
          <w:tcPr>
            <w:tcW w:w="86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35,069,382</w:t>
            </w:r>
          </w:p>
        </w:tc>
        <w:tc>
          <w:tcPr>
            <w:tcW w:w="6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70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w w:val="96"/>
              </w:rPr>
              <w:t>12,890,565</w:t>
            </w:r>
          </w:p>
        </w:tc>
        <w:tc>
          <w:tcPr>
            <w:tcW w:w="6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68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w w:val="94"/>
              </w:rPr>
              <w:t>26,556,691</w:t>
            </w:r>
          </w:p>
        </w:tc>
        <w:tc>
          <w:tcPr>
            <w:tcW w:w="8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68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w w:val="94"/>
              </w:rPr>
              <w:t>54,823,319</w:t>
            </w:r>
          </w:p>
        </w:tc>
        <w:tc>
          <w:tcPr>
            <w:tcW w:w="8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70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w w:val="96"/>
              </w:rPr>
              <w:t>19,261,822</w:t>
            </w:r>
          </w:p>
        </w:tc>
        <w:tc>
          <w:tcPr>
            <w:tcW w:w="8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76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w w:val="95"/>
              </w:rPr>
              <w:t>148,601,779</w:t>
            </w:r>
          </w:p>
        </w:tc>
        <w:tc>
          <w:tcPr>
            <w:tcW w:w="8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84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32,313,704</w:t>
            </w:r>
          </w:p>
        </w:tc>
        <w:tc>
          <w:tcPr>
            <w:tcW w:w="8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68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w w:val="94"/>
              </w:rPr>
              <w:t>11,160,073</w:t>
            </w:r>
          </w:p>
        </w:tc>
        <w:tc>
          <w:tcPr>
            <w:tcW w:w="8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68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w w:val="94"/>
              </w:rPr>
              <w:t>23,156,222</w:t>
            </w:r>
          </w:p>
        </w:tc>
        <w:tc>
          <w:tcPr>
            <w:tcW w:w="8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70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w w:val="96"/>
              </w:rPr>
              <w:t>54,372,007</w:t>
            </w:r>
          </w:p>
        </w:tc>
        <w:tc>
          <w:tcPr>
            <w:tcW w:w="6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68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w w:val="94"/>
              </w:rPr>
              <w:t>17,281,708</w:t>
            </w:r>
          </w:p>
        </w:tc>
        <w:tc>
          <w:tcPr>
            <w:tcW w:w="8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76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w w:val="95"/>
              </w:rPr>
              <w:t>138,283,714</w:t>
            </w:r>
          </w:p>
        </w:tc>
        <w:tc>
          <w:tcPr>
            <w:tcW w:w="6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10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1040" w:type="dxa"/>
            <w:vAlign w:val="bottom"/>
          </w:tcPr>
          <w:p>
            <w:pPr>
              <w:spacing w:after="0" w:line="121" w:lineRule="exact"/>
              <w:rPr>
                <w:sz w:val="20"/>
                <w:szCs w:val="20"/>
                <w:color w:val="auto"/>
              </w:rPr>
            </w:pPr>
            <w:r>
              <w:rPr>
                <w:rFonts w:ascii="Arial" w:cs="Arial" w:eastAsia="Arial" w:hAnsi="Arial"/>
                <w:sz w:val="13"/>
                <w:szCs w:val="13"/>
                <w:b w:val="1"/>
                <w:bCs w:val="1"/>
                <w:color w:val="auto"/>
              </w:rPr>
              <w:t>Derivative</w:t>
            </w:r>
          </w:p>
        </w:tc>
        <w:tc>
          <w:tcPr>
            <w:tcW w:w="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1040" w:type="dxa"/>
            <w:vAlign w:val="bottom"/>
          </w:tcPr>
          <w:p>
            <w:pPr>
              <w:spacing w:after="0" w:line="143" w:lineRule="exact"/>
              <w:rPr>
                <w:sz w:val="20"/>
                <w:szCs w:val="20"/>
                <w:color w:val="auto"/>
              </w:rPr>
            </w:pPr>
            <w:r>
              <w:rPr>
                <w:rFonts w:ascii="Arial" w:cs="Arial" w:eastAsia="Arial" w:hAnsi="Arial"/>
                <w:sz w:val="14"/>
                <w:szCs w:val="14"/>
                <w:b w:val="1"/>
                <w:bCs w:val="1"/>
                <w:color w:val="auto"/>
              </w:rPr>
              <w:t>financial</w:t>
            </w:r>
          </w:p>
        </w:tc>
        <w:tc>
          <w:tcPr>
            <w:tcW w:w="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1040" w:type="dxa"/>
            <w:vAlign w:val="bottom"/>
          </w:tcPr>
          <w:p>
            <w:pPr>
              <w:spacing w:after="0"/>
              <w:rPr>
                <w:sz w:val="20"/>
                <w:szCs w:val="20"/>
                <w:color w:val="auto"/>
              </w:rPr>
            </w:pPr>
            <w:r>
              <w:rPr>
                <w:rFonts w:ascii="Arial" w:cs="Arial" w:eastAsia="Arial" w:hAnsi="Arial"/>
                <w:sz w:val="14"/>
                <w:szCs w:val="14"/>
                <w:b w:val="1"/>
                <w:bCs w:val="1"/>
                <w:color w:val="auto"/>
              </w:rPr>
              <w:t>liabilities -</w:t>
            </w:r>
          </w:p>
        </w:tc>
        <w:tc>
          <w:tcPr>
            <w:tcW w:w="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4"/>
        </w:trPr>
        <w:tc>
          <w:tcPr>
            <w:tcW w:w="1040" w:type="dxa"/>
            <w:vAlign w:val="bottom"/>
            <w:shd w:val="clear" w:color="auto" w:fill="CCEEFF"/>
          </w:tcPr>
          <w:p>
            <w:pPr>
              <w:spacing w:after="0" w:line="125" w:lineRule="exact"/>
              <w:rPr>
                <w:sz w:val="20"/>
                <w:szCs w:val="20"/>
                <w:color w:val="auto"/>
              </w:rPr>
            </w:pPr>
            <w:r>
              <w:rPr>
                <w:rFonts w:ascii="Arial" w:cs="Arial" w:eastAsia="Arial" w:hAnsi="Arial"/>
                <w:sz w:val="14"/>
                <w:szCs w:val="14"/>
                <w:color w:val="auto"/>
              </w:rPr>
              <w:t>Contractual</w:t>
            </w:r>
          </w:p>
        </w:tc>
        <w:tc>
          <w:tcPr>
            <w:tcW w:w="6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104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rPr>
              <w:t>amounts</w:t>
            </w:r>
          </w:p>
        </w:tc>
        <w:tc>
          <w:tcPr>
            <w:tcW w:w="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104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rPr>
              <w:t>receivable</w:t>
            </w:r>
          </w:p>
        </w:tc>
        <w:tc>
          <w:tcPr>
            <w:tcW w:w="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1040" w:type="dxa"/>
            <w:vAlign w:val="bottom"/>
            <w:shd w:val="clear" w:color="auto" w:fill="CCEEFF"/>
          </w:tcPr>
          <w:p>
            <w:pPr>
              <w:spacing w:after="0"/>
              <w:rPr>
                <w:sz w:val="20"/>
                <w:szCs w:val="20"/>
                <w:color w:val="auto"/>
              </w:rPr>
            </w:pPr>
            <w:r>
              <w:rPr>
                <w:rFonts w:ascii="Arial" w:cs="Arial" w:eastAsia="Arial" w:hAnsi="Arial"/>
                <w:sz w:val="14"/>
                <w:szCs w:val="14"/>
                <w:color w:val="auto"/>
              </w:rPr>
              <w:t>(Inflows)</w:t>
            </w:r>
          </w:p>
        </w:tc>
        <w:tc>
          <w:tcPr>
            <w:tcW w:w="980" w:type="dxa"/>
            <w:vAlign w:val="bottom"/>
            <w:gridSpan w:val="3"/>
            <w:shd w:val="clear" w:color="auto" w:fill="CCEEFF"/>
          </w:tcPr>
          <w:p>
            <w:pPr>
              <w:jc w:val="right"/>
              <w:ind w:right="20"/>
              <w:spacing w:after="0"/>
              <w:rPr>
                <w:sz w:val="20"/>
                <w:szCs w:val="20"/>
                <w:color w:val="auto"/>
              </w:rPr>
            </w:pPr>
            <w:r>
              <w:rPr>
                <w:rFonts w:ascii="Arial" w:cs="Arial" w:eastAsia="Arial" w:hAnsi="Arial"/>
                <w:sz w:val="14"/>
                <w:szCs w:val="14"/>
                <w:color w:val="auto"/>
              </w:rPr>
              <w:t>150,149</w:t>
            </w:r>
          </w:p>
        </w:tc>
        <w:tc>
          <w:tcPr>
            <w:tcW w:w="6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123,114</w:t>
            </w:r>
          </w:p>
        </w:tc>
        <w:tc>
          <w:tcPr>
            <w:tcW w:w="6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464,466</w:t>
            </w:r>
          </w:p>
        </w:tc>
        <w:tc>
          <w:tcPr>
            <w:tcW w:w="8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1,770,499</w:t>
            </w:r>
          </w:p>
        </w:tc>
        <w:tc>
          <w:tcPr>
            <w:tcW w:w="6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790,843</w:t>
            </w:r>
          </w:p>
        </w:tc>
        <w:tc>
          <w:tcPr>
            <w:tcW w:w="6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3,299,071</w:t>
            </w: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576,992</w:t>
            </w:r>
          </w:p>
        </w:tc>
        <w:tc>
          <w:tcPr>
            <w:tcW w:w="6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1"/>
              <w:spacing w:after="0"/>
              <w:rPr>
                <w:sz w:val="20"/>
                <w:szCs w:val="20"/>
                <w:color w:val="auto"/>
              </w:rPr>
            </w:pPr>
            <w:r>
              <w:rPr>
                <w:rFonts w:ascii="Arial" w:cs="Arial" w:eastAsia="Arial" w:hAnsi="Arial"/>
                <w:sz w:val="14"/>
                <w:szCs w:val="14"/>
                <w:color w:val="auto"/>
              </w:rPr>
              <w:t>150,223</w:t>
            </w:r>
          </w:p>
        </w:tc>
        <w:tc>
          <w:tcPr>
            <w:tcW w:w="840" w:type="dxa"/>
            <w:vAlign w:val="bottom"/>
            <w:gridSpan w:val="3"/>
            <w:shd w:val="clear" w:color="auto" w:fill="CCEEFF"/>
          </w:tcPr>
          <w:p>
            <w:pPr>
              <w:jc w:val="right"/>
              <w:ind w:right="40"/>
              <w:spacing w:after="0"/>
              <w:rPr>
                <w:sz w:val="20"/>
                <w:szCs w:val="20"/>
                <w:color w:val="auto"/>
              </w:rPr>
            </w:pPr>
            <w:r>
              <w:rPr>
                <w:rFonts w:ascii="Arial" w:cs="Arial" w:eastAsia="Arial" w:hAnsi="Arial"/>
                <w:sz w:val="14"/>
                <w:szCs w:val="14"/>
                <w:color w:val="auto"/>
              </w:rPr>
              <w:t>550,989</w:t>
            </w:r>
          </w:p>
        </w:tc>
        <w:tc>
          <w:tcPr>
            <w:tcW w:w="6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1,765,538</w:t>
            </w:r>
          </w:p>
        </w:tc>
        <w:tc>
          <w:tcPr>
            <w:tcW w:w="6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1"/>
              <w:spacing w:after="0"/>
              <w:rPr>
                <w:sz w:val="20"/>
                <w:szCs w:val="20"/>
                <w:color w:val="auto"/>
              </w:rPr>
            </w:pPr>
            <w:r>
              <w:rPr>
                <w:rFonts w:ascii="Arial" w:cs="Arial" w:eastAsia="Arial" w:hAnsi="Arial"/>
                <w:sz w:val="14"/>
                <w:szCs w:val="14"/>
                <w:color w:val="auto"/>
              </w:rPr>
              <w:t>522,802</w:t>
            </w:r>
          </w:p>
        </w:tc>
        <w:tc>
          <w:tcPr>
            <w:tcW w:w="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3,566,544</w:t>
            </w:r>
          </w:p>
        </w:tc>
        <w:tc>
          <w:tcPr>
            <w:tcW w:w="0" w:type="dxa"/>
            <w:vAlign w:val="bottom"/>
          </w:tcPr>
          <w:p>
            <w:pPr>
              <w:spacing w:after="0"/>
              <w:rPr>
                <w:sz w:val="1"/>
                <w:szCs w:val="1"/>
                <w:color w:val="auto"/>
              </w:rPr>
            </w:pPr>
          </w:p>
        </w:tc>
      </w:tr>
      <w:tr>
        <w:trPr>
          <w:trHeight w:val="124"/>
        </w:trPr>
        <w:tc>
          <w:tcPr>
            <w:tcW w:w="1040" w:type="dxa"/>
            <w:vAlign w:val="bottom"/>
          </w:tcPr>
          <w:p>
            <w:pPr>
              <w:spacing w:after="0" w:line="125" w:lineRule="exact"/>
              <w:rPr>
                <w:sz w:val="20"/>
                <w:szCs w:val="20"/>
                <w:color w:val="auto"/>
              </w:rPr>
            </w:pPr>
            <w:r>
              <w:rPr>
                <w:rFonts w:ascii="Arial" w:cs="Arial" w:eastAsia="Arial" w:hAnsi="Arial"/>
                <w:sz w:val="14"/>
                <w:szCs w:val="14"/>
                <w:color w:val="auto"/>
              </w:rPr>
              <w:t>Contractual</w:t>
            </w:r>
          </w:p>
        </w:tc>
        <w:tc>
          <w:tcPr>
            <w:tcW w:w="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1040" w:type="dxa"/>
            <w:vAlign w:val="bottom"/>
          </w:tcPr>
          <w:p>
            <w:pPr>
              <w:spacing w:after="0" w:line="143" w:lineRule="exact"/>
              <w:rPr>
                <w:sz w:val="20"/>
                <w:szCs w:val="20"/>
                <w:color w:val="auto"/>
              </w:rPr>
            </w:pPr>
            <w:r>
              <w:rPr>
                <w:rFonts w:ascii="Arial" w:cs="Arial" w:eastAsia="Arial" w:hAnsi="Arial"/>
                <w:sz w:val="14"/>
                <w:szCs w:val="14"/>
                <w:color w:val="auto"/>
                <w:w w:val="95"/>
              </w:rPr>
              <w:t>amounts payable</w:t>
            </w:r>
          </w:p>
        </w:tc>
        <w:tc>
          <w:tcPr>
            <w:tcW w:w="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1040" w:type="dxa"/>
            <w:vAlign w:val="bottom"/>
          </w:tcPr>
          <w:p>
            <w:pPr>
              <w:spacing w:after="0"/>
              <w:rPr>
                <w:sz w:val="20"/>
                <w:szCs w:val="20"/>
                <w:color w:val="auto"/>
              </w:rPr>
            </w:pPr>
            <w:r>
              <w:rPr>
                <w:rFonts w:ascii="Arial" w:cs="Arial" w:eastAsia="Arial" w:hAnsi="Arial"/>
                <w:sz w:val="14"/>
                <w:szCs w:val="14"/>
                <w:color w:val="auto"/>
              </w:rPr>
              <w:t>(outflows)</w:t>
            </w:r>
          </w:p>
        </w:tc>
        <w:tc>
          <w:tcPr>
            <w:tcW w:w="980" w:type="dxa"/>
            <w:vAlign w:val="bottom"/>
            <w:gridSpan w:val="3"/>
          </w:tcPr>
          <w:p>
            <w:pPr>
              <w:jc w:val="right"/>
              <w:ind w:right="20"/>
              <w:spacing w:after="0"/>
              <w:rPr>
                <w:sz w:val="20"/>
                <w:szCs w:val="20"/>
                <w:color w:val="auto"/>
              </w:rPr>
            </w:pPr>
            <w:r>
              <w:rPr>
                <w:rFonts w:ascii="Arial" w:cs="Arial" w:eastAsia="Arial" w:hAnsi="Arial"/>
                <w:sz w:val="14"/>
                <w:szCs w:val="14"/>
                <w:color w:val="auto"/>
              </w:rPr>
              <w:t>1,117,375</w:t>
            </w:r>
          </w:p>
        </w:tc>
        <w:tc>
          <w:tcPr>
            <w:tcW w:w="60" w:type="dxa"/>
            <w:vAlign w:val="bottom"/>
          </w:tcPr>
          <w:p>
            <w:pPr>
              <w:spacing w:after="0"/>
              <w:rPr>
                <w:sz w:val="15"/>
                <w:szCs w:val="15"/>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4"/>
                <w:szCs w:val="14"/>
                <w:color w:val="auto"/>
              </w:rPr>
              <w:t>362,073</w:t>
            </w:r>
          </w:p>
        </w:tc>
        <w:tc>
          <w:tcPr>
            <w:tcW w:w="60" w:type="dxa"/>
            <w:vAlign w:val="bottom"/>
          </w:tcPr>
          <w:p>
            <w:pPr>
              <w:spacing w:after="0"/>
              <w:rPr>
                <w:sz w:val="15"/>
                <w:szCs w:val="15"/>
                <w:color w:val="auto"/>
              </w:rPr>
            </w:pPr>
          </w:p>
        </w:tc>
        <w:tc>
          <w:tcPr>
            <w:tcW w:w="760" w:type="dxa"/>
            <w:vAlign w:val="bottom"/>
            <w:gridSpan w:val="2"/>
          </w:tcPr>
          <w:p>
            <w:pPr>
              <w:jc w:val="right"/>
              <w:spacing w:after="0"/>
              <w:rPr>
                <w:sz w:val="20"/>
                <w:szCs w:val="20"/>
                <w:color w:val="auto"/>
              </w:rPr>
            </w:pPr>
            <w:r>
              <w:rPr>
                <w:rFonts w:ascii="Arial" w:cs="Arial" w:eastAsia="Arial" w:hAnsi="Arial"/>
                <w:sz w:val="14"/>
                <w:szCs w:val="14"/>
                <w:color w:val="auto"/>
              </w:rPr>
              <w:t>628,800</w:t>
            </w:r>
          </w:p>
        </w:tc>
        <w:tc>
          <w:tcPr>
            <w:tcW w:w="80" w:type="dxa"/>
            <w:vAlign w:val="bottom"/>
          </w:tcPr>
          <w:p>
            <w:pPr>
              <w:spacing w:after="0"/>
              <w:rPr>
                <w:sz w:val="15"/>
                <w:szCs w:val="15"/>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4"/>
                <w:szCs w:val="14"/>
                <w:color w:val="auto"/>
              </w:rPr>
              <w:t>1,791,667</w:t>
            </w:r>
          </w:p>
        </w:tc>
        <w:tc>
          <w:tcPr>
            <w:tcW w:w="60" w:type="dxa"/>
            <w:vAlign w:val="bottom"/>
          </w:tcPr>
          <w:p>
            <w:pPr>
              <w:spacing w:after="0"/>
              <w:rPr>
                <w:sz w:val="15"/>
                <w:szCs w:val="15"/>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4"/>
                <w:szCs w:val="14"/>
                <w:color w:val="auto"/>
              </w:rPr>
              <w:t>862,514</w:t>
            </w:r>
          </w:p>
        </w:tc>
        <w:tc>
          <w:tcPr>
            <w:tcW w:w="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4,762,429</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4"/>
                <w:szCs w:val="14"/>
                <w:color w:val="auto"/>
              </w:rPr>
              <w:t>301,709</w:t>
            </w:r>
          </w:p>
        </w:tc>
        <w:tc>
          <w:tcPr>
            <w:tcW w:w="60" w:type="dxa"/>
            <w:vAlign w:val="bottom"/>
          </w:tcPr>
          <w:p>
            <w:pPr>
              <w:spacing w:after="0"/>
              <w:rPr>
                <w:sz w:val="15"/>
                <w:szCs w:val="15"/>
                <w:color w:val="auto"/>
              </w:rPr>
            </w:pPr>
          </w:p>
        </w:tc>
        <w:tc>
          <w:tcPr>
            <w:tcW w:w="760" w:type="dxa"/>
            <w:vAlign w:val="bottom"/>
            <w:gridSpan w:val="2"/>
          </w:tcPr>
          <w:p>
            <w:pPr>
              <w:jc w:val="right"/>
              <w:ind w:right="11"/>
              <w:spacing w:after="0"/>
              <w:rPr>
                <w:sz w:val="20"/>
                <w:szCs w:val="20"/>
                <w:color w:val="auto"/>
              </w:rPr>
            </w:pPr>
            <w:r>
              <w:rPr>
                <w:rFonts w:ascii="Arial" w:cs="Arial" w:eastAsia="Arial" w:hAnsi="Arial"/>
                <w:sz w:val="14"/>
                <w:szCs w:val="14"/>
                <w:color w:val="auto"/>
              </w:rPr>
              <w:t>305,279</w:t>
            </w:r>
          </w:p>
        </w:tc>
        <w:tc>
          <w:tcPr>
            <w:tcW w:w="840" w:type="dxa"/>
            <w:vAlign w:val="bottom"/>
            <w:gridSpan w:val="3"/>
          </w:tcPr>
          <w:p>
            <w:pPr>
              <w:jc w:val="right"/>
              <w:ind w:right="40"/>
              <w:spacing w:after="0"/>
              <w:rPr>
                <w:sz w:val="20"/>
                <w:szCs w:val="20"/>
                <w:color w:val="auto"/>
              </w:rPr>
            </w:pPr>
            <w:r>
              <w:rPr>
                <w:rFonts w:ascii="Arial" w:cs="Arial" w:eastAsia="Arial" w:hAnsi="Arial"/>
                <w:sz w:val="14"/>
                <w:szCs w:val="14"/>
                <w:color w:val="auto"/>
              </w:rPr>
              <w:t>588,079</w:t>
            </w:r>
          </w:p>
        </w:tc>
        <w:tc>
          <w:tcPr>
            <w:tcW w:w="60" w:type="dxa"/>
            <w:vAlign w:val="bottom"/>
          </w:tcPr>
          <w:p>
            <w:pPr>
              <w:spacing w:after="0"/>
              <w:rPr>
                <w:sz w:val="15"/>
                <w:szCs w:val="15"/>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4"/>
                <w:szCs w:val="14"/>
                <w:color w:val="auto"/>
              </w:rPr>
              <w:t>1,714,861</w:t>
            </w:r>
          </w:p>
        </w:tc>
        <w:tc>
          <w:tcPr>
            <w:tcW w:w="60" w:type="dxa"/>
            <w:vAlign w:val="bottom"/>
          </w:tcPr>
          <w:p>
            <w:pPr>
              <w:spacing w:after="0"/>
              <w:rPr>
                <w:sz w:val="15"/>
                <w:szCs w:val="15"/>
                <w:color w:val="auto"/>
              </w:rPr>
            </w:pPr>
          </w:p>
        </w:tc>
        <w:tc>
          <w:tcPr>
            <w:tcW w:w="760" w:type="dxa"/>
            <w:vAlign w:val="bottom"/>
            <w:gridSpan w:val="2"/>
          </w:tcPr>
          <w:p>
            <w:pPr>
              <w:jc w:val="right"/>
              <w:ind w:right="11"/>
              <w:spacing w:after="0"/>
              <w:rPr>
                <w:sz w:val="20"/>
                <w:szCs w:val="20"/>
                <w:color w:val="auto"/>
              </w:rPr>
            </w:pPr>
            <w:r>
              <w:rPr>
                <w:rFonts w:ascii="Arial" w:cs="Arial" w:eastAsia="Arial" w:hAnsi="Arial"/>
                <w:sz w:val="14"/>
                <w:szCs w:val="14"/>
                <w:color w:val="auto"/>
              </w:rPr>
              <w:t>552,438</w:t>
            </w:r>
          </w:p>
        </w:tc>
        <w:tc>
          <w:tcPr>
            <w:tcW w:w="80" w:type="dxa"/>
            <w:vAlign w:val="bottom"/>
          </w:tcPr>
          <w:p>
            <w:pPr>
              <w:spacing w:after="0"/>
              <w:rPr>
                <w:sz w:val="15"/>
                <w:szCs w:val="15"/>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4"/>
                <w:szCs w:val="14"/>
                <w:color w:val="auto"/>
              </w:rPr>
              <w:t>3,462,366</w:t>
            </w:r>
          </w:p>
        </w:tc>
        <w:tc>
          <w:tcPr>
            <w:tcW w:w="0" w:type="dxa"/>
            <w:vAlign w:val="bottom"/>
          </w:tcPr>
          <w:p>
            <w:pPr>
              <w:spacing w:after="0"/>
              <w:rPr>
                <w:sz w:val="1"/>
                <w:szCs w:val="1"/>
                <w:color w:val="auto"/>
              </w:rPr>
            </w:pPr>
          </w:p>
        </w:tc>
      </w:tr>
      <w:tr>
        <w:trPr>
          <w:trHeight w:val="149"/>
        </w:trPr>
        <w:tc>
          <w:tcPr>
            <w:tcW w:w="1040" w:type="dxa"/>
            <w:vAlign w:val="bottom"/>
            <w:tcBorders>
              <w:top w:val="single" w:sz="8" w:color="CCEEFF"/>
              <w:bottom w:val="single" w:sz="8" w:color="CCEEFF"/>
            </w:tcBorders>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liabilities</w:t>
            </w: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86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(967,226</w:t>
            </w:r>
          </w:p>
        </w:tc>
        <w:tc>
          <w:tcPr>
            <w:tcW w:w="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8"/>
                <w:szCs w:val="8"/>
                <w:color w:val="auto"/>
                <w:w w:val="73"/>
              </w:rPr>
              <w:t>)</w:t>
            </w: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70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(238,959</w:t>
            </w:r>
          </w:p>
        </w:tc>
        <w:tc>
          <w:tcPr>
            <w:tcW w:w="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8"/>
                <w:szCs w:val="8"/>
                <w:color w:val="auto"/>
                <w:w w:val="73"/>
              </w:rPr>
              <w:t>)</w:t>
            </w: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68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(164,334</w:t>
            </w:r>
          </w:p>
        </w:tc>
        <w:tc>
          <w:tcPr>
            <w:tcW w:w="80" w:type="dxa"/>
            <w:vAlign w:val="bottom"/>
            <w:tcBorders>
              <w:top w:val="single" w:sz="8" w:color="CCEEFF"/>
              <w:bottom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84"/>
              </w:rPr>
              <w:t>)</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68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(21,168</w:t>
            </w:r>
          </w:p>
        </w:tc>
        <w:tc>
          <w:tcPr>
            <w:tcW w:w="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8"/>
                <w:szCs w:val="8"/>
                <w:color w:val="auto"/>
                <w:w w:val="73"/>
              </w:rPr>
              <w:t>)</w:t>
            </w: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70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(71,671</w:t>
            </w:r>
          </w:p>
        </w:tc>
        <w:tc>
          <w:tcPr>
            <w:tcW w:w="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8"/>
                <w:szCs w:val="8"/>
                <w:color w:val="auto"/>
                <w:w w:val="73"/>
              </w:rPr>
              <w:t>)</w:t>
            </w: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76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(1,463,358</w:t>
            </w:r>
          </w:p>
        </w:tc>
        <w:tc>
          <w:tcPr>
            <w:tcW w:w="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8"/>
                <w:szCs w:val="8"/>
                <w:color w:val="auto"/>
                <w:w w:val="73"/>
              </w:rPr>
              <w:t>)</w:t>
            </w: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84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275,283</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68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(155,056</w:t>
            </w:r>
          </w:p>
        </w:tc>
        <w:tc>
          <w:tcPr>
            <w:tcW w:w="80" w:type="dxa"/>
            <w:vAlign w:val="bottom"/>
            <w:tcBorders>
              <w:top w:val="single" w:sz="8" w:color="CCEEFF"/>
              <w:bottom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84"/>
              </w:rPr>
              <w:t>)</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68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(37,090</w:t>
            </w:r>
          </w:p>
        </w:tc>
        <w:tc>
          <w:tcPr>
            <w:tcW w:w="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8"/>
                <w:szCs w:val="8"/>
                <w:color w:val="auto"/>
                <w:w w:val="73"/>
              </w:rPr>
              <w:t>)</w:t>
            </w: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70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50,677</w:t>
            </w: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68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(29,636</w:t>
            </w:r>
          </w:p>
        </w:tc>
        <w:tc>
          <w:tcPr>
            <w:tcW w:w="80" w:type="dxa"/>
            <w:vAlign w:val="bottom"/>
            <w:tcBorders>
              <w:top w:val="single" w:sz="8" w:color="CCEEFF"/>
              <w:bottom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84"/>
              </w:rPr>
              <w:t>)</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76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104,178</w:t>
            </w: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- 138 -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15875</wp:posOffset>
            </wp:positionV>
            <wp:extent cx="725170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51700" cy="8255"/>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144" w:name="page145"/>
    <w:bookmarkEnd w:id="144"/>
    <w:p>
      <w:pPr>
        <w:spacing w:after="0"/>
        <w:tabs>
          <w:tab w:leader="none" w:pos="600" w:val="left"/>
        </w:tabs>
        <w:rPr>
          <w:sz w:val="20"/>
          <w:szCs w:val="20"/>
          <w:color w:val="auto"/>
        </w:rPr>
      </w:pPr>
      <w:r>
        <w:rPr>
          <w:rFonts w:ascii="Arial" w:cs="Arial" w:eastAsia="Arial" w:hAnsi="Arial"/>
          <w:sz w:val="17"/>
          <w:szCs w:val="17"/>
          <w:b w:val="1"/>
          <w:bCs w:val="1"/>
          <w:color w:val="auto"/>
        </w:rPr>
        <w:t>32.4</w:t>
      </w:r>
      <w:r>
        <w:rPr>
          <w:sz w:val="20"/>
          <w:szCs w:val="20"/>
          <w:color w:val="auto"/>
        </w:rPr>
        <w:tab/>
      </w:r>
      <w:r>
        <w:rPr>
          <w:rFonts w:ascii="Arial" w:cs="Arial" w:eastAsia="Arial" w:hAnsi="Arial"/>
          <w:sz w:val="16"/>
          <w:szCs w:val="16"/>
          <w:b w:val="1"/>
          <w:bCs w:val="1"/>
          <w:color w:val="auto"/>
        </w:rPr>
        <w:t>Operational risk -</w:t>
      </w:r>
    </w:p>
    <w:p>
      <w:pPr>
        <w:spacing w:after="0" w:line="226" w:lineRule="exact"/>
        <w:rPr>
          <w:sz w:val="20"/>
          <w:szCs w:val="20"/>
          <w:color w:val="auto"/>
        </w:rPr>
      </w:pPr>
    </w:p>
    <w:p>
      <w:pPr>
        <w:jc w:val="both"/>
        <w:ind w:right="40"/>
        <w:spacing w:after="0" w:line="270" w:lineRule="auto"/>
        <w:rPr>
          <w:sz w:val="20"/>
          <w:szCs w:val="20"/>
          <w:color w:val="auto"/>
        </w:rPr>
      </w:pPr>
      <w:r>
        <w:rPr>
          <w:rFonts w:ascii="Arial" w:cs="Arial" w:eastAsia="Arial" w:hAnsi="Arial"/>
          <w:sz w:val="17"/>
          <w:szCs w:val="17"/>
          <w:color w:val="auto"/>
        </w:rPr>
        <w:t>Operational risk is the possibility of the occurrence of losses arising from inadequate processes, human error, failure of information technology, relations with third parties or external events. Operational risks can, lead to financial losses and have legal or regulatory compliance consequences, but exclude strategic or reputational risk.</w:t>
      </w:r>
    </w:p>
    <w:p>
      <w:pPr>
        <w:spacing w:after="0" w:line="172" w:lineRule="exact"/>
        <w:rPr>
          <w:sz w:val="20"/>
          <w:szCs w:val="20"/>
          <w:color w:val="auto"/>
        </w:rPr>
      </w:pPr>
    </w:p>
    <w:p>
      <w:pPr>
        <w:ind w:right="20"/>
        <w:spacing w:after="0" w:line="285" w:lineRule="auto"/>
        <w:rPr>
          <w:sz w:val="20"/>
          <w:szCs w:val="20"/>
          <w:color w:val="auto"/>
        </w:rPr>
      </w:pPr>
      <w:r>
        <w:rPr>
          <w:rFonts w:ascii="Arial" w:cs="Arial" w:eastAsia="Arial" w:hAnsi="Arial"/>
          <w:sz w:val="17"/>
          <w:szCs w:val="17"/>
          <w:color w:val="auto"/>
        </w:rPr>
        <w:t>Operational Risks are grouped into internal fraud, external fraud, labor relations and job security, relations with clients, business products and practices, Damages to material assets, business and systems interruption, and Failures in process execution.</w:t>
      </w:r>
    </w:p>
    <w:p>
      <w:pPr>
        <w:spacing w:after="0" w:line="159"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One of the Group’s pillars, is to develop an efficient risk culture, and to achieve this, it records operational risks and their respective process controls. The risk map permits their monitoring, prioritization and proposed treatment according to established governance. The group uses a decentralized management and a model based on the lines of defense (3LD in Spanish acronym)</w:t>
      </w:r>
    </w:p>
    <w:p>
      <w:pPr>
        <w:spacing w:after="0" w:line="166" w:lineRule="exact"/>
        <w:rPr>
          <w:sz w:val="20"/>
          <w:szCs w:val="20"/>
          <w:color w:val="auto"/>
        </w:rPr>
      </w:pPr>
    </w:p>
    <w:p>
      <w:pPr>
        <w:spacing w:after="0"/>
        <w:tabs>
          <w:tab w:leader="none" w:pos="600" w:val="left"/>
        </w:tabs>
        <w:rPr>
          <w:sz w:val="20"/>
          <w:szCs w:val="20"/>
          <w:color w:val="auto"/>
        </w:rPr>
      </w:pPr>
      <w:r>
        <w:rPr>
          <w:rFonts w:ascii="Arial" w:cs="Arial" w:eastAsia="Arial" w:hAnsi="Arial"/>
          <w:sz w:val="17"/>
          <w:szCs w:val="17"/>
          <w:b w:val="1"/>
          <w:bCs w:val="1"/>
          <w:color w:val="auto"/>
        </w:rPr>
        <w:t>32.5</w:t>
      </w:r>
      <w:r>
        <w:rPr>
          <w:sz w:val="20"/>
          <w:szCs w:val="20"/>
          <w:color w:val="auto"/>
        </w:rPr>
        <w:tab/>
      </w:r>
      <w:r>
        <w:rPr>
          <w:rFonts w:ascii="Arial" w:cs="Arial" w:eastAsia="Arial" w:hAnsi="Arial"/>
          <w:sz w:val="15"/>
          <w:szCs w:val="15"/>
          <w:b w:val="1"/>
          <w:bCs w:val="1"/>
          <w:color w:val="auto"/>
        </w:rPr>
        <w:t>Risk of the insurance activity -</w:t>
      </w:r>
    </w:p>
    <w:p>
      <w:pPr>
        <w:spacing w:after="0" w:line="226" w:lineRule="exact"/>
        <w:rPr>
          <w:sz w:val="20"/>
          <w:szCs w:val="20"/>
          <w:color w:val="auto"/>
        </w:rPr>
      </w:pPr>
    </w:p>
    <w:p>
      <w:pPr>
        <w:ind w:right="240"/>
        <w:spacing w:after="0" w:line="270" w:lineRule="auto"/>
        <w:rPr>
          <w:sz w:val="20"/>
          <w:szCs w:val="20"/>
          <w:color w:val="auto"/>
        </w:rPr>
      </w:pPr>
      <w:r>
        <w:rPr>
          <w:rFonts w:ascii="Arial" w:cs="Arial" w:eastAsia="Arial" w:hAnsi="Arial"/>
          <w:sz w:val="17"/>
          <w:szCs w:val="17"/>
          <w:color w:val="auto"/>
        </w:rPr>
        <w:t>The principal risk the Group faces under insurance contracts is that the actual claims and benefit payments or the timing thereof, differ from expectations. This is influenced by the frequency of claims, severity of claims, actual benefits paid and subsequent development of long-term claims. Therefore, the objective of the Group is to ensure that sufficient reserves are available to cover these liabilities.</w:t>
      </w:r>
    </w:p>
    <w:p>
      <w:pPr>
        <w:spacing w:after="0" w:line="172" w:lineRule="exact"/>
        <w:rPr>
          <w:sz w:val="20"/>
          <w:szCs w:val="20"/>
          <w:color w:val="auto"/>
        </w:rPr>
      </w:pPr>
    </w:p>
    <w:p>
      <w:pPr>
        <w:jc w:val="both"/>
        <w:ind w:right="60"/>
        <w:spacing w:after="0" w:line="294" w:lineRule="auto"/>
        <w:rPr>
          <w:sz w:val="20"/>
          <w:szCs w:val="20"/>
          <w:color w:val="auto"/>
        </w:rPr>
      </w:pPr>
      <w:r>
        <w:rPr>
          <w:rFonts w:ascii="Arial" w:cs="Arial" w:eastAsia="Arial" w:hAnsi="Arial"/>
          <w:sz w:val="16"/>
          <w:szCs w:val="16"/>
          <w:color w:val="auto"/>
        </w:rPr>
        <w:t>The above risk exposure is mitigated by diversification across a large portfolio of insurance contracts. The variability of risks is also improved by careful selection and implementation of underwriting strategy guidelines, as well as the use of reinsurance arrangements. The Group’s placement of reinsurance is diversified so that it is neither dependent on a single reinsurer nor are the operations of the Group substantially dependent upon any single reinsurance contract.</w:t>
      </w:r>
    </w:p>
    <w:p>
      <w:pPr>
        <w:spacing w:after="0" w:line="155" w:lineRule="exact"/>
        <w:rPr>
          <w:sz w:val="20"/>
          <w:szCs w:val="20"/>
          <w:color w:val="auto"/>
        </w:rPr>
      </w:pPr>
    </w:p>
    <w:p>
      <w:pPr>
        <w:spacing w:after="0"/>
        <w:rPr>
          <w:sz w:val="20"/>
          <w:szCs w:val="20"/>
          <w:color w:val="auto"/>
        </w:rPr>
      </w:pPr>
      <w:r>
        <w:rPr>
          <w:rFonts w:ascii="Arial" w:cs="Arial" w:eastAsia="Arial" w:hAnsi="Arial"/>
          <w:sz w:val="17"/>
          <w:szCs w:val="17"/>
          <w:color w:val="auto"/>
        </w:rPr>
        <w:t>Life insurance contracts -</w:t>
      </w:r>
    </w:p>
    <w:p>
      <w:pPr>
        <w:spacing w:after="0" w:line="220" w:lineRule="exact"/>
        <w:rPr>
          <w:sz w:val="20"/>
          <w:szCs w:val="20"/>
          <w:color w:val="auto"/>
        </w:rPr>
      </w:pPr>
    </w:p>
    <w:p>
      <w:pPr>
        <w:jc w:val="both"/>
        <w:ind w:right="120"/>
        <w:spacing w:after="0" w:line="270" w:lineRule="auto"/>
        <w:rPr>
          <w:sz w:val="20"/>
          <w:szCs w:val="20"/>
          <w:color w:val="auto"/>
        </w:rPr>
      </w:pPr>
      <w:r>
        <w:rPr>
          <w:rFonts w:ascii="Arial" w:cs="Arial" w:eastAsia="Arial" w:hAnsi="Arial"/>
          <w:sz w:val="17"/>
          <w:szCs w:val="17"/>
          <w:color w:val="auto"/>
        </w:rPr>
        <w:t>The main risks that the Group is exposed to are mortality, morbidity, longevity, investment yield and flow, losses arising from policies due to the expense incurred being different than expected, and the policyholder decision; all of which, do not vary significantly in relation to the location of the risk insured by the Group, type of risk insured or industry.</w:t>
      </w:r>
    </w:p>
    <w:p>
      <w:pPr>
        <w:spacing w:after="0" w:line="172" w:lineRule="exact"/>
        <w:rPr>
          <w:sz w:val="20"/>
          <w:szCs w:val="20"/>
          <w:color w:val="auto"/>
        </w:rPr>
      </w:pPr>
    </w:p>
    <w:p>
      <w:pPr>
        <w:ind w:right="20"/>
        <w:spacing w:after="0" w:line="262" w:lineRule="auto"/>
        <w:rPr>
          <w:sz w:val="20"/>
          <w:szCs w:val="20"/>
          <w:color w:val="auto"/>
        </w:rPr>
      </w:pPr>
      <w:r>
        <w:rPr>
          <w:rFonts w:ascii="Arial" w:cs="Arial" w:eastAsia="Arial" w:hAnsi="Arial"/>
          <w:sz w:val="17"/>
          <w:szCs w:val="17"/>
          <w:color w:val="auto"/>
        </w:rPr>
        <w:t>The Group’s underwriting strategy is designed to ensure that risks are well diversified in terms of type of risk and level of insured benefits. This is achieved through diversification across insurable risks, the use of medical screening in order to ensure that pricing takes account of current health conditions and family medical history, regular review of actual claims experience and product pricing, as well as detailed claims handling procedures. Underwriting limits are in place to enforce appropriate risk selection criteria. For example, the Group has the right not to renew individual policies, it can impose deductibles and it has the right to reject the payment of fraudulent claims.</w:t>
      </w:r>
    </w:p>
    <w:p>
      <w:pPr>
        <w:spacing w:after="0" w:line="180" w:lineRule="exact"/>
        <w:rPr>
          <w:sz w:val="20"/>
          <w:szCs w:val="20"/>
          <w:color w:val="auto"/>
        </w:rPr>
      </w:pPr>
    </w:p>
    <w:p>
      <w:pPr>
        <w:ind w:right="500"/>
        <w:spacing w:after="0" w:line="285" w:lineRule="auto"/>
        <w:rPr>
          <w:sz w:val="20"/>
          <w:szCs w:val="20"/>
          <w:color w:val="auto"/>
        </w:rPr>
      </w:pPr>
      <w:r>
        <w:rPr>
          <w:rFonts w:ascii="Arial" w:cs="Arial" w:eastAsia="Arial" w:hAnsi="Arial"/>
          <w:sz w:val="17"/>
          <w:szCs w:val="17"/>
          <w:color w:val="auto"/>
        </w:rPr>
        <w:t>For contracts when death or disability is the insured risk, the significant factors that could increase the overall frequency of claims are epidemics, widespread changes in lifestyle and natural disasters, resulting in more claims than expected.</w:t>
      </w:r>
    </w:p>
    <w:p>
      <w:pPr>
        <w:spacing w:after="0" w:line="159" w:lineRule="exact"/>
        <w:rPr>
          <w:sz w:val="20"/>
          <w:szCs w:val="20"/>
          <w:color w:val="auto"/>
        </w:rPr>
      </w:pPr>
    </w:p>
    <w:p>
      <w:pPr>
        <w:ind w:right="500"/>
        <w:spacing w:after="0" w:line="285" w:lineRule="auto"/>
        <w:rPr>
          <w:sz w:val="20"/>
          <w:szCs w:val="20"/>
          <w:color w:val="auto"/>
        </w:rPr>
      </w:pPr>
      <w:r>
        <w:rPr>
          <w:rFonts w:ascii="Arial" w:cs="Arial" w:eastAsia="Arial" w:hAnsi="Arial"/>
          <w:sz w:val="17"/>
          <w:szCs w:val="17"/>
          <w:color w:val="auto"/>
        </w:rPr>
        <w:t>For retirement, survival and disability annuities contracts, the most significant factor is continuing improvement in medical science and social conditions that increase longevity.</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color w:val="auto"/>
        </w:rPr>
        <w:t>Management has performed a sensitivity analysis of the technical reserve estimates, Note 15(c).</w:t>
      </w:r>
    </w:p>
    <w:p>
      <w:pPr>
        <w:spacing w:after="0" w:line="200" w:lineRule="exact"/>
        <w:rPr>
          <w:sz w:val="20"/>
          <w:szCs w:val="20"/>
          <w:color w:val="auto"/>
        </w:rPr>
      </w:pPr>
    </w:p>
    <w:p>
      <w:pPr>
        <w:spacing w:after="0" w:line="22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- 139 -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15875</wp:posOffset>
            </wp:positionV>
            <wp:extent cx="725170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51700" cy="8255"/>
                    </a:xfrm>
                    <a:prstGeom prst="rect">
                      <a:avLst/>
                    </a:prstGeom>
                    <a:noFill/>
                  </pic:spPr>
                </pic:pic>
              </a:graphicData>
            </a:graphic>
          </wp:anchor>
        </w:drawing>
      </w:r>
    </w:p>
    <w:p>
      <w:pPr>
        <w:sectPr>
          <w:pgSz w:w="11900" w:h="16838" w:orient="portrait"/>
          <w:cols w:equalWidth="0" w:num="1">
            <w:col w:w="11400"/>
          </w:cols>
          <w:pgMar w:left="240" w:top="875" w:right="259" w:bottom="1440" w:gutter="0" w:footer="0" w:header="0"/>
        </w:sectPr>
      </w:pPr>
    </w:p>
    <w:bookmarkStart w:id="145" w:name="page146"/>
    <w:bookmarkEnd w:id="145"/>
    <w:p>
      <w:pPr>
        <w:spacing w:after="0"/>
        <w:rPr>
          <w:sz w:val="20"/>
          <w:szCs w:val="20"/>
          <w:color w:val="auto"/>
        </w:rPr>
      </w:pPr>
      <w:r>
        <w:rPr>
          <w:rFonts w:ascii="Arial" w:cs="Arial" w:eastAsia="Arial" w:hAnsi="Arial"/>
          <w:sz w:val="17"/>
          <w:szCs w:val="17"/>
          <w:color w:val="auto"/>
        </w:rPr>
        <w:t>Non-life insurance contracts (general insurance and healthcare) -</w:t>
      </w:r>
    </w:p>
    <w:p>
      <w:pPr>
        <w:spacing w:after="0" w:line="220" w:lineRule="exact"/>
        <w:rPr>
          <w:sz w:val="20"/>
          <w:szCs w:val="20"/>
          <w:color w:val="auto"/>
        </w:rPr>
      </w:pPr>
    </w:p>
    <w:p>
      <w:pPr>
        <w:ind w:right="260"/>
        <w:spacing w:after="0" w:line="285" w:lineRule="auto"/>
        <w:rPr>
          <w:sz w:val="20"/>
          <w:szCs w:val="20"/>
          <w:color w:val="auto"/>
        </w:rPr>
      </w:pPr>
      <w:r>
        <w:rPr>
          <w:rFonts w:ascii="Arial" w:cs="Arial" w:eastAsia="Arial" w:hAnsi="Arial"/>
          <w:sz w:val="17"/>
          <w:szCs w:val="17"/>
          <w:color w:val="auto"/>
        </w:rPr>
        <w:t>The Group mainly issues the following types of non-life general insurance contracts: automobile, home, business and healthcare insurances. Healthcare contracts provide medical expense cover to policyholders. Risks under non-life insurance policies usually cover 12 months.</w:t>
      </w:r>
    </w:p>
    <w:p>
      <w:pPr>
        <w:spacing w:after="0" w:line="159" w:lineRule="exact"/>
        <w:rPr>
          <w:sz w:val="20"/>
          <w:szCs w:val="20"/>
          <w:color w:val="auto"/>
        </w:rPr>
      </w:pPr>
    </w:p>
    <w:p>
      <w:pPr>
        <w:ind w:right="100"/>
        <w:spacing w:after="0" w:line="285" w:lineRule="auto"/>
        <w:rPr>
          <w:sz w:val="20"/>
          <w:szCs w:val="20"/>
          <w:color w:val="auto"/>
        </w:rPr>
      </w:pPr>
      <w:r>
        <w:rPr>
          <w:rFonts w:ascii="Arial" w:cs="Arial" w:eastAsia="Arial" w:hAnsi="Arial"/>
          <w:sz w:val="17"/>
          <w:szCs w:val="17"/>
          <w:color w:val="auto"/>
        </w:rPr>
        <w:t>For general insurance contracts the most significant risks arise from climate changes, natural disasters and other type of damages. For healthcare contracts the most significant risks arise from lifestyle changes, epidemics and medical science and technology improvements.</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color w:val="auto"/>
        </w:rPr>
        <w:t>Most of these risks do not vary significantly in relation to the location of the risk insured by the Group, type of risk insured or industry.</w:t>
      </w:r>
    </w:p>
    <w:p>
      <w:pPr>
        <w:spacing w:after="0" w:line="220" w:lineRule="exact"/>
        <w:rPr>
          <w:sz w:val="20"/>
          <w:szCs w:val="20"/>
          <w:color w:val="auto"/>
        </w:rPr>
      </w:pPr>
    </w:p>
    <w:p>
      <w:pPr>
        <w:ind w:right="60"/>
        <w:spacing w:after="0" w:line="280" w:lineRule="auto"/>
        <w:rPr>
          <w:sz w:val="20"/>
          <w:szCs w:val="20"/>
          <w:color w:val="auto"/>
        </w:rPr>
      </w:pPr>
      <w:r>
        <w:rPr>
          <w:rFonts w:ascii="Arial" w:cs="Arial" w:eastAsia="Arial" w:hAnsi="Arial"/>
          <w:sz w:val="16"/>
          <w:szCs w:val="16"/>
          <w:color w:val="auto"/>
        </w:rPr>
        <w:t>The above risk exposures are mitigated by diversification across a large portfolio of insurance contracts. The variability of risk is improved by careful selection and implementation of underwriting strategies, which are designed to ensure that risks are diversified in terms of type of risks and level of insured benefits. This is achieved, in various cases, through diversification across industry sectors and geography. Furthermore, strict claim review policies to assess all new and ongoing claims, regular detailed review of claims handling procedures and frequent investigation of possible fraudulent claims are all policies and procedures put in place to reduce the Group’s risk exposure. Insurance contracts also entitle the Group to pursue third parties for payment of some or all costs. Also, the Group actively manages and promptly pursues claims, in order to reduce its exposure to unpredictable future developments that can negatively impact the Group.</w:t>
      </w:r>
    </w:p>
    <w:p>
      <w:pPr>
        <w:spacing w:after="0" w:line="167" w:lineRule="exact"/>
        <w:rPr>
          <w:sz w:val="20"/>
          <w:szCs w:val="20"/>
          <w:color w:val="auto"/>
        </w:rPr>
      </w:pPr>
    </w:p>
    <w:p>
      <w:pPr>
        <w:ind w:right="160"/>
        <w:spacing w:after="0" w:line="285" w:lineRule="auto"/>
        <w:rPr>
          <w:sz w:val="20"/>
          <w:szCs w:val="20"/>
          <w:color w:val="auto"/>
        </w:rPr>
      </w:pPr>
      <w:r>
        <w:rPr>
          <w:rFonts w:ascii="Arial" w:cs="Arial" w:eastAsia="Arial" w:hAnsi="Arial"/>
          <w:sz w:val="17"/>
          <w:szCs w:val="17"/>
          <w:color w:val="auto"/>
        </w:rPr>
        <w:t>The Group has also limited its exposure by imposing maximum claim amounts on certain contracts as well as the use of reinsurance arrangements in order to limit its exposure to catastrophic events.</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color w:val="auto"/>
        </w:rPr>
        <w:t>Credit risk of the insurance activity –</w:t>
      </w:r>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color w:val="auto"/>
        </w:rPr>
        <w:t>Credit risk is the risk that one party to a financial instrument will cause a financial loss to the other party by failing to discharge an obligation at maturity.</w:t>
      </w:r>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color w:val="auto"/>
        </w:rPr>
        <w:t>The following policies and procedures are in place to mitigate the Group’s exposure to credit risk:</w:t>
      </w:r>
    </w:p>
    <w:p>
      <w:pPr>
        <w:spacing w:after="0" w:line="220" w:lineRule="exact"/>
        <w:rPr>
          <w:sz w:val="20"/>
          <w:szCs w:val="20"/>
          <w:color w:val="auto"/>
        </w:rPr>
      </w:pPr>
    </w:p>
    <w:p>
      <w:pPr>
        <w:ind w:left="320" w:hanging="316"/>
        <w:spacing w:after="0"/>
        <w:tabs>
          <w:tab w:leader="none" w:pos="320" w:val="left"/>
        </w:tabs>
        <w:numPr>
          <w:ilvl w:val="0"/>
          <w:numId w:val="157"/>
        </w:numPr>
        <w:rPr>
          <w:rFonts w:ascii="Arial" w:cs="Arial" w:eastAsia="Arial" w:hAnsi="Arial"/>
          <w:sz w:val="17"/>
          <w:szCs w:val="17"/>
          <w:color w:val="auto"/>
        </w:rPr>
      </w:pPr>
      <w:r>
        <w:rPr>
          <w:rFonts w:ascii="Arial" w:cs="Arial" w:eastAsia="Arial" w:hAnsi="Arial"/>
          <w:sz w:val="17"/>
          <w:szCs w:val="17"/>
          <w:color w:val="auto"/>
        </w:rPr>
        <w:t>The Group sets the maximum amounts and limits that may be granted to corporate counterparties according to their long- term credit ratings.</w:t>
      </w:r>
    </w:p>
    <w:p>
      <w:pPr>
        <w:spacing w:after="0" w:line="324" w:lineRule="exact"/>
        <w:rPr>
          <w:rFonts w:ascii="Arial" w:cs="Arial" w:eastAsia="Arial" w:hAnsi="Arial"/>
          <w:sz w:val="17"/>
          <w:szCs w:val="17"/>
          <w:color w:val="auto"/>
        </w:rPr>
      </w:pPr>
    </w:p>
    <w:p>
      <w:pPr>
        <w:ind w:left="320" w:hanging="316"/>
        <w:spacing w:after="0" w:line="318" w:lineRule="auto"/>
        <w:tabs>
          <w:tab w:leader="none" w:pos="320" w:val="left"/>
        </w:tabs>
        <w:numPr>
          <w:ilvl w:val="0"/>
          <w:numId w:val="157"/>
        </w:numPr>
        <w:rPr>
          <w:rFonts w:ascii="Arial" w:cs="Arial" w:eastAsia="Arial" w:hAnsi="Arial"/>
          <w:sz w:val="16"/>
          <w:szCs w:val="16"/>
          <w:color w:val="auto"/>
        </w:rPr>
      </w:pPr>
      <w:r>
        <w:rPr>
          <w:rFonts w:ascii="Arial" w:cs="Arial" w:eastAsia="Arial" w:hAnsi="Arial"/>
          <w:sz w:val="16"/>
          <w:szCs w:val="16"/>
          <w:color w:val="auto"/>
        </w:rPr>
        <w:t>Credit risk from customer balances, will only persist during the grace period specified in the policy document or trust deed until the policy is paid up or terminated. Commissions paid to intermediaries are netted off against amounts receivable from them in order to reduce the risk of doubtful accounts.</w:t>
      </w:r>
    </w:p>
    <w:p>
      <w:pPr>
        <w:spacing w:after="0" w:line="240" w:lineRule="exact"/>
        <w:rPr>
          <w:rFonts w:ascii="Arial" w:cs="Arial" w:eastAsia="Arial" w:hAnsi="Arial"/>
          <w:sz w:val="16"/>
          <w:szCs w:val="16"/>
          <w:color w:val="auto"/>
        </w:rPr>
      </w:pPr>
    </w:p>
    <w:p>
      <w:pPr>
        <w:jc w:val="both"/>
        <w:ind w:left="320" w:hanging="316"/>
        <w:spacing w:after="0" w:line="265" w:lineRule="auto"/>
        <w:tabs>
          <w:tab w:leader="none" w:pos="320" w:val="left"/>
        </w:tabs>
        <w:numPr>
          <w:ilvl w:val="0"/>
          <w:numId w:val="157"/>
        </w:numPr>
        <w:rPr>
          <w:rFonts w:ascii="Arial" w:cs="Arial" w:eastAsia="Arial" w:hAnsi="Arial"/>
          <w:sz w:val="17"/>
          <w:szCs w:val="17"/>
          <w:color w:val="auto"/>
        </w:rPr>
      </w:pPr>
      <w:r>
        <w:rPr>
          <w:rFonts w:ascii="Arial" w:cs="Arial" w:eastAsia="Arial" w:hAnsi="Arial"/>
          <w:sz w:val="17"/>
          <w:szCs w:val="17"/>
          <w:color w:val="auto"/>
        </w:rPr>
        <w:t>Reinsurance is placed with counterparties that have a good credit rating and concentration of risk is avoided by following guidelines in respect of counterparties’ limits which are set each year by the Board of Directors and are subject to regular reviews. At each reporting date, Management performs an assessment of creditworthiness of reinsurers and updates the reinsurance purchase strategy, determining whether the need exists to establish an allowance for impairment.</w:t>
      </w:r>
    </w:p>
    <w:p>
      <w:pPr>
        <w:spacing w:after="0" w:line="279" w:lineRule="exact"/>
        <w:rPr>
          <w:rFonts w:ascii="Arial" w:cs="Arial" w:eastAsia="Arial" w:hAnsi="Arial"/>
          <w:sz w:val="17"/>
          <w:szCs w:val="17"/>
          <w:color w:val="auto"/>
        </w:rPr>
      </w:pPr>
    </w:p>
    <w:p>
      <w:pPr>
        <w:ind w:left="320" w:hanging="316"/>
        <w:spacing w:after="0" w:line="318" w:lineRule="auto"/>
        <w:tabs>
          <w:tab w:leader="none" w:pos="320" w:val="left"/>
        </w:tabs>
        <w:numPr>
          <w:ilvl w:val="0"/>
          <w:numId w:val="157"/>
        </w:numPr>
        <w:rPr>
          <w:rFonts w:ascii="Arial" w:cs="Arial" w:eastAsia="Arial" w:hAnsi="Arial"/>
          <w:sz w:val="16"/>
          <w:szCs w:val="16"/>
          <w:color w:val="auto"/>
        </w:rPr>
      </w:pPr>
      <w:r>
        <w:rPr>
          <w:rFonts w:ascii="Arial" w:cs="Arial" w:eastAsia="Arial" w:hAnsi="Arial"/>
          <w:sz w:val="16"/>
          <w:szCs w:val="16"/>
          <w:color w:val="auto"/>
        </w:rPr>
        <w:t>A Group policy setting out the assessment and determination of what constitutes credit risk for the Group is in place, its compliance is monitored and exposures and breaches are reported to the Group risk committee. The policy is regularly reviewed for pertinence and for changes in the risk environment.</w:t>
      </w:r>
    </w:p>
    <w:p>
      <w:pPr>
        <w:spacing w:after="0" w:line="240" w:lineRule="exact"/>
        <w:rPr>
          <w:rFonts w:ascii="Arial" w:cs="Arial" w:eastAsia="Arial" w:hAnsi="Arial"/>
          <w:sz w:val="16"/>
          <w:szCs w:val="16"/>
          <w:color w:val="auto"/>
        </w:rPr>
      </w:pPr>
    </w:p>
    <w:p>
      <w:pPr>
        <w:jc w:val="both"/>
        <w:ind w:left="320" w:hanging="316"/>
        <w:spacing w:after="0" w:line="270" w:lineRule="auto"/>
        <w:tabs>
          <w:tab w:leader="none" w:pos="320" w:val="left"/>
        </w:tabs>
        <w:numPr>
          <w:ilvl w:val="0"/>
          <w:numId w:val="157"/>
        </w:numPr>
        <w:rPr>
          <w:rFonts w:ascii="Arial" w:cs="Arial" w:eastAsia="Arial" w:hAnsi="Arial"/>
          <w:sz w:val="17"/>
          <w:szCs w:val="17"/>
          <w:color w:val="auto"/>
        </w:rPr>
      </w:pPr>
      <w:r>
        <w:rPr>
          <w:rFonts w:ascii="Arial" w:cs="Arial" w:eastAsia="Arial" w:hAnsi="Arial"/>
          <w:sz w:val="17"/>
          <w:szCs w:val="17"/>
          <w:color w:val="auto"/>
        </w:rPr>
        <w:t>The Group issues Investment Link life insurance contracts whereby the policyholder bears the investment risk on the financial assets held in the Company’s investment portfolio as the policy benefits are directly linked to the value of the assets in the portfolio. Therefore, the Group has no material credit risk on Investment Link financial assets.</w:t>
      </w:r>
    </w:p>
    <w:p>
      <w:pPr>
        <w:spacing w:after="0" w:line="200" w:lineRule="exact"/>
        <w:rPr>
          <w:rFonts w:ascii="Arial" w:cs="Arial" w:eastAsia="Arial" w:hAnsi="Arial"/>
          <w:sz w:val="17"/>
          <w:szCs w:val="17"/>
          <w:color w:val="auto"/>
        </w:rPr>
      </w:pPr>
    </w:p>
    <w:p>
      <w:pPr>
        <w:spacing w:after="0" w:line="283" w:lineRule="exact"/>
        <w:rPr>
          <w:rFonts w:ascii="Arial" w:cs="Arial" w:eastAsia="Arial" w:hAnsi="Arial"/>
          <w:sz w:val="17"/>
          <w:szCs w:val="17"/>
          <w:color w:val="auto"/>
        </w:rPr>
      </w:pPr>
    </w:p>
    <w:p>
      <w:pPr>
        <w:ind w:left="5600" w:hanging="110"/>
        <w:spacing w:after="0"/>
        <w:tabs>
          <w:tab w:leader="none" w:pos="5600" w:val="left"/>
        </w:tabs>
        <w:numPr>
          <w:ilvl w:val="1"/>
          <w:numId w:val="157"/>
        </w:numPr>
        <w:rPr>
          <w:rFonts w:ascii="Arial" w:cs="Arial" w:eastAsia="Arial" w:hAnsi="Arial"/>
          <w:sz w:val="17"/>
          <w:szCs w:val="17"/>
          <w:color w:val="auto"/>
        </w:rPr>
      </w:pPr>
      <w:r>
        <w:rPr>
          <w:rFonts w:ascii="Arial" w:cs="Arial" w:eastAsia="Arial" w:hAnsi="Arial"/>
          <w:sz w:val="17"/>
          <w:szCs w:val="17"/>
          <w:color w:val="auto"/>
        </w:rPr>
        <w:t>140 -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15875</wp:posOffset>
            </wp:positionV>
            <wp:extent cx="725170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51700" cy="8255"/>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146" w:name="page147"/>
    <w:bookmarkEnd w:id="146"/>
    <w:p>
      <w:pPr>
        <w:spacing w:after="0"/>
        <w:tabs>
          <w:tab w:leader="none" w:pos="600" w:val="left"/>
        </w:tabs>
        <w:rPr>
          <w:sz w:val="20"/>
          <w:szCs w:val="20"/>
          <w:color w:val="auto"/>
        </w:rPr>
      </w:pPr>
      <w:r>
        <w:rPr>
          <w:rFonts w:ascii="Arial" w:cs="Arial" w:eastAsia="Arial" w:hAnsi="Arial"/>
          <w:sz w:val="17"/>
          <w:szCs w:val="17"/>
          <w:b w:val="1"/>
          <w:bCs w:val="1"/>
          <w:color w:val="auto"/>
        </w:rPr>
        <w:t>32.6</w:t>
      </w:r>
      <w:r>
        <w:rPr>
          <w:sz w:val="20"/>
          <w:szCs w:val="20"/>
          <w:color w:val="auto"/>
        </w:rPr>
        <w:tab/>
      </w:r>
      <w:r>
        <w:rPr>
          <w:rFonts w:ascii="Arial" w:cs="Arial" w:eastAsia="Arial" w:hAnsi="Arial"/>
          <w:sz w:val="15"/>
          <w:szCs w:val="15"/>
          <w:b w:val="1"/>
          <w:bCs w:val="1"/>
          <w:color w:val="auto"/>
        </w:rPr>
        <w:t>Capital management -</w:t>
      </w:r>
    </w:p>
    <w:p>
      <w:pPr>
        <w:spacing w:after="0" w:line="226" w:lineRule="exact"/>
        <w:rPr>
          <w:sz w:val="20"/>
          <w:szCs w:val="20"/>
          <w:color w:val="auto"/>
        </w:rPr>
      </w:pPr>
    </w:p>
    <w:p>
      <w:pPr>
        <w:ind w:right="120"/>
        <w:spacing w:after="0" w:line="311" w:lineRule="auto"/>
        <w:rPr>
          <w:sz w:val="20"/>
          <w:szCs w:val="20"/>
          <w:color w:val="auto"/>
        </w:rPr>
      </w:pPr>
      <w:r>
        <w:rPr>
          <w:rFonts w:ascii="Arial" w:cs="Arial" w:eastAsia="Arial" w:hAnsi="Arial"/>
          <w:sz w:val="15"/>
          <w:szCs w:val="15"/>
          <w:color w:val="auto"/>
        </w:rPr>
        <w:t>The Group maintains an actively managed capital base to cover risks inherent in its business. The adequacy of the Group’s capital is monitored using, among other measures, the rules and ratios established by the SBS, the supervising authority of its major subsidiaries and for consolidation purposes. Furthermore, capital management responds to market expectations in relation to the solvency of the Group and to support the growth of the businesses considered in the strategic planning. In this way, the capital maintained by the Group enables it to assume unexpected losses in normal conditions and conditions of severe stress.</w:t>
      </w:r>
    </w:p>
    <w:p>
      <w:pPr>
        <w:spacing w:after="0" w:line="145" w:lineRule="exact"/>
        <w:rPr>
          <w:sz w:val="20"/>
          <w:szCs w:val="20"/>
          <w:color w:val="auto"/>
        </w:rPr>
      </w:pPr>
    </w:p>
    <w:p>
      <w:pPr>
        <w:spacing w:after="0" w:line="265" w:lineRule="auto"/>
        <w:rPr>
          <w:sz w:val="20"/>
          <w:szCs w:val="20"/>
          <w:color w:val="auto"/>
        </w:rPr>
      </w:pPr>
      <w:r>
        <w:rPr>
          <w:rFonts w:ascii="Arial" w:cs="Arial" w:eastAsia="Arial" w:hAnsi="Arial"/>
          <w:sz w:val="17"/>
          <w:szCs w:val="17"/>
          <w:color w:val="auto"/>
        </w:rPr>
        <w:t>The Group’s objectives when managing capital are: (i) to comply with the capital requirements set by the regulators of the markets where the entities within the Group operate; (ii) to safeguard the Group’s ability to continue as a going concern so that it can continue to provide returns for shareholders and benefits for other stakeholders; and (iii) to maintain a strong capital base to support the development of its business, in line with the limits and tolerances established in the declaration of Risk Appetite.</w:t>
      </w:r>
    </w:p>
    <w:p>
      <w:pPr>
        <w:spacing w:after="0" w:line="176" w:lineRule="exact"/>
        <w:rPr>
          <w:sz w:val="20"/>
          <w:szCs w:val="20"/>
          <w:color w:val="auto"/>
        </w:rPr>
      </w:pPr>
    </w:p>
    <w:p>
      <w:pPr>
        <w:ind w:right="180"/>
        <w:spacing w:after="0" w:line="265" w:lineRule="auto"/>
        <w:rPr>
          <w:sz w:val="20"/>
          <w:szCs w:val="20"/>
          <w:color w:val="auto"/>
        </w:rPr>
      </w:pPr>
      <w:r>
        <w:rPr>
          <w:rFonts w:ascii="Arial" w:cs="Arial" w:eastAsia="Arial" w:hAnsi="Arial"/>
          <w:sz w:val="17"/>
          <w:szCs w:val="17"/>
          <w:color w:val="auto"/>
        </w:rPr>
        <w:t>As of December 31, 2017 and 2016, the regulatory capital for the subsidiaries engaged in financial and insurance activities amounted to approximately S/21,723.0 million and S/21,174.7 million, respectively. The regulatory capital has been determined in accordance with SBS regulations in force as of said dates. Under the SBS regulations, the Group’s regulatory capital exceeds by approximately S/3,710.3 million the minimum regulatory capital required as of December 31, 2017 (approximately S/3,915.7 million as of December 31, 2016).</w:t>
      </w: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- 141 -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15875</wp:posOffset>
            </wp:positionV>
            <wp:extent cx="725170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51700" cy="8255"/>
                    </a:xfrm>
                    <a:prstGeom prst="rect">
                      <a:avLst/>
                    </a:prstGeom>
                    <a:noFill/>
                  </pic:spPr>
                </pic:pic>
              </a:graphicData>
            </a:graphic>
          </wp:anchor>
        </w:drawing>
      </w:r>
    </w:p>
    <w:p>
      <w:pPr>
        <w:sectPr>
          <w:pgSz w:w="11900" w:h="16838" w:orient="portrait"/>
          <w:cols w:equalWidth="0" w:num="1">
            <w:col w:w="11420"/>
          </w:cols>
          <w:pgMar w:left="240" w:top="875" w:right="239" w:bottom="1440" w:gutter="0" w:footer="0" w:header="0"/>
        </w:sectPr>
      </w:pPr>
    </w:p>
    <w:bookmarkStart w:id="147" w:name="page148"/>
    <w:bookmarkEnd w:id="147"/>
    <w:p>
      <w:pPr>
        <w:spacing w:after="0"/>
        <w:tabs>
          <w:tab w:leader="none" w:pos="600" w:val="left"/>
        </w:tabs>
        <w:rPr>
          <w:sz w:val="20"/>
          <w:szCs w:val="20"/>
          <w:color w:val="auto"/>
        </w:rPr>
      </w:pPr>
      <w:r>
        <w:rPr>
          <w:rFonts w:ascii="Arial" w:cs="Arial" w:eastAsia="Arial" w:hAnsi="Arial"/>
          <w:sz w:val="17"/>
          <w:szCs w:val="17"/>
          <w:b w:val="1"/>
          <w:bCs w:val="1"/>
          <w:color w:val="auto"/>
        </w:rPr>
        <w:t>32.7</w:t>
      </w:r>
      <w:r>
        <w:rPr>
          <w:sz w:val="20"/>
          <w:szCs w:val="20"/>
          <w:color w:val="auto"/>
        </w:rPr>
        <w:tab/>
      </w:r>
      <w:r>
        <w:rPr>
          <w:rFonts w:ascii="Arial" w:cs="Arial" w:eastAsia="Arial" w:hAnsi="Arial"/>
          <w:sz w:val="15"/>
          <w:szCs w:val="15"/>
          <w:b w:val="1"/>
          <w:bCs w:val="1"/>
          <w:color w:val="auto"/>
        </w:rPr>
        <w:t>Fair values -</w:t>
      </w:r>
    </w:p>
    <w:p>
      <w:pPr>
        <w:spacing w:after="0" w:line="226" w:lineRule="exact"/>
        <w:rPr>
          <w:sz w:val="20"/>
          <w:szCs w:val="20"/>
          <w:color w:val="auto"/>
        </w:rPr>
      </w:pPr>
    </w:p>
    <w:p>
      <w:pPr>
        <w:ind w:left="320" w:hanging="316"/>
        <w:spacing w:after="0"/>
        <w:tabs>
          <w:tab w:leader="none" w:pos="320" w:val="left"/>
        </w:tabs>
        <w:numPr>
          <w:ilvl w:val="0"/>
          <w:numId w:val="158"/>
        </w:numPr>
        <w:rPr>
          <w:rFonts w:ascii="Arial" w:cs="Arial" w:eastAsia="Arial" w:hAnsi="Arial"/>
          <w:sz w:val="17"/>
          <w:szCs w:val="17"/>
          <w:color w:val="auto"/>
        </w:rPr>
      </w:pPr>
      <w:r>
        <w:rPr>
          <w:rFonts w:ascii="Arial" w:cs="Arial" w:eastAsia="Arial" w:hAnsi="Arial"/>
          <w:sz w:val="17"/>
          <w:szCs w:val="17"/>
          <w:color w:val="auto"/>
        </w:rPr>
        <w:t>Financial instruments recorded at fair value and fair value hierarchy -</w:t>
      </w:r>
    </w:p>
    <w:p>
      <w:pPr>
        <w:spacing w:after="0" w:line="220" w:lineRule="exact"/>
        <w:rPr>
          <w:sz w:val="20"/>
          <w:szCs w:val="20"/>
          <w:color w:val="auto"/>
        </w:rPr>
      </w:pPr>
    </w:p>
    <w:p>
      <w:pPr>
        <w:ind w:left="320" w:right="140"/>
        <w:spacing w:after="0" w:line="285" w:lineRule="auto"/>
        <w:rPr>
          <w:sz w:val="20"/>
          <w:szCs w:val="20"/>
          <w:color w:val="auto"/>
        </w:rPr>
      </w:pPr>
      <w:r>
        <w:rPr>
          <w:rFonts w:ascii="Arial" w:cs="Arial" w:eastAsia="Arial" w:hAnsi="Arial"/>
          <w:sz w:val="17"/>
          <w:szCs w:val="17"/>
          <w:color w:val="auto"/>
        </w:rPr>
        <w:t>The following table analyses financial instruments measured at fair value at the reporting date, by the level in the fair value hierarchy into which the fair value measurement is categorized. The amounts are based on the values recognized in the consolidated statement of financial position:</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3440" w:type="dxa"/>
            <w:vAlign w:val="bottom"/>
          </w:tcPr>
          <w:p>
            <w:pPr>
              <w:spacing w:after="0"/>
              <w:rPr>
                <w:sz w:val="14"/>
                <w:szCs w:val="14"/>
                <w:color w:val="auto"/>
              </w:rPr>
            </w:pPr>
          </w:p>
        </w:tc>
        <w:tc>
          <w:tcPr>
            <w:tcW w:w="80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Note</w:t>
            </w:r>
          </w:p>
        </w:tc>
        <w:tc>
          <w:tcPr>
            <w:tcW w:w="7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4"/>
          </w:tcPr>
          <w:p>
            <w:pPr>
              <w:ind w:left="60"/>
              <w:spacing w:after="0"/>
              <w:rPr>
                <w:sz w:val="20"/>
                <w:szCs w:val="20"/>
                <w:color w:val="auto"/>
              </w:rPr>
            </w:pPr>
            <w:r>
              <w:rPr>
                <w:rFonts w:ascii="Arial" w:cs="Arial" w:eastAsia="Arial" w:hAnsi="Arial"/>
                <w:sz w:val="14"/>
                <w:szCs w:val="14"/>
                <w:b w:val="1"/>
                <w:bCs w:val="1"/>
                <w:color w:val="auto"/>
              </w:rPr>
              <w:t>As of December 31, 2017</w:t>
            </w:r>
          </w:p>
        </w:tc>
        <w:tc>
          <w:tcPr>
            <w:tcW w:w="7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4"/>
          </w:tcPr>
          <w:p>
            <w:pPr>
              <w:jc w:val="right"/>
              <w:ind w:right="260"/>
              <w:spacing w:after="0"/>
              <w:rPr>
                <w:sz w:val="20"/>
                <w:szCs w:val="20"/>
                <w:color w:val="auto"/>
              </w:rPr>
            </w:pPr>
            <w:r>
              <w:rPr>
                <w:rFonts w:ascii="Arial" w:cs="Arial" w:eastAsia="Arial" w:hAnsi="Arial"/>
                <w:sz w:val="14"/>
                <w:szCs w:val="14"/>
                <w:b w:val="1"/>
                <w:bCs w:val="1"/>
                <w:color w:val="auto"/>
                <w:w w:val="93"/>
              </w:rPr>
              <w:t>As of December 31, 2016</w:t>
            </w:r>
          </w:p>
        </w:tc>
        <w:tc>
          <w:tcPr>
            <w:tcW w:w="72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44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940" w:type="dxa"/>
            <w:vAlign w:val="bottom"/>
            <w:gridSpan w:val="2"/>
          </w:tcPr>
          <w:p>
            <w:pPr>
              <w:jc w:val="right"/>
              <w:ind w:right="360"/>
              <w:spacing w:after="0" w:line="149" w:lineRule="exact"/>
              <w:rPr>
                <w:sz w:val="20"/>
                <w:szCs w:val="20"/>
                <w:color w:val="auto"/>
              </w:rPr>
            </w:pPr>
            <w:r>
              <w:rPr>
                <w:rFonts w:ascii="Arial" w:cs="Arial" w:eastAsia="Arial" w:hAnsi="Arial"/>
                <w:sz w:val="14"/>
                <w:szCs w:val="14"/>
                <w:b w:val="1"/>
                <w:bCs w:val="1"/>
                <w:color w:val="auto"/>
              </w:rPr>
              <w:t>Level 1</w:t>
            </w:r>
          </w:p>
        </w:tc>
        <w:tc>
          <w:tcPr>
            <w:tcW w:w="940" w:type="dxa"/>
            <w:vAlign w:val="bottom"/>
            <w:gridSpan w:val="2"/>
          </w:tcPr>
          <w:p>
            <w:pPr>
              <w:jc w:val="right"/>
              <w:ind w:right="360"/>
              <w:spacing w:after="0" w:line="149" w:lineRule="exact"/>
              <w:rPr>
                <w:sz w:val="20"/>
                <w:szCs w:val="20"/>
                <w:color w:val="auto"/>
              </w:rPr>
            </w:pPr>
            <w:r>
              <w:rPr>
                <w:rFonts w:ascii="Arial" w:cs="Arial" w:eastAsia="Arial" w:hAnsi="Arial"/>
                <w:sz w:val="14"/>
                <w:szCs w:val="14"/>
                <w:b w:val="1"/>
                <w:bCs w:val="1"/>
                <w:color w:val="auto"/>
              </w:rPr>
              <w:t>Level 2</w:t>
            </w:r>
          </w:p>
        </w:tc>
        <w:tc>
          <w:tcPr>
            <w:tcW w:w="86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Level 3</w:t>
            </w:r>
          </w:p>
        </w:tc>
        <w:tc>
          <w:tcPr>
            <w:tcW w:w="720" w:type="dxa"/>
            <w:vAlign w:val="bottom"/>
          </w:tcPr>
          <w:p>
            <w:pPr>
              <w:jc w:val="right"/>
              <w:ind w:right="131"/>
              <w:spacing w:after="0" w:line="149" w:lineRule="exact"/>
              <w:rPr>
                <w:sz w:val="20"/>
                <w:szCs w:val="20"/>
                <w:color w:val="auto"/>
              </w:rPr>
            </w:pPr>
            <w:r>
              <w:rPr>
                <w:rFonts w:ascii="Arial" w:cs="Arial" w:eastAsia="Arial" w:hAnsi="Arial"/>
                <w:sz w:val="14"/>
                <w:szCs w:val="14"/>
                <w:b w:val="1"/>
                <w:bCs w:val="1"/>
                <w:color w:val="auto"/>
              </w:rPr>
              <w:t>Total</w:t>
            </w:r>
          </w:p>
        </w:tc>
        <w:tc>
          <w:tcPr>
            <w:tcW w:w="220" w:type="dxa"/>
            <w:vAlign w:val="bottom"/>
          </w:tcPr>
          <w:p>
            <w:pPr>
              <w:spacing w:after="0"/>
              <w:rPr>
                <w:sz w:val="12"/>
                <w:szCs w:val="12"/>
                <w:color w:val="auto"/>
              </w:rPr>
            </w:pPr>
          </w:p>
        </w:tc>
        <w:tc>
          <w:tcPr>
            <w:tcW w:w="86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Level 1</w:t>
            </w:r>
          </w:p>
        </w:tc>
        <w:tc>
          <w:tcPr>
            <w:tcW w:w="940" w:type="dxa"/>
            <w:vAlign w:val="bottom"/>
            <w:gridSpan w:val="2"/>
          </w:tcPr>
          <w:p>
            <w:pPr>
              <w:ind w:left="160"/>
              <w:spacing w:after="0" w:line="149" w:lineRule="exact"/>
              <w:rPr>
                <w:sz w:val="20"/>
                <w:szCs w:val="20"/>
                <w:color w:val="auto"/>
              </w:rPr>
            </w:pPr>
            <w:r>
              <w:rPr>
                <w:rFonts w:ascii="Arial" w:cs="Arial" w:eastAsia="Arial" w:hAnsi="Arial"/>
                <w:sz w:val="14"/>
                <w:szCs w:val="14"/>
                <w:b w:val="1"/>
                <w:bCs w:val="1"/>
                <w:color w:val="auto"/>
              </w:rPr>
              <w:t>Level 2</w:t>
            </w:r>
          </w:p>
        </w:tc>
        <w:tc>
          <w:tcPr>
            <w:tcW w:w="880" w:type="dxa"/>
            <w:vAlign w:val="bottom"/>
            <w:gridSpan w:val="2"/>
          </w:tcPr>
          <w:p>
            <w:pPr>
              <w:jc w:val="right"/>
              <w:ind w:right="340"/>
              <w:spacing w:after="0" w:line="149" w:lineRule="exact"/>
              <w:rPr>
                <w:sz w:val="20"/>
                <w:szCs w:val="20"/>
                <w:color w:val="auto"/>
              </w:rPr>
            </w:pPr>
            <w:r>
              <w:rPr>
                <w:rFonts w:ascii="Arial" w:cs="Arial" w:eastAsia="Arial" w:hAnsi="Arial"/>
                <w:sz w:val="14"/>
                <w:szCs w:val="14"/>
                <w:b w:val="1"/>
                <w:bCs w:val="1"/>
                <w:color w:val="auto"/>
              </w:rPr>
              <w:t>Level 3</w:t>
            </w:r>
          </w:p>
        </w:tc>
        <w:tc>
          <w:tcPr>
            <w:tcW w:w="720" w:type="dxa"/>
            <w:vAlign w:val="bottom"/>
          </w:tcPr>
          <w:p>
            <w:pPr>
              <w:jc w:val="right"/>
              <w:ind w:right="151"/>
              <w:spacing w:after="0" w:line="149" w:lineRule="exact"/>
              <w:rPr>
                <w:sz w:val="20"/>
                <w:szCs w:val="20"/>
                <w:color w:val="auto"/>
              </w:rPr>
            </w:pPr>
            <w:r>
              <w:rPr>
                <w:rFonts w:ascii="Arial" w:cs="Arial" w:eastAsia="Arial" w:hAnsi="Arial"/>
                <w:sz w:val="14"/>
                <w:szCs w:val="14"/>
                <w:b w:val="1"/>
                <w:bCs w:val="1"/>
                <w:color w:val="auto"/>
              </w:rPr>
              <w:t>Total</w:t>
            </w:r>
          </w:p>
        </w:tc>
        <w:tc>
          <w:tcPr>
            <w:tcW w:w="10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3440" w:type="dxa"/>
            <w:vAlign w:val="bottom"/>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Borders>
              <w:top w:val="single" w:sz="8" w:color="auto"/>
            </w:tcBorders>
          </w:tcPr>
          <w:p>
            <w:pPr>
              <w:jc w:val="right"/>
              <w:ind w:right="131"/>
              <w:spacing w:after="0" w:line="136" w:lineRule="exact"/>
              <w:rPr>
                <w:sz w:val="20"/>
                <w:szCs w:val="20"/>
                <w:color w:val="auto"/>
              </w:rPr>
            </w:pPr>
            <w:r>
              <w:rPr>
                <w:rFonts w:ascii="Arial" w:cs="Arial" w:eastAsia="Arial" w:hAnsi="Arial"/>
                <w:sz w:val="14"/>
                <w:szCs w:val="14"/>
                <w:b w:val="1"/>
                <w:bCs w:val="1"/>
                <w:color w:val="auto"/>
              </w:rPr>
              <w:t>S/000</w:t>
            </w:r>
          </w:p>
        </w:tc>
        <w:tc>
          <w:tcPr>
            <w:tcW w:w="220" w:type="dxa"/>
            <w:vAlign w:val="bottom"/>
          </w:tcPr>
          <w:p>
            <w:pPr>
              <w:spacing w:after="0"/>
              <w:rPr>
                <w:sz w:val="11"/>
                <w:szCs w:val="11"/>
                <w:color w:val="auto"/>
              </w:rPr>
            </w:pPr>
          </w:p>
        </w:tc>
        <w:tc>
          <w:tcPr>
            <w:tcW w:w="720" w:type="dxa"/>
            <w:vAlign w:val="bottom"/>
            <w:tcBorders>
              <w:top w:val="single" w:sz="8" w:color="auto"/>
            </w:tcBorders>
          </w:tcPr>
          <w:p>
            <w:pPr>
              <w:jc w:val="right"/>
              <w:ind w:right="131"/>
              <w:spacing w:after="0" w:line="136" w:lineRule="exact"/>
              <w:rPr>
                <w:sz w:val="20"/>
                <w:szCs w:val="20"/>
                <w:color w:val="auto"/>
              </w:rPr>
            </w:pPr>
            <w:r>
              <w:rPr>
                <w:rFonts w:ascii="Arial" w:cs="Arial" w:eastAsia="Arial" w:hAnsi="Arial"/>
                <w:sz w:val="14"/>
                <w:szCs w:val="14"/>
                <w:b w:val="1"/>
                <w:bCs w:val="1"/>
                <w:color w:val="auto"/>
              </w:rPr>
              <w:t>S/000</w:t>
            </w:r>
          </w:p>
        </w:tc>
        <w:tc>
          <w:tcPr>
            <w:tcW w:w="220" w:type="dxa"/>
            <w:vAlign w:val="bottom"/>
          </w:tcPr>
          <w:p>
            <w:pPr>
              <w:spacing w:after="0"/>
              <w:rPr>
                <w:sz w:val="11"/>
                <w:szCs w:val="11"/>
                <w:color w:val="auto"/>
              </w:rPr>
            </w:pPr>
          </w:p>
        </w:tc>
        <w:tc>
          <w:tcPr>
            <w:tcW w:w="660" w:type="dxa"/>
            <w:vAlign w:val="bottom"/>
            <w:tcBorders>
              <w:top w:val="single" w:sz="8" w:color="auto"/>
            </w:tcBorders>
          </w:tcPr>
          <w:p>
            <w:pPr>
              <w:jc w:val="right"/>
              <w:ind w:right="111"/>
              <w:spacing w:after="0" w:line="136" w:lineRule="exact"/>
              <w:rPr>
                <w:sz w:val="20"/>
                <w:szCs w:val="20"/>
                <w:color w:val="auto"/>
              </w:rPr>
            </w:pPr>
            <w:r>
              <w:rPr>
                <w:rFonts w:ascii="Arial" w:cs="Arial" w:eastAsia="Arial" w:hAnsi="Arial"/>
                <w:sz w:val="14"/>
                <w:szCs w:val="14"/>
                <w:b w:val="1"/>
                <w:bCs w:val="1"/>
                <w:color w:val="auto"/>
              </w:rPr>
              <w:t>S/000</w:t>
            </w:r>
          </w:p>
        </w:tc>
        <w:tc>
          <w:tcPr>
            <w:tcW w:w="200" w:type="dxa"/>
            <w:vAlign w:val="bottom"/>
          </w:tcPr>
          <w:p>
            <w:pPr>
              <w:spacing w:after="0"/>
              <w:rPr>
                <w:sz w:val="11"/>
                <w:szCs w:val="11"/>
                <w:color w:val="auto"/>
              </w:rPr>
            </w:pPr>
          </w:p>
        </w:tc>
        <w:tc>
          <w:tcPr>
            <w:tcW w:w="720" w:type="dxa"/>
            <w:vAlign w:val="bottom"/>
            <w:tcBorders>
              <w:top w:val="single" w:sz="8" w:color="auto"/>
            </w:tcBorders>
          </w:tcPr>
          <w:p>
            <w:pPr>
              <w:jc w:val="right"/>
              <w:ind w:right="131"/>
              <w:spacing w:after="0" w:line="136" w:lineRule="exact"/>
              <w:rPr>
                <w:sz w:val="20"/>
                <w:szCs w:val="20"/>
                <w:color w:val="auto"/>
              </w:rPr>
            </w:pPr>
            <w:r>
              <w:rPr>
                <w:rFonts w:ascii="Arial" w:cs="Arial" w:eastAsia="Arial" w:hAnsi="Arial"/>
                <w:sz w:val="14"/>
                <w:szCs w:val="14"/>
                <w:b w:val="1"/>
                <w:bCs w:val="1"/>
                <w:color w:val="auto"/>
              </w:rPr>
              <w:t>S/000</w:t>
            </w:r>
          </w:p>
        </w:tc>
        <w:tc>
          <w:tcPr>
            <w:tcW w:w="220" w:type="dxa"/>
            <w:vAlign w:val="bottom"/>
          </w:tcPr>
          <w:p>
            <w:pPr>
              <w:spacing w:after="0"/>
              <w:rPr>
                <w:sz w:val="11"/>
                <w:szCs w:val="11"/>
                <w:color w:val="auto"/>
              </w:rPr>
            </w:pPr>
          </w:p>
        </w:tc>
        <w:tc>
          <w:tcPr>
            <w:tcW w:w="660" w:type="dxa"/>
            <w:vAlign w:val="bottom"/>
            <w:tcBorders>
              <w:top w:val="single" w:sz="8" w:color="auto"/>
            </w:tcBorders>
          </w:tcPr>
          <w:p>
            <w:pPr>
              <w:jc w:val="right"/>
              <w:ind w:right="111"/>
              <w:spacing w:after="0" w:line="136" w:lineRule="exact"/>
              <w:rPr>
                <w:sz w:val="20"/>
                <w:szCs w:val="20"/>
                <w:color w:val="auto"/>
              </w:rPr>
            </w:pPr>
            <w:r>
              <w:rPr>
                <w:rFonts w:ascii="Arial" w:cs="Arial" w:eastAsia="Arial" w:hAnsi="Arial"/>
                <w:sz w:val="14"/>
                <w:szCs w:val="14"/>
                <w:b w:val="1"/>
                <w:bCs w:val="1"/>
                <w:color w:val="auto"/>
              </w:rPr>
              <w:t>S/000</w:t>
            </w:r>
          </w:p>
        </w:tc>
        <w:tc>
          <w:tcPr>
            <w:tcW w:w="200" w:type="dxa"/>
            <w:vAlign w:val="bottom"/>
          </w:tcPr>
          <w:p>
            <w:pPr>
              <w:spacing w:after="0"/>
              <w:rPr>
                <w:sz w:val="11"/>
                <w:szCs w:val="11"/>
                <w:color w:val="auto"/>
              </w:rPr>
            </w:pPr>
          </w:p>
        </w:tc>
        <w:tc>
          <w:tcPr>
            <w:tcW w:w="740" w:type="dxa"/>
            <w:vAlign w:val="bottom"/>
            <w:tcBorders>
              <w:top w:val="single" w:sz="8" w:color="auto"/>
            </w:tcBorders>
          </w:tcPr>
          <w:p>
            <w:pPr>
              <w:jc w:val="right"/>
              <w:ind w:right="131"/>
              <w:spacing w:after="0" w:line="136" w:lineRule="exact"/>
              <w:rPr>
                <w:sz w:val="20"/>
                <w:szCs w:val="20"/>
                <w:color w:val="auto"/>
              </w:rPr>
            </w:pPr>
            <w:r>
              <w:rPr>
                <w:rFonts w:ascii="Arial" w:cs="Arial" w:eastAsia="Arial" w:hAnsi="Arial"/>
                <w:sz w:val="14"/>
                <w:szCs w:val="14"/>
                <w:b w:val="1"/>
                <w:bCs w:val="1"/>
                <w:color w:val="auto"/>
              </w:rPr>
              <w:t>S/000</w:t>
            </w:r>
          </w:p>
        </w:tc>
        <w:tc>
          <w:tcPr>
            <w:tcW w:w="200" w:type="dxa"/>
            <w:vAlign w:val="bottom"/>
          </w:tcPr>
          <w:p>
            <w:pPr>
              <w:spacing w:after="0"/>
              <w:rPr>
                <w:sz w:val="11"/>
                <w:szCs w:val="11"/>
                <w:color w:val="auto"/>
              </w:rPr>
            </w:pPr>
          </w:p>
        </w:tc>
        <w:tc>
          <w:tcPr>
            <w:tcW w:w="660" w:type="dxa"/>
            <w:vAlign w:val="bottom"/>
            <w:tcBorders>
              <w:top w:val="single" w:sz="8" w:color="auto"/>
            </w:tcBorders>
          </w:tcPr>
          <w:p>
            <w:pPr>
              <w:jc w:val="right"/>
              <w:ind w:right="91"/>
              <w:spacing w:after="0" w:line="136" w:lineRule="exact"/>
              <w:rPr>
                <w:sz w:val="20"/>
                <w:szCs w:val="20"/>
                <w:color w:val="auto"/>
              </w:rPr>
            </w:pPr>
            <w:r>
              <w:rPr>
                <w:rFonts w:ascii="Arial" w:cs="Arial" w:eastAsia="Arial" w:hAnsi="Arial"/>
                <w:sz w:val="14"/>
                <w:szCs w:val="14"/>
                <w:b w:val="1"/>
                <w:bCs w:val="1"/>
                <w:color w:val="auto"/>
              </w:rPr>
              <w:t>S/000</w:t>
            </w:r>
          </w:p>
        </w:tc>
        <w:tc>
          <w:tcPr>
            <w:tcW w:w="220" w:type="dxa"/>
            <w:vAlign w:val="bottom"/>
          </w:tcPr>
          <w:p>
            <w:pPr>
              <w:spacing w:after="0"/>
              <w:rPr>
                <w:sz w:val="11"/>
                <w:szCs w:val="11"/>
                <w:color w:val="auto"/>
              </w:rPr>
            </w:pPr>
          </w:p>
        </w:tc>
        <w:tc>
          <w:tcPr>
            <w:tcW w:w="720" w:type="dxa"/>
            <w:vAlign w:val="bottom"/>
            <w:tcBorders>
              <w:top w:val="single" w:sz="8" w:color="auto"/>
            </w:tcBorders>
          </w:tcPr>
          <w:p>
            <w:pPr>
              <w:jc w:val="right"/>
              <w:ind w:right="131"/>
              <w:spacing w:after="0" w:line="136" w:lineRule="exact"/>
              <w:rPr>
                <w:sz w:val="20"/>
                <w:szCs w:val="20"/>
                <w:color w:val="auto"/>
              </w:rPr>
            </w:pPr>
            <w:r>
              <w:rPr>
                <w:rFonts w:ascii="Arial" w:cs="Arial" w:eastAsia="Arial" w:hAnsi="Arial"/>
                <w:sz w:val="14"/>
                <w:szCs w:val="14"/>
                <w:b w:val="1"/>
                <w:bCs w:val="1"/>
                <w:color w:val="auto"/>
              </w:rPr>
              <w:t>S/000</w:t>
            </w:r>
          </w:p>
        </w:tc>
        <w:tc>
          <w:tcPr>
            <w:tcW w:w="10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3440" w:type="dxa"/>
            <w:vAlign w:val="bottom"/>
            <w:shd w:val="clear" w:color="auto" w:fill="CCEEFF"/>
          </w:tcPr>
          <w:p>
            <w:pPr>
              <w:spacing w:after="0" w:line="143" w:lineRule="exact"/>
              <w:rPr>
                <w:sz w:val="20"/>
                <w:szCs w:val="20"/>
                <w:color w:val="auto"/>
              </w:rPr>
            </w:pPr>
            <w:r>
              <w:rPr>
                <w:rFonts w:ascii="Arial" w:cs="Arial" w:eastAsia="Arial" w:hAnsi="Arial"/>
                <w:sz w:val="14"/>
                <w:szCs w:val="14"/>
                <w:b w:val="1"/>
                <w:bCs w:val="1"/>
                <w:color w:val="auto"/>
              </w:rPr>
              <w:t>Financial assets</w:t>
            </w: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3440" w:type="dxa"/>
            <w:vAlign w:val="bottom"/>
          </w:tcPr>
          <w:p>
            <w:pPr>
              <w:spacing w:after="0" w:line="143" w:lineRule="exact"/>
              <w:rPr>
                <w:sz w:val="20"/>
                <w:szCs w:val="20"/>
                <w:color w:val="auto"/>
              </w:rPr>
            </w:pPr>
            <w:r>
              <w:rPr>
                <w:rFonts w:ascii="Arial" w:cs="Arial" w:eastAsia="Arial" w:hAnsi="Arial"/>
                <w:sz w:val="14"/>
                <w:szCs w:val="14"/>
                <w:b w:val="1"/>
                <w:bCs w:val="1"/>
                <w:color w:val="auto"/>
              </w:rPr>
              <w:t>Derivative financial instruments:</w:t>
            </w: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344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rPr>
              <w:t>Forward foreign exchange contracts</w:t>
            </w: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20"/>
              <w:spacing w:after="0" w:line="143"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220"/>
              <w:spacing w:after="0" w:line="143" w:lineRule="exact"/>
              <w:rPr>
                <w:sz w:val="20"/>
                <w:szCs w:val="20"/>
                <w:color w:val="auto"/>
              </w:rPr>
            </w:pPr>
            <w:r>
              <w:rPr>
                <w:rFonts w:ascii="Arial" w:cs="Arial" w:eastAsia="Arial" w:hAnsi="Arial"/>
                <w:sz w:val="14"/>
                <w:szCs w:val="14"/>
                <w:color w:val="auto"/>
              </w:rPr>
              <w:t>62,353</w:t>
            </w:r>
          </w:p>
        </w:tc>
        <w:tc>
          <w:tcPr>
            <w:tcW w:w="860" w:type="dxa"/>
            <w:vAlign w:val="bottom"/>
            <w:gridSpan w:val="2"/>
            <w:shd w:val="clear" w:color="auto" w:fill="CCEEFF"/>
          </w:tcPr>
          <w:p>
            <w:pPr>
              <w:jc w:val="right"/>
              <w:ind w:right="200"/>
              <w:spacing w:after="0" w:line="143"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220"/>
              <w:spacing w:after="0" w:line="143" w:lineRule="exact"/>
              <w:rPr>
                <w:sz w:val="20"/>
                <w:szCs w:val="20"/>
                <w:color w:val="auto"/>
              </w:rPr>
            </w:pPr>
            <w:r>
              <w:rPr>
                <w:rFonts w:ascii="Arial" w:cs="Arial" w:eastAsia="Arial" w:hAnsi="Arial"/>
                <w:sz w:val="14"/>
                <w:szCs w:val="14"/>
                <w:color w:val="auto"/>
              </w:rPr>
              <w:t>62,353</w:t>
            </w:r>
          </w:p>
        </w:tc>
        <w:tc>
          <w:tcPr>
            <w:tcW w:w="860" w:type="dxa"/>
            <w:vAlign w:val="bottom"/>
            <w:gridSpan w:val="2"/>
            <w:shd w:val="clear" w:color="auto" w:fill="CCEEFF"/>
          </w:tcPr>
          <w:p>
            <w:pPr>
              <w:jc w:val="right"/>
              <w:ind w:right="200"/>
              <w:spacing w:after="0" w:line="143"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200"/>
              <w:spacing w:after="0" w:line="143" w:lineRule="exact"/>
              <w:rPr>
                <w:sz w:val="20"/>
                <w:szCs w:val="20"/>
                <w:color w:val="auto"/>
              </w:rPr>
            </w:pPr>
            <w:r>
              <w:rPr>
                <w:rFonts w:ascii="Arial" w:cs="Arial" w:eastAsia="Arial" w:hAnsi="Arial"/>
                <w:sz w:val="14"/>
                <w:szCs w:val="14"/>
                <w:color w:val="auto"/>
              </w:rPr>
              <w:t>73,722</w:t>
            </w:r>
          </w:p>
        </w:tc>
        <w:tc>
          <w:tcPr>
            <w:tcW w:w="880" w:type="dxa"/>
            <w:vAlign w:val="bottom"/>
            <w:gridSpan w:val="2"/>
            <w:shd w:val="clear" w:color="auto" w:fill="CCEEFF"/>
          </w:tcPr>
          <w:p>
            <w:pPr>
              <w:jc w:val="right"/>
              <w:ind w:right="220"/>
              <w:spacing w:after="0" w:line="143"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20"/>
              <w:spacing w:after="0" w:line="143" w:lineRule="exact"/>
              <w:rPr>
                <w:sz w:val="20"/>
                <w:szCs w:val="20"/>
                <w:color w:val="auto"/>
              </w:rPr>
            </w:pPr>
            <w:r>
              <w:rPr>
                <w:rFonts w:ascii="Arial" w:cs="Arial" w:eastAsia="Arial" w:hAnsi="Arial"/>
                <w:sz w:val="14"/>
                <w:szCs w:val="14"/>
                <w:color w:val="auto"/>
              </w:rPr>
              <w:t>73,722</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3440" w:type="dxa"/>
            <w:vAlign w:val="bottom"/>
          </w:tcPr>
          <w:p>
            <w:pPr>
              <w:spacing w:after="0" w:line="143" w:lineRule="exact"/>
              <w:rPr>
                <w:sz w:val="20"/>
                <w:szCs w:val="20"/>
                <w:color w:val="auto"/>
              </w:rPr>
            </w:pPr>
            <w:r>
              <w:rPr>
                <w:rFonts w:ascii="Arial" w:cs="Arial" w:eastAsia="Arial" w:hAnsi="Arial"/>
                <w:sz w:val="14"/>
                <w:szCs w:val="14"/>
                <w:color w:val="auto"/>
              </w:rPr>
              <w:t>Interest rate swaps</w:t>
            </w: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jc w:val="right"/>
              <w:ind w:right="220"/>
              <w:spacing w:after="0" w:line="143" w:lineRule="exact"/>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20"/>
              <w:spacing w:after="0" w:line="143" w:lineRule="exact"/>
              <w:rPr>
                <w:sz w:val="20"/>
                <w:szCs w:val="20"/>
                <w:color w:val="auto"/>
              </w:rPr>
            </w:pPr>
            <w:r>
              <w:rPr>
                <w:rFonts w:ascii="Arial" w:cs="Arial" w:eastAsia="Arial" w:hAnsi="Arial"/>
                <w:sz w:val="14"/>
                <w:szCs w:val="14"/>
                <w:color w:val="auto"/>
              </w:rPr>
              <w:t>228,461</w:t>
            </w:r>
          </w:p>
        </w:tc>
        <w:tc>
          <w:tcPr>
            <w:tcW w:w="860" w:type="dxa"/>
            <w:vAlign w:val="bottom"/>
            <w:gridSpan w:val="2"/>
          </w:tcPr>
          <w:p>
            <w:pPr>
              <w:jc w:val="right"/>
              <w:ind w:right="200"/>
              <w:spacing w:after="0" w:line="143" w:lineRule="exact"/>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20"/>
              <w:spacing w:after="0" w:line="143" w:lineRule="exact"/>
              <w:rPr>
                <w:sz w:val="20"/>
                <w:szCs w:val="20"/>
                <w:color w:val="auto"/>
              </w:rPr>
            </w:pPr>
            <w:r>
              <w:rPr>
                <w:rFonts w:ascii="Arial" w:cs="Arial" w:eastAsia="Arial" w:hAnsi="Arial"/>
                <w:sz w:val="14"/>
                <w:szCs w:val="14"/>
                <w:color w:val="auto"/>
              </w:rPr>
              <w:t>228,461</w:t>
            </w:r>
          </w:p>
        </w:tc>
        <w:tc>
          <w:tcPr>
            <w:tcW w:w="860" w:type="dxa"/>
            <w:vAlign w:val="bottom"/>
            <w:gridSpan w:val="2"/>
          </w:tcPr>
          <w:p>
            <w:pPr>
              <w:jc w:val="right"/>
              <w:ind w:right="200"/>
              <w:spacing w:after="0" w:line="143" w:lineRule="exact"/>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00"/>
              <w:spacing w:after="0" w:line="143" w:lineRule="exact"/>
              <w:rPr>
                <w:sz w:val="20"/>
                <w:szCs w:val="20"/>
                <w:color w:val="auto"/>
              </w:rPr>
            </w:pPr>
            <w:r>
              <w:rPr>
                <w:rFonts w:ascii="Arial" w:cs="Arial" w:eastAsia="Arial" w:hAnsi="Arial"/>
                <w:sz w:val="14"/>
                <w:szCs w:val="14"/>
                <w:color w:val="auto"/>
              </w:rPr>
              <w:t>310,221</w:t>
            </w:r>
          </w:p>
        </w:tc>
        <w:tc>
          <w:tcPr>
            <w:tcW w:w="880" w:type="dxa"/>
            <w:vAlign w:val="bottom"/>
            <w:gridSpan w:val="2"/>
          </w:tcPr>
          <w:p>
            <w:pPr>
              <w:jc w:val="right"/>
              <w:ind w:right="220"/>
              <w:spacing w:after="0" w:line="143"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20"/>
              <w:spacing w:after="0" w:line="143" w:lineRule="exact"/>
              <w:rPr>
                <w:sz w:val="20"/>
                <w:szCs w:val="20"/>
                <w:color w:val="auto"/>
              </w:rPr>
            </w:pPr>
            <w:r>
              <w:rPr>
                <w:rFonts w:ascii="Arial" w:cs="Arial" w:eastAsia="Arial" w:hAnsi="Arial"/>
                <w:sz w:val="14"/>
                <w:szCs w:val="14"/>
                <w:color w:val="auto"/>
              </w:rPr>
              <w:t>310,221</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344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rPr>
              <w:t>Cross currency swaps</w:t>
            </w: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20"/>
              <w:spacing w:after="0" w:line="143"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220"/>
              <w:spacing w:after="0" w:line="143" w:lineRule="exact"/>
              <w:rPr>
                <w:sz w:val="20"/>
                <w:szCs w:val="20"/>
                <w:color w:val="auto"/>
              </w:rPr>
            </w:pPr>
            <w:r>
              <w:rPr>
                <w:rFonts w:ascii="Arial" w:cs="Arial" w:eastAsia="Arial" w:hAnsi="Arial"/>
                <w:sz w:val="14"/>
                <w:szCs w:val="14"/>
                <w:color w:val="auto"/>
              </w:rPr>
              <w:t>75,944</w:t>
            </w:r>
          </w:p>
        </w:tc>
        <w:tc>
          <w:tcPr>
            <w:tcW w:w="860" w:type="dxa"/>
            <w:vAlign w:val="bottom"/>
            <w:gridSpan w:val="2"/>
            <w:shd w:val="clear" w:color="auto" w:fill="CCEEFF"/>
          </w:tcPr>
          <w:p>
            <w:pPr>
              <w:jc w:val="right"/>
              <w:ind w:right="200"/>
              <w:spacing w:after="0" w:line="143"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220"/>
              <w:spacing w:after="0" w:line="143" w:lineRule="exact"/>
              <w:rPr>
                <w:sz w:val="20"/>
                <w:szCs w:val="20"/>
                <w:color w:val="auto"/>
              </w:rPr>
            </w:pPr>
            <w:r>
              <w:rPr>
                <w:rFonts w:ascii="Arial" w:cs="Arial" w:eastAsia="Arial" w:hAnsi="Arial"/>
                <w:sz w:val="14"/>
                <w:szCs w:val="14"/>
                <w:color w:val="auto"/>
              </w:rPr>
              <w:t>75,944</w:t>
            </w:r>
          </w:p>
        </w:tc>
        <w:tc>
          <w:tcPr>
            <w:tcW w:w="860" w:type="dxa"/>
            <w:vAlign w:val="bottom"/>
            <w:gridSpan w:val="2"/>
            <w:shd w:val="clear" w:color="auto" w:fill="CCEEFF"/>
          </w:tcPr>
          <w:p>
            <w:pPr>
              <w:jc w:val="right"/>
              <w:ind w:right="200"/>
              <w:spacing w:after="0" w:line="143"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200"/>
              <w:spacing w:after="0" w:line="143" w:lineRule="exact"/>
              <w:rPr>
                <w:sz w:val="20"/>
                <w:szCs w:val="20"/>
                <w:color w:val="auto"/>
              </w:rPr>
            </w:pPr>
            <w:r>
              <w:rPr>
                <w:rFonts w:ascii="Arial" w:cs="Arial" w:eastAsia="Arial" w:hAnsi="Arial"/>
                <w:sz w:val="14"/>
                <w:szCs w:val="14"/>
                <w:color w:val="auto"/>
              </w:rPr>
              <w:t>108,241</w:t>
            </w:r>
          </w:p>
        </w:tc>
        <w:tc>
          <w:tcPr>
            <w:tcW w:w="880" w:type="dxa"/>
            <w:vAlign w:val="bottom"/>
            <w:gridSpan w:val="2"/>
            <w:shd w:val="clear" w:color="auto" w:fill="CCEEFF"/>
          </w:tcPr>
          <w:p>
            <w:pPr>
              <w:jc w:val="right"/>
              <w:ind w:right="220"/>
              <w:spacing w:after="0" w:line="143"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20"/>
              <w:spacing w:after="0" w:line="143" w:lineRule="exact"/>
              <w:rPr>
                <w:sz w:val="20"/>
                <w:szCs w:val="20"/>
                <w:color w:val="auto"/>
              </w:rPr>
            </w:pPr>
            <w:r>
              <w:rPr>
                <w:rFonts w:ascii="Arial" w:cs="Arial" w:eastAsia="Arial" w:hAnsi="Arial"/>
                <w:sz w:val="14"/>
                <w:szCs w:val="14"/>
                <w:color w:val="auto"/>
              </w:rPr>
              <w:t>108,241</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3440" w:type="dxa"/>
            <w:vAlign w:val="bottom"/>
          </w:tcPr>
          <w:p>
            <w:pPr>
              <w:spacing w:after="0" w:line="143" w:lineRule="exact"/>
              <w:rPr>
                <w:sz w:val="20"/>
                <w:szCs w:val="20"/>
                <w:color w:val="auto"/>
              </w:rPr>
            </w:pPr>
            <w:r>
              <w:rPr>
                <w:rFonts w:ascii="Arial" w:cs="Arial" w:eastAsia="Arial" w:hAnsi="Arial"/>
                <w:sz w:val="14"/>
                <w:szCs w:val="14"/>
                <w:color w:val="auto"/>
              </w:rPr>
              <w:t>Currency swaps</w:t>
            </w: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jc w:val="right"/>
              <w:ind w:right="220"/>
              <w:spacing w:after="0" w:line="143" w:lineRule="exact"/>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20"/>
              <w:spacing w:after="0" w:line="143" w:lineRule="exact"/>
              <w:rPr>
                <w:sz w:val="20"/>
                <w:szCs w:val="20"/>
                <w:color w:val="auto"/>
              </w:rPr>
            </w:pPr>
            <w:r>
              <w:rPr>
                <w:rFonts w:ascii="Arial" w:cs="Arial" w:eastAsia="Arial" w:hAnsi="Arial"/>
                <w:sz w:val="14"/>
                <w:szCs w:val="14"/>
                <w:color w:val="auto"/>
              </w:rPr>
              <w:t>332,376</w:t>
            </w:r>
          </w:p>
        </w:tc>
        <w:tc>
          <w:tcPr>
            <w:tcW w:w="860" w:type="dxa"/>
            <w:vAlign w:val="bottom"/>
            <w:gridSpan w:val="2"/>
          </w:tcPr>
          <w:p>
            <w:pPr>
              <w:jc w:val="right"/>
              <w:ind w:right="200"/>
              <w:spacing w:after="0" w:line="143" w:lineRule="exact"/>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20"/>
              <w:spacing w:after="0" w:line="143" w:lineRule="exact"/>
              <w:rPr>
                <w:sz w:val="20"/>
                <w:szCs w:val="20"/>
                <w:color w:val="auto"/>
              </w:rPr>
            </w:pPr>
            <w:r>
              <w:rPr>
                <w:rFonts w:ascii="Arial" w:cs="Arial" w:eastAsia="Arial" w:hAnsi="Arial"/>
                <w:sz w:val="14"/>
                <w:szCs w:val="14"/>
                <w:color w:val="auto"/>
              </w:rPr>
              <w:t>332,376</w:t>
            </w:r>
          </w:p>
        </w:tc>
        <w:tc>
          <w:tcPr>
            <w:tcW w:w="860" w:type="dxa"/>
            <w:vAlign w:val="bottom"/>
            <w:gridSpan w:val="2"/>
          </w:tcPr>
          <w:p>
            <w:pPr>
              <w:jc w:val="right"/>
              <w:ind w:right="200"/>
              <w:spacing w:after="0" w:line="143" w:lineRule="exact"/>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00"/>
              <w:spacing w:after="0" w:line="143" w:lineRule="exact"/>
              <w:rPr>
                <w:sz w:val="20"/>
                <w:szCs w:val="20"/>
                <w:color w:val="auto"/>
              </w:rPr>
            </w:pPr>
            <w:r>
              <w:rPr>
                <w:rFonts w:ascii="Arial" w:cs="Arial" w:eastAsia="Arial" w:hAnsi="Arial"/>
                <w:sz w:val="14"/>
                <w:szCs w:val="14"/>
                <w:color w:val="auto"/>
              </w:rPr>
              <w:t>428,928</w:t>
            </w:r>
          </w:p>
        </w:tc>
        <w:tc>
          <w:tcPr>
            <w:tcW w:w="880" w:type="dxa"/>
            <w:vAlign w:val="bottom"/>
            <w:gridSpan w:val="2"/>
          </w:tcPr>
          <w:p>
            <w:pPr>
              <w:jc w:val="right"/>
              <w:ind w:right="220"/>
              <w:spacing w:after="0" w:line="143"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20"/>
              <w:spacing w:after="0" w:line="143" w:lineRule="exact"/>
              <w:rPr>
                <w:sz w:val="20"/>
                <w:szCs w:val="20"/>
                <w:color w:val="auto"/>
              </w:rPr>
            </w:pPr>
            <w:r>
              <w:rPr>
                <w:rFonts w:ascii="Arial" w:cs="Arial" w:eastAsia="Arial" w:hAnsi="Arial"/>
                <w:sz w:val="14"/>
                <w:szCs w:val="14"/>
                <w:color w:val="auto"/>
              </w:rPr>
              <w:t>428,928</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3440" w:type="dxa"/>
            <w:vAlign w:val="bottom"/>
            <w:shd w:val="clear" w:color="auto" w:fill="CCEEFF"/>
          </w:tcPr>
          <w:p>
            <w:pPr>
              <w:spacing w:after="0" w:line="156" w:lineRule="exact"/>
              <w:rPr>
                <w:sz w:val="20"/>
                <w:szCs w:val="20"/>
                <w:color w:val="auto"/>
              </w:rPr>
            </w:pPr>
            <w:r>
              <w:rPr>
                <w:rFonts w:ascii="Arial" w:cs="Arial" w:eastAsia="Arial" w:hAnsi="Arial"/>
                <w:sz w:val="14"/>
                <w:szCs w:val="14"/>
                <w:color w:val="auto"/>
              </w:rPr>
              <w:t>Foreign exchange options</w:t>
            </w:r>
          </w:p>
        </w:tc>
        <w:tc>
          <w:tcPr>
            <w:tcW w:w="6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220"/>
              <w:spacing w:after="0" w:line="156"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220"/>
              <w:spacing w:after="0" w:line="156" w:lineRule="exact"/>
              <w:rPr>
                <w:sz w:val="20"/>
                <w:szCs w:val="20"/>
                <w:color w:val="auto"/>
              </w:rPr>
            </w:pPr>
            <w:r>
              <w:rPr>
                <w:rFonts w:ascii="Arial" w:cs="Arial" w:eastAsia="Arial" w:hAnsi="Arial"/>
                <w:sz w:val="14"/>
                <w:szCs w:val="14"/>
                <w:color w:val="auto"/>
              </w:rPr>
              <w:t>2,692</w:t>
            </w:r>
          </w:p>
        </w:tc>
        <w:tc>
          <w:tcPr>
            <w:tcW w:w="860" w:type="dxa"/>
            <w:vAlign w:val="bottom"/>
            <w:gridSpan w:val="2"/>
            <w:shd w:val="clear" w:color="auto" w:fill="CCEEFF"/>
          </w:tcPr>
          <w:p>
            <w:pPr>
              <w:jc w:val="right"/>
              <w:ind w:right="200"/>
              <w:spacing w:after="0" w:line="156"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220"/>
              <w:spacing w:after="0" w:line="156" w:lineRule="exact"/>
              <w:rPr>
                <w:sz w:val="20"/>
                <w:szCs w:val="20"/>
                <w:color w:val="auto"/>
              </w:rPr>
            </w:pPr>
            <w:r>
              <w:rPr>
                <w:rFonts w:ascii="Arial" w:cs="Arial" w:eastAsia="Arial" w:hAnsi="Arial"/>
                <w:sz w:val="14"/>
                <w:szCs w:val="14"/>
                <w:color w:val="auto"/>
              </w:rPr>
              <w:t>2,692</w:t>
            </w:r>
          </w:p>
        </w:tc>
        <w:tc>
          <w:tcPr>
            <w:tcW w:w="860" w:type="dxa"/>
            <w:vAlign w:val="bottom"/>
            <w:gridSpan w:val="2"/>
            <w:shd w:val="clear" w:color="auto" w:fill="CCEEFF"/>
          </w:tcPr>
          <w:p>
            <w:pPr>
              <w:jc w:val="right"/>
              <w:ind w:right="200"/>
              <w:spacing w:after="0" w:line="156"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200"/>
              <w:spacing w:after="0" w:line="156" w:lineRule="exact"/>
              <w:rPr>
                <w:sz w:val="20"/>
                <w:szCs w:val="20"/>
                <w:color w:val="auto"/>
              </w:rPr>
            </w:pPr>
            <w:r>
              <w:rPr>
                <w:rFonts w:ascii="Arial" w:cs="Arial" w:eastAsia="Arial" w:hAnsi="Arial"/>
                <w:sz w:val="14"/>
                <w:szCs w:val="14"/>
                <w:color w:val="auto"/>
              </w:rPr>
              <w:t>21,490</w:t>
            </w:r>
          </w:p>
        </w:tc>
        <w:tc>
          <w:tcPr>
            <w:tcW w:w="880" w:type="dxa"/>
            <w:vAlign w:val="bottom"/>
            <w:gridSpan w:val="2"/>
            <w:shd w:val="clear" w:color="auto" w:fill="CCEEFF"/>
          </w:tcPr>
          <w:p>
            <w:pPr>
              <w:jc w:val="right"/>
              <w:ind w:right="220"/>
              <w:spacing w:after="0" w:line="156"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20"/>
              <w:spacing w:after="0" w:line="156" w:lineRule="exact"/>
              <w:rPr>
                <w:sz w:val="20"/>
                <w:szCs w:val="20"/>
                <w:color w:val="auto"/>
              </w:rPr>
            </w:pPr>
            <w:r>
              <w:rPr>
                <w:rFonts w:ascii="Arial" w:cs="Arial" w:eastAsia="Arial" w:hAnsi="Arial"/>
                <w:sz w:val="14"/>
                <w:szCs w:val="14"/>
                <w:color w:val="auto"/>
              </w:rPr>
              <w:t>21,490</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6"/>
        </w:trPr>
        <w:tc>
          <w:tcPr>
            <w:tcW w:w="3440" w:type="dxa"/>
            <w:vAlign w:val="bottom"/>
          </w:tcPr>
          <w:p>
            <w:pPr>
              <w:spacing w:after="0"/>
              <w:rPr>
                <w:sz w:val="11"/>
                <w:szCs w:val="11"/>
                <w:color w:val="auto"/>
              </w:rPr>
            </w:pPr>
          </w:p>
        </w:tc>
        <w:tc>
          <w:tcPr>
            <w:tcW w:w="800" w:type="dxa"/>
            <w:vAlign w:val="bottom"/>
            <w:gridSpan w:val="2"/>
          </w:tcPr>
          <w:p>
            <w:pPr>
              <w:jc w:val="center"/>
              <w:ind w:right="140"/>
              <w:spacing w:after="0" w:line="136" w:lineRule="exact"/>
              <w:rPr>
                <w:sz w:val="20"/>
                <w:szCs w:val="20"/>
                <w:color w:val="auto"/>
              </w:rPr>
            </w:pPr>
            <w:r>
              <w:rPr>
                <w:rFonts w:ascii="Arial" w:cs="Arial" w:eastAsia="Arial" w:hAnsi="Arial"/>
                <w:sz w:val="14"/>
                <w:szCs w:val="14"/>
                <w:color w:val="auto"/>
                <w:w w:val="91"/>
              </w:rPr>
              <w:t>12(b)</w:t>
            </w:r>
          </w:p>
        </w:tc>
        <w:tc>
          <w:tcPr>
            <w:tcW w:w="720" w:type="dxa"/>
            <w:vAlign w:val="bottom"/>
            <w:tcBorders>
              <w:top w:val="single" w:sz="8" w:color="auto"/>
            </w:tcBorders>
          </w:tcPr>
          <w:p>
            <w:pPr>
              <w:jc w:val="right"/>
              <w:spacing w:after="0" w:line="136"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1"/>
                <w:szCs w:val="11"/>
                <w:color w:val="auto"/>
              </w:rPr>
            </w:pPr>
          </w:p>
        </w:tc>
        <w:tc>
          <w:tcPr>
            <w:tcW w:w="720" w:type="dxa"/>
            <w:vAlign w:val="bottom"/>
            <w:tcBorders>
              <w:top w:val="single" w:sz="8" w:color="auto"/>
            </w:tcBorders>
          </w:tcPr>
          <w:p>
            <w:pPr>
              <w:jc w:val="right"/>
              <w:spacing w:after="0" w:line="136" w:lineRule="exact"/>
              <w:rPr>
                <w:sz w:val="20"/>
                <w:szCs w:val="20"/>
                <w:color w:val="auto"/>
              </w:rPr>
            </w:pPr>
            <w:r>
              <w:rPr>
                <w:rFonts w:ascii="Arial" w:cs="Arial" w:eastAsia="Arial" w:hAnsi="Arial"/>
                <w:sz w:val="14"/>
                <w:szCs w:val="14"/>
                <w:color w:val="auto"/>
              </w:rPr>
              <w:t>701,826</w:t>
            </w:r>
          </w:p>
        </w:tc>
        <w:tc>
          <w:tcPr>
            <w:tcW w:w="220" w:type="dxa"/>
            <w:vAlign w:val="bottom"/>
          </w:tcPr>
          <w:p>
            <w:pPr>
              <w:spacing w:after="0"/>
              <w:rPr>
                <w:sz w:val="11"/>
                <w:szCs w:val="11"/>
                <w:color w:val="auto"/>
              </w:rPr>
            </w:pPr>
          </w:p>
        </w:tc>
        <w:tc>
          <w:tcPr>
            <w:tcW w:w="660" w:type="dxa"/>
            <w:vAlign w:val="bottom"/>
            <w:tcBorders>
              <w:top w:val="single" w:sz="8" w:color="auto"/>
            </w:tcBorders>
          </w:tcPr>
          <w:p>
            <w:pPr>
              <w:jc w:val="right"/>
              <w:spacing w:after="0" w:line="136"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1"/>
                <w:szCs w:val="11"/>
                <w:color w:val="auto"/>
              </w:rPr>
            </w:pPr>
          </w:p>
        </w:tc>
        <w:tc>
          <w:tcPr>
            <w:tcW w:w="720" w:type="dxa"/>
            <w:vAlign w:val="bottom"/>
            <w:tcBorders>
              <w:top w:val="single" w:sz="8" w:color="auto"/>
            </w:tcBorders>
          </w:tcPr>
          <w:p>
            <w:pPr>
              <w:jc w:val="right"/>
              <w:spacing w:after="0" w:line="136" w:lineRule="exact"/>
              <w:rPr>
                <w:sz w:val="20"/>
                <w:szCs w:val="20"/>
                <w:color w:val="auto"/>
              </w:rPr>
            </w:pPr>
            <w:r>
              <w:rPr>
                <w:rFonts w:ascii="Arial" w:cs="Arial" w:eastAsia="Arial" w:hAnsi="Arial"/>
                <w:sz w:val="14"/>
                <w:szCs w:val="14"/>
                <w:color w:val="auto"/>
              </w:rPr>
              <w:t>701,826</w:t>
            </w:r>
          </w:p>
        </w:tc>
        <w:tc>
          <w:tcPr>
            <w:tcW w:w="220" w:type="dxa"/>
            <w:vAlign w:val="bottom"/>
          </w:tcPr>
          <w:p>
            <w:pPr>
              <w:spacing w:after="0"/>
              <w:rPr>
                <w:sz w:val="11"/>
                <w:szCs w:val="11"/>
                <w:color w:val="auto"/>
              </w:rPr>
            </w:pPr>
          </w:p>
        </w:tc>
        <w:tc>
          <w:tcPr>
            <w:tcW w:w="660" w:type="dxa"/>
            <w:vAlign w:val="bottom"/>
            <w:tcBorders>
              <w:top w:val="single" w:sz="8" w:color="auto"/>
            </w:tcBorders>
          </w:tcPr>
          <w:p>
            <w:pPr>
              <w:jc w:val="right"/>
              <w:spacing w:after="0" w:line="136"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1"/>
                <w:szCs w:val="11"/>
                <w:color w:val="auto"/>
              </w:rPr>
            </w:pPr>
          </w:p>
        </w:tc>
        <w:tc>
          <w:tcPr>
            <w:tcW w:w="740" w:type="dxa"/>
            <w:vAlign w:val="bottom"/>
            <w:tcBorders>
              <w:top w:val="single" w:sz="8" w:color="auto"/>
            </w:tcBorders>
          </w:tcPr>
          <w:p>
            <w:pPr>
              <w:jc w:val="right"/>
              <w:spacing w:after="0" w:line="136" w:lineRule="exact"/>
              <w:rPr>
                <w:sz w:val="20"/>
                <w:szCs w:val="20"/>
                <w:color w:val="auto"/>
              </w:rPr>
            </w:pPr>
            <w:r>
              <w:rPr>
                <w:rFonts w:ascii="Arial" w:cs="Arial" w:eastAsia="Arial" w:hAnsi="Arial"/>
                <w:sz w:val="14"/>
                <w:szCs w:val="14"/>
                <w:color w:val="auto"/>
              </w:rPr>
              <w:t>942,602</w:t>
            </w:r>
          </w:p>
        </w:tc>
        <w:tc>
          <w:tcPr>
            <w:tcW w:w="200" w:type="dxa"/>
            <w:vAlign w:val="bottom"/>
          </w:tcPr>
          <w:p>
            <w:pPr>
              <w:spacing w:after="0"/>
              <w:rPr>
                <w:sz w:val="11"/>
                <w:szCs w:val="11"/>
                <w:color w:val="auto"/>
              </w:rPr>
            </w:pPr>
          </w:p>
        </w:tc>
        <w:tc>
          <w:tcPr>
            <w:tcW w:w="660" w:type="dxa"/>
            <w:vAlign w:val="bottom"/>
            <w:tcBorders>
              <w:top w:val="single" w:sz="8" w:color="auto"/>
            </w:tcBorders>
          </w:tcPr>
          <w:p>
            <w:pPr>
              <w:jc w:val="right"/>
              <w:spacing w:after="0" w:line="136"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1"/>
                <w:szCs w:val="11"/>
                <w:color w:val="auto"/>
              </w:rPr>
            </w:pPr>
          </w:p>
        </w:tc>
        <w:tc>
          <w:tcPr>
            <w:tcW w:w="720" w:type="dxa"/>
            <w:vAlign w:val="bottom"/>
            <w:tcBorders>
              <w:top w:val="single" w:sz="8" w:color="auto"/>
            </w:tcBorders>
          </w:tcPr>
          <w:p>
            <w:pPr>
              <w:jc w:val="right"/>
              <w:spacing w:after="0" w:line="136" w:lineRule="exact"/>
              <w:rPr>
                <w:sz w:val="20"/>
                <w:szCs w:val="20"/>
                <w:color w:val="auto"/>
              </w:rPr>
            </w:pPr>
            <w:r>
              <w:rPr>
                <w:rFonts w:ascii="Arial" w:cs="Arial" w:eastAsia="Arial" w:hAnsi="Arial"/>
                <w:sz w:val="14"/>
                <w:szCs w:val="14"/>
                <w:color w:val="auto"/>
              </w:rPr>
              <w:t>942,602</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34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3440" w:type="dxa"/>
            <w:vAlign w:val="bottom"/>
          </w:tcPr>
          <w:p>
            <w:pPr>
              <w:spacing w:after="0" w:line="143" w:lineRule="exact"/>
              <w:rPr>
                <w:sz w:val="20"/>
                <w:szCs w:val="20"/>
                <w:color w:val="auto"/>
              </w:rPr>
            </w:pPr>
            <w:r>
              <w:rPr>
                <w:rFonts w:ascii="Arial" w:cs="Arial" w:eastAsia="Arial" w:hAnsi="Arial"/>
                <w:sz w:val="14"/>
                <w:szCs w:val="14"/>
                <w:color w:val="auto"/>
              </w:rPr>
              <w:t>Trading securities</w:t>
            </w: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jc w:val="right"/>
              <w:ind w:right="220"/>
              <w:spacing w:after="0" w:line="143" w:lineRule="exact"/>
              <w:rPr>
                <w:sz w:val="20"/>
                <w:szCs w:val="20"/>
                <w:color w:val="auto"/>
              </w:rPr>
            </w:pPr>
            <w:r>
              <w:rPr>
                <w:rFonts w:ascii="Arial" w:cs="Arial" w:eastAsia="Arial" w:hAnsi="Arial"/>
                <w:sz w:val="14"/>
                <w:szCs w:val="14"/>
                <w:color w:val="auto"/>
              </w:rPr>
              <w:t>1,611,952</w:t>
            </w:r>
          </w:p>
        </w:tc>
        <w:tc>
          <w:tcPr>
            <w:tcW w:w="940" w:type="dxa"/>
            <w:vAlign w:val="bottom"/>
            <w:gridSpan w:val="2"/>
          </w:tcPr>
          <w:p>
            <w:pPr>
              <w:jc w:val="right"/>
              <w:ind w:right="220"/>
              <w:spacing w:after="0" w:line="143" w:lineRule="exact"/>
              <w:rPr>
                <w:sz w:val="20"/>
                <w:szCs w:val="20"/>
                <w:color w:val="auto"/>
              </w:rPr>
            </w:pPr>
            <w:r>
              <w:rPr>
                <w:rFonts w:ascii="Arial" w:cs="Arial" w:eastAsia="Arial" w:hAnsi="Arial"/>
                <w:sz w:val="14"/>
                <w:szCs w:val="14"/>
                <w:color w:val="auto"/>
              </w:rPr>
              <w:t>2,410,315</w:t>
            </w:r>
          </w:p>
        </w:tc>
        <w:tc>
          <w:tcPr>
            <w:tcW w:w="860" w:type="dxa"/>
            <w:vAlign w:val="bottom"/>
            <w:gridSpan w:val="2"/>
          </w:tcPr>
          <w:p>
            <w:pPr>
              <w:jc w:val="right"/>
              <w:ind w:right="200"/>
              <w:spacing w:after="0" w:line="143" w:lineRule="exact"/>
              <w:rPr>
                <w:sz w:val="20"/>
                <w:szCs w:val="20"/>
                <w:color w:val="auto"/>
              </w:rPr>
            </w:pPr>
            <w:r>
              <w:rPr>
                <w:rFonts w:ascii="Arial" w:cs="Arial" w:eastAsia="Arial" w:hAnsi="Arial"/>
                <w:sz w:val="14"/>
                <w:szCs w:val="14"/>
                <w:color w:val="auto"/>
              </w:rPr>
              <w:t>2,470</w:t>
            </w:r>
          </w:p>
        </w:tc>
        <w:tc>
          <w:tcPr>
            <w:tcW w:w="940" w:type="dxa"/>
            <w:vAlign w:val="bottom"/>
            <w:gridSpan w:val="2"/>
          </w:tcPr>
          <w:p>
            <w:pPr>
              <w:jc w:val="right"/>
              <w:ind w:right="220"/>
              <w:spacing w:after="0" w:line="143" w:lineRule="exact"/>
              <w:rPr>
                <w:sz w:val="20"/>
                <w:szCs w:val="20"/>
                <w:color w:val="auto"/>
              </w:rPr>
            </w:pPr>
            <w:r>
              <w:rPr>
                <w:rFonts w:ascii="Arial" w:cs="Arial" w:eastAsia="Arial" w:hAnsi="Arial"/>
                <w:sz w:val="14"/>
                <w:szCs w:val="14"/>
                <w:color w:val="auto"/>
              </w:rPr>
              <w:t>4,024,737</w:t>
            </w:r>
          </w:p>
        </w:tc>
        <w:tc>
          <w:tcPr>
            <w:tcW w:w="860" w:type="dxa"/>
            <w:vAlign w:val="bottom"/>
            <w:gridSpan w:val="2"/>
          </w:tcPr>
          <w:p>
            <w:pPr>
              <w:jc w:val="right"/>
              <w:ind w:right="200"/>
              <w:spacing w:after="0" w:line="143" w:lineRule="exact"/>
              <w:rPr>
                <w:sz w:val="20"/>
                <w:szCs w:val="20"/>
                <w:color w:val="auto"/>
              </w:rPr>
            </w:pPr>
            <w:r>
              <w:rPr>
                <w:rFonts w:ascii="Arial" w:cs="Arial" w:eastAsia="Arial" w:hAnsi="Arial"/>
                <w:sz w:val="14"/>
                <w:szCs w:val="14"/>
                <w:color w:val="auto"/>
              </w:rPr>
              <w:t>843,939</w:t>
            </w:r>
          </w:p>
        </w:tc>
        <w:tc>
          <w:tcPr>
            <w:tcW w:w="740" w:type="dxa"/>
            <w:vAlign w:val="bottom"/>
          </w:tcPr>
          <w:p>
            <w:pPr>
              <w:jc w:val="right"/>
              <w:spacing w:after="0" w:line="143" w:lineRule="exact"/>
              <w:rPr>
                <w:sz w:val="20"/>
                <w:szCs w:val="20"/>
                <w:color w:val="auto"/>
              </w:rPr>
            </w:pPr>
            <w:r>
              <w:rPr>
                <w:rFonts w:ascii="Arial" w:cs="Arial" w:eastAsia="Arial" w:hAnsi="Arial"/>
                <w:sz w:val="14"/>
                <w:szCs w:val="14"/>
                <w:color w:val="auto"/>
              </w:rPr>
              <w:t>3,162,322</w:t>
            </w:r>
          </w:p>
        </w:tc>
        <w:tc>
          <w:tcPr>
            <w:tcW w:w="200" w:type="dxa"/>
            <w:vAlign w:val="bottom"/>
          </w:tcPr>
          <w:p>
            <w:pPr>
              <w:spacing w:after="0"/>
              <w:rPr>
                <w:sz w:val="12"/>
                <w:szCs w:val="12"/>
                <w:color w:val="auto"/>
              </w:rPr>
            </w:pPr>
          </w:p>
        </w:tc>
        <w:tc>
          <w:tcPr>
            <w:tcW w:w="880" w:type="dxa"/>
            <w:vAlign w:val="bottom"/>
            <w:gridSpan w:val="2"/>
          </w:tcPr>
          <w:p>
            <w:pPr>
              <w:jc w:val="right"/>
              <w:ind w:right="220"/>
              <w:spacing w:after="0" w:line="143" w:lineRule="exact"/>
              <w:rPr>
                <w:sz w:val="20"/>
                <w:szCs w:val="20"/>
                <w:color w:val="auto"/>
              </w:rPr>
            </w:pPr>
            <w:r>
              <w:rPr>
                <w:rFonts w:ascii="Arial" w:cs="Arial" w:eastAsia="Arial" w:hAnsi="Arial"/>
                <w:sz w:val="14"/>
                <w:szCs w:val="14"/>
                <w:color w:val="auto"/>
              </w:rPr>
              <w:t>8,758</w:t>
            </w:r>
          </w:p>
        </w:tc>
        <w:tc>
          <w:tcPr>
            <w:tcW w:w="740" w:type="dxa"/>
            <w:vAlign w:val="bottom"/>
            <w:gridSpan w:val="2"/>
          </w:tcPr>
          <w:p>
            <w:pPr>
              <w:jc w:val="right"/>
              <w:ind w:right="20"/>
              <w:spacing w:after="0" w:line="143" w:lineRule="exact"/>
              <w:rPr>
                <w:sz w:val="20"/>
                <w:szCs w:val="20"/>
                <w:color w:val="auto"/>
              </w:rPr>
            </w:pPr>
            <w:r>
              <w:rPr>
                <w:rFonts w:ascii="Arial" w:cs="Arial" w:eastAsia="Arial" w:hAnsi="Arial"/>
                <w:sz w:val="14"/>
                <w:szCs w:val="14"/>
                <w:color w:val="auto"/>
              </w:rPr>
              <w:t>4,015,019</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344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rPr>
              <w:t>Financial assets at fair value through profit or loss</w:t>
            </w:r>
          </w:p>
        </w:tc>
        <w:tc>
          <w:tcPr>
            <w:tcW w:w="680" w:type="dxa"/>
            <w:vAlign w:val="bottom"/>
            <w:shd w:val="clear" w:color="auto" w:fill="CCEEFF"/>
          </w:tcPr>
          <w:p>
            <w:pPr>
              <w:jc w:val="center"/>
              <w:spacing w:after="0" w:line="143" w:lineRule="exact"/>
              <w:rPr>
                <w:sz w:val="20"/>
                <w:szCs w:val="20"/>
                <w:color w:val="auto"/>
              </w:rPr>
            </w:pPr>
            <w:r>
              <w:rPr>
                <w:rFonts w:ascii="Arial" w:cs="Arial" w:eastAsia="Arial" w:hAnsi="Arial"/>
                <w:sz w:val="14"/>
                <w:szCs w:val="14"/>
                <w:color w:val="auto"/>
              </w:rPr>
              <w:t>8</w:t>
            </w:r>
          </w:p>
        </w:tc>
        <w:tc>
          <w:tcPr>
            <w:tcW w:w="12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20"/>
              <w:spacing w:after="0" w:line="143" w:lineRule="exact"/>
              <w:rPr>
                <w:sz w:val="20"/>
                <w:szCs w:val="20"/>
                <w:color w:val="auto"/>
              </w:rPr>
            </w:pPr>
            <w:r>
              <w:rPr>
                <w:rFonts w:ascii="Arial" w:cs="Arial" w:eastAsia="Arial" w:hAnsi="Arial"/>
                <w:sz w:val="14"/>
                <w:szCs w:val="14"/>
                <w:color w:val="auto"/>
              </w:rPr>
              <w:t>484,930</w:t>
            </w:r>
          </w:p>
        </w:tc>
        <w:tc>
          <w:tcPr>
            <w:tcW w:w="940" w:type="dxa"/>
            <w:vAlign w:val="bottom"/>
            <w:gridSpan w:val="2"/>
            <w:shd w:val="clear" w:color="auto" w:fill="CCEEFF"/>
          </w:tcPr>
          <w:p>
            <w:pPr>
              <w:jc w:val="right"/>
              <w:ind w:right="220"/>
              <w:spacing w:after="0" w:line="143" w:lineRule="exact"/>
              <w:rPr>
                <w:sz w:val="20"/>
                <w:szCs w:val="20"/>
                <w:color w:val="auto"/>
              </w:rPr>
            </w:pPr>
            <w:r>
              <w:rPr>
                <w:rFonts w:ascii="Arial" w:cs="Arial" w:eastAsia="Arial" w:hAnsi="Arial"/>
                <w:sz w:val="14"/>
                <w:szCs w:val="14"/>
                <w:color w:val="auto"/>
              </w:rPr>
              <w:t>52,755</w:t>
            </w:r>
          </w:p>
        </w:tc>
        <w:tc>
          <w:tcPr>
            <w:tcW w:w="860" w:type="dxa"/>
            <w:vAlign w:val="bottom"/>
            <w:gridSpan w:val="2"/>
            <w:shd w:val="clear" w:color="auto" w:fill="CCEEFF"/>
          </w:tcPr>
          <w:p>
            <w:pPr>
              <w:jc w:val="right"/>
              <w:ind w:right="200"/>
              <w:spacing w:after="0" w:line="143"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220"/>
              <w:spacing w:after="0" w:line="143" w:lineRule="exact"/>
              <w:rPr>
                <w:sz w:val="20"/>
                <w:szCs w:val="20"/>
                <w:color w:val="auto"/>
              </w:rPr>
            </w:pPr>
            <w:r>
              <w:rPr>
                <w:rFonts w:ascii="Arial" w:cs="Arial" w:eastAsia="Arial" w:hAnsi="Arial"/>
                <w:sz w:val="14"/>
                <w:szCs w:val="14"/>
                <w:color w:val="auto"/>
              </w:rPr>
              <w:t>537,685</w:t>
            </w:r>
          </w:p>
        </w:tc>
        <w:tc>
          <w:tcPr>
            <w:tcW w:w="860" w:type="dxa"/>
            <w:vAlign w:val="bottom"/>
            <w:gridSpan w:val="2"/>
            <w:shd w:val="clear" w:color="auto" w:fill="CCEEFF"/>
          </w:tcPr>
          <w:p>
            <w:pPr>
              <w:jc w:val="right"/>
              <w:ind w:right="200"/>
              <w:spacing w:after="0" w:line="143" w:lineRule="exact"/>
              <w:rPr>
                <w:sz w:val="20"/>
                <w:szCs w:val="20"/>
                <w:color w:val="auto"/>
              </w:rPr>
            </w:pPr>
            <w:r>
              <w:rPr>
                <w:rFonts w:ascii="Arial" w:cs="Arial" w:eastAsia="Arial" w:hAnsi="Arial"/>
                <w:sz w:val="14"/>
                <w:szCs w:val="14"/>
                <w:color w:val="auto"/>
              </w:rPr>
              <w:t>377,552</w:t>
            </w:r>
          </w:p>
        </w:tc>
        <w:tc>
          <w:tcPr>
            <w:tcW w:w="940" w:type="dxa"/>
            <w:vAlign w:val="bottom"/>
            <w:gridSpan w:val="2"/>
            <w:shd w:val="clear" w:color="auto" w:fill="CCEEFF"/>
          </w:tcPr>
          <w:p>
            <w:pPr>
              <w:jc w:val="right"/>
              <w:ind w:right="200"/>
              <w:spacing w:after="0" w:line="143" w:lineRule="exact"/>
              <w:rPr>
                <w:sz w:val="20"/>
                <w:szCs w:val="20"/>
                <w:color w:val="auto"/>
              </w:rPr>
            </w:pPr>
            <w:r>
              <w:rPr>
                <w:rFonts w:ascii="Arial" w:cs="Arial" w:eastAsia="Arial" w:hAnsi="Arial"/>
                <w:sz w:val="14"/>
                <w:szCs w:val="14"/>
                <w:color w:val="auto"/>
              </w:rPr>
              <w:t>79,988</w:t>
            </w:r>
          </w:p>
        </w:tc>
        <w:tc>
          <w:tcPr>
            <w:tcW w:w="880" w:type="dxa"/>
            <w:vAlign w:val="bottom"/>
            <w:gridSpan w:val="2"/>
            <w:shd w:val="clear" w:color="auto" w:fill="CCEEFF"/>
          </w:tcPr>
          <w:p>
            <w:pPr>
              <w:jc w:val="right"/>
              <w:ind w:right="220"/>
              <w:spacing w:after="0" w:line="143" w:lineRule="exact"/>
              <w:rPr>
                <w:sz w:val="20"/>
                <w:szCs w:val="20"/>
                <w:color w:val="auto"/>
              </w:rPr>
            </w:pPr>
            <w:r>
              <w:rPr>
                <w:rFonts w:ascii="Arial" w:cs="Arial" w:eastAsia="Arial" w:hAnsi="Arial"/>
                <w:sz w:val="14"/>
                <w:szCs w:val="14"/>
                <w:color w:val="auto"/>
              </w:rPr>
              <w:t>1,559</w:t>
            </w:r>
          </w:p>
        </w:tc>
        <w:tc>
          <w:tcPr>
            <w:tcW w:w="740" w:type="dxa"/>
            <w:vAlign w:val="bottom"/>
            <w:gridSpan w:val="2"/>
            <w:shd w:val="clear" w:color="auto" w:fill="CCEEFF"/>
          </w:tcPr>
          <w:p>
            <w:pPr>
              <w:jc w:val="right"/>
              <w:ind w:right="20"/>
              <w:spacing w:after="0" w:line="143" w:lineRule="exact"/>
              <w:rPr>
                <w:sz w:val="20"/>
                <w:szCs w:val="20"/>
                <w:color w:val="auto"/>
              </w:rPr>
            </w:pPr>
            <w:r>
              <w:rPr>
                <w:rFonts w:ascii="Arial" w:cs="Arial" w:eastAsia="Arial" w:hAnsi="Arial"/>
                <w:sz w:val="14"/>
                <w:szCs w:val="14"/>
                <w:color w:val="auto"/>
              </w:rPr>
              <w:t>459,099</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34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3440" w:type="dxa"/>
            <w:vAlign w:val="bottom"/>
            <w:shd w:val="clear" w:color="auto" w:fill="CCEEFF"/>
          </w:tcPr>
          <w:p>
            <w:pPr>
              <w:spacing w:after="0" w:line="143" w:lineRule="exact"/>
              <w:rPr>
                <w:sz w:val="20"/>
                <w:szCs w:val="20"/>
                <w:color w:val="auto"/>
              </w:rPr>
            </w:pPr>
            <w:r>
              <w:rPr>
                <w:rFonts w:ascii="Arial" w:cs="Arial" w:eastAsia="Arial" w:hAnsi="Arial"/>
                <w:sz w:val="14"/>
                <w:szCs w:val="14"/>
                <w:b w:val="1"/>
                <w:bCs w:val="1"/>
                <w:color w:val="auto"/>
              </w:rPr>
              <w:t>Available-for-sale investments:</w:t>
            </w: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3440" w:type="dxa"/>
            <w:vAlign w:val="bottom"/>
          </w:tcPr>
          <w:p>
            <w:pPr>
              <w:spacing w:after="0" w:line="143" w:lineRule="exact"/>
              <w:rPr>
                <w:sz w:val="20"/>
                <w:szCs w:val="20"/>
                <w:color w:val="auto"/>
              </w:rPr>
            </w:pPr>
            <w:r>
              <w:rPr>
                <w:rFonts w:ascii="Arial" w:cs="Arial" w:eastAsia="Arial" w:hAnsi="Arial"/>
                <w:sz w:val="14"/>
                <w:szCs w:val="14"/>
                <w:color w:val="auto"/>
              </w:rPr>
              <w:t>Debt instruments</w:t>
            </w: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344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rPr>
              <w:t>Certificates of deposit BCRP</w:t>
            </w: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20"/>
              <w:spacing w:after="0" w:line="143"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220"/>
              <w:spacing w:after="0" w:line="143" w:lineRule="exact"/>
              <w:rPr>
                <w:sz w:val="20"/>
                <w:szCs w:val="20"/>
                <w:color w:val="auto"/>
              </w:rPr>
            </w:pPr>
            <w:r>
              <w:rPr>
                <w:rFonts w:ascii="Arial" w:cs="Arial" w:eastAsia="Arial" w:hAnsi="Arial"/>
                <w:sz w:val="14"/>
                <w:szCs w:val="14"/>
                <w:color w:val="auto"/>
              </w:rPr>
              <w:t>7,923,706</w:t>
            </w:r>
          </w:p>
        </w:tc>
        <w:tc>
          <w:tcPr>
            <w:tcW w:w="860" w:type="dxa"/>
            <w:vAlign w:val="bottom"/>
            <w:gridSpan w:val="2"/>
            <w:shd w:val="clear" w:color="auto" w:fill="CCEEFF"/>
          </w:tcPr>
          <w:p>
            <w:pPr>
              <w:jc w:val="right"/>
              <w:ind w:right="200"/>
              <w:spacing w:after="0" w:line="143"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220"/>
              <w:spacing w:after="0" w:line="143" w:lineRule="exact"/>
              <w:rPr>
                <w:sz w:val="20"/>
                <w:szCs w:val="20"/>
                <w:color w:val="auto"/>
              </w:rPr>
            </w:pPr>
            <w:r>
              <w:rPr>
                <w:rFonts w:ascii="Arial" w:cs="Arial" w:eastAsia="Arial" w:hAnsi="Arial"/>
                <w:sz w:val="14"/>
                <w:szCs w:val="14"/>
                <w:color w:val="auto"/>
              </w:rPr>
              <w:t>7,923,706</w:t>
            </w:r>
          </w:p>
        </w:tc>
        <w:tc>
          <w:tcPr>
            <w:tcW w:w="860" w:type="dxa"/>
            <w:vAlign w:val="bottom"/>
            <w:gridSpan w:val="2"/>
            <w:shd w:val="clear" w:color="auto" w:fill="CCEEFF"/>
          </w:tcPr>
          <w:p>
            <w:pPr>
              <w:jc w:val="right"/>
              <w:ind w:right="200"/>
              <w:spacing w:after="0" w:line="143"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rPr>
              <w:t>4,802,608</w:t>
            </w:r>
          </w:p>
        </w:tc>
        <w:tc>
          <w:tcPr>
            <w:tcW w:w="2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20"/>
              <w:spacing w:after="0" w:line="143"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20"/>
              <w:spacing w:after="0" w:line="143" w:lineRule="exact"/>
              <w:rPr>
                <w:sz w:val="20"/>
                <w:szCs w:val="20"/>
                <w:color w:val="auto"/>
              </w:rPr>
            </w:pPr>
            <w:r>
              <w:rPr>
                <w:rFonts w:ascii="Arial" w:cs="Arial" w:eastAsia="Arial" w:hAnsi="Arial"/>
                <w:sz w:val="14"/>
                <w:szCs w:val="14"/>
                <w:color w:val="auto"/>
              </w:rPr>
              <w:t>4,802,608</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3440" w:type="dxa"/>
            <w:vAlign w:val="bottom"/>
          </w:tcPr>
          <w:p>
            <w:pPr>
              <w:spacing w:after="0" w:line="143" w:lineRule="exact"/>
              <w:rPr>
                <w:sz w:val="20"/>
                <w:szCs w:val="20"/>
                <w:color w:val="auto"/>
              </w:rPr>
            </w:pPr>
            <w:r>
              <w:rPr>
                <w:rFonts w:ascii="Arial" w:cs="Arial" w:eastAsia="Arial" w:hAnsi="Arial"/>
                <w:sz w:val="14"/>
                <w:szCs w:val="14"/>
                <w:color w:val="auto"/>
              </w:rPr>
              <w:t>Corporate bonds, leases and subordinate</w:t>
            </w: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jc w:val="right"/>
              <w:ind w:right="220"/>
              <w:spacing w:after="0" w:line="143" w:lineRule="exact"/>
              <w:rPr>
                <w:sz w:val="20"/>
                <w:szCs w:val="20"/>
                <w:color w:val="auto"/>
              </w:rPr>
            </w:pPr>
            <w:r>
              <w:rPr>
                <w:rFonts w:ascii="Arial" w:cs="Arial" w:eastAsia="Arial" w:hAnsi="Arial"/>
                <w:sz w:val="14"/>
                <w:szCs w:val="14"/>
                <w:color w:val="auto"/>
              </w:rPr>
              <w:t>3,988,785</w:t>
            </w:r>
          </w:p>
        </w:tc>
        <w:tc>
          <w:tcPr>
            <w:tcW w:w="940" w:type="dxa"/>
            <w:vAlign w:val="bottom"/>
            <w:gridSpan w:val="2"/>
          </w:tcPr>
          <w:p>
            <w:pPr>
              <w:jc w:val="right"/>
              <w:ind w:right="220"/>
              <w:spacing w:after="0" w:line="143" w:lineRule="exact"/>
              <w:rPr>
                <w:sz w:val="20"/>
                <w:szCs w:val="20"/>
                <w:color w:val="auto"/>
              </w:rPr>
            </w:pPr>
            <w:r>
              <w:rPr>
                <w:rFonts w:ascii="Arial" w:cs="Arial" w:eastAsia="Arial" w:hAnsi="Arial"/>
                <w:sz w:val="14"/>
                <w:szCs w:val="14"/>
                <w:color w:val="auto"/>
              </w:rPr>
              <w:t>4,489,275</w:t>
            </w:r>
          </w:p>
        </w:tc>
        <w:tc>
          <w:tcPr>
            <w:tcW w:w="860" w:type="dxa"/>
            <w:vAlign w:val="bottom"/>
            <w:gridSpan w:val="2"/>
          </w:tcPr>
          <w:p>
            <w:pPr>
              <w:jc w:val="right"/>
              <w:ind w:right="200"/>
              <w:spacing w:after="0" w:line="143" w:lineRule="exact"/>
              <w:rPr>
                <w:sz w:val="20"/>
                <w:szCs w:val="20"/>
                <w:color w:val="auto"/>
              </w:rPr>
            </w:pPr>
            <w:r>
              <w:rPr>
                <w:rFonts w:ascii="Arial" w:cs="Arial" w:eastAsia="Arial" w:hAnsi="Arial"/>
                <w:sz w:val="14"/>
                <w:szCs w:val="14"/>
                <w:color w:val="auto"/>
              </w:rPr>
              <w:t>1,461</w:t>
            </w:r>
          </w:p>
        </w:tc>
        <w:tc>
          <w:tcPr>
            <w:tcW w:w="940" w:type="dxa"/>
            <w:vAlign w:val="bottom"/>
            <w:gridSpan w:val="2"/>
          </w:tcPr>
          <w:p>
            <w:pPr>
              <w:jc w:val="right"/>
              <w:ind w:right="220"/>
              <w:spacing w:after="0" w:line="143" w:lineRule="exact"/>
              <w:rPr>
                <w:sz w:val="20"/>
                <w:szCs w:val="20"/>
                <w:color w:val="auto"/>
              </w:rPr>
            </w:pPr>
            <w:r>
              <w:rPr>
                <w:rFonts w:ascii="Arial" w:cs="Arial" w:eastAsia="Arial" w:hAnsi="Arial"/>
                <w:sz w:val="14"/>
                <w:szCs w:val="14"/>
                <w:color w:val="auto"/>
              </w:rPr>
              <w:t>8,479,521</w:t>
            </w:r>
          </w:p>
        </w:tc>
        <w:tc>
          <w:tcPr>
            <w:tcW w:w="860" w:type="dxa"/>
            <w:vAlign w:val="bottom"/>
            <w:gridSpan w:val="2"/>
          </w:tcPr>
          <w:p>
            <w:pPr>
              <w:jc w:val="right"/>
              <w:ind w:right="200"/>
              <w:spacing w:after="0" w:line="143" w:lineRule="exact"/>
              <w:rPr>
                <w:sz w:val="20"/>
                <w:szCs w:val="20"/>
                <w:color w:val="auto"/>
              </w:rPr>
            </w:pPr>
            <w:r>
              <w:rPr>
                <w:rFonts w:ascii="Arial" w:cs="Arial" w:eastAsia="Arial" w:hAnsi="Arial"/>
                <w:sz w:val="14"/>
                <w:szCs w:val="14"/>
                <w:color w:val="auto"/>
              </w:rPr>
              <w:t>3,830,740</w:t>
            </w:r>
          </w:p>
        </w:tc>
        <w:tc>
          <w:tcPr>
            <w:tcW w:w="740" w:type="dxa"/>
            <w:vAlign w:val="bottom"/>
          </w:tcPr>
          <w:p>
            <w:pPr>
              <w:jc w:val="right"/>
              <w:spacing w:after="0" w:line="143" w:lineRule="exact"/>
              <w:rPr>
                <w:sz w:val="20"/>
                <w:szCs w:val="20"/>
                <w:color w:val="auto"/>
              </w:rPr>
            </w:pPr>
            <w:r>
              <w:rPr>
                <w:rFonts w:ascii="Arial" w:cs="Arial" w:eastAsia="Arial" w:hAnsi="Arial"/>
                <w:sz w:val="14"/>
                <w:szCs w:val="14"/>
                <w:color w:val="auto"/>
              </w:rPr>
              <w:t>4,209,173</w:t>
            </w:r>
          </w:p>
        </w:tc>
        <w:tc>
          <w:tcPr>
            <w:tcW w:w="200" w:type="dxa"/>
            <w:vAlign w:val="bottom"/>
          </w:tcPr>
          <w:p>
            <w:pPr>
              <w:spacing w:after="0"/>
              <w:rPr>
                <w:sz w:val="12"/>
                <w:szCs w:val="12"/>
                <w:color w:val="auto"/>
              </w:rPr>
            </w:pPr>
          </w:p>
        </w:tc>
        <w:tc>
          <w:tcPr>
            <w:tcW w:w="880" w:type="dxa"/>
            <w:vAlign w:val="bottom"/>
            <w:gridSpan w:val="2"/>
          </w:tcPr>
          <w:p>
            <w:pPr>
              <w:jc w:val="right"/>
              <w:ind w:right="220"/>
              <w:spacing w:after="0" w:line="143" w:lineRule="exact"/>
              <w:rPr>
                <w:sz w:val="20"/>
                <w:szCs w:val="20"/>
                <w:color w:val="auto"/>
              </w:rPr>
            </w:pPr>
            <w:r>
              <w:rPr>
                <w:rFonts w:ascii="Arial" w:cs="Arial" w:eastAsia="Arial" w:hAnsi="Arial"/>
                <w:sz w:val="14"/>
                <w:szCs w:val="14"/>
                <w:color w:val="auto"/>
              </w:rPr>
              <w:t>109,493</w:t>
            </w:r>
          </w:p>
        </w:tc>
        <w:tc>
          <w:tcPr>
            <w:tcW w:w="740" w:type="dxa"/>
            <w:vAlign w:val="bottom"/>
            <w:gridSpan w:val="2"/>
          </w:tcPr>
          <w:p>
            <w:pPr>
              <w:jc w:val="right"/>
              <w:ind w:right="20"/>
              <w:spacing w:after="0" w:line="143" w:lineRule="exact"/>
              <w:rPr>
                <w:sz w:val="20"/>
                <w:szCs w:val="20"/>
                <w:color w:val="auto"/>
              </w:rPr>
            </w:pPr>
            <w:r>
              <w:rPr>
                <w:rFonts w:ascii="Arial" w:cs="Arial" w:eastAsia="Arial" w:hAnsi="Arial"/>
                <w:sz w:val="14"/>
                <w:szCs w:val="14"/>
                <w:color w:val="auto"/>
              </w:rPr>
              <w:t>8,149,406</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344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rPr>
              <w:t>Government treasury bonds</w:t>
            </w: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20"/>
              <w:spacing w:after="0" w:line="143" w:lineRule="exact"/>
              <w:rPr>
                <w:sz w:val="20"/>
                <w:szCs w:val="20"/>
                <w:color w:val="auto"/>
              </w:rPr>
            </w:pPr>
            <w:r>
              <w:rPr>
                <w:rFonts w:ascii="Arial" w:cs="Arial" w:eastAsia="Arial" w:hAnsi="Arial"/>
                <w:sz w:val="14"/>
                <w:szCs w:val="14"/>
                <w:color w:val="auto"/>
              </w:rPr>
              <w:t>4,074,302</w:t>
            </w:r>
          </w:p>
        </w:tc>
        <w:tc>
          <w:tcPr>
            <w:tcW w:w="940" w:type="dxa"/>
            <w:vAlign w:val="bottom"/>
            <w:gridSpan w:val="2"/>
            <w:shd w:val="clear" w:color="auto" w:fill="CCEEFF"/>
          </w:tcPr>
          <w:p>
            <w:pPr>
              <w:jc w:val="right"/>
              <w:ind w:right="220"/>
              <w:spacing w:after="0" w:line="143" w:lineRule="exact"/>
              <w:rPr>
                <w:sz w:val="20"/>
                <w:szCs w:val="20"/>
                <w:color w:val="auto"/>
              </w:rPr>
            </w:pPr>
            <w:r>
              <w:rPr>
                <w:rFonts w:ascii="Arial" w:cs="Arial" w:eastAsia="Arial" w:hAnsi="Arial"/>
                <w:sz w:val="14"/>
                <w:szCs w:val="14"/>
                <w:color w:val="auto"/>
              </w:rPr>
              <w:t>658,461</w:t>
            </w:r>
          </w:p>
        </w:tc>
        <w:tc>
          <w:tcPr>
            <w:tcW w:w="860" w:type="dxa"/>
            <w:vAlign w:val="bottom"/>
            <w:gridSpan w:val="2"/>
            <w:shd w:val="clear" w:color="auto" w:fill="CCEEFF"/>
          </w:tcPr>
          <w:p>
            <w:pPr>
              <w:jc w:val="right"/>
              <w:ind w:right="200"/>
              <w:spacing w:after="0" w:line="143"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220"/>
              <w:spacing w:after="0" w:line="143" w:lineRule="exact"/>
              <w:rPr>
                <w:sz w:val="20"/>
                <w:szCs w:val="20"/>
                <w:color w:val="auto"/>
              </w:rPr>
            </w:pPr>
            <w:r>
              <w:rPr>
                <w:rFonts w:ascii="Arial" w:cs="Arial" w:eastAsia="Arial" w:hAnsi="Arial"/>
                <w:sz w:val="14"/>
                <w:szCs w:val="14"/>
                <w:color w:val="auto"/>
              </w:rPr>
              <w:t>4,732,763</w:t>
            </w:r>
          </w:p>
        </w:tc>
        <w:tc>
          <w:tcPr>
            <w:tcW w:w="860" w:type="dxa"/>
            <w:vAlign w:val="bottom"/>
            <w:gridSpan w:val="2"/>
            <w:shd w:val="clear" w:color="auto" w:fill="CCEEFF"/>
          </w:tcPr>
          <w:p>
            <w:pPr>
              <w:jc w:val="right"/>
              <w:ind w:right="200"/>
              <w:spacing w:after="0" w:line="143" w:lineRule="exact"/>
              <w:rPr>
                <w:sz w:val="20"/>
                <w:szCs w:val="20"/>
                <w:color w:val="auto"/>
              </w:rPr>
            </w:pPr>
            <w:r>
              <w:rPr>
                <w:rFonts w:ascii="Arial" w:cs="Arial" w:eastAsia="Arial" w:hAnsi="Arial"/>
                <w:sz w:val="14"/>
                <w:szCs w:val="14"/>
                <w:color w:val="auto"/>
              </w:rPr>
              <w:t>1,688,930</w:t>
            </w:r>
          </w:p>
        </w:tc>
        <w:tc>
          <w:tcPr>
            <w:tcW w:w="940" w:type="dxa"/>
            <w:vAlign w:val="bottom"/>
            <w:gridSpan w:val="2"/>
            <w:shd w:val="clear" w:color="auto" w:fill="CCEEFF"/>
          </w:tcPr>
          <w:p>
            <w:pPr>
              <w:jc w:val="right"/>
              <w:ind w:right="200"/>
              <w:spacing w:after="0" w:line="143" w:lineRule="exact"/>
              <w:rPr>
                <w:sz w:val="20"/>
                <w:szCs w:val="20"/>
                <w:color w:val="auto"/>
              </w:rPr>
            </w:pPr>
            <w:r>
              <w:rPr>
                <w:rFonts w:ascii="Arial" w:cs="Arial" w:eastAsia="Arial" w:hAnsi="Arial"/>
                <w:sz w:val="14"/>
                <w:szCs w:val="14"/>
                <w:color w:val="auto"/>
              </w:rPr>
              <w:t>558,693</w:t>
            </w:r>
          </w:p>
        </w:tc>
        <w:tc>
          <w:tcPr>
            <w:tcW w:w="880" w:type="dxa"/>
            <w:vAlign w:val="bottom"/>
            <w:gridSpan w:val="2"/>
            <w:shd w:val="clear" w:color="auto" w:fill="CCEEFF"/>
          </w:tcPr>
          <w:p>
            <w:pPr>
              <w:jc w:val="right"/>
              <w:ind w:right="220"/>
              <w:spacing w:after="0" w:line="143"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20"/>
              <w:spacing w:after="0" w:line="143" w:lineRule="exact"/>
              <w:rPr>
                <w:sz w:val="20"/>
                <w:szCs w:val="20"/>
                <w:color w:val="auto"/>
              </w:rPr>
            </w:pPr>
            <w:r>
              <w:rPr>
                <w:rFonts w:ascii="Arial" w:cs="Arial" w:eastAsia="Arial" w:hAnsi="Arial"/>
                <w:sz w:val="14"/>
                <w:szCs w:val="14"/>
                <w:color w:val="auto"/>
              </w:rPr>
              <w:t>2,247,623</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3440" w:type="dxa"/>
            <w:vAlign w:val="bottom"/>
          </w:tcPr>
          <w:p>
            <w:pPr>
              <w:spacing w:after="0" w:line="143" w:lineRule="exact"/>
              <w:rPr>
                <w:sz w:val="20"/>
                <w:szCs w:val="20"/>
                <w:color w:val="auto"/>
              </w:rPr>
            </w:pPr>
            <w:r>
              <w:rPr>
                <w:rFonts w:ascii="Arial" w:cs="Arial" w:eastAsia="Arial" w:hAnsi="Arial"/>
                <w:sz w:val="14"/>
                <w:szCs w:val="14"/>
                <w:color w:val="auto"/>
              </w:rPr>
              <w:t>Mutual funds</w:t>
            </w: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jc w:val="right"/>
              <w:ind w:right="220"/>
              <w:spacing w:after="0" w:line="143" w:lineRule="exact"/>
              <w:rPr>
                <w:sz w:val="20"/>
                <w:szCs w:val="20"/>
                <w:color w:val="auto"/>
              </w:rPr>
            </w:pPr>
            <w:r>
              <w:rPr>
                <w:rFonts w:ascii="Arial" w:cs="Arial" w:eastAsia="Arial" w:hAnsi="Arial"/>
                <w:sz w:val="14"/>
                <w:szCs w:val="14"/>
                <w:color w:val="auto"/>
              </w:rPr>
              <w:t>745,546</w:t>
            </w:r>
          </w:p>
        </w:tc>
        <w:tc>
          <w:tcPr>
            <w:tcW w:w="940" w:type="dxa"/>
            <w:vAlign w:val="bottom"/>
            <w:gridSpan w:val="2"/>
          </w:tcPr>
          <w:p>
            <w:pPr>
              <w:jc w:val="right"/>
              <w:ind w:right="220"/>
              <w:spacing w:after="0" w:line="143" w:lineRule="exact"/>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200"/>
              <w:spacing w:after="0" w:line="143" w:lineRule="exact"/>
              <w:rPr>
                <w:sz w:val="20"/>
                <w:szCs w:val="20"/>
                <w:color w:val="auto"/>
              </w:rPr>
            </w:pPr>
            <w:r>
              <w:rPr>
                <w:rFonts w:ascii="Arial" w:cs="Arial" w:eastAsia="Arial" w:hAnsi="Arial"/>
                <w:sz w:val="14"/>
                <w:szCs w:val="14"/>
                <w:color w:val="auto"/>
              </w:rPr>
              <w:t>79,533</w:t>
            </w:r>
          </w:p>
        </w:tc>
        <w:tc>
          <w:tcPr>
            <w:tcW w:w="940" w:type="dxa"/>
            <w:vAlign w:val="bottom"/>
            <w:gridSpan w:val="2"/>
          </w:tcPr>
          <w:p>
            <w:pPr>
              <w:jc w:val="right"/>
              <w:ind w:right="220"/>
              <w:spacing w:after="0" w:line="143" w:lineRule="exact"/>
              <w:rPr>
                <w:sz w:val="20"/>
                <w:szCs w:val="20"/>
                <w:color w:val="auto"/>
              </w:rPr>
            </w:pPr>
            <w:r>
              <w:rPr>
                <w:rFonts w:ascii="Arial" w:cs="Arial" w:eastAsia="Arial" w:hAnsi="Arial"/>
                <w:sz w:val="14"/>
                <w:szCs w:val="14"/>
                <w:color w:val="auto"/>
              </w:rPr>
              <w:t>825,079</w:t>
            </w:r>
          </w:p>
        </w:tc>
        <w:tc>
          <w:tcPr>
            <w:tcW w:w="860" w:type="dxa"/>
            <w:vAlign w:val="bottom"/>
            <w:gridSpan w:val="2"/>
          </w:tcPr>
          <w:p>
            <w:pPr>
              <w:jc w:val="right"/>
              <w:ind w:right="200"/>
              <w:spacing w:after="0" w:line="143" w:lineRule="exact"/>
              <w:rPr>
                <w:sz w:val="20"/>
                <w:szCs w:val="20"/>
                <w:color w:val="auto"/>
              </w:rPr>
            </w:pPr>
            <w:r>
              <w:rPr>
                <w:rFonts w:ascii="Arial" w:cs="Arial" w:eastAsia="Arial" w:hAnsi="Arial"/>
                <w:sz w:val="14"/>
                <w:szCs w:val="14"/>
                <w:color w:val="auto"/>
              </w:rPr>
              <w:t>55,052</w:t>
            </w:r>
          </w:p>
        </w:tc>
        <w:tc>
          <w:tcPr>
            <w:tcW w:w="940" w:type="dxa"/>
            <w:vAlign w:val="bottom"/>
            <w:gridSpan w:val="2"/>
          </w:tcPr>
          <w:p>
            <w:pPr>
              <w:jc w:val="right"/>
              <w:ind w:right="200"/>
              <w:spacing w:after="0" w:line="143" w:lineRule="exact"/>
              <w:rPr>
                <w:sz w:val="20"/>
                <w:szCs w:val="20"/>
                <w:color w:val="auto"/>
              </w:rPr>
            </w:pPr>
            <w:r>
              <w:rPr>
                <w:rFonts w:ascii="Arial" w:cs="Arial" w:eastAsia="Arial" w:hAnsi="Arial"/>
                <w:sz w:val="14"/>
                <w:szCs w:val="14"/>
                <w:color w:val="auto"/>
              </w:rPr>
              <w:t>466,574</w:t>
            </w:r>
          </w:p>
        </w:tc>
        <w:tc>
          <w:tcPr>
            <w:tcW w:w="880" w:type="dxa"/>
            <w:vAlign w:val="bottom"/>
            <w:gridSpan w:val="2"/>
          </w:tcPr>
          <w:p>
            <w:pPr>
              <w:jc w:val="right"/>
              <w:ind w:right="220"/>
              <w:spacing w:after="0" w:line="143" w:lineRule="exact"/>
              <w:rPr>
                <w:sz w:val="20"/>
                <w:szCs w:val="20"/>
                <w:color w:val="auto"/>
              </w:rPr>
            </w:pPr>
            <w:r>
              <w:rPr>
                <w:rFonts w:ascii="Arial" w:cs="Arial" w:eastAsia="Arial" w:hAnsi="Arial"/>
                <w:sz w:val="14"/>
                <w:szCs w:val="14"/>
                <w:color w:val="auto"/>
              </w:rPr>
              <w:t>139,140</w:t>
            </w:r>
          </w:p>
        </w:tc>
        <w:tc>
          <w:tcPr>
            <w:tcW w:w="740" w:type="dxa"/>
            <w:vAlign w:val="bottom"/>
            <w:gridSpan w:val="2"/>
          </w:tcPr>
          <w:p>
            <w:pPr>
              <w:jc w:val="right"/>
              <w:ind w:right="20"/>
              <w:spacing w:after="0" w:line="143" w:lineRule="exact"/>
              <w:rPr>
                <w:sz w:val="20"/>
                <w:szCs w:val="20"/>
                <w:color w:val="auto"/>
              </w:rPr>
            </w:pPr>
            <w:r>
              <w:rPr>
                <w:rFonts w:ascii="Arial" w:cs="Arial" w:eastAsia="Arial" w:hAnsi="Arial"/>
                <w:sz w:val="14"/>
                <w:szCs w:val="14"/>
                <w:color w:val="auto"/>
              </w:rPr>
              <w:t>660,766</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344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rPr>
              <w:t>Other instruments</w:t>
            </w: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20"/>
              <w:spacing w:after="0" w:line="143" w:lineRule="exact"/>
              <w:rPr>
                <w:sz w:val="20"/>
                <w:szCs w:val="20"/>
                <w:color w:val="auto"/>
              </w:rPr>
            </w:pPr>
            <w:r>
              <w:rPr>
                <w:rFonts w:ascii="Arial" w:cs="Arial" w:eastAsia="Arial" w:hAnsi="Arial"/>
                <w:sz w:val="14"/>
                <w:szCs w:val="14"/>
                <w:color w:val="auto"/>
              </w:rPr>
              <w:t>105,787</w:t>
            </w:r>
          </w:p>
        </w:tc>
        <w:tc>
          <w:tcPr>
            <w:tcW w:w="940" w:type="dxa"/>
            <w:vAlign w:val="bottom"/>
            <w:gridSpan w:val="2"/>
            <w:shd w:val="clear" w:color="auto" w:fill="CCEEFF"/>
          </w:tcPr>
          <w:p>
            <w:pPr>
              <w:jc w:val="right"/>
              <w:ind w:right="220"/>
              <w:spacing w:after="0" w:line="143" w:lineRule="exact"/>
              <w:rPr>
                <w:sz w:val="20"/>
                <w:szCs w:val="20"/>
                <w:color w:val="auto"/>
              </w:rPr>
            </w:pPr>
            <w:r>
              <w:rPr>
                <w:rFonts w:ascii="Arial" w:cs="Arial" w:eastAsia="Arial" w:hAnsi="Arial"/>
                <w:sz w:val="14"/>
                <w:szCs w:val="14"/>
                <w:color w:val="auto"/>
              </w:rPr>
              <w:t>1,002,557</w:t>
            </w:r>
          </w:p>
        </w:tc>
        <w:tc>
          <w:tcPr>
            <w:tcW w:w="860" w:type="dxa"/>
            <w:vAlign w:val="bottom"/>
            <w:gridSpan w:val="2"/>
            <w:shd w:val="clear" w:color="auto" w:fill="CCEEFF"/>
          </w:tcPr>
          <w:p>
            <w:pPr>
              <w:jc w:val="right"/>
              <w:ind w:right="200"/>
              <w:spacing w:after="0" w:line="143" w:lineRule="exact"/>
              <w:rPr>
                <w:sz w:val="20"/>
                <w:szCs w:val="20"/>
                <w:color w:val="auto"/>
              </w:rPr>
            </w:pPr>
            <w:r>
              <w:rPr>
                <w:rFonts w:ascii="Arial" w:cs="Arial" w:eastAsia="Arial" w:hAnsi="Arial"/>
                <w:sz w:val="14"/>
                <w:szCs w:val="14"/>
                <w:color w:val="auto"/>
              </w:rPr>
              <w:t>537,065</w:t>
            </w:r>
          </w:p>
        </w:tc>
        <w:tc>
          <w:tcPr>
            <w:tcW w:w="940" w:type="dxa"/>
            <w:vAlign w:val="bottom"/>
            <w:gridSpan w:val="2"/>
            <w:shd w:val="clear" w:color="auto" w:fill="CCEEFF"/>
          </w:tcPr>
          <w:p>
            <w:pPr>
              <w:jc w:val="right"/>
              <w:ind w:right="220"/>
              <w:spacing w:after="0" w:line="143" w:lineRule="exact"/>
              <w:rPr>
                <w:sz w:val="20"/>
                <w:szCs w:val="20"/>
                <w:color w:val="auto"/>
              </w:rPr>
            </w:pPr>
            <w:r>
              <w:rPr>
                <w:rFonts w:ascii="Arial" w:cs="Arial" w:eastAsia="Arial" w:hAnsi="Arial"/>
                <w:sz w:val="14"/>
                <w:szCs w:val="14"/>
                <w:color w:val="auto"/>
              </w:rPr>
              <w:t>1,645,409</w:t>
            </w:r>
          </w:p>
        </w:tc>
        <w:tc>
          <w:tcPr>
            <w:tcW w:w="860" w:type="dxa"/>
            <w:vAlign w:val="bottom"/>
            <w:gridSpan w:val="2"/>
            <w:shd w:val="clear" w:color="auto" w:fill="CCEEFF"/>
          </w:tcPr>
          <w:p>
            <w:pPr>
              <w:jc w:val="right"/>
              <w:ind w:right="200"/>
              <w:spacing w:after="0" w:line="143" w:lineRule="exact"/>
              <w:rPr>
                <w:sz w:val="20"/>
                <w:szCs w:val="20"/>
                <w:color w:val="auto"/>
              </w:rPr>
            </w:pPr>
            <w:r>
              <w:rPr>
                <w:rFonts w:ascii="Arial" w:cs="Arial" w:eastAsia="Arial" w:hAnsi="Arial"/>
                <w:sz w:val="14"/>
                <w:szCs w:val="14"/>
                <w:color w:val="auto"/>
              </w:rPr>
              <w:t>26,571</w:t>
            </w:r>
          </w:p>
        </w:tc>
        <w:tc>
          <w:tcPr>
            <w:tcW w:w="940" w:type="dxa"/>
            <w:vAlign w:val="bottom"/>
            <w:gridSpan w:val="2"/>
            <w:shd w:val="clear" w:color="auto" w:fill="CCEEFF"/>
          </w:tcPr>
          <w:p>
            <w:pPr>
              <w:jc w:val="right"/>
              <w:ind w:right="200"/>
              <w:spacing w:after="0" w:line="143" w:lineRule="exact"/>
              <w:rPr>
                <w:sz w:val="20"/>
                <w:szCs w:val="20"/>
                <w:color w:val="auto"/>
              </w:rPr>
            </w:pPr>
            <w:r>
              <w:rPr>
                <w:rFonts w:ascii="Arial" w:cs="Arial" w:eastAsia="Arial" w:hAnsi="Arial"/>
                <w:sz w:val="14"/>
                <w:szCs w:val="14"/>
                <w:color w:val="auto"/>
              </w:rPr>
              <w:t>804,192</w:t>
            </w:r>
          </w:p>
        </w:tc>
        <w:tc>
          <w:tcPr>
            <w:tcW w:w="880" w:type="dxa"/>
            <w:vAlign w:val="bottom"/>
            <w:gridSpan w:val="2"/>
            <w:shd w:val="clear" w:color="auto" w:fill="CCEEFF"/>
          </w:tcPr>
          <w:p>
            <w:pPr>
              <w:jc w:val="right"/>
              <w:ind w:right="220"/>
              <w:spacing w:after="0" w:line="143" w:lineRule="exact"/>
              <w:rPr>
                <w:sz w:val="20"/>
                <w:szCs w:val="20"/>
                <w:color w:val="auto"/>
              </w:rPr>
            </w:pPr>
            <w:r>
              <w:rPr>
                <w:rFonts w:ascii="Arial" w:cs="Arial" w:eastAsia="Arial" w:hAnsi="Arial"/>
                <w:sz w:val="14"/>
                <w:szCs w:val="14"/>
                <w:color w:val="auto"/>
              </w:rPr>
              <w:t>36,613</w:t>
            </w:r>
          </w:p>
        </w:tc>
        <w:tc>
          <w:tcPr>
            <w:tcW w:w="740" w:type="dxa"/>
            <w:vAlign w:val="bottom"/>
            <w:gridSpan w:val="2"/>
            <w:shd w:val="clear" w:color="auto" w:fill="CCEEFF"/>
          </w:tcPr>
          <w:p>
            <w:pPr>
              <w:jc w:val="right"/>
              <w:ind w:right="20"/>
              <w:spacing w:after="0" w:line="143" w:lineRule="exact"/>
              <w:rPr>
                <w:sz w:val="20"/>
                <w:szCs w:val="20"/>
                <w:color w:val="auto"/>
              </w:rPr>
            </w:pPr>
            <w:r>
              <w:rPr>
                <w:rFonts w:ascii="Arial" w:cs="Arial" w:eastAsia="Arial" w:hAnsi="Arial"/>
                <w:sz w:val="14"/>
                <w:szCs w:val="14"/>
                <w:color w:val="auto"/>
              </w:rPr>
              <w:t>867,376</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3440" w:type="dxa"/>
            <w:vAlign w:val="bottom"/>
          </w:tcPr>
          <w:p>
            <w:pPr>
              <w:spacing w:after="0" w:line="156" w:lineRule="exact"/>
              <w:rPr>
                <w:sz w:val="20"/>
                <w:szCs w:val="20"/>
                <w:color w:val="auto"/>
              </w:rPr>
            </w:pPr>
            <w:r>
              <w:rPr>
                <w:rFonts w:ascii="Arial" w:cs="Arial" w:eastAsia="Arial" w:hAnsi="Arial"/>
                <w:sz w:val="14"/>
                <w:szCs w:val="14"/>
                <w:color w:val="auto"/>
              </w:rPr>
              <w:t>Equity instruments</w:t>
            </w: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gridSpan w:val="2"/>
          </w:tcPr>
          <w:p>
            <w:pPr>
              <w:jc w:val="right"/>
              <w:ind w:right="220"/>
              <w:spacing w:after="0" w:line="156" w:lineRule="exact"/>
              <w:rPr>
                <w:sz w:val="20"/>
                <w:szCs w:val="20"/>
                <w:color w:val="auto"/>
              </w:rPr>
            </w:pPr>
            <w:r>
              <w:rPr>
                <w:rFonts w:ascii="Arial" w:cs="Arial" w:eastAsia="Arial" w:hAnsi="Arial"/>
                <w:sz w:val="14"/>
                <w:szCs w:val="14"/>
                <w:color w:val="auto"/>
              </w:rPr>
              <w:t>317,020</w:t>
            </w:r>
          </w:p>
        </w:tc>
        <w:tc>
          <w:tcPr>
            <w:tcW w:w="940" w:type="dxa"/>
            <w:vAlign w:val="bottom"/>
            <w:gridSpan w:val="2"/>
          </w:tcPr>
          <w:p>
            <w:pPr>
              <w:jc w:val="right"/>
              <w:ind w:right="220"/>
              <w:spacing w:after="0" w:line="156" w:lineRule="exact"/>
              <w:rPr>
                <w:sz w:val="20"/>
                <w:szCs w:val="20"/>
                <w:color w:val="auto"/>
              </w:rPr>
            </w:pPr>
            <w:r>
              <w:rPr>
                <w:rFonts w:ascii="Arial" w:cs="Arial" w:eastAsia="Arial" w:hAnsi="Arial"/>
                <w:sz w:val="14"/>
                <w:szCs w:val="14"/>
                <w:color w:val="auto"/>
              </w:rPr>
              <w:t>417,703</w:t>
            </w:r>
          </w:p>
        </w:tc>
        <w:tc>
          <w:tcPr>
            <w:tcW w:w="860" w:type="dxa"/>
            <w:vAlign w:val="bottom"/>
            <w:gridSpan w:val="2"/>
          </w:tcPr>
          <w:p>
            <w:pPr>
              <w:jc w:val="right"/>
              <w:ind w:right="200"/>
              <w:spacing w:after="0" w:line="156" w:lineRule="exact"/>
              <w:rPr>
                <w:sz w:val="20"/>
                <w:szCs w:val="20"/>
                <w:color w:val="auto"/>
              </w:rPr>
            </w:pPr>
            <w:r>
              <w:rPr>
                <w:rFonts w:ascii="Arial" w:cs="Arial" w:eastAsia="Arial" w:hAnsi="Arial"/>
                <w:sz w:val="14"/>
                <w:szCs w:val="14"/>
                <w:color w:val="auto"/>
              </w:rPr>
              <w:t>82,690</w:t>
            </w:r>
          </w:p>
        </w:tc>
        <w:tc>
          <w:tcPr>
            <w:tcW w:w="940" w:type="dxa"/>
            <w:vAlign w:val="bottom"/>
            <w:gridSpan w:val="2"/>
          </w:tcPr>
          <w:p>
            <w:pPr>
              <w:jc w:val="right"/>
              <w:ind w:right="220"/>
              <w:spacing w:after="0" w:line="156" w:lineRule="exact"/>
              <w:rPr>
                <w:sz w:val="20"/>
                <w:szCs w:val="20"/>
                <w:color w:val="auto"/>
              </w:rPr>
            </w:pPr>
            <w:r>
              <w:rPr>
                <w:rFonts w:ascii="Arial" w:cs="Arial" w:eastAsia="Arial" w:hAnsi="Arial"/>
                <w:sz w:val="14"/>
                <w:szCs w:val="14"/>
                <w:color w:val="auto"/>
              </w:rPr>
              <w:t>817,413</w:t>
            </w:r>
          </w:p>
        </w:tc>
        <w:tc>
          <w:tcPr>
            <w:tcW w:w="860" w:type="dxa"/>
            <w:vAlign w:val="bottom"/>
            <w:gridSpan w:val="2"/>
          </w:tcPr>
          <w:p>
            <w:pPr>
              <w:jc w:val="right"/>
              <w:ind w:right="200"/>
              <w:spacing w:after="0" w:line="156" w:lineRule="exact"/>
              <w:rPr>
                <w:sz w:val="20"/>
                <w:szCs w:val="20"/>
                <w:color w:val="auto"/>
              </w:rPr>
            </w:pPr>
            <w:r>
              <w:rPr>
                <w:rFonts w:ascii="Arial" w:cs="Arial" w:eastAsia="Arial" w:hAnsi="Arial"/>
                <w:sz w:val="14"/>
                <w:szCs w:val="14"/>
                <w:color w:val="auto"/>
              </w:rPr>
              <w:t>1,197,358</w:t>
            </w:r>
          </w:p>
        </w:tc>
        <w:tc>
          <w:tcPr>
            <w:tcW w:w="940" w:type="dxa"/>
            <w:vAlign w:val="bottom"/>
            <w:gridSpan w:val="2"/>
          </w:tcPr>
          <w:p>
            <w:pPr>
              <w:jc w:val="right"/>
              <w:ind w:right="200"/>
              <w:spacing w:after="0" w:line="156" w:lineRule="exact"/>
              <w:rPr>
                <w:sz w:val="20"/>
                <w:szCs w:val="20"/>
                <w:color w:val="auto"/>
              </w:rPr>
            </w:pPr>
            <w:r>
              <w:rPr>
                <w:rFonts w:ascii="Arial" w:cs="Arial" w:eastAsia="Arial" w:hAnsi="Arial"/>
                <w:sz w:val="14"/>
                <w:szCs w:val="14"/>
                <w:color w:val="auto"/>
              </w:rPr>
              <w:t>665,158</w:t>
            </w:r>
          </w:p>
        </w:tc>
        <w:tc>
          <w:tcPr>
            <w:tcW w:w="880" w:type="dxa"/>
            <w:vAlign w:val="bottom"/>
            <w:gridSpan w:val="2"/>
          </w:tcPr>
          <w:p>
            <w:pPr>
              <w:jc w:val="right"/>
              <w:ind w:right="220"/>
              <w:spacing w:after="0" w:line="156" w:lineRule="exact"/>
              <w:rPr>
                <w:sz w:val="20"/>
                <w:szCs w:val="20"/>
                <w:color w:val="auto"/>
              </w:rPr>
            </w:pPr>
            <w:r>
              <w:rPr>
                <w:rFonts w:ascii="Arial" w:cs="Arial" w:eastAsia="Arial" w:hAnsi="Arial"/>
                <w:sz w:val="14"/>
                <w:szCs w:val="14"/>
                <w:color w:val="auto"/>
              </w:rPr>
              <w:t>95,372</w:t>
            </w:r>
          </w:p>
        </w:tc>
        <w:tc>
          <w:tcPr>
            <w:tcW w:w="740" w:type="dxa"/>
            <w:vAlign w:val="bottom"/>
            <w:gridSpan w:val="2"/>
          </w:tcPr>
          <w:p>
            <w:pPr>
              <w:jc w:val="right"/>
              <w:ind w:right="20"/>
              <w:spacing w:after="0" w:line="156" w:lineRule="exact"/>
              <w:rPr>
                <w:sz w:val="20"/>
                <w:szCs w:val="20"/>
                <w:color w:val="auto"/>
              </w:rPr>
            </w:pPr>
            <w:r>
              <w:rPr>
                <w:rFonts w:ascii="Arial" w:cs="Arial" w:eastAsia="Arial" w:hAnsi="Arial"/>
                <w:sz w:val="14"/>
                <w:szCs w:val="14"/>
                <w:color w:val="auto"/>
              </w:rPr>
              <w:t>1,957,888</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6"/>
        </w:trPr>
        <w:tc>
          <w:tcPr>
            <w:tcW w:w="3440" w:type="dxa"/>
            <w:vAlign w:val="bottom"/>
            <w:tcBorders>
              <w:top w:val="single" w:sz="8" w:color="CCEEFF"/>
            </w:tcBorders>
            <w:shd w:val="clear" w:color="auto" w:fill="CCEEFF"/>
          </w:tcPr>
          <w:p>
            <w:pPr>
              <w:spacing w:after="0"/>
              <w:rPr>
                <w:sz w:val="11"/>
                <w:szCs w:val="11"/>
                <w:color w:val="auto"/>
              </w:rPr>
            </w:pPr>
          </w:p>
        </w:tc>
        <w:tc>
          <w:tcPr>
            <w:tcW w:w="800" w:type="dxa"/>
            <w:vAlign w:val="bottom"/>
            <w:tcBorders>
              <w:top w:val="single" w:sz="8" w:color="CCEEFF"/>
            </w:tcBorders>
            <w:gridSpan w:val="2"/>
            <w:shd w:val="clear" w:color="auto" w:fill="CCEEFF"/>
          </w:tcPr>
          <w:p>
            <w:pPr>
              <w:jc w:val="center"/>
              <w:ind w:right="140"/>
              <w:spacing w:after="0" w:line="136" w:lineRule="exact"/>
              <w:rPr>
                <w:sz w:val="20"/>
                <w:szCs w:val="20"/>
                <w:color w:val="auto"/>
              </w:rPr>
            </w:pPr>
            <w:r>
              <w:rPr>
                <w:rFonts w:ascii="Arial" w:cs="Arial" w:eastAsia="Arial" w:hAnsi="Arial"/>
                <w:sz w:val="14"/>
                <w:szCs w:val="14"/>
                <w:color w:val="auto"/>
                <w:w w:val="88"/>
              </w:rPr>
              <w:t>6(a)</w:t>
            </w:r>
          </w:p>
        </w:tc>
        <w:tc>
          <w:tcPr>
            <w:tcW w:w="72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4"/>
                <w:szCs w:val="14"/>
                <w:color w:val="auto"/>
              </w:rPr>
              <w:t>9,231,440</w:t>
            </w:r>
          </w:p>
        </w:tc>
        <w:tc>
          <w:tcPr>
            <w:tcW w:w="220" w:type="dxa"/>
            <w:vAlign w:val="bottom"/>
            <w:tcBorders>
              <w:top w:val="single" w:sz="8" w:color="CCEEFF"/>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4"/>
                <w:szCs w:val="14"/>
                <w:color w:val="auto"/>
                <w:w w:val="99"/>
              </w:rPr>
              <w:t>14,491,702</w:t>
            </w:r>
          </w:p>
        </w:tc>
        <w:tc>
          <w:tcPr>
            <w:tcW w:w="220" w:type="dxa"/>
            <w:vAlign w:val="bottom"/>
            <w:tcBorders>
              <w:top w:val="single" w:sz="8" w:color="CCEEFF"/>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4"/>
                <w:szCs w:val="14"/>
                <w:color w:val="auto"/>
              </w:rPr>
              <w:t>700,749</w:t>
            </w:r>
          </w:p>
        </w:tc>
        <w:tc>
          <w:tcPr>
            <w:tcW w:w="200" w:type="dxa"/>
            <w:vAlign w:val="bottom"/>
            <w:tcBorders>
              <w:top w:val="single" w:sz="8" w:color="CCEEFF"/>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4"/>
                <w:szCs w:val="14"/>
                <w:color w:val="auto"/>
                <w:w w:val="99"/>
              </w:rPr>
              <w:t>24,423,891</w:t>
            </w:r>
          </w:p>
        </w:tc>
        <w:tc>
          <w:tcPr>
            <w:tcW w:w="220" w:type="dxa"/>
            <w:vAlign w:val="bottom"/>
            <w:tcBorders>
              <w:top w:val="single" w:sz="8" w:color="CCEEFF"/>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4"/>
                <w:szCs w:val="14"/>
                <w:color w:val="auto"/>
              </w:rPr>
              <w:t>6,798,651</w:t>
            </w:r>
          </w:p>
        </w:tc>
        <w:tc>
          <w:tcPr>
            <w:tcW w:w="200" w:type="dxa"/>
            <w:vAlign w:val="bottom"/>
            <w:tcBorders>
              <w:top w:val="single" w:sz="8" w:color="CCEEFF"/>
            </w:tcBorders>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4"/>
                <w:szCs w:val="14"/>
                <w:color w:val="auto"/>
              </w:rPr>
              <w:t>11,506,398</w:t>
            </w:r>
          </w:p>
        </w:tc>
        <w:tc>
          <w:tcPr>
            <w:tcW w:w="200" w:type="dxa"/>
            <w:vAlign w:val="bottom"/>
            <w:tcBorders>
              <w:top w:val="single" w:sz="8" w:color="CCEEFF"/>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4"/>
                <w:szCs w:val="14"/>
                <w:color w:val="auto"/>
              </w:rPr>
              <w:t>380,618</w:t>
            </w:r>
          </w:p>
        </w:tc>
        <w:tc>
          <w:tcPr>
            <w:tcW w:w="220" w:type="dxa"/>
            <w:vAlign w:val="bottom"/>
            <w:tcBorders>
              <w:top w:val="single" w:sz="8" w:color="CCEEFF"/>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4"/>
                <w:szCs w:val="14"/>
                <w:color w:val="auto"/>
                <w:w w:val="99"/>
              </w:rPr>
              <w:t>18,685,667</w:t>
            </w:r>
          </w:p>
        </w:tc>
        <w:tc>
          <w:tcPr>
            <w:tcW w:w="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3440" w:type="dxa"/>
            <w:vAlign w:val="bottom"/>
            <w:tcBorders>
              <w:bottom w:val="single" w:sz="8" w:color="CCEEFF"/>
            </w:tcBorders>
          </w:tcPr>
          <w:p>
            <w:pPr>
              <w:spacing w:after="0"/>
              <w:rPr>
                <w:sz w:val="13"/>
                <w:szCs w:val="13"/>
                <w:color w:val="auto"/>
              </w:rPr>
            </w:pPr>
          </w:p>
        </w:tc>
        <w:tc>
          <w:tcPr>
            <w:tcW w:w="680" w:type="dxa"/>
            <w:vAlign w:val="bottom"/>
            <w:tcBorders>
              <w:bottom w:val="single" w:sz="8" w:color="CCEEFF"/>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220" w:type="dxa"/>
            <w:vAlign w:val="bottom"/>
            <w:tcBorders>
              <w:bottom w:val="single" w:sz="8" w:color="CCEEFF"/>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220" w:type="dxa"/>
            <w:vAlign w:val="bottom"/>
            <w:tcBorders>
              <w:bottom w:val="single" w:sz="8" w:color="CCEEFF"/>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200" w:type="dxa"/>
            <w:vAlign w:val="bottom"/>
            <w:tcBorders>
              <w:bottom w:val="single" w:sz="8" w:color="CCEEFF"/>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220" w:type="dxa"/>
            <w:vAlign w:val="bottom"/>
            <w:tcBorders>
              <w:bottom w:val="single" w:sz="8" w:color="CCEEFF"/>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200" w:type="dxa"/>
            <w:vAlign w:val="bottom"/>
            <w:tcBorders>
              <w:bottom w:val="single" w:sz="8" w:color="CCEEFF"/>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200" w:type="dxa"/>
            <w:vAlign w:val="bottom"/>
            <w:tcBorders>
              <w:bottom w:val="single" w:sz="8" w:color="CCEEFF"/>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220" w:type="dxa"/>
            <w:vAlign w:val="bottom"/>
            <w:tcBorders>
              <w:bottom w:val="single" w:sz="8" w:color="CCEEFF"/>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440" w:type="dxa"/>
            <w:vAlign w:val="bottom"/>
            <w:tcBorders>
              <w:bottom w:val="single" w:sz="8" w:color="CCEEFF"/>
            </w:tcBorders>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financial assets</w:t>
            </w:r>
          </w:p>
        </w:tc>
        <w:tc>
          <w:tcPr>
            <w:tcW w:w="68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11,328,322</w:t>
            </w:r>
          </w:p>
        </w:tc>
        <w:tc>
          <w:tcPr>
            <w:tcW w:w="22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17,656,598</w:t>
            </w:r>
          </w:p>
        </w:tc>
        <w:tc>
          <w:tcPr>
            <w:tcW w:w="220" w:type="dxa"/>
            <w:vAlign w:val="bottom"/>
            <w:tcBorders>
              <w:bottom w:val="single" w:sz="8" w:color="CCEEFF"/>
            </w:tcBorders>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703,219</w:t>
            </w:r>
          </w:p>
        </w:tc>
        <w:tc>
          <w:tcPr>
            <w:tcW w:w="20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29,688,139</w:t>
            </w:r>
          </w:p>
        </w:tc>
        <w:tc>
          <w:tcPr>
            <w:tcW w:w="220" w:type="dxa"/>
            <w:vAlign w:val="bottom"/>
            <w:tcBorders>
              <w:bottom w:val="single" w:sz="8" w:color="CCEEFF"/>
            </w:tcBorders>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8,020,142</w:t>
            </w:r>
          </w:p>
        </w:tc>
        <w:tc>
          <w:tcPr>
            <w:tcW w:w="20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15,691,310</w:t>
            </w:r>
          </w:p>
        </w:tc>
        <w:tc>
          <w:tcPr>
            <w:tcW w:w="200" w:type="dxa"/>
            <w:vAlign w:val="bottom"/>
            <w:tcBorders>
              <w:bottom w:val="single" w:sz="8" w:color="CCEEFF"/>
            </w:tcBorders>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390,935</w:t>
            </w:r>
          </w:p>
        </w:tc>
        <w:tc>
          <w:tcPr>
            <w:tcW w:w="22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24,102,387</w:t>
            </w:r>
          </w:p>
        </w:tc>
        <w:tc>
          <w:tcPr>
            <w:tcW w:w="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4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34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3440" w:type="dxa"/>
            <w:vAlign w:val="bottom"/>
            <w:shd w:val="clear" w:color="auto" w:fill="CCEEFF"/>
          </w:tcPr>
          <w:p>
            <w:pPr>
              <w:spacing w:after="0" w:line="143" w:lineRule="exact"/>
              <w:rPr>
                <w:sz w:val="20"/>
                <w:szCs w:val="20"/>
                <w:color w:val="auto"/>
              </w:rPr>
            </w:pPr>
            <w:r>
              <w:rPr>
                <w:rFonts w:ascii="Arial" w:cs="Arial" w:eastAsia="Arial" w:hAnsi="Arial"/>
                <w:sz w:val="14"/>
                <w:szCs w:val="14"/>
                <w:b w:val="1"/>
                <w:bCs w:val="1"/>
                <w:color w:val="auto"/>
              </w:rPr>
              <w:t>Financial liabilities</w:t>
            </w: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3440" w:type="dxa"/>
            <w:vAlign w:val="bottom"/>
          </w:tcPr>
          <w:p>
            <w:pPr>
              <w:spacing w:after="0" w:line="143" w:lineRule="exact"/>
              <w:rPr>
                <w:sz w:val="20"/>
                <w:szCs w:val="20"/>
                <w:color w:val="auto"/>
              </w:rPr>
            </w:pPr>
            <w:r>
              <w:rPr>
                <w:rFonts w:ascii="Arial" w:cs="Arial" w:eastAsia="Arial" w:hAnsi="Arial"/>
                <w:sz w:val="14"/>
                <w:szCs w:val="14"/>
                <w:b w:val="1"/>
                <w:bCs w:val="1"/>
                <w:color w:val="auto"/>
              </w:rPr>
              <w:t>Derivatives financial instruments:</w:t>
            </w: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344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rPr>
              <w:t>Interest rate swaps</w:t>
            </w: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20"/>
              <w:spacing w:after="0" w:line="143"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220"/>
              <w:spacing w:after="0" w:line="143" w:lineRule="exact"/>
              <w:rPr>
                <w:sz w:val="20"/>
                <w:szCs w:val="20"/>
                <w:color w:val="auto"/>
              </w:rPr>
            </w:pPr>
            <w:r>
              <w:rPr>
                <w:rFonts w:ascii="Arial" w:cs="Arial" w:eastAsia="Arial" w:hAnsi="Arial"/>
                <w:sz w:val="14"/>
                <w:szCs w:val="14"/>
                <w:color w:val="auto"/>
              </w:rPr>
              <w:t>94,785</w:t>
            </w:r>
          </w:p>
        </w:tc>
        <w:tc>
          <w:tcPr>
            <w:tcW w:w="860" w:type="dxa"/>
            <w:vAlign w:val="bottom"/>
            <w:gridSpan w:val="2"/>
            <w:shd w:val="clear" w:color="auto" w:fill="CCEEFF"/>
          </w:tcPr>
          <w:p>
            <w:pPr>
              <w:jc w:val="right"/>
              <w:ind w:right="200"/>
              <w:spacing w:after="0" w:line="143"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220"/>
              <w:spacing w:after="0" w:line="143" w:lineRule="exact"/>
              <w:rPr>
                <w:sz w:val="20"/>
                <w:szCs w:val="20"/>
                <w:color w:val="auto"/>
              </w:rPr>
            </w:pPr>
            <w:r>
              <w:rPr>
                <w:rFonts w:ascii="Arial" w:cs="Arial" w:eastAsia="Arial" w:hAnsi="Arial"/>
                <w:sz w:val="14"/>
                <w:szCs w:val="14"/>
                <w:color w:val="auto"/>
              </w:rPr>
              <w:t>94,785</w:t>
            </w:r>
          </w:p>
        </w:tc>
        <w:tc>
          <w:tcPr>
            <w:tcW w:w="860" w:type="dxa"/>
            <w:vAlign w:val="bottom"/>
            <w:gridSpan w:val="2"/>
            <w:shd w:val="clear" w:color="auto" w:fill="CCEEFF"/>
          </w:tcPr>
          <w:p>
            <w:pPr>
              <w:jc w:val="right"/>
              <w:ind w:right="200"/>
              <w:spacing w:after="0" w:line="143"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200"/>
              <w:spacing w:after="0" w:line="143" w:lineRule="exact"/>
              <w:rPr>
                <w:sz w:val="20"/>
                <w:szCs w:val="20"/>
                <w:color w:val="auto"/>
              </w:rPr>
            </w:pPr>
            <w:r>
              <w:rPr>
                <w:rFonts w:ascii="Arial" w:cs="Arial" w:eastAsia="Arial" w:hAnsi="Arial"/>
                <w:sz w:val="14"/>
                <w:szCs w:val="14"/>
                <w:color w:val="auto"/>
              </w:rPr>
              <w:t>60,572</w:t>
            </w:r>
          </w:p>
        </w:tc>
        <w:tc>
          <w:tcPr>
            <w:tcW w:w="880" w:type="dxa"/>
            <w:vAlign w:val="bottom"/>
            <w:gridSpan w:val="2"/>
            <w:shd w:val="clear" w:color="auto" w:fill="CCEEFF"/>
          </w:tcPr>
          <w:p>
            <w:pPr>
              <w:jc w:val="right"/>
              <w:ind w:right="220"/>
              <w:spacing w:after="0" w:line="143"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20"/>
              <w:spacing w:after="0" w:line="143" w:lineRule="exact"/>
              <w:rPr>
                <w:sz w:val="20"/>
                <w:szCs w:val="20"/>
                <w:color w:val="auto"/>
              </w:rPr>
            </w:pPr>
            <w:r>
              <w:rPr>
                <w:rFonts w:ascii="Arial" w:cs="Arial" w:eastAsia="Arial" w:hAnsi="Arial"/>
                <w:sz w:val="14"/>
                <w:szCs w:val="14"/>
                <w:color w:val="auto"/>
              </w:rPr>
              <w:t>60,572</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3440" w:type="dxa"/>
            <w:vAlign w:val="bottom"/>
          </w:tcPr>
          <w:p>
            <w:pPr>
              <w:spacing w:after="0" w:line="143" w:lineRule="exact"/>
              <w:rPr>
                <w:sz w:val="20"/>
                <w:szCs w:val="20"/>
                <w:color w:val="auto"/>
              </w:rPr>
            </w:pPr>
            <w:r>
              <w:rPr>
                <w:rFonts w:ascii="Arial" w:cs="Arial" w:eastAsia="Arial" w:hAnsi="Arial"/>
                <w:sz w:val="14"/>
                <w:szCs w:val="14"/>
                <w:color w:val="auto"/>
              </w:rPr>
              <w:t>Forward foreign exchange contracts</w:t>
            </w: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jc w:val="right"/>
              <w:ind w:right="220"/>
              <w:spacing w:after="0" w:line="143" w:lineRule="exact"/>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20"/>
              <w:spacing w:after="0" w:line="143" w:lineRule="exact"/>
              <w:rPr>
                <w:sz w:val="20"/>
                <w:szCs w:val="20"/>
                <w:color w:val="auto"/>
              </w:rPr>
            </w:pPr>
            <w:r>
              <w:rPr>
                <w:rFonts w:ascii="Arial" w:cs="Arial" w:eastAsia="Arial" w:hAnsi="Arial"/>
                <w:sz w:val="14"/>
                <w:szCs w:val="14"/>
                <w:color w:val="auto"/>
              </w:rPr>
              <w:t>56,869</w:t>
            </w:r>
          </w:p>
        </w:tc>
        <w:tc>
          <w:tcPr>
            <w:tcW w:w="860" w:type="dxa"/>
            <w:vAlign w:val="bottom"/>
            <w:gridSpan w:val="2"/>
          </w:tcPr>
          <w:p>
            <w:pPr>
              <w:jc w:val="right"/>
              <w:ind w:right="200"/>
              <w:spacing w:after="0" w:line="143" w:lineRule="exact"/>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20"/>
              <w:spacing w:after="0" w:line="143" w:lineRule="exact"/>
              <w:rPr>
                <w:sz w:val="20"/>
                <w:szCs w:val="20"/>
                <w:color w:val="auto"/>
              </w:rPr>
            </w:pPr>
            <w:r>
              <w:rPr>
                <w:rFonts w:ascii="Arial" w:cs="Arial" w:eastAsia="Arial" w:hAnsi="Arial"/>
                <w:sz w:val="14"/>
                <w:szCs w:val="14"/>
                <w:color w:val="auto"/>
              </w:rPr>
              <w:t>56,869</w:t>
            </w:r>
          </w:p>
        </w:tc>
        <w:tc>
          <w:tcPr>
            <w:tcW w:w="860" w:type="dxa"/>
            <w:vAlign w:val="bottom"/>
            <w:gridSpan w:val="2"/>
          </w:tcPr>
          <w:p>
            <w:pPr>
              <w:jc w:val="right"/>
              <w:ind w:right="200"/>
              <w:spacing w:after="0" w:line="143" w:lineRule="exact"/>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00"/>
              <w:spacing w:after="0" w:line="143" w:lineRule="exact"/>
              <w:rPr>
                <w:sz w:val="20"/>
                <w:szCs w:val="20"/>
                <w:color w:val="auto"/>
              </w:rPr>
            </w:pPr>
            <w:r>
              <w:rPr>
                <w:rFonts w:ascii="Arial" w:cs="Arial" w:eastAsia="Arial" w:hAnsi="Arial"/>
                <w:sz w:val="14"/>
                <w:szCs w:val="14"/>
                <w:color w:val="auto"/>
              </w:rPr>
              <w:t>55,437</w:t>
            </w:r>
          </w:p>
        </w:tc>
        <w:tc>
          <w:tcPr>
            <w:tcW w:w="880" w:type="dxa"/>
            <w:vAlign w:val="bottom"/>
            <w:gridSpan w:val="2"/>
          </w:tcPr>
          <w:p>
            <w:pPr>
              <w:jc w:val="right"/>
              <w:ind w:right="220"/>
              <w:spacing w:after="0" w:line="143"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20"/>
              <w:spacing w:after="0" w:line="143" w:lineRule="exact"/>
              <w:rPr>
                <w:sz w:val="20"/>
                <w:szCs w:val="20"/>
                <w:color w:val="auto"/>
              </w:rPr>
            </w:pPr>
            <w:r>
              <w:rPr>
                <w:rFonts w:ascii="Arial" w:cs="Arial" w:eastAsia="Arial" w:hAnsi="Arial"/>
                <w:sz w:val="14"/>
                <w:szCs w:val="14"/>
                <w:color w:val="auto"/>
              </w:rPr>
              <w:t>55,437</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344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rPr>
              <w:t>Cross currency swaps</w:t>
            </w: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20"/>
              <w:spacing w:after="0" w:line="143"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220"/>
              <w:spacing w:after="0" w:line="143" w:lineRule="exact"/>
              <w:rPr>
                <w:sz w:val="20"/>
                <w:szCs w:val="20"/>
                <w:color w:val="auto"/>
              </w:rPr>
            </w:pPr>
            <w:r>
              <w:rPr>
                <w:rFonts w:ascii="Arial" w:cs="Arial" w:eastAsia="Arial" w:hAnsi="Arial"/>
                <w:sz w:val="14"/>
                <w:szCs w:val="14"/>
                <w:color w:val="auto"/>
              </w:rPr>
              <w:t>134,349</w:t>
            </w:r>
          </w:p>
        </w:tc>
        <w:tc>
          <w:tcPr>
            <w:tcW w:w="860" w:type="dxa"/>
            <w:vAlign w:val="bottom"/>
            <w:gridSpan w:val="2"/>
            <w:shd w:val="clear" w:color="auto" w:fill="CCEEFF"/>
          </w:tcPr>
          <w:p>
            <w:pPr>
              <w:jc w:val="right"/>
              <w:ind w:right="200"/>
              <w:spacing w:after="0" w:line="143"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220"/>
              <w:spacing w:after="0" w:line="143" w:lineRule="exact"/>
              <w:rPr>
                <w:sz w:val="20"/>
                <w:szCs w:val="20"/>
                <w:color w:val="auto"/>
              </w:rPr>
            </w:pPr>
            <w:r>
              <w:rPr>
                <w:rFonts w:ascii="Arial" w:cs="Arial" w:eastAsia="Arial" w:hAnsi="Arial"/>
                <w:sz w:val="14"/>
                <w:szCs w:val="14"/>
                <w:color w:val="auto"/>
              </w:rPr>
              <w:t>134,349</w:t>
            </w:r>
          </w:p>
        </w:tc>
        <w:tc>
          <w:tcPr>
            <w:tcW w:w="860" w:type="dxa"/>
            <w:vAlign w:val="bottom"/>
            <w:gridSpan w:val="2"/>
            <w:shd w:val="clear" w:color="auto" w:fill="CCEEFF"/>
          </w:tcPr>
          <w:p>
            <w:pPr>
              <w:jc w:val="right"/>
              <w:ind w:right="200"/>
              <w:spacing w:after="0" w:line="143"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200"/>
              <w:spacing w:after="0" w:line="143" w:lineRule="exact"/>
              <w:rPr>
                <w:sz w:val="20"/>
                <w:szCs w:val="20"/>
                <w:color w:val="auto"/>
              </w:rPr>
            </w:pPr>
            <w:r>
              <w:rPr>
                <w:rFonts w:ascii="Arial" w:cs="Arial" w:eastAsia="Arial" w:hAnsi="Arial"/>
                <w:sz w:val="14"/>
                <w:szCs w:val="14"/>
                <w:color w:val="auto"/>
              </w:rPr>
              <w:t>49,329</w:t>
            </w:r>
          </w:p>
        </w:tc>
        <w:tc>
          <w:tcPr>
            <w:tcW w:w="880" w:type="dxa"/>
            <w:vAlign w:val="bottom"/>
            <w:gridSpan w:val="2"/>
            <w:shd w:val="clear" w:color="auto" w:fill="CCEEFF"/>
          </w:tcPr>
          <w:p>
            <w:pPr>
              <w:jc w:val="right"/>
              <w:ind w:right="220"/>
              <w:spacing w:after="0" w:line="143"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20"/>
              <w:spacing w:after="0" w:line="143" w:lineRule="exact"/>
              <w:rPr>
                <w:sz w:val="20"/>
                <w:szCs w:val="20"/>
                <w:color w:val="auto"/>
              </w:rPr>
            </w:pPr>
            <w:r>
              <w:rPr>
                <w:rFonts w:ascii="Arial" w:cs="Arial" w:eastAsia="Arial" w:hAnsi="Arial"/>
                <w:sz w:val="14"/>
                <w:szCs w:val="14"/>
                <w:color w:val="auto"/>
              </w:rPr>
              <w:t>49,329</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3440" w:type="dxa"/>
            <w:vAlign w:val="bottom"/>
          </w:tcPr>
          <w:p>
            <w:pPr>
              <w:spacing w:after="0" w:line="143" w:lineRule="exact"/>
              <w:rPr>
                <w:sz w:val="20"/>
                <w:szCs w:val="20"/>
                <w:color w:val="auto"/>
              </w:rPr>
            </w:pPr>
            <w:r>
              <w:rPr>
                <w:rFonts w:ascii="Arial" w:cs="Arial" w:eastAsia="Arial" w:hAnsi="Arial"/>
                <w:sz w:val="14"/>
                <w:szCs w:val="14"/>
                <w:color w:val="auto"/>
              </w:rPr>
              <w:t>Currency swaps</w:t>
            </w: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jc w:val="right"/>
              <w:ind w:right="220"/>
              <w:spacing w:after="0" w:line="143" w:lineRule="exact"/>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20"/>
              <w:spacing w:after="0" w:line="143" w:lineRule="exact"/>
              <w:rPr>
                <w:sz w:val="20"/>
                <w:szCs w:val="20"/>
                <w:color w:val="auto"/>
              </w:rPr>
            </w:pPr>
            <w:r>
              <w:rPr>
                <w:rFonts w:ascii="Arial" w:cs="Arial" w:eastAsia="Arial" w:hAnsi="Arial"/>
                <w:sz w:val="14"/>
                <w:szCs w:val="14"/>
                <w:color w:val="auto"/>
              </w:rPr>
              <w:t>349,779</w:t>
            </w:r>
          </w:p>
        </w:tc>
        <w:tc>
          <w:tcPr>
            <w:tcW w:w="860" w:type="dxa"/>
            <w:vAlign w:val="bottom"/>
            <w:gridSpan w:val="2"/>
          </w:tcPr>
          <w:p>
            <w:pPr>
              <w:jc w:val="right"/>
              <w:ind w:right="200"/>
              <w:spacing w:after="0" w:line="143" w:lineRule="exact"/>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20"/>
              <w:spacing w:after="0" w:line="143" w:lineRule="exact"/>
              <w:rPr>
                <w:sz w:val="20"/>
                <w:szCs w:val="20"/>
                <w:color w:val="auto"/>
              </w:rPr>
            </w:pPr>
            <w:r>
              <w:rPr>
                <w:rFonts w:ascii="Arial" w:cs="Arial" w:eastAsia="Arial" w:hAnsi="Arial"/>
                <w:sz w:val="14"/>
                <w:szCs w:val="14"/>
                <w:color w:val="auto"/>
              </w:rPr>
              <w:t>349,779</w:t>
            </w:r>
          </w:p>
        </w:tc>
        <w:tc>
          <w:tcPr>
            <w:tcW w:w="860" w:type="dxa"/>
            <w:vAlign w:val="bottom"/>
            <w:gridSpan w:val="2"/>
          </w:tcPr>
          <w:p>
            <w:pPr>
              <w:jc w:val="right"/>
              <w:ind w:right="200"/>
              <w:spacing w:after="0" w:line="143" w:lineRule="exact"/>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00"/>
              <w:spacing w:after="0" w:line="143" w:lineRule="exact"/>
              <w:rPr>
                <w:sz w:val="20"/>
                <w:szCs w:val="20"/>
                <w:color w:val="auto"/>
              </w:rPr>
            </w:pPr>
            <w:r>
              <w:rPr>
                <w:rFonts w:ascii="Arial" w:cs="Arial" w:eastAsia="Arial" w:hAnsi="Arial"/>
                <w:sz w:val="14"/>
                <w:szCs w:val="14"/>
                <w:color w:val="auto"/>
              </w:rPr>
              <w:t>490,475</w:t>
            </w:r>
          </w:p>
        </w:tc>
        <w:tc>
          <w:tcPr>
            <w:tcW w:w="880" w:type="dxa"/>
            <w:vAlign w:val="bottom"/>
            <w:gridSpan w:val="2"/>
          </w:tcPr>
          <w:p>
            <w:pPr>
              <w:jc w:val="right"/>
              <w:ind w:right="220"/>
              <w:spacing w:after="0" w:line="143"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20"/>
              <w:spacing w:after="0" w:line="143" w:lineRule="exact"/>
              <w:rPr>
                <w:sz w:val="20"/>
                <w:szCs w:val="20"/>
                <w:color w:val="auto"/>
              </w:rPr>
            </w:pPr>
            <w:r>
              <w:rPr>
                <w:rFonts w:ascii="Arial" w:cs="Arial" w:eastAsia="Arial" w:hAnsi="Arial"/>
                <w:sz w:val="14"/>
                <w:szCs w:val="14"/>
                <w:color w:val="auto"/>
              </w:rPr>
              <w:t>490,475</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3440" w:type="dxa"/>
            <w:vAlign w:val="bottom"/>
            <w:shd w:val="clear" w:color="auto" w:fill="CCEEFF"/>
          </w:tcPr>
          <w:p>
            <w:pPr>
              <w:spacing w:after="0" w:line="156" w:lineRule="exact"/>
              <w:rPr>
                <w:sz w:val="20"/>
                <w:szCs w:val="20"/>
                <w:color w:val="auto"/>
              </w:rPr>
            </w:pPr>
            <w:r>
              <w:rPr>
                <w:rFonts w:ascii="Arial" w:cs="Arial" w:eastAsia="Arial" w:hAnsi="Arial"/>
                <w:sz w:val="14"/>
                <w:szCs w:val="14"/>
                <w:color w:val="auto"/>
              </w:rPr>
              <w:t>Foreign exchange options</w:t>
            </w:r>
          </w:p>
        </w:tc>
        <w:tc>
          <w:tcPr>
            <w:tcW w:w="6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220"/>
              <w:spacing w:after="0" w:line="156"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220"/>
              <w:spacing w:after="0" w:line="156" w:lineRule="exact"/>
              <w:rPr>
                <w:sz w:val="20"/>
                <w:szCs w:val="20"/>
                <w:color w:val="auto"/>
              </w:rPr>
            </w:pPr>
            <w:r>
              <w:rPr>
                <w:rFonts w:ascii="Arial" w:cs="Arial" w:eastAsia="Arial" w:hAnsi="Arial"/>
                <w:sz w:val="14"/>
                <w:szCs w:val="14"/>
                <w:color w:val="auto"/>
              </w:rPr>
              <w:t>980</w:t>
            </w:r>
          </w:p>
        </w:tc>
        <w:tc>
          <w:tcPr>
            <w:tcW w:w="860" w:type="dxa"/>
            <w:vAlign w:val="bottom"/>
            <w:gridSpan w:val="2"/>
            <w:shd w:val="clear" w:color="auto" w:fill="CCEEFF"/>
          </w:tcPr>
          <w:p>
            <w:pPr>
              <w:jc w:val="right"/>
              <w:ind w:right="200"/>
              <w:spacing w:after="0" w:line="156"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220"/>
              <w:spacing w:after="0" w:line="156" w:lineRule="exact"/>
              <w:rPr>
                <w:sz w:val="20"/>
                <w:szCs w:val="20"/>
                <w:color w:val="auto"/>
              </w:rPr>
            </w:pPr>
            <w:r>
              <w:rPr>
                <w:rFonts w:ascii="Arial" w:cs="Arial" w:eastAsia="Arial" w:hAnsi="Arial"/>
                <w:sz w:val="14"/>
                <w:szCs w:val="14"/>
                <w:color w:val="auto"/>
              </w:rPr>
              <w:t>980</w:t>
            </w:r>
          </w:p>
        </w:tc>
        <w:tc>
          <w:tcPr>
            <w:tcW w:w="860" w:type="dxa"/>
            <w:vAlign w:val="bottom"/>
            <w:gridSpan w:val="2"/>
            <w:shd w:val="clear" w:color="auto" w:fill="CCEEFF"/>
          </w:tcPr>
          <w:p>
            <w:pPr>
              <w:jc w:val="right"/>
              <w:ind w:right="200"/>
              <w:spacing w:after="0" w:line="156"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200"/>
              <w:spacing w:after="0" w:line="156" w:lineRule="exact"/>
              <w:rPr>
                <w:sz w:val="20"/>
                <w:szCs w:val="20"/>
                <w:color w:val="auto"/>
              </w:rPr>
            </w:pPr>
            <w:r>
              <w:rPr>
                <w:rFonts w:ascii="Arial" w:cs="Arial" w:eastAsia="Arial" w:hAnsi="Arial"/>
                <w:sz w:val="14"/>
                <w:szCs w:val="14"/>
                <w:color w:val="auto"/>
              </w:rPr>
              <w:t>17,202</w:t>
            </w:r>
          </w:p>
        </w:tc>
        <w:tc>
          <w:tcPr>
            <w:tcW w:w="880" w:type="dxa"/>
            <w:vAlign w:val="bottom"/>
            <w:gridSpan w:val="2"/>
            <w:shd w:val="clear" w:color="auto" w:fill="CCEEFF"/>
          </w:tcPr>
          <w:p>
            <w:pPr>
              <w:jc w:val="right"/>
              <w:ind w:right="220"/>
              <w:spacing w:after="0" w:line="156"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20"/>
              <w:spacing w:after="0" w:line="156" w:lineRule="exact"/>
              <w:rPr>
                <w:sz w:val="20"/>
                <w:szCs w:val="20"/>
                <w:color w:val="auto"/>
              </w:rPr>
            </w:pPr>
            <w:r>
              <w:rPr>
                <w:rFonts w:ascii="Arial" w:cs="Arial" w:eastAsia="Arial" w:hAnsi="Arial"/>
                <w:sz w:val="14"/>
                <w:szCs w:val="14"/>
                <w:color w:val="auto"/>
              </w:rPr>
              <w:t>17,202</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6"/>
        </w:trPr>
        <w:tc>
          <w:tcPr>
            <w:tcW w:w="3440" w:type="dxa"/>
            <w:vAlign w:val="bottom"/>
          </w:tcPr>
          <w:p>
            <w:pPr>
              <w:spacing w:after="0"/>
              <w:rPr>
                <w:sz w:val="11"/>
                <w:szCs w:val="11"/>
                <w:color w:val="auto"/>
              </w:rPr>
            </w:pPr>
          </w:p>
        </w:tc>
        <w:tc>
          <w:tcPr>
            <w:tcW w:w="800" w:type="dxa"/>
            <w:vAlign w:val="bottom"/>
            <w:gridSpan w:val="2"/>
          </w:tcPr>
          <w:p>
            <w:pPr>
              <w:jc w:val="center"/>
              <w:ind w:right="140"/>
              <w:spacing w:after="0" w:line="136" w:lineRule="exact"/>
              <w:rPr>
                <w:sz w:val="20"/>
                <w:szCs w:val="20"/>
                <w:color w:val="auto"/>
              </w:rPr>
            </w:pPr>
            <w:r>
              <w:rPr>
                <w:rFonts w:ascii="Arial" w:cs="Arial" w:eastAsia="Arial" w:hAnsi="Arial"/>
                <w:sz w:val="14"/>
                <w:szCs w:val="14"/>
                <w:color w:val="auto"/>
                <w:w w:val="91"/>
              </w:rPr>
              <w:t>12(b)</w:t>
            </w:r>
          </w:p>
        </w:tc>
        <w:tc>
          <w:tcPr>
            <w:tcW w:w="720" w:type="dxa"/>
            <w:vAlign w:val="bottom"/>
            <w:tcBorders>
              <w:top w:val="single" w:sz="8" w:color="auto"/>
            </w:tcBorders>
          </w:tcPr>
          <w:p>
            <w:pPr>
              <w:jc w:val="right"/>
              <w:spacing w:after="0" w:line="136"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1"/>
                <w:szCs w:val="11"/>
                <w:color w:val="auto"/>
              </w:rPr>
            </w:pPr>
          </w:p>
        </w:tc>
        <w:tc>
          <w:tcPr>
            <w:tcW w:w="720" w:type="dxa"/>
            <w:vAlign w:val="bottom"/>
            <w:tcBorders>
              <w:top w:val="single" w:sz="8" w:color="auto"/>
            </w:tcBorders>
          </w:tcPr>
          <w:p>
            <w:pPr>
              <w:jc w:val="right"/>
              <w:spacing w:after="0" w:line="136" w:lineRule="exact"/>
              <w:rPr>
                <w:sz w:val="20"/>
                <w:szCs w:val="20"/>
                <w:color w:val="auto"/>
              </w:rPr>
            </w:pPr>
            <w:r>
              <w:rPr>
                <w:rFonts w:ascii="Arial" w:cs="Arial" w:eastAsia="Arial" w:hAnsi="Arial"/>
                <w:sz w:val="14"/>
                <w:szCs w:val="14"/>
                <w:color w:val="auto"/>
              </w:rPr>
              <w:t>636,762</w:t>
            </w:r>
          </w:p>
        </w:tc>
        <w:tc>
          <w:tcPr>
            <w:tcW w:w="220" w:type="dxa"/>
            <w:vAlign w:val="bottom"/>
          </w:tcPr>
          <w:p>
            <w:pPr>
              <w:spacing w:after="0"/>
              <w:rPr>
                <w:sz w:val="11"/>
                <w:szCs w:val="11"/>
                <w:color w:val="auto"/>
              </w:rPr>
            </w:pPr>
          </w:p>
        </w:tc>
        <w:tc>
          <w:tcPr>
            <w:tcW w:w="660" w:type="dxa"/>
            <w:vAlign w:val="bottom"/>
            <w:tcBorders>
              <w:top w:val="single" w:sz="8" w:color="auto"/>
            </w:tcBorders>
          </w:tcPr>
          <w:p>
            <w:pPr>
              <w:jc w:val="right"/>
              <w:spacing w:after="0" w:line="136"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1"/>
                <w:szCs w:val="11"/>
                <w:color w:val="auto"/>
              </w:rPr>
            </w:pPr>
          </w:p>
        </w:tc>
        <w:tc>
          <w:tcPr>
            <w:tcW w:w="720" w:type="dxa"/>
            <w:vAlign w:val="bottom"/>
            <w:tcBorders>
              <w:top w:val="single" w:sz="8" w:color="auto"/>
            </w:tcBorders>
          </w:tcPr>
          <w:p>
            <w:pPr>
              <w:jc w:val="right"/>
              <w:spacing w:after="0" w:line="136" w:lineRule="exact"/>
              <w:rPr>
                <w:sz w:val="20"/>
                <w:szCs w:val="20"/>
                <w:color w:val="auto"/>
              </w:rPr>
            </w:pPr>
            <w:r>
              <w:rPr>
                <w:rFonts w:ascii="Arial" w:cs="Arial" w:eastAsia="Arial" w:hAnsi="Arial"/>
                <w:sz w:val="14"/>
                <w:szCs w:val="14"/>
                <w:color w:val="auto"/>
              </w:rPr>
              <w:t>636,762</w:t>
            </w:r>
          </w:p>
        </w:tc>
        <w:tc>
          <w:tcPr>
            <w:tcW w:w="220" w:type="dxa"/>
            <w:vAlign w:val="bottom"/>
          </w:tcPr>
          <w:p>
            <w:pPr>
              <w:spacing w:after="0"/>
              <w:rPr>
                <w:sz w:val="11"/>
                <w:szCs w:val="11"/>
                <w:color w:val="auto"/>
              </w:rPr>
            </w:pPr>
          </w:p>
        </w:tc>
        <w:tc>
          <w:tcPr>
            <w:tcW w:w="660" w:type="dxa"/>
            <w:vAlign w:val="bottom"/>
            <w:tcBorders>
              <w:top w:val="single" w:sz="8" w:color="auto"/>
            </w:tcBorders>
          </w:tcPr>
          <w:p>
            <w:pPr>
              <w:jc w:val="right"/>
              <w:spacing w:after="0" w:line="136"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1"/>
                <w:szCs w:val="11"/>
                <w:color w:val="auto"/>
              </w:rPr>
            </w:pPr>
          </w:p>
        </w:tc>
        <w:tc>
          <w:tcPr>
            <w:tcW w:w="740" w:type="dxa"/>
            <w:vAlign w:val="bottom"/>
            <w:tcBorders>
              <w:top w:val="single" w:sz="8" w:color="auto"/>
            </w:tcBorders>
          </w:tcPr>
          <w:p>
            <w:pPr>
              <w:jc w:val="right"/>
              <w:spacing w:after="0" w:line="136" w:lineRule="exact"/>
              <w:rPr>
                <w:sz w:val="20"/>
                <w:szCs w:val="20"/>
                <w:color w:val="auto"/>
              </w:rPr>
            </w:pPr>
            <w:r>
              <w:rPr>
                <w:rFonts w:ascii="Arial" w:cs="Arial" w:eastAsia="Arial" w:hAnsi="Arial"/>
                <w:sz w:val="14"/>
                <w:szCs w:val="14"/>
                <w:color w:val="auto"/>
              </w:rPr>
              <w:t>673,015</w:t>
            </w:r>
          </w:p>
        </w:tc>
        <w:tc>
          <w:tcPr>
            <w:tcW w:w="200" w:type="dxa"/>
            <w:vAlign w:val="bottom"/>
          </w:tcPr>
          <w:p>
            <w:pPr>
              <w:spacing w:after="0"/>
              <w:rPr>
                <w:sz w:val="11"/>
                <w:szCs w:val="11"/>
                <w:color w:val="auto"/>
              </w:rPr>
            </w:pPr>
          </w:p>
        </w:tc>
        <w:tc>
          <w:tcPr>
            <w:tcW w:w="660" w:type="dxa"/>
            <w:vAlign w:val="bottom"/>
            <w:tcBorders>
              <w:top w:val="single" w:sz="8" w:color="auto"/>
            </w:tcBorders>
          </w:tcPr>
          <w:p>
            <w:pPr>
              <w:jc w:val="right"/>
              <w:spacing w:after="0" w:line="136"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1"/>
                <w:szCs w:val="11"/>
                <w:color w:val="auto"/>
              </w:rPr>
            </w:pPr>
          </w:p>
        </w:tc>
        <w:tc>
          <w:tcPr>
            <w:tcW w:w="720" w:type="dxa"/>
            <w:vAlign w:val="bottom"/>
            <w:tcBorders>
              <w:top w:val="single" w:sz="8" w:color="auto"/>
            </w:tcBorders>
          </w:tcPr>
          <w:p>
            <w:pPr>
              <w:jc w:val="right"/>
              <w:spacing w:after="0" w:line="136" w:lineRule="exact"/>
              <w:rPr>
                <w:sz w:val="20"/>
                <w:szCs w:val="20"/>
                <w:color w:val="auto"/>
              </w:rPr>
            </w:pPr>
            <w:r>
              <w:rPr>
                <w:rFonts w:ascii="Arial" w:cs="Arial" w:eastAsia="Arial" w:hAnsi="Arial"/>
                <w:sz w:val="14"/>
                <w:szCs w:val="14"/>
                <w:color w:val="auto"/>
              </w:rPr>
              <w:t>673,015</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34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3440" w:type="dxa"/>
            <w:vAlign w:val="bottom"/>
          </w:tcPr>
          <w:p>
            <w:pPr>
              <w:spacing w:after="0" w:line="143" w:lineRule="exact"/>
              <w:rPr>
                <w:sz w:val="20"/>
                <w:szCs w:val="20"/>
                <w:color w:val="auto"/>
              </w:rPr>
            </w:pPr>
            <w:r>
              <w:rPr>
                <w:rFonts w:ascii="Arial" w:cs="Arial" w:eastAsia="Arial" w:hAnsi="Arial"/>
                <w:sz w:val="14"/>
                <w:szCs w:val="14"/>
                <w:color w:val="auto"/>
              </w:rPr>
              <w:t>Bonds and Notes issued at fair value</w:t>
            </w: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jc w:val="right"/>
              <w:ind w:right="220"/>
              <w:spacing w:after="0" w:line="143" w:lineRule="exact"/>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20"/>
              <w:spacing w:after="0" w:line="143" w:lineRule="exact"/>
              <w:rPr>
                <w:sz w:val="20"/>
                <w:szCs w:val="20"/>
                <w:color w:val="auto"/>
              </w:rPr>
            </w:pPr>
            <w:r>
              <w:rPr>
                <w:rFonts w:ascii="Arial" w:cs="Arial" w:eastAsia="Arial" w:hAnsi="Arial"/>
                <w:sz w:val="14"/>
                <w:szCs w:val="14"/>
                <w:color w:val="auto"/>
              </w:rPr>
              <w:t>7,986,539</w:t>
            </w:r>
          </w:p>
        </w:tc>
        <w:tc>
          <w:tcPr>
            <w:tcW w:w="860" w:type="dxa"/>
            <w:vAlign w:val="bottom"/>
            <w:gridSpan w:val="2"/>
          </w:tcPr>
          <w:p>
            <w:pPr>
              <w:jc w:val="right"/>
              <w:ind w:right="200"/>
              <w:spacing w:after="0" w:line="143" w:lineRule="exact"/>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20"/>
              <w:spacing w:after="0" w:line="143" w:lineRule="exact"/>
              <w:rPr>
                <w:sz w:val="20"/>
                <w:szCs w:val="20"/>
                <w:color w:val="auto"/>
              </w:rPr>
            </w:pPr>
            <w:r>
              <w:rPr>
                <w:rFonts w:ascii="Arial" w:cs="Arial" w:eastAsia="Arial" w:hAnsi="Arial"/>
                <w:sz w:val="14"/>
                <w:szCs w:val="14"/>
                <w:color w:val="auto"/>
              </w:rPr>
              <w:t>7,986,539</w:t>
            </w:r>
          </w:p>
        </w:tc>
        <w:tc>
          <w:tcPr>
            <w:tcW w:w="860" w:type="dxa"/>
            <w:vAlign w:val="bottom"/>
            <w:gridSpan w:val="2"/>
          </w:tcPr>
          <w:p>
            <w:pPr>
              <w:jc w:val="right"/>
              <w:ind w:right="200"/>
              <w:spacing w:after="0" w:line="143" w:lineRule="exact"/>
              <w:rPr>
                <w:sz w:val="20"/>
                <w:szCs w:val="20"/>
                <w:color w:val="auto"/>
              </w:rPr>
            </w:pPr>
            <w:r>
              <w:rPr>
                <w:rFonts w:ascii="Arial" w:cs="Arial" w:eastAsia="Arial" w:hAnsi="Arial"/>
                <w:sz w:val="14"/>
                <w:szCs w:val="14"/>
                <w:color w:val="auto"/>
              </w:rPr>
              <w:t>-</w:t>
            </w:r>
          </w:p>
        </w:tc>
        <w:tc>
          <w:tcPr>
            <w:tcW w:w="740" w:type="dxa"/>
            <w:vAlign w:val="bottom"/>
          </w:tcPr>
          <w:p>
            <w:pPr>
              <w:jc w:val="right"/>
              <w:spacing w:after="0" w:line="143" w:lineRule="exact"/>
              <w:rPr>
                <w:sz w:val="20"/>
                <w:szCs w:val="20"/>
                <w:color w:val="auto"/>
              </w:rPr>
            </w:pPr>
            <w:r>
              <w:rPr>
                <w:rFonts w:ascii="Arial" w:cs="Arial" w:eastAsia="Arial" w:hAnsi="Arial"/>
                <w:sz w:val="14"/>
                <w:szCs w:val="14"/>
                <w:color w:val="auto"/>
              </w:rPr>
              <w:t>8,412,515</w:t>
            </w:r>
          </w:p>
        </w:tc>
        <w:tc>
          <w:tcPr>
            <w:tcW w:w="200" w:type="dxa"/>
            <w:vAlign w:val="bottom"/>
          </w:tcPr>
          <w:p>
            <w:pPr>
              <w:spacing w:after="0"/>
              <w:rPr>
                <w:sz w:val="12"/>
                <w:szCs w:val="12"/>
                <w:color w:val="auto"/>
              </w:rPr>
            </w:pPr>
          </w:p>
        </w:tc>
        <w:tc>
          <w:tcPr>
            <w:tcW w:w="880" w:type="dxa"/>
            <w:vAlign w:val="bottom"/>
            <w:gridSpan w:val="2"/>
          </w:tcPr>
          <w:p>
            <w:pPr>
              <w:jc w:val="right"/>
              <w:ind w:right="220"/>
              <w:spacing w:after="0" w:line="143"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20"/>
              <w:spacing w:after="0" w:line="143" w:lineRule="exact"/>
              <w:rPr>
                <w:sz w:val="20"/>
                <w:szCs w:val="20"/>
                <w:color w:val="auto"/>
              </w:rPr>
            </w:pPr>
            <w:r>
              <w:rPr>
                <w:rFonts w:ascii="Arial" w:cs="Arial" w:eastAsia="Arial" w:hAnsi="Arial"/>
                <w:sz w:val="14"/>
                <w:szCs w:val="14"/>
                <w:color w:val="auto"/>
              </w:rPr>
              <w:t>8,412,515</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3440" w:type="dxa"/>
            <w:vAlign w:val="bottom"/>
            <w:shd w:val="clear" w:color="auto" w:fill="CCEEFF"/>
          </w:tcPr>
          <w:p>
            <w:pPr>
              <w:spacing w:after="0" w:line="156" w:lineRule="exact"/>
              <w:rPr>
                <w:sz w:val="20"/>
                <w:szCs w:val="20"/>
                <w:color w:val="auto"/>
              </w:rPr>
            </w:pPr>
            <w:r>
              <w:rPr>
                <w:rFonts w:ascii="Arial" w:cs="Arial" w:eastAsia="Arial" w:hAnsi="Arial"/>
                <w:sz w:val="14"/>
                <w:szCs w:val="14"/>
                <w:color w:val="auto"/>
              </w:rPr>
              <w:t>Financial liabilities at fair value through profit or loss</w:t>
            </w:r>
          </w:p>
        </w:tc>
        <w:tc>
          <w:tcPr>
            <w:tcW w:w="6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220"/>
              <w:spacing w:after="0" w:line="156"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220"/>
              <w:spacing w:after="0" w:line="156" w:lineRule="exact"/>
              <w:rPr>
                <w:sz w:val="20"/>
                <w:szCs w:val="20"/>
                <w:color w:val="auto"/>
              </w:rPr>
            </w:pPr>
            <w:r>
              <w:rPr>
                <w:rFonts w:ascii="Arial" w:cs="Arial" w:eastAsia="Arial" w:hAnsi="Arial"/>
                <w:sz w:val="14"/>
                <w:szCs w:val="14"/>
                <w:color w:val="auto"/>
              </w:rPr>
              <w:t>168,089</w:t>
            </w:r>
          </w:p>
        </w:tc>
        <w:tc>
          <w:tcPr>
            <w:tcW w:w="860" w:type="dxa"/>
            <w:vAlign w:val="bottom"/>
            <w:gridSpan w:val="2"/>
            <w:shd w:val="clear" w:color="auto" w:fill="CCEEFF"/>
          </w:tcPr>
          <w:p>
            <w:pPr>
              <w:jc w:val="right"/>
              <w:ind w:right="200"/>
              <w:spacing w:after="0" w:line="156"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220"/>
              <w:spacing w:after="0" w:line="156" w:lineRule="exact"/>
              <w:rPr>
                <w:sz w:val="20"/>
                <w:szCs w:val="20"/>
                <w:color w:val="auto"/>
              </w:rPr>
            </w:pPr>
            <w:r>
              <w:rPr>
                <w:rFonts w:ascii="Arial" w:cs="Arial" w:eastAsia="Arial" w:hAnsi="Arial"/>
                <w:sz w:val="14"/>
                <w:szCs w:val="14"/>
                <w:color w:val="auto"/>
              </w:rPr>
              <w:t>168,089</w:t>
            </w:r>
          </w:p>
        </w:tc>
        <w:tc>
          <w:tcPr>
            <w:tcW w:w="860" w:type="dxa"/>
            <w:vAlign w:val="bottom"/>
            <w:gridSpan w:val="2"/>
            <w:shd w:val="clear" w:color="auto" w:fill="CCEEFF"/>
          </w:tcPr>
          <w:p>
            <w:pPr>
              <w:jc w:val="right"/>
              <w:ind w:right="200"/>
              <w:spacing w:after="0" w:line="156"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200"/>
              <w:spacing w:after="0" w:line="156" w:lineRule="exact"/>
              <w:rPr>
                <w:sz w:val="20"/>
                <w:szCs w:val="20"/>
                <w:color w:val="auto"/>
              </w:rPr>
            </w:pPr>
            <w:r>
              <w:rPr>
                <w:rFonts w:ascii="Arial" w:cs="Arial" w:eastAsia="Arial" w:hAnsi="Arial"/>
                <w:sz w:val="14"/>
                <w:szCs w:val="14"/>
                <w:color w:val="auto"/>
              </w:rPr>
              <w:t>209,520</w:t>
            </w:r>
          </w:p>
        </w:tc>
        <w:tc>
          <w:tcPr>
            <w:tcW w:w="880" w:type="dxa"/>
            <w:vAlign w:val="bottom"/>
            <w:gridSpan w:val="2"/>
            <w:shd w:val="clear" w:color="auto" w:fill="CCEEFF"/>
          </w:tcPr>
          <w:p>
            <w:pPr>
              <w:jc w:val="right"/>
              <w:ind w:right="220"/>
              <w:spacing w:after="0" w:line="156"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20"/>
              <w:spacing w:after="0" w:line="156" w:lineRule="exact"/>
              <w:rPr>
                <w:sz w:val="20"/>
                <w:szCs w:val="20"/>
                <w:color w:val="auto"/>
              </w:rPr>
            </w:pPr>
            <w:r>
              <w:rPr>
                <w:rFonts w:ascii="Arial" w:cs="Arial" w:eastAsia="Arial" w:hAnsi="Arial"/>
                <w:sz w:val="14"/>
                <w:szCs w:val="14"/>
                <w:color w:val="auto"/>
              </w:rPr>
              <w:t>209,520</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440" w:type="dxa"/>
            <w:vAlign w:val="bottom"/>
          </w:tcPr>
          <w:p>
            <w:pPr>
              <w:spacing w:after="0" w:line="149" w:lineRule="exact"/>
              <w:rPr>
                <w:sz w:val="20"/>
                <w:szCs w:val="20"/>
                <w:color w:val="auto"/>
              </w:rPr>
            </w:pPr>
            <w:r>
              <w:rPr>
                <w:rFonts w:ascii="Arial" w:cs="Arial" w:eastAsia="Arial" w:hAnsi="Arial"/>
                <w:sz w:val="14"/>
                <w:szCs w:val="14"/>
                <w:b w:val="1"/>
                <w:bCs w:val="1"/>
                <w:color w:val="auto"/>
              </w:rPr>
              <w:t>Total financial liabilities</w:t>
            </w: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72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8,791,390</w:t>
            </w:r>
          </w:p>
        </w:tc>
        <w:tc>
          <w:tcPr>
            <w:tcW w:w="220" w:type="dxa"/>
            <w:vAlign w:val="bottom"/>
          </w:tcPr>
          <w:p>
            <w:pPr>
              <w:spacing w:after="0"/>
              <w:rPr>
                <w:sz w:val="12"/>
                <w:szCs w:val="12"/>
                <w:color w:val="auto"/>
              </w:rPr>
            </w:pPr>
          </w:p>
        </w:tc>
        <w:tc>
          <w:tcPr>
            <w:tcW w:w="66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72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8,791,390</w:t>
            </w:r>
          </w:p>
        </w:tc>
        <w:tc>
          <w:tcPr>
            <w:tcW w:w="220" w:type="dxa"/>
            <w:vAlign w:val="bottom"/>
          </w:tcPr>
          <w:p>
            <w:pPr>
              <w:spacing w:after="0"/>
              <w:rPr>
                <w:sz w:val="12"/>
                <w:szCs w:val="12"/>
                <w:color w:val="auto"/>
              </w:rPr>
            </w:pPr>
          </w:p>
        </w:tc>
        <w:tc>
          <w:tcPr>
            <w:tcW w:w="66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74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9,295,050</w:t>
            </w:r>
          </w:p>
        </w:tc>
        <w:tc>
          <w:tcPr>
            <w:tcW w:w="200" w:type="dxa"/>
            <w:vAlign w:val="bottom"/>
          </w:tcPr>
          <w:p>
            <w:pPr>
              <w:spacing w:after="0"/>
              <w:rPr>
                <w:sz w:val="12"/>
                <w:szCs w:val="12"/>
                <w:color w:val="auto"/>
              </w:rPr>
            </w:pPr>
          </w:p>
        </w:tc>
        <w:tc>
          <w:tcPr>
            <w:tcW w:w="66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72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9,295,050</w:t>
            </w:r>
          </w:p>
        </w:tc>
        <w:tc>
          <w:tcPr>
            <w:tcW w:w="2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4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- 142 -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15875</wp:posOffset>
            </wp:positionV>
            <wp:extent cx="725170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51700" cy="8255"/>
                    </a:xfrm>
                    <a:prstGeom prst="rect">
                      <a:avLst/>
                    </a:prstGeom>
                    <a:noFill/>
                  </pic:spPr>
                </pic:pic>
              </a:graphicData>
            </a:graphic>
          </wp:anchor>
        </w:drawing>
      </w:r>
    </w:p>
    <w:p>
      <w:pPr>
        <w:sectPr>
          <w:pgSz w:w="11900" w:h="16838" w:orient="portrait"/>
          <w:cols w:equalWidth="0" w:num="1">
            <w:col w:w="11420"/>
          </w:cols>
          <w:pgMar w:left="240" w:top="875" w:right="239" w:bottom="1440" w:gutter="0" w:footer="0" w:header="0"/>
        </w:sectPr>
      </w:pPr>
    </w:p>
    <w:bookmarkStart w:id="148" w:name="page149"/>
    <w:bookmarkEnd w:id="148"/>
    <w:p>
      <w:pPr>
        <w:ind w:right="60"/>
        <w:spacing w:after="0" w:line="270" w:lineRule="auto"/>
        <w:rPr>
          <w:sz w:val="20"/>
          <w:szCs w:val="20"/>
          <w:color w:val="auto"/>
        </w:rPr>
      </w:pPr>
      <w:r>
        <w:rPr>
          <w:rFonts w:ascii="Arial" w:cs="Arial" w:eastAsia="Arial" w:hAnsi="Arial"/>
          <w:sz w:val="17"/>
          <w:szCs w:val="17"/>
          <w:color w:val="auto"/>
        </w:rPr>
        <w:t>Financial instruments included in the Level 1 category are those that are measured on the basis of quotations obtained in an active market. A financial instrument is regarded as quoted in an active market if quoted prices are readily and regularly available from an exchange, dealer, broker, industry group, pricing service or regulatory agency and those prices represent actual and regularly occurring market transactions on an arm’s length basis.</w:t>
      </w:r>
    </w:p>
    <w:p>
      <w:pPr>
        <w:spacing w:after="0" w:line="172" w:lineRule="exact"/>
        <w:rPr>
          <w:sz w:val="20"/>
          <w:szCs w:val="20"/>
          <w:color w:val="auto"/>
        </w:rPr>
      </w:pPr>
    </w:p>
    <w:p>
      <w:pPr>
        <w:ind w:right="200"/>
        <w:spacing w:after="0" w:line="270" w:lineRule="auto"/>
        <w:rPr>
          <w:sz w:val="20"/>
          <w:szCs w:val="20"/>
          <w:color w:val="auto"/>
        </w:rPr>
      </w:pPr>
      <w:r>
        <w:rPr>
          <w:rFonts w:ascii="Arial" w:cs="Arial" w:eastAsia="Arial" w:hAnsi="Arial"/>
          <w:sz w:val="17"/>
          <w:szCs w:val="17"/>
          <w:color w:val="auto"/>
        </w:rPr>
        <w:t>Financial instruments included in the Level 2 category are those that are measured on the basis of observable market factors. This category includes instruments valued using: quoted prices for similar instruments, either in active or less active markets and other valuation techniques (models) where all significant inputs are directly or indirectly observable based on market data.</w:t>
      </w:r>
    </w:p>
    <w:p>
      <w:pPr>
        <w:spacing w:after="0" w:line="172" w:lineRule="exact"/>
        <w:rPr>
          <w:sz w:val="20"/>
          <w:szCs w:val="20"/>
          <w:color w:val="auto"/>
        </w:rPr>
      </w:pPr>
    </w:p>
    <w:p>
      <w:pPr>
        <w:ind w:right="220"/>
        <w:spacing w:after="0" w:line="318" w:lineRule="auto"/>
        <w:rPr>
          <w:sz w:val="20"/>
          <w:szCs w:val="20"/>
          <w:color w:val="auto"/>
        </w:rPr>
      </w:pPr>
      <w:r>
        <w:rPr>
          <w:rFonts w:ascii="Arial" w:cs="Arial" w:eastAsia="Arial" w:hAnsi="Arial"/>
          <w:sz w:val="16"/>
          <w:szCs w:val="16"/>
          <w:color w:val="auto"/>
        </w:rPr>
        <w:t>Following is a description of how fair value is determined for the main Group’s financial instruments where valuation techniques were used with inputs based on market data which incorporate Credicorp’s estimates on the assumptions that market participants would use for measuring these financial instruments:</w:t>
      </w:r>
    </w:p>
    <w:p>
      <w:pPr>
        <w:spacing w:after="0" w:line="136" w:lineRule="exact"/>
        <w:rPr>
          <w:sz w:val="20"/>
          <w:szCs w:val="20"/>
          <w:color w:val="auto"/>
        </w:rPr>
      </w:pPr>
    </w:p>
    <w:p>
      <w:pPr>
        <w:spacing w:after="0"/>
        <w:tabs>
          <w:tab w:leader="none" w:pos="300" w:val="left"/>
        </w:tabs>
        <w:rPr>
          <w:sz w:val="20"/>
          <w:szCs w:val="20"/>
          <w:color w:val="auto"/>
        </w:rPr>
      </w:pPr>
      <w:r>
        <w:rPr>
          <w:rFonts w:ascii="Arial" w:cs="Arial" w:eastAsia="Arial" w:hAnsi="Arial"/>
          <w:sz w:val="17"/>
          <w:szCs w:val="17"/>
          <w:color w:val="auto"/>
        </w:rPr>
        <w:t>-</w:t>
        <w:tab/>
        <w:t>Valuation of derivative financial instruments -</w:t>
      </w:r>
    </w:p>
    <w:p>
      <w:pPr>
        <w:spacing w:after="0" w:line="324" w:lineRule="exact"/>
        <w:rPr>
          <w:sz w:val="20"/>
          <w:szCs w:val="20"/>
          <w:color w:val="auto"/>
        </w:rPr>
      </w:pPr>
    </w:p>
    <w:p>
      <w:pPr>
        <w:ind w:left="320" w:right="240"/>
        <w:spacing w:after="0" w:line="265" w:lineRule="auto"/>
        <w:rPr>
          <w:sz w:val="20"/>
          <w:szCs w:val="20"/>
          <w:color w:val="auto"/>
        </w:rPr>
      </w:pPr>
      <w:r>
        <w:rPr>
          <w:rFonts w:ascii="Arial" w:cs="Arial" w:eastAsia="Arial" w:hAnsi="Arial"/>
          <w:sz w:val="17"/>
          <w:szCs w:val="17"/>
          <w:color w:val="auto"/>
        </w:rPr>
        <w:t>Interest rate swaps, currency swaps and forward exchange contracts are measured by using valuation techniques where inputs are based on market data. The most frequently applied valuation techniques include forward pricing and swap models, using present value calculations. The models incorporate various inputs, including the credit quality of counterparties, foreign exchange, forward rates and interest rate curves. Options are valued using well-known, widely accepted valuation models.</w:t>
      </w:r>
    </w:p>
    <w:p>
      <w:pPr>
        <w:spacing w:after="0" w:line="176" w:lineRule="exact"/>
        <w:rPr>
          <w:sz w:val="20"/>
          <w:szCs w:val="20"/>
          <w:color w:val="auto"/>
        </w:rPr>
      </w:pPr>
    </w:p>
    <w:p>
      <w:pPr>
        <w:ind w:left="320"/>
        <w:spacing w:after="0" w:line="265" w:lineRule="auto"/>
        <w:rPr>
          <w:sz w:val="20"/>
          <w:szCs w:val="20"/>
          <w:color w:val="auto"/>
        </w:rPr>
      </w:pPr>
      <w:r>
        <w:rPr>
          <w:rFonts w:ascii="Arial" w:cs="Arial" w:eastAsia="Arial" w:hAnsi="Arial"/>
          <w:sz w:val="17"/>
          <w:szCs w:val="17"/>
          <w:color w:val="auto"/>
        </w:rPr>
        <w:t>A credit valuation adjustment (CVA) is applied to the “Over-The-Counter” derivative exposures to take into account the counterparty’s risk of default when measuring the fair value of the derivative. CVA is the mark-to market cost of protection required to hedge credit risk from counterparties in this type of derivatives portfolio. CVA is calculated by multiplying the probability of default (PD), the loss given default (LGD) and the expected exposure (EE) at the time of default.</w:t>
      </w:r>
    </w:p>
    <w:p>
      <w:pPr>
        <w:spacing w:after="0" w:line="176" w:lineRule="exact"/>
        <w:rPr>
          <w:sz w:val="20"/>
          <w:szCs w:val="20"/>
          <w:color w:val="auto"/>
        </w:rPr>
      </w:pPr>
    </w:p>
    <w:p>
      <w:pPr>
        <w:ind w:left="320" w:right="480"/>
        <w:spacing w:after="0" w:line="285" w:lineRule="auto"/>
        <w:rPr>
          <w:sz w:val="20"/>
          <w:szCs w:val="20"/>
          <w:color w:val="auto"/>
        </w:rPr>
      </w:pPr>
      <w:r>
        <w:rPr>
          <w:rFonts w:ascii="Arial" w:cs="Arial" w:eastAsia="Arial" w:hAnsi="Arial"/>
          <w:sz w:val="17"/>
          <w:szCs w:val="17"/>
          <w:color w:val="auto"/>
        </w:rPr>
        <w:t>A debit valuation adjustment (DVA) is applied to include the Group’s own credit risk in the fair value of derivatives (that is the risk that the Group might default on its contractual obligations), using the same methodology as for CVA.</w:t>
      </w:r>
    </w:p>
    <w:p>
      <w:pPr>
        <w:spacing w:after="0" w:line="159" w:lineRule="exact"/>
        <w:rPr>
          <w:sz w:val="20"/>
          <w:szCs w:val="20"/>
          <w:color w:val="auto"/>
        </w:rPr>
      </w:pPr>
    </w:p>
    <w:p>
      <w:pPr>
        <w:ind w:left="320" w:right="40"/>
        <w:spacing w:after="0" w:line="305" w:lineRule="auto"/>
        <w:rPr>
          <w:sz w:val="20"/>
          <w:szCs w:val="20"/>
          <w:color w:val="auto"/>
        </w:rPr>
      </w:pPr>
      <w:r>
        <w:rPr>
          <w:rFonts w:ascii="Arial" w:cs="Arial" w:eastAsia="Arial" w:hAnsi="Arial"/>
          <w:sz w:val="15"/>
          <w:szCs w:val="15"/>
          <w:color w:val="auto"/>
        </w:rPr>
        <w:t>As of December 31, 2017, the balance of receivables and payables corresponding to derivatives amounted to S/701.8 million and S/636.8 million, respectively, See Note 12(b), generating DVA and CVA adjustments for approximately S/12.6 million and S/16.3 million, respectively. The net impact of both items in the consolidated statement of income amounted to S/1.4 million. As of December 31, 2016, the balance of receivables and payables corresponding to derivatives amounted to S/942.6 million and S/673.0 million, respectively, See Note 12(b), generating DVA and CVA adjustments for approximately S/8.0 million and S/15.0 million, respectively. Also, the net impact of both items in the consolidated statement of income amounted to S/9.3 million.</w:t>
      </w:r>
    </w:p>
    <w:p>
      <w:pPr>
        <w:spacing w:after="0" w:line="151" w:lineRule="exact"/>
        <w:rPr>
          <w:sz w:val="20"/>
          <w:szCs w:val="20"/>
          <w:color w:val="auto"/>
        </w:rPr>
      </w:pPr>
    </w:p>
    <w:p>
      <w:pPr>
        <w:spacing w:after="0"/>
        <w:tabs>
          <w:tab w:leader="none" w:pos="300" w:val="left"/>
        </w:tabs>
        <w:rPr>
          <w:sz w:val="20"/>
          <w:szCs w:val="20"/>
          <w:color w:val="auto"/>
        </w:rPr>
      </w:pPr>
      <w:r>
        <w:rPr>
          <w:rFonts w:ascii="Arial" w:cs="Arial" w:eastAsia="Arial" w:hAnsi="Arial"/>
          <w:sz w:val="17"/>
          <w:szCs w:val="17"/>
          <w:color w:val="auto"/>
        </w:rPr>
        <w:t>-</w:t>
        <w:tab/>
        <w:t>Valuation of debt securities available for sale classified in level 2 -</w:t>
      </w:r>
    </w:p>
    <w:p>
      <w:pPr>
        <w:spacing w:after="0" w:line="324" w:lineRule="exact"/>
        <w:rPr>
          <w:sz w:val="20"/>
          <w:szCs w:val="20"/>
          <w:color w:val="auto"/>
        </w:rPr>
      </w:pPr>
    </w:p>
    <w:p>
      <w:pPr>
        <w:ind w:left="320" w:right="200"/>
        <w:spacing w:after="0" w:line="270" w:lineRule="auto"/>
        <w:rPr>
          <w:sz w:val="20"/>
          <w:szCs w:val="20"/>
          <w:color w:val="auto"/>
        </w:rPr>
      </w:pPr>
      <w:r>
        <w:rPr>
          <w:rFonts w:ascii="Arial" w:cs="Arial" w:eastAsia="Arial" w:hAnsi="Arial"/>
          <w:sz w:val="17"/>
          <w:szCs w:val="17"/>
          <w:color w:val="auto"/>
        </w:rPr>
        <w:t>Valuation of BCRP certificates of deposit, corporate, leasing, subordinated bonds and Government treasury bonds are measured calculating their Net Present Values (NPV) through discounted cash flows, using appropriate and relevant zero coupon rate curves to discount cash flows in the respective currency and considering observable current market transactions.</w:t>
      </w:r>
    </w:p>
    <w:p>
      <w:pPr>
        <w:spacing w:after="0" w:line="172" w:lineRule="exact"/>
        <w:rPr>
          <w:sz w:val="20"/>
          <w:szCs w:val="20"/>
          <w:color w:val="auto"/>
        </w:rPr>
      </w:pPr>
    </w:p>
    <w:p>
      <w:pPr>
        <w:ind w:left="320"/>
        <w:spacing w:after="0" w:line="265" w:lineRule="auto"/>
        <w:rPr>
          <w:sz w:val="20"/>
          <w:szCs w:val="20"/>
          <w:color w:val="auto"/>
        </w:rPr>
      </w:pPr>
      <w:r>
        <w:rPr>
          <w:rFonts w:ascii="Arial" w:cs="Arial" w:eastAsia="Arial" w:hAnsi="Arial"/>
          <w:sz w:val="17"/>
          <w:szCs w:val="17"/>
          <w:color w:val="auto"/>
        </w:rPr>
        <w:t>BCRP certificates of deposit (CD BCRP) are securities issued at a discount in order to regulate the liquidity of the financial system. They are placed mainly through public auction or direct placement, are freely negotiable by their holders in the Peruvian secondary market and may be used as collateral in Repurchase agreements transactions of securities with the BCRP. During 2017, the average daily placement of (CD BCRP) was S/205.0 million, with maturities between 1 and 18 months.</w:t>
      </w:r>
    </w:p>
    <w:p>
      <w:pPr>
        <w:spacing w:after="0" w:line="384"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- 143 -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15875</wp:posOffset>
            </wp:positionV>
            <wp:extent cx="725170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51700" cy="8255"/>
                    </a:xfrm>
                    <a:prstGeom prst="rect">
                      <a:avLst/>
                    </a:prstGeom>
                    <a:noFill/>
                  </pic:spPr>
                </pic:pic>
              </a:graphicData>
            </a:graphic>
          </wp:anchor>
        </w:drawing>
      </w:r>
    </w:p>
    <w:p>
      <w:pPr>
        <w:sectPr>
          <w:pgSz w:w="11900" w:h="16838" w:orient="portrait"/>
          <w:cols w:equalWidth="0" w:num="1">
            <w:col w:w="11380"/>
          </w:cols>
          <w:pgMar w:left="240" w:top="881" w:right="279" w:bottom="1440" w:gutter="0" w:footer="0" w:header="0"/>
        </w:sectPr>
      </w:pPr>
    </w:p>
    <w:bookmarkStart w:id="149" w:name="page150"/>
    <w:bookmarkEnd w:id="149"/>
    <w:p>
      <w:pPr>
        <w:spacing w:after="0" w:line="270" w:lineRule="auto"/>
        <w:rPr>
          <w:sz w:val="20"/>
          <w:szCs w:val="20"/>
          <w:color w:val="auto"/>
        </w:rPr>
      </w:pPr>
      <w:r>
        <w:rPr>
          <w:rFonts w:ascii="Arial" w:cs="Arial" w:eastAsia="Arial" w:hAnsi="Arial"/>
          <w:sz w:val="17"/>
          <w:szCs w:val="17"/>
          <w:color w:val="auto"/>
        </w:rPr>
        <w:t>Other debt instruments are measured using valuation techniques based on assumptions supported by prices from observable current market transactions, obtained via pricing services. Nevertheless, when prices have not been determined in an active market, fair values are based on broker quotes and assets that are valued using models whereby the majority of assumptions are market observable.</w:t>
      </w:r>
    </w:p>
    <w:p>
      <w:pPr>
        <w:spacing w:after="0" w:line="172" w:lineRule="exact"/>
        <w:rPr>
          <w:sz w:val="20"/>
          <w:szCs w:val="20"/>
          <w:color w:val="auto"/>
        </w:rPr>
      </w:pPr>
    </w:p>
    <w:p>
      <w:pPr>
        <w:ind w:right="140"/>
        <w:spacing w:after="0" w:line="285" w:lineRule="auto"/>
        <w:rPr>
          <w:sz w:val="20"/>
          <w:szCs w:val="20"/>
          <w:color w:val="auto"/>
        </w:rPr>
      </w:pPr>
      <w:r>
        <w:rPr>
          <w:rFonts w:ascii="Arial" w:cs="Arial" w:eastAsia="Arial" w:hAnsi="Arial"/>
          <w:sz w:val="17"/>
          <w:szCs w:val="17"/>
          <w:color w:val="auto"/>
        </w:rPr>
        <w:t>Financial instruments included in the Level 3 category are those that are measured using valuation techniques based on assumptions that are neither supported by prices from observable current market transactions in the same instrument nor are they based on available market data.</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color w:val="auto"/>
        </w:rPr>
        <w:t>In this regard, no significant differences were noted between the estimated fair values and the respective carrying amounts.</w:t>
      </w:r>
    </w:p>
    <w:p>
      <w:pPr>
        <w:spacing w:after="0" w:line="220" w:lineRule="exact"/>
        <w:rPr>
          <w:sz w:val="20"/>
          <w:szCs w:val="20"/>
          <w:color w:val="auto"/>
        </w:rPr>
      </w:pPr>
    </w:p>
    <w:p>
      <w:pPr>
        <w:ind w:right="40"/>
        <w:spacing w:after="0" w:line="265" w:lineRule="auto"/>
        <w:rPr>
          <w:sz w:val="20"/>
          <w:szCs w:val="20"/>
          <w:color w:val="auto"/>
        </w:rPr>
      </w:pPr>
      <w:r>
        <w:rPr>
          <w:rFonts w:ascii="Arial" w:cs="Arial" w:eastAsia="Arial" w:hAnsi="Arial"/>
          <w:sz w:val="17"/>
          <w:szCs w:val="17"/>
          <w:color w:val="auto"/>
        </w:rPr>
        <w:t>As of December 31, 2017 and 2016, the net unrealized gain of Level 3 financial instruments amounted to S/39.1 million and S/40.6 million, respectively. During 2017 and 2016, changes in the carrying amount of Level 3 financial instruments have not been significant since there were no purchases, issuances, settlements or any other significant movements or transfers from level 3 to Level 1 or Level 2 or vice versa. Also, there have been no transfers between Level 1 and Level 2.</w:t>
      </w:r>
    </w:p>
    <w:p>
      <w:pPr>
        <w:spacing w:after="0" w:line="384" w:lineRule="exact"/>
        <w:rPr>
          <w:sz w:val="20"/>
          <w:szCs w:val="20"/>
          <w:color w:val="auto"/>
        </w:rPr>
      </w:pPr>
    </w:p>
    <w:p>
      <w:pPr>
        <w:jc w:val="center"/>
        <w:ind w:right="280"/>
        <w:spacing w:after="0"/>
        <w:rPr>
          <w:sz w:val="20"/>
          <w:szCs w:val="20"/>
          <w:color w:val="auto"/>
        </w:rPr>
      </w:pPr>
      <w:r>
        <w:rPr>
          <w:rFonts w:ascii="Arial" w:cs="Arial" w:eastAsia="Arial" w:hAnsi="Arial"/>
          <w:sz w:val="17"/>
          <w:szCs w:val="17"/>
          <w:color w:val="auto"/>
        </w:rPr>
        <w:t>- 144 -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-200025</wp:posOffset>
            </wp:positionH>
            <wp:positionV relativeFrom="paragraph">
              <wp:posOffset>15875</wp:posOffset>
            </wp:positionV>
            <wp:extent cx="725170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51700" cy="8255"/>
                    </a:xfrm>
                    <a:prstGeom prst="rect">
                      <a:avLst/>
                    </a:prstGeom>
                    <a:noFill/>
                  </pic:spPr>
                </pic:pic>
              </a:graphicData>
            </a:graphic>
          </wp:anchor>
        </w:drawing>
      </w:r>
    </w:p>
    <w:p>
      <w:pPr>
        <w:sectPr>
          <w:pgSz w:w="11900" w:h="16838" w:orient="portrait"/>
          <w:cols w:equalWidth="0" w:num="1">
            <w:col w:w="11080"/>
          </w:cols>
          <w:pgMar w:left="560" w:top="881" w:right="259" w:bottom="1440" w:gutter="0" w:footer="0" w:header="0"/>
        </w:sectPr>
      </w:pPr>
    </w:p>
    <w:bookmarkStart w:id="150" w:name="page151"/>
    <w:bookmarkEnd w:id="150"/>
    <w:p>
      <w:pPr>
        <w:spacing w:after="0"/>
        <w:tabs>
          <w:tab w:leader="none" w:pos="300" w:val="left"/>
        </w:tabs>
        <w:rPr>
          <w:sz w:val="20"/>
          <w:szCs w:val="20"/>
          <w:color w:val="auto"/>
        </w:rPr>
      </w:pPr>
      <w:r>
        <w:rPr>
          <w:rFonts w:ascii="Arial" w:cs="Arial" w:eastAsia="Arial" w:hAnsi="Arial"/>
          <w:sz w:val="17"/>
          <w:szCs w:val="17"/>
          <w:color w:val="auto"/>
        </w:rPr>
        <w:t>b)</w:t>
      </w:r>
      <w:r>
        <w:rPr>
          <w:sz w:val="20"/>
          <w:szCs w:val="20"/>
          <w:color w:val="auto"/>
        </w:rPr>
        <w:tab/>
      </w:r>
      <w:r>
        <w:rPr>
          <w:rFonts w:ascii="Arial" w:cs="Arial" w:eastAsia="Arial" w:hAnsi="Arial"/>
          <w:sz w:val="15"/>
          <w:szCs w:val="15"/>
          <w:color w:val="auto"/>
        </w:rPr>
        <w:t>Financial instruments not measured at fair value -</w:t>
      </w:r>
    </w:p>
    <w:p>
      <w:pPr>
        <w:spacing w:after="0" w:line="220" w:lineRule="exact"/>
        <w:rPr>
          <w:sz w:val="20"/>
          <w:szCs w:val="20"/>
          <w:color w:val="auto"/>
        </w:rPr>
      </w:pPr>
    </w:p>
    <w:p>
      <w:pPr>
        <w:ind w:left="320" w:right="380"/>
        <w:spacing w:after="0" w:line="285" w:lineRule="auto"/>
        <w:rPr>
          <w:sz w:val="20"/>
          <w:szCs w:val="20"/>
          <w:color w:val="auto"/>
        </w:rPr>
      </w:pPr>
      <w:r>
        <w:rPr>
          <w:rFonts w:ascii="Arial" w:cs="Arial" w:eastAsia="Arial" w:hAnsi="Arial"/>
          <w:sz w:val="17"/>
          <w:szCs w:val="17"/>
          <w:color w:val="auto"/>
        </w:rPr>
        <w:t>Set out below is the disclosure of the comparison between the carrying amounts and fair values of the financial instruments, which are not measured at fair value, presented in the consolidated statement of financial position by level of the fair value hierarchy:</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258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680" w:type="dxa"/>
            <w:vAlign w:val="bottom"/>
            <w:tcBorders>
              <w:bottom w:val="single" w:sz="8" w:color="auto"/>
            </w:tcBorders>
            <w:gridSpan w:val="6"/>
          </w:tcPr>
          <w:p>
            <w:pPr>
              <w:jc w:val="right"/>
              <w:ind w:right="640"/>
              <w:spacing w:after="0"/>
              <w:rPr>
                <w:sz w:val="20"/>
                <w:szCs w:val="20"/>
                <w:color w:val="auto"/>
              </w:rPr>
            </w:pPr>
            <w:r>
              <w:rPr>
                <w:rFonts w:ascii="Arial" w:cs="Arial" w:eastAsia="Arial" w:hAnsi="Arial"/>
                <w:sz w:val="14"/>
                <w:szCs w:val="14"/>
                <w:b w:val="1"/>
                <w:bCs w:val="1"/>
                <w:color w:val="auto"/>
              </w:rPr>
              <w:t>As of December 31, 2017</w:t>
            </w:r>
          </w:p>
        </w:tc>
        <w:tc>
          <w:tcPr>
            <w:tcW w:w="78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660" w:type="dxa"/>
            <w:vAlign w:val="bottom"/>
            <w:tcBorders>
              <w:bottom w:val="single" w:sz="8" w:color="auto"/>
            </w:tcBorders>
            <w:gridSpan w:val="6"/>
          </w:tcPr>
          <w:p>
            <w:pPr>
              <w:ind w:left="580"/>
              <w:spacing w:after="0"/>
              <w:rPr>
                <w:sz w:val="20"/>
                <w:szCs w:val="20"/>
                <w:color w:val="auto"/>
              </w:rPr>
            </w:pPr>
            <w:r>
              <w:rPr>
                <w:rFonts w:ascii="Arial" w:cs="Arial" w:eastAsia="Arial" w:hAnsi="Arial"/>
                <w:sz w:val="14"/>
                <w:szCs w:val="14"/>
                <w:b w:val="1"/>
                <w:bCs w:val="1"/>
                <w:color w:val="auto"/>
              </w:rPr>
              <w:t>As of December 31, 2016</w:t>
            </w:r>
          </w:p>
        </w:tc>
        <w:tc>
          <w:tcPr>
            <w:tcW w:w="80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49"/>
        </w:trPr>
        <w:tc>
          <w:tcPr>
            <w:tcW w:w="2580" w:type="dxa"/>
            <w:vAlign w:val="bottom"/>
          </w:tcPr>
          <w:p>
            <w:pPr>
              <w:spacing w:after="0"/>
              <w:rPr>
                <w:sz w:val="12"/>
                <w:szCs w:val="12"/>
                <w:color w:val="auto"/>
              </w:rPr>
            </w:pPr>
          </w:p>
        </w:tc>
        <w:tc>
          <w:tcPr>
            <w:tcW w:w="820" w:type="dxa"/>
            <w:vAlign w:val="bottom"/>
            <w:gridSpan w:val="2"/>
          </w:tcPr>
          <w:p>
            <w:pPr>
              <w:jc w:val="right"/>
              <w:ind w:right="280"/>
              <w:spacing w:after="0" w:line="149" w:lineRule="exact"/>
              <w:rPr>
                <w:sz w:val="20"/>
                <w:szCs w:val="20"/>
                <w:color w:val="auto"/>
              </w:rPr>
            </w:pPr>
            <w:r>
              <w:rPr>
                <w:rFonts w:ascii="Arial" w:cs="Arial" w:eastAsia="Arial" w:hAnsi="Arial"/>
                <w:sz w:val="14"/>
                <w:szCs w:val="14"/>
                <w:b w:val="1"/>
                <w:bCs w:val="1"/>
                <w:color w:val="auto"/>
              </w:rPr>
              <w:t>Level 1</w:t>
            </w:r>
          </w:p>
        </w:tc>
        <w:tc>
          <w:tcPr>
            <w:tcW w:w="980" w:type="dxa"/>
            <w:vAlign w:val="bottom"/>
            <w:gridSpan w:val="2"/>
          </w:tcPr>
          <w:p>
            <w:pPr>
              <w:jc w:val="right"/>
              <w:ind w:right="360"/>
              <w:spacing w:after="0" w:line="149" w:lineRule="exact"/>
              <w:rPr>
                <w:sz w:val="20"/>
                <w:szCs w:val="20"/>
                <w:color w:val="auto"/>
              </w:rPr>
            </w:pPr>
            <w:r>
              <w:rPr>
                <w:rFonts w:ascii="Arial" w:cs="Arial" w:eastAsia="Arial" w:hAnsi="Arial"/>
                <w:sz w:val="14"/>
                <w:szCs w:val="14"/>
                <w:b w:val="1"/>
                <w:bCs w:val="1"/>
                <w:color w:val="auto"/>
              </w:rPr>
              <w:t>Level 2</w:t>
            </w:r>
          </w:p>
        </w:tc>
        <w:tc>
          <w:tcPr>
            <w:tcW w:w="72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Level 3</w:t>
            </w:r>
          </w:p>
        </w:tc>
        <w:tc>
          <w:tcPr>
            <w:tcW w:w="98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Fair value</w:t>
            </w:r>
          </w:p>
        </w:tc>
        <w:tc>
          <w:tcPr>
            <w:tcW w:w="7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93"/>
              </w:rPr>
              <w:t>Book value</w:t>
            </w:r>
          </w:p>
        </w:tc>
        <w:tc>
          <w:tcPr>
            <w:tcW w:w="180" w:type="dxa"/>
            <w:vAlign w:val="bottom"/>
          </w:tcPr>
          <w:p>
            <w:pPr>
              <w:spacing w:after="0"/>
              <w:rPr>
                <w:sz w:val="12"/>
                <w:szCs w:val="12"/>
                <w:color w:val="auto"/>
              </w:rPr>
            </w:pPr>
          </w:p>
        </w:tc>
        <w:tc>
          <w:tcPr>
            <w:tcW w:w="84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Level 1</w:t>
            </w:r>
          </w:p>
        </w:tc>
        <w:tc>
          <w:tcPr>
            <w:tcW w:w="980" w:type="dxa"/>
            <w:vAlign w:val="bottom"/>
            <w:gridSpan w:val="2"/>
          </w:tcPr>
          <w:p>
            <w:pPr>
              <w:jc w:val="right"/>
              <w:ind w:right="380"/>
              <w:spacing w:after="0" w:line="149" w:lineRule="exact"/>
              <w:rPr>
                <w:sz w:val="20"/>
                <w:szCs w:val="20"/>
                <w:color w:val="auto"/>
              </w:rPr>
            </w:pPr>
            <w:r>
              <w:rPr>
                <w:rFonts w:ascii="Arial" w:cs="Arial" w:eastAsia="Arial" w:hAnsi="Arial"/>
                <w:sz w:val="14"/>
                <w:szCs w:val="14"/>
                <w:b w:val="1"/>
                <w:bCs w:val="1"/>
                <w:color w:val="auto"/>
              </w:rPr>
              <w:t>Level 2</w:t>
            </w:r>
          </w:p>
        </w:tc>
        <w:tc>
          <w:tcPr>
            <w:tcW w:w="70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w w:val="96"/>
              </w:rPr>
              <w:t>Level 3</w:t>
            </w:r>
          </w:p>
        </w:tc>
        <w:tc>
          <w:tcPr>
            <w:tcW w:w="98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Fair value</w:t>
            </w:r>
          </w:p>
        </w:tc>
        <w:tc>
          <w:tcPr>
            <w:tcW w:w="800" w:type="dxa"/>
            <w:vAlign w:val="bottom"/>
          </w:tcPr>
          <w:p>
            <w:pPr>
              <w:jc w:val="right"/>
              <w:ind w:right="11"/>
              <w:spacing w:after="0" w:line="149" w:lineRule="exact"/>
              <w:rPr>
                <w:sz w:val="20"/>
                <w:szCs w:val="20"/>
                <w:color w:val="auto"/>
              </w:rPr>
            </w:pPr>
            <w:r>
              <w:rPr>
                <w:rFonts w:ascii="Arial" w:cs="Arial" w:eastAsia="Arial" w:hAnsi="Arial"/>
                <w:sz w:val="14"/>
                <w:szCs w:val="14"/>
                <w:b w:val="1"/>
                <w:bCs w:val="1"/>
                <w:color w:val="auto"/>
                <w:w w:val="93"/>
              </w:rPr>
              <w:t>Book value</w:t>
            </w:r>
          </w:p>
        </w:tc>
        <w:tc>
          <w:tcPr>
            <w:tcW w:w="80" w:type="dxa"/>
            <w:vAlign w:val="bottom"/>
            <w:gridSpan w:val="2"/>
          </w:tcPr>
          <w:p>
            <w:pPr>
              <w:spacing w:after="0"/>
              <w:rPr>
                <w:sz w:val="12"/>
                <w:szCs w:val="12"/>
                <w:color w:val="auto"/>
              </w:rPr>
            </w:pPr>
          </w:p>
        </w:tc>
      </w:tr>
      <w:tr>
        <w:trPr>
          <w:trHeight w:val="136"/>
        </w:trPr>
        <w:tc>
          <w:tcPr>
            <w:tcW w:w="2580" w:type="dxa"/>
            <w:vAlign w:val="bottom"/>
          </w:tcPr>
          <w:p>
            <w:pPr>
              <w:spacing w:after="0"/>
              <w:rPr>
                <w:sz w:val="11"/>
                <w:szCs w:val="11"/>
                <w:color w:val="auto"/>
              </w:rPr>
            </w:pPr>
          </w:p>
        </w:tc>
        <w:tc>
          <w:tcPr>
            <w:tcW w:w="640" w:type="dxa"/>
            <w:vAlign w:val="bottom"/>
            <w:tcBorders>
              <w:top w:val="single" w:sz="8" w:color="auto"/>
            </w:tcBorders>
          </w:tcPr>
          <w:p>
            <w:pPr>
              <w:jc w:val="right"/>
              <w:ind w:right="91"/>
              <w:spacing w:after="0" w:line="136" w:lineRule="exact"/>
              <w:rPr>
                <w:sz w:val="20"/>
                <w:szCs w:val="20"/>
                <w:color w:val="auto"/>
              </w:rPr>
            </w:pPr>
            <w:r>
              <w:rPr>
                <w:rFonts w:ascii="Arial" w:cs="Arial" w:eastAsia="Arial" w:hAnsi="Arial"/>
                <w:sz w:val="14"/>
                <w:szCs w:val="14"/>
                <w:b w:val="1"/>
                <w:bCs w:val="1"/>
                <w:color w:val="auto"/>
              </w:rPr>
              <w:t>S/000</w:t>
            </w:r>
          </w:p>
        </w:tc>
        <w:tc>
          <w:tcPr>
            <w:tcW w:w="180" w:type="dxa"/>
            <w:vAlign w:val="bottom"/>
          </w:tcPr>
          <w:p>
            <w:pPr>
              <w:spacing w:after="0"/>
              <w:rPr>
                <w:sz w:val="11"/>
                <w:szCs w:val="11"/>
                <w:color w:val="auto"/>
              </w:rPr>
            </w:pPr>
          </w:p>
        </w:tc>
        <w:tc>
          <w:tcPr>
            <w:tcW w:w="800" w:type="dxa"/>
            <w:vAlign w:val="bottom"/>
            <w:tcBorders>
              <w:top w:val="single" w:sz="8" w:color="auto"/>
            </w:tcBorders>
          </w:tcPr>
          <w:p>
            <w:pPr>
              <w:jc w:val="right"/>
              <w:ind w:right="171"/>
              <w:spacing w:after="0" w:line="136" w:lineRule="exact"/>
              <w:rPr>
                <w:sz w:val="20"/>
                <w:szCs w:val="20"/>
                <w:color w:val="auto"/>
              </w:rPr>
            </w:pPr>
            <w:r>
              <w:rPr>
                <w:rFonts w:ascii="Arial" w:cs="Arial" w:eastAsia="Arial" w:hAnsi="Arial"/>
                <w:sz w:val="14"/>
                <w:szCs w:val="14"/>
                <w:b w:val="1"/>
                <w:bCs w:val="1"/>
                <w:color w:val="auto"/>
              </w:rPr>
              <w:t>S/000</w:t>
            </w:r>
          </w:p>
        </w:tc>
        <w:tc>
          <w:tcPr>
            <w:tcW w:w="180" w:type="dxa"/>
            <w:vAlign w:val="bottom"/>
          </w:tcPr>
          <w:p>
            <w:pPr>
              <w:spacing w:after="0"/>
              <w:rPr>
                <w:sz w:val="11"/>
                <w:szCs w:val="11"/>
                <w:color w:val="auto"/>
              </w:rPr>
            </w:pPr>
          </w:p>
        </w:tc>
        <w:tc>
          <w:tcPr>
            <w:tcW w:w="540" w:type="dxa"/>
            <w:vAlign w:val="bottom"/>
            <w:tcBorders>
              <w:top w:val="single" w:sz="8" w:color="auto"/>
            </w:tcBorders>
          </w:tcPr>
          <w:p>
            <w:pPr>
              <w:jc w:val="right"/>
              <w:ind w:right="31"/>
              <w:spacing w:after="0" w:line="136" w:lineRule="exact"/>
              <w:rPr>
                <w:sz w:val="20"/>
                <w:szCs w:val="20"/>
                <w:color w:val="auto"/>
              </w:rPr>
            </w:pPr>
            <w:r>
              <w:rPr>
                <w:rFonts w:ascii="Arial" w:cs="Arial" w:eastAsia="Arial" w:hAnsi="Arial"/>
                <w:sz w:val="14"/>
                <w:szCs w:val="14"/>
                <w:b w:val="1"/>
                <w:bCs w:val="1"/>
                <w:color w:val="auto"/>
              </w:rPr>
              <w:t>S/000</w:t>
            </w:r>
          </w:p>
        </w:tc>
        <w:tc>
          <w:tcPr>
            <w:tcW w:w="180" w:type="dxa"/>
            <w:vAlign w:val="bottom"/>
          </w:tcPr>
          <w:p>
            <w:pPr>
              <w:spacing w:after="0"/>
              <w:rPr>
                <w:sz w:val="11"/>
                <w:szCs w:val="11"/>
                <w:color w:val="auto"/>
              </w:rPr>
            </w:pPr>
          </w:p>
        </w:tc>
        <w:tc>
          <w:tcPr>
            <w:tcW w:w="780" w:type="dxa"/>
            <w:vAlign w:val="bottom"/>
            <w:tcBorders>
              <w:top w:val="single" w:sz="8" w:color="auto"/>
            </w:tcBorders>
          </w:tcPr>
          <w:p>
            <w:pPr>
              <w:ind w:left="240"/>
              <w:spacing w:after="0" w:line="136" w:lineRule="exact"/>
              <w:rPr>
                <w:sz w:val="20"/>
                <w:szCs w:val="20"/>
                <w:color w:val="auto"/>
              </w:rPr>
            </w:pPr>
            <w:r>
              <w:rPr>
                <w:rFonts w:ascii="Arial" w:cs="Arial" w:eastAsia="Arial" w:hAnsi="Arial"/>
                <w:sz w:val="14"/>
                <w:szCs w:val="14"/>
                <w:b w:val="1"/>
                <w:bCs w:val="1"/>
                <w:color w:val="auto"/>
              </w:rPr>
              <w:t>S/000</w:t>
            </w:r>
          </w:p>
        </w:tc>
        <w:tc>
          <w:tcPr>
            <w:tcW w:w="200" w:type="dxa"/>
            <w:vAlign w:val="bottom"/>
          </w:tcPr>
          <w:p>
            <w:pPr>
              <w:spacing w:after="0"/>
              <w:rPr>
                <w:sz w:val="11"/>
                <w:szCs w:val="11"/>
                <w:color w:val="auto"/>
              </w:rPr>
            </w:pPr>
          </w:p>
        </w:tc>
        <w:tc>
          <w:tcPr>
            <w:tcW w:w="780" w:type="dxa"/>
            <w:vAlign w:val="bottom"/>
            <w:tcBorders>
              <w:top w:val="single" w:sz="8" w:color="auto"/>
            </w:tcBorders>
          </w:tcPr>
          <w:p>
            <w:pPr>
              <w:jc w:val="right"/>
              <w:ind w:right="171"/>
              <w:spacing w:after="0" w:line="136" w:lineRule="exact"/>
              <w:rPr>
                <w:sz w:val="20"/>
                <w:szCs w:val="20"/>
                <w:color w:val="auto"/>
              </w:rPr>
            </w:pPr>
            <w:r>
              <w:rPr>
                <w:rFonts w:ascii="Arial" w:cs="Arial" w:eastAsia="Arial" w:hAnsi="Arial"/>
                <w:sz w:val="14"/>
                <w:szCs w:val="14"/>
                <w:b w:val="1"/>
                <w:bCs w:val="1"/>
                <w:color w:val="auto"/>
              </w:rPr>
              <w:t>S/000</w:t>
            </w:r>
          </w:p>
        </w:tc>
        <w:tc>
          <w:tcPr>
            <w:tcW w:w="180" w:type="dxa"/>
            <w:vAlign w:val="bottom"/>
          </w:tcPr>
          <w:p>
            <w:pPr>
              <w:spacing w:after="0"/>
              <w:rPr>
                <w:sz w:val="11"/>
                <w:szCs w:val="11"/>
                <w:color w:val="auto"/>
              </w:rPr>
            </w:pPr>
          </w:p>
        </w:tc>
        <w:tc>
          <w:tcPr>
            <w:tcW w:w="660" w:type="dxa"/>
            <w:vAlign w:val="bottom"/>
            <w:tcBorders>
              <w:top w:val="single" w:sz="8" w:color="auto"/>
            </w:tcBorders>
          </w:tcPr>
          <w:p>
            <w:pPr>
              <w:jc w:val="right"/>
              <w:ind w:right="91"/>
              <w:spacing w:after="0" w:line="136" w:lineRule="exact"/>
              <w:rPr>
                <w:sz w:val="20"/>
                <w:szCs w:val="20"/>
                <w:color w:val="auto"/>
              </w:rPr>
            </w:pPr>
            <w:r>
              <w:rPr>
                <w:rFonts w:ascii="Arial" w:cs="Arial" w:eastAsia="Arial" w:hAnsi="Arial"/>
                <w:sz w:val="14"/>
                <w:szCs w:val="14"/>
                <w:b w:val="1"/>
                <w:bCs w:val="1"/>
                <w:color w:val="auto"/>
              </w:rPr>
              <w:t>S/000</w:t>
            </w:r>
          </w:p>
        </w:tc>
        <w:tc>
          <w:tcPr>
            <w:tcW w:w="180" w:type="dxa"/>
            <w:vAlign w:val="bottom"/>
          </w:tcPr>
          <w:p>
            <w:pPr>
              <w:spacing w:after="0"/>
              <w:rPr>
                <w:sz w:val="11"/>
                <w:szCs w:val="11"/>
                <w:color w:val="auto"/>
              </w:rPr>
            </w:pPr>
          </w:p>
        </w:tc>
        <w:tc>
          <w:tcPr>
            <w:tcW w:w="780" w:type="dxa"/>
            <w:vAlign w:val="bottom"/>
            <w:tcBorders>
              <w:top w:val="single" w:sz="8" w:color="auto"/>
            </w:tcBorders>
          </w:tcPr>
          <w:p>
            <w:pPr>
              <w:jc w:val="right"/>
              <w:ind w:right="151"/>
              <w:spacing w:after="0" w:line="136" w:lineRule="exact"/>
              <w:rPr>
                <w:sz w:val="20"/>
                <w:szCs w:val="20"/>
                <w:color w:val="auto"/>
              </w:rPr>
            </w:pPr>
            <w:r>
              <w:rPr>
                <w:rFonts w:ascii="Arial" w:cs="Arial" w:eastAsia="Arial" w:hAnsi="Arial"/>
                <w:sz w:val="14"/>
                <w:szCs w:val="14"/>
                <w:b w:val="1"/>
                <w:bCs w:val="1"/>
                <w:color w:val="auto"/>
              </w:rPr>
              <w:t>S/000</w:t>
            </w:r>
          </w:p>
        </w:tc>
        <w:tc>
          <w:tcPr>
            <w:tcW w:w="200" w:type="dxa"/>
            <w:vAlign w:val="bottom"/>
          </w:tcPr>
          <w:p>
            <w:pPr>
              <w:spacing w:after="0"/>
              <w:rPr>
                <w:sz w:val="11"/>
                <w:szCs w:val="11"/>
                <w:color w:val="auto"/>
              </w:rPr>
            </w:pPr>
          </w:p>
        </w:tc>
        <w:tc>
          <w:tcPr>
            <w:tcW w:w="520" w:type="dxa"/>
            <w:vAlign w:val="bottom"/>
            <w:tcBorders>
              <w:top w:val="single" w:sz="8" w:color="auto"/>
            </w:tcBorders>
          </w:tcPr>
          <w:p>
            <w:pPr>
              <w:jc w:val="right"/>
              <w:ind w:right="31"/>
              <w:spacing w:after="0" w:line="136" w:lineRule="exact"/>
              <w:rPr>
                <w:sz w:val="20"/>
                <w:szCs w:val="20"/>
                <w:color w:val="auto"/>
              </w:rPr>
            </w:pPr>
            <w:r>
              <w:rPr>
                <w:rFonts w:ascii="Arial" w:cs="Arial" w:eastAsia="Arial" w:hAnsi="Arial"/>
                <w:sz w:val="14"/>
                <w:szCs w:val="14"/>
                <w:b w:val="1"/>
                <w:bCs w:val="1"/>
                <w:color w:val="auto"/>
              </w:rPr>
              <w:t>S/000</w:t>
            </w:r>
          </w:p>
        </w:tc>
        <w:tc>
          <w:tcPr>
            <w:tcW w:w="180" w:type="dxa"/>
            <w:vAlign w:val="bottom"/>
          </w:tcPr>
          <w:p>
            <w:pPr>
              <w:spacing w:after="0"/>
              <w:rPr>
                <w:sz w:val="11"/>
                <w:szCs w:val="11"/>
                <w:color w:val="auto"/>
              </w:rPr>
            </w:pPr>
          </w:p>
        </w:tc>
        <w:tc>
          <w:tcPr>
            <w:tcW w:w="800" w:type="dxa"/>
            <w:vAlign w:val="bottom"/>
            <w:tcBorders>
              <w:top w:val="single" w:sz="8" w:color="auto"/>
            </w:tcBorders>
          </w:tcPr>
          <w:p>
            <w:pPr>
              <w:jc w:val="right"/>
              <w:ind w:right="171"/>
              <w:spacing w:after="0" w:line="136" w:lineRule="exact"/>
              <w:rPr>
                <w:sz w:val="20"/>
                <w:szCs w:val="20"/>
                <w:color w:val="auto"/>
              </w:rPr>
            </w:pPr>
            <w:r>
              <w:rPr>
                <w:rFonts w:ascii="Arial" w:cs="Arial" w:eastAsia="Arial" w:hAnsi="Arial"/>
                <w:sz w:val="14"/>
                <w:szCs w:val="14"/>
                <w:b w:val="1"/>
                <w:bCs w:val="1"/>
                <w:color w:val="auto"/>
              </w:rPr>
              <w:t>S/000</w:t>
            </w:r>
          </w:p>
        </w:tc>
        <w:tc>
          <w:tcPr>
            <w:tcW w:w="180" w:type="dxa"/>
            <w:vAlign w:val="bottom"/>
          </w:tcPr>
          <w:p>
            <w:pPr>
              <w:spacing w:after="0"/>
              <w:rPr>
                <w:sz w:val="11"/>
                <w:szCs w:val="11"/>
                <w:color w:val="auto"/>
              </w:rPr>
            </w:pPr>
          </w:p>
        </w:tc>
        <w:tc>
          <w:tcPr>
            <w:tcW w:w="800" w:type="dxa"/>
            <w:vAlign w:val="bottom"/>
            <w:tcBorders>
              <w:top w:val="single" w:sz="8" w:color="auto"/>
            </w:tcBorders>
          </w:tcPr>
          <w:p>
            <w:pPr>
              <w:jc w:val="right"/>
              <w:ind w:right="171"/>
              <w:spacing w:after="0" w:line="136" w:lineRule="exact"/>
              <w:rPr>
                <w:sz w:val="20"/>
                <w:szCs w:val="20"/>
                <w:color w:val="auto"/>
              </w:rPr>
            </w:pPr>
            <w:r>
              <w:rPr>
                <w:rFonts w:ascii="Arial" w:cs="Arial" w:eastAsia="Arial" w:hAnsi="Arial"/>
                <w:sz w:val="14"/>
                <w:szCs w:val="14"/>
                <w:b w:val="1"/>
                <w:bCs w:val="1"/>
                <w:color w:val="auto"/>
              </w:rPr>
              <w:t>S/000</w:t>
            </w:r>
          </w:p>
        </w:tc>
        <w:tc>
          <w:tcPr>
            <w:tcW w:w="80" w:type="dxa"/>
            <w:vAlign w:val="bottom"/>
            <w:gridSpan w:val="2"/>
          </w:tcPr>
          <w:p>
            <w:pPr>
              <w:spacing w:after="0"/>
              <w:rPr>
                <w:sz w:val="11"/>
                <w:szCs w:val="11"/>
                <w:color w:val="auto"/>
              </w:rPr>
            </w:pPr>
          </w:p>
        </w:tc>
      </w:tr>
      <w:tr>
        <w:trPr>
          <w:trHeight w:val="143"/>
        </w:trPr>
        <w:tc>
          <w:tcPr>
            <w:tcW w:w="2580" w:type="dxa"/>
            <w:vAlign w:val="bottom"/>
            <w:shd w:val="clear" w:color="auto" w:fill="CCEEFF"/>
          </w:tcPr>
          <w:p>
            <w:pPr>
              <w:spacing w:after="0" w:line="143" w:lineRule="exact"/>
              <w:rPr>
                <w:sz w:val="20"/>
                <w:szCs w:val="20"/>
                <w:color w:val="auto"/>
              </w:rPr>
            </w:pPr>
            <w:r>
              <w:rPr>
                <w:rFonts w:ascii="Arial" w:cs="Arial" w:eastAsia="Arial" w:hAnsi="Arial"/>
                <w:sz w:val="14"/>
                <w:szCs w:val="14"/>
                <w:b w:val="1"/>
                <w:bCs w:val="1"/>
                <w:color w:val="auto"/>
              </w:rPr>
              <w:t>Assets</w:t>
            </w:r>
          </w:p>
        </w:tc>
        <w:tc>
          <w:tcPr>
            <w:tcW w:w="6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r>
      <w:tr>
        <w:trPr>
          <w:trHeight w:val="143"/>
        </w:trPr>
        <w:tc>
          <w:tcPr>
            <w:tcW w:w="2580" w:type="dxa"/>
            <w:vAlign w:val="bottom"/>
          </w:tcPr>
          <w:p>
            <w:pPr>
              <w:spacing w:after="0" w:line="143" w:lineRule="exact"/>
              <w:rPr>
                <w:sz w:val="20"/>
                <w:szCs w:val="20"/>
                <w:color w:val="auto"/>
              </w:rPr>
            </w:pPr>
            <w:r>
              <w:rPr>
                <w:rFonts w:ascii="Arial" w:cs="Arial" w:eastAsia="Arial" w:hAnsi="Arial"/>
                <w:sz w:val="14"/>
                <w:szCs w:val="14"/>
                <w:color w:val="auto"/>
              </w:rPr>
              <w:t>Cash and due from banks</w:t>
            </w:r>
          </w:p>
        </w:tc>
        <w:tc>
          <w:tcPr>
            <w:tcW w:w="820" w:type="dxa"/>
            <w:vAlign w:val="bottom"/>
            <w:gridSpan w:val="2"/>
          </w:tcPr>
          <w:p>
            <w:pPr>
              <w:jc w:val="right"/>
              <w:ind w:right="180"/>
              <w:spacing w:after="0" w:line="143" w:lineRule="exact"/>
              <w:rPr>
                <w:sz w:val="20"/>
                <w:szCs w:val="20"/>
                <w:color w:val="auto"/>
              </w:rPr>
            </w:pPr>
            <w:r>
              <w:rPr>
                <w:rFonts w:ascii="Arial" w:cs="Arial" w:eastAsia="Arial" w:hAnsi="Arial"/>
                <w:sz w:val="14"/>
                <w:szCs w:val="14"/>
                <w:color w:val="auto"/>
              </w:rPr>
              <w:t>-</w:t>
            </w:r>
          </w:p>
        </w:tc>
        <w:tc>
          <w:tcPr>
            <w:tcW w:w="800" w:type="dxa"/>
            <w:vAlign w:val="bottom"/>
          </w:tcPr>
          <w:p>
            <w:pPr>
              <w:jc w:val="right"/>
              <w:spacing w:after="0" w:line="143" w:lineRule="exact"/>
              <w:rPr>
                <w:sz w:val="20"/>
                <w:szCs w:val="20"/>
                <w:color w:val="auto"/>
              </w:rPr>
            </w:pPr>
            <w:r>
              <w:rPr>
                <w:rFonts w:ascii="Arial" w:cs="Arial" w:eastAsia="Arial" w:hAnsi="Arial"/>
                <w:sz w:val="14"/>
                <w:szCs w:val="14"/>
                <w:color w:val="auto"/>
              </w:rPr>
              <w:t>23,221,987</w:t>
            </w:r>
          </w:p>
        </w:tc>
        <w:tc>
          <w:tcPr>
            <w:tcW w:w="180" w:type="dxa"/>
            <w:vAlign w:val="bottom"/>
          </w:tcPr>
          <w:p>
            <w:pPr>
              <w:spacing w:after="0"/>
              <w:rPr>
                <w:sz w:val="12"/>
                <w:szCs w:val="12"/>
                <w:color w:val="auto"/>
              </w:rPr>
            </w:pPr>
          </w:p>
        </w:tc>
        <w:tc>
          <w:tcPr>
            <w:tcW w:w="720" w:type="dxa"/>
            <w:vAlign w:val="bottom"/>
            <w:gridSpan w:val="2"/>
          </w:tcPr>
          <w:p>
            <w:pPr>
              <w:jc w:val="right"/>
              <w:ind w:right="180"/>
              <w:spacing w:after="0" w:line="143" w:lineRule="exact"/>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200"/>
              <w:spacing w:after="0" w:line="143" w:lineRule="exact"/>
              <w:rPr>
                <w:sz w:val="20"/>
                <w:szCs w:val="20"/>
                <w:color w:val="auto"/>
              </w:rPr>
            </w:pPr>
            <w:r>
              <w:rPr>
                <w:rFonts w:ascii="Arial" w:cs="Arial" w:eastAsia="Arial" w:hAnsi="Arial"/>
                <w:sz w:val="14"/>
                <w:szCs w:val="14"/>
                <w:color w:val="auto"/>
              </w:rPr>
              <w:t>23,221,987</w:t>
            </w:r>
          </w:p>
        </w:tc>
        <w:tc>
          <w:tcPr>
            <w:tcW w:w="780" w:type="dxa"/>
            <w:vAlign w:val="bottom"/>
          </w:tcPr>
          <w:p>
            <w:pPr>
              <w:jc w:val="right"/>
              <w:spacing w:after="0" w:line="143" w:lineRule="exact"/>
              <w:rPr>
                <w:sz w:val="20"/>
                <w:szCs w:val="20"/>
                <w:color w:val="auto"/>
              </w:rPr>
            </w:pPr>
            <w:r>
              <w:rPr>
                <w:rFonts w:ascii="Arial" w:cs="Arial" w:eastAsia="Arial" w:hAnsi="Arial"/>
                <w:sz w:val="14"/>
                <w:szCs w:val="14"/>
                <w:color w:val="auto"/>
              </w:rPr>
              <w:t>23,221,987</w:t>
            </w:r>
          </w:p>
        </w:tc>
        <w:tc>
          <w:tcPr>
            <w:tcW w:w="180" w:type="dxa"/>
            <w:vAlign w:val="bottom"/>
          </w:tcPr>
          <w:p>
            <w:pPr>
              <w:spacing w:after="0"/>
              <w:rPr>
                <w:sz w:val="12"/>
                <w:szCs w:val="12"/>
                <w:color w:val="auto"/>
              </w:rPr>
            </w:pPr>
          </w:p>
        </w:tc>
        <w:tc>
          <w:tcPr>
            <w:tcW w:w="840" w:type="dxa"/>
            <w:vAlign w:val="bottom"/>
            <w:gridSpan w:val="2"/>
          </w:tcPr>
          <w:p>
            <w:pPr>
              <w:jc w:val="right"/>
              <w:ind w:right="180"/>
              <w:spacing w:after="0" w:line="143" w:lineRule="exact"/>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200"/>
              <w:spacing w:after="0" w:line="143" w:lineRule="exact"/>
              <w:rPr>
                <w:sz w:val="20"/>
                <w:szCs w:val="20"/>
                <w:color w:val="auto"/>
              </w:rPr>
            </w:pPr>
            <w:r>
              <w:rPr>
                <w:rFonts w:ascii="Arial" w:cs="Arial" w:eastAsia="Arial" w:hAnsi="Arial"/>
                <w:sz w:val="14"/>
                <w:szCs w:val="14"/>
                <w:color w:val="auto"/>
              </w:rPr>
              <w:t>16,645,769</w:t>
            </w:r>
          </w:p>
        </w:tc>
        <w:tc>
          <w:tcPr>
            <w:tcW w:w="700" w:type="dxa"/>
            <w:vAlign w:val="bottom"/>
            <w:gridSpan w:val="2"/>
          </w:tcPr>
          <w:p>
            <w:pPr>
              <w:jc w:val="right"/>
              <w:ind w:right="180"/>
              <w:spacing w:after="0" w:line="143" w:lineRule="exact"/>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180"/>
              <w:spacing w:after="0" w:line="143" w:lineRule="exact"/>
              <w:rPr>
                <w:sz w:val="20"/>
                <w:szCs w:val="20"/>
                <w:color w:val="auto"/>
              </w:rPr>
            </w:pPr>
            <w:r>
              <w:rPr>
                <w:rFonts w:ascii="Arial" w:cs="Arial" w:eastAsia="Arial" w:hAnsi="Arial"/>
                <w:sz w:val="14"/>
                <w:szCs w:val="14"/>
                <w:color w:val="auto"/>
              </w:rPr>
              <w:t>16,645,769</w:t>
            </w:r>
          </w:p>
        </w:tc>
        <w:tc>
          <w:tcPr>
            <w:tcW w:w="820" w:type="dxa"/>
            <w:vAlign w:val="bottom"/>
            <w:gridSpan w:val="2"/>
          </w:tcPr>
          <w:p>
            <w:pPr>
              <w:jc w:val="right"/>
              <w:ind w:right="20"/>
              <w:spacing w:after="0" w:line="143" w:lineRule="exact"/>
              <w:rPr>
                <w:sz w:val="20"/>
                <w:szCs w:val="20"/>
                <w:color w:val="auto"/>
              </w:rPr>
            </w:pPr>
            <w:r>
              <w:rPr>
                <w:rFonts w:ascii="Arial" w:cs="Arial" w:eastAsia="Arial" w:hAnsi="Arial"/>
                <w:sz w:val="14"/>
                <w:szCs w:val="14"/>
                <w:color w:val="auto"/>
              </w:rPr>
              <w:t>16,645,769</w:t>
            </w:r>
          </w:p>
        </w:tc>
        <w:tc>
          <w:tcPr>
            <w:tcW w:w="60" w:type="dxa"/>
            <w:vAlign w:val="bottom"/>
          </w:tcPr>
          <w:p>
            <w:pPr>
              <w:spacing w:after="0"/>
              <w:rPr>
                <w:sz w:val="12"/>
                <w:szCs w:val="12"/>
                <w:color w:val="auto"/>
              </w:rPr>
            </w:pPr>
          </w:p>
        </w:tc>
      </w:tr>
      <w:tr>
        <w:trPr>
          <w:trHeight w:val="143"/>
        </w:trPr>
        <w:tc>
          <w:tcPr>
            <w:tcW w:w="258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rPr>
              <w:t>Cash collateral, reverse repurchase</w:t>
            </w:r>
          </w:p>
        </w:tc>
        <w:tc>
          <w:tcPr>
            <w:tcW w:w="820" w:type="dxa"/>
            <w:vAlign w:val="bottom"/>
            <w:gridSpan w:val="2"/>
            <w:shd w:val="clear" w:color="auto" w:fill="CCEEFF"/>
          </w:tcPr>
          <w:p>
            <w:pPr>
              <w:jc w:val="right"/>
              <w:ind w:right="180"/>
              <w:spacing w:after="0" w:line="143" w:lineRule="exact"/>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rPr>
              <w:t>7,480,420</w:t>
            </w:r>
          </w:p>
        </w:tc>
        <w:tc>
          <w:tcPr>
            <w:tcW w:w="1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80"/>
              <w:spacing w:after="0" w:line="143"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200"/>
              <w:spacing w:after="0" w:line="143" w:lineRule="exact"/>
              <w:rPr>
                <w:sz w:val="20"/>
                <w:szCs w:val="20"/>
                <w:color w:val="auto"/>
              </w:rPr>
            </w:pPr>
            <w:r>
              <w:rPr>
                <w:rFonts w:ascii="Arial" w:cs="Arial" w:eastAsia="Arial" w:hAnsi="Arial"/>
                <w:sz w:val="14"/>
                <w:szCs w:val="14"/>
                <w:color w:val="auto"/>
              </w:rPr>
              <w:t>7,480,420</w:t>
            </w:r>
          </w:p>
        </w:tc>
        <w:tc>
          <w:tcPr>
            <w:tcW w:w="78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rPr>
              <w:t>7,480,420</w:t>
            </w:r>
          </w:p>
        </w:tc>
        <w:tc>
          <w:tcPr>
            <w:tcW w:w="1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80"/>
              <w:spacing w:after="0" w:line="143"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200"/>
              <w:spacing w:after="0" w:line="143" w:lineRule="exact"/>
              <w:rPr>
                <w:sz w:val="20"/>
                <w:szCs w:val="20"/>
                <w:color w:val="auto"/>
              </w:rPr>
            </w:pPr>
            <w:r>
              <w:rPr>
                <w:rFonts w:ascii="Arial" w:cs="Arial" w:eastAsia="Arial" w:hAnsi="Arial"/>
                <w:sz w:val="14"/>
                <w:szCs w:val="14"/>
                <w:color w:val="auto"/>
              </w:rPr>
              <w:t>10,919,624</w:t>
            </w:r>
          </w:p>
        </w:tc>
        <w:tc>
          <w:tcPr>
            <w:tcW w:w="700" w:type="dxa"/>
            <w:vAlign w:val="bottom"/>
            <w:gridSpan w:val="2"/>
            <w:shd w:val="clear" w:color="auto" w:fill="CCEEFF"/>
          </w:tcPr>
          <w:p>
            <w:pPr>
              <w:jc w:val="right"/>
              <w:ind w:right="180"/>
              <w:spacing w:after="0" w:line="143"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180"/>
              <w:spacing w:after="0" w:line="143" w:lineRule="exact"/>
              <w:rPr>
                <w:sz w:val="20"/>
                <w:szCs w:val="20"/>
                <w:color w:val="auto"/>
              </w:rPr>
            </w:pPr>
            <w:r>
              <w:rPr>
                <w:rFonts w:ascii="Arial" w:cs="Arial" w:eastAsia="Arial" w:hAnsi="Arial"/>
                <w:sz w:val="14"/>
                <w:szCs w:val="14"/>
                <w:color w:val="auto"/>
              </w:rPr>
              <w:t>10,919,624</w:t>
            </w:r>
          </w:p>
        </w:tc>
        <w:tc>
          <w:tcPr>
            <w:tcW w:w="820" w:type="dxa"/>
            <w:vAlign w:val="bottom"/>
            <w:gridSpan w:val="2"/>
            <w:shd w:val="clear" w:color="auto" w:fill="CCEEFF"/>
          </w:tcPr>
          <w:p>
            <w:pPr>
              <w:jc w:val="right"/>
              <w:ind w:right="20"/>
              <w:spacing w:after="0" w:line="143" w:lineRule="exact"/>
              <w:rPr>
                <w:sz w:val="20"/>
                <w:szCs w:val="20"/>
                <w:color w:val="auto"/>
              </w:rPr>
            </w:pPr>
            <w:r>
              <w:rPr>
                <w:rFonts w:ascii="Arial" w:cs="Arial" w:eastAsia="Arial" w:hAnsi="Arial"/>
                <w:sz w:val="14"/>
                <w:szCs w:val="14"/>
                <w:color w:val="auto"/>
              </w:rPr>
              <w:t>10,919,624</w:t>
            </w:r>
          </w:p>
        </w:tc>
        <w:tc>
          <w:tcPr>
            <w:tcW w:w="60" w:type="dxa"/>
            <w:vAlign w:val="bottom"/>
            <w:shd w:val="clear" w:color="auto" w:fill="CCEEFF"/>
          </w:tcPr>
          <w:p>
            <w:pPr>
              <w:spacing w:after="0"/>
              <w:rPr>
                <w:sz w:val="12"/>
                <w:szCs w:val="12"/>
                <w:color w:val="auto"/>
              </w:rPr>
            </w:pPr>
          </w:p>
        </w:tc>
      </w:tr>
      <w:tr>
        <w:trPr>
          <w:trHeight w:val="143"/>
        </w:trPr>
        <w:tc>
          <w:tcPr>
            <w:tcW w:w="2580" w:type="dxa"/>
            <w:vAlign w:val="bottom"/>
          </w:tcPr>
          <w:p>
            <w:pPr>
              <w:spacing w:after="0" w:line="143" w:lineRule="exact"/>
              <w:rPr>
                <w:sz w:val="20"/>
                <w:szCs w:val="20"/>
                <w:color w:val="auto"/>
              </w:rPr>
            </w:pPr>
            <w:r>
              <w:rPr>
                <w:rFonts w:ascii="Arial" w:cs="Arial" w:eastAsia="Arial" w:hAnsi="Arial"/>
                <w:sz w:val="14"/>
                <w:szCs w:val="14"/>
                <w:color w:val="auto"/>
              </w:rPr>
              <w:t>Held-to-maturity investments</w:t>
            </w:r>
          </w:p>
        </w:tc>
        <w:tc>
          <w:tcPr>
            <w:tcW w:w="820" w:type="dxa"/>
            <w:vAlign w:val="bottom"/>
            <w:gridSpan w:val="2"/>
          </w:tcPr>
          <w:p>
            <w:pPr>
              <w:jc w:val="right"/>
              <w:ind w:right="180"/>
              <w:spacing w:after="0" w:line="143" w:lineRule="exact"/>
              <w:rPr>
                <w:sz w:val="20"/>
                <w:szCs w:val="20"/>
                <w:color w:val="auto"/>
              </w:rPr>
            </w:pPr>
            <w:r>
              <w:rPr>
                <w:rFonts w:ascii="Arial" w:cs="Arial" w:eastAsia="Arial" w:hAnsi="Arial"/>
                <w:sz w:val="14"/>
                <w:szCs w:val="14"/>
                <w:color w:val="auto"/>
                <w:w w:val="99"/>
              </w:rPr>
              <w:t>4,088,520</w:t>
            </w:r>
          </w:p>
        </w:tc>
        <w:tc>
          <w:tcPr>
            <w:tcW w:w="980" w:type="dxa"/>
            <w:vAlign w:val="bottom"/>
            <w:gridSpan w:val="2"/>
          </w:tcPr>
          <w:p>
            <w:pPr>
              <w:jc w:val="right"/>
              <w:ind w:right="180"/>
              <w:spacing w:after="0" w:line="143" w:lineRule="exact"/>
              <w:rPr>
                <w:sz w:val="20"/>
                <w:szCs w:val="20"/>
                <w:color w:val="auto"/>
              </w:rPr>
            </w:pPr>
            <w:r>
              <w:rPr>
                <w:rFonts w:ascii="Arial" w:cs="Arial" w:eastAsia="Arial" w:hAnsi="Arial"/>
                <w:sz w:val="14"/>
                <w:szCs w:val="14"/>
                <w:color w:val="auto"/>
              </w:rPr>
              <w:t>561,562</w:t>
            </w:r>
          </w:p>
        </w:tc>
        <w:tc>
          <w:tcPr>
            <w:tcW w:w="720" w:type="dxa"/>
            <w:vAlign w:val="bottom"/>
            <w:gridSpan w:val="2"/>
          </w:tcPr>
          <w:p>
            <w:pPr>
              <w:jc w:val="right"/>
              <w:ind w:right="180"/>
              <w:spacing w:after="0" w:line="143" w:lineRule="exact"/>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200"/>
              <w:spacing w:after="0" w:line="143" w:lineRule="exact"/>
              <w:rPr>
                <w:sz w:val="20"/>
                <w:szCs w:val="20"/>
                <w:color w:val="auto"/>
              </w:rPr>
            </w:pPr>
            <w:r>
              <w:rPr>
                <w:rFonts w:ascii="Arial" w:cs="Arial" w:eastAsia="Arial" w:hAnsi="Arial"/>
                <w:sz w:val="14"/>
                <w:szCs w:val="14"/>
                <w:color w:val="auto"/>
              </w:rPr>
              <w:t>4,650,082</w:t>
            </w:r>
          </w:p>
        </w:tc>
        <w:tc>
          <w:tcPr>
            <w:tcW w:w="780" w:type="dxa"/>
            <w:vAlign w:val="bottom"/>
          </w:tcPr>
          <w:p>
            <w:pPr>
              <w:jc w:val="right"/>
              <w:spacing w:after="0" w:line="143" w:lineRule="exact"/>
              <w:rPr>
                <w:sz w:val="20"/>
                <w:szCs w:val="20"/>
                <w:color w:val="auto"/>
              </w:rPr>
            </w:pPr>
            <w:r>
              <w:rPr>
                <w:rFonts w:ascii="Arial" w:cs="Arial" w:eastAsia="Arial" w:hAnsi="Arial"/>
                <w:sz w:val="14"/>
                <w:szCs w:val="14"/>
                <w:color w:val="auto"/>
              </w:rPr>
              <w:t>4,413,373</w:t>
            </w:r>
          </w:p>
        </w:tc>
        <w:tc>
          <w:tcPr>
            <w:tcW w:w="180" w:type="dxa"/>
            <w:vAlign w:val="bottom"/>
          </w:tcPr>
          <w:p>
            <w:pPr>
              <w:spacing w:after="0"/>
              <w:rPr>
                <w:sz w:val="12"/>
                <w:szCs w:val="12"/>
                <w:color w:val="auto"/>
              </w:rPr>
            </w:pPr>
          </w:p>
        </w:tc>
        <w:tc>
          <w:tcPr>
            <w:tcW w:w="840" w:type="dxa"/>
            <w:vAlign w:val="bottom"/>
            <w:gridSpan w:val="2"/>
          </w:tcPr>
          <w:p>
            <w:pPr>
              <w:jc w:val="right"/>
              <w:ind w:right="180"/>
              <w:spacing w:after="0" w:line="143" w:lineRule="exact"/>
              <w:rPr>
                <w:sz w:val="20"/>
                <w:szCs w:val="20"/>
                <w:color w:val="auto"/>
              </w:rPr>
            </w:pPr>
            <w:r>
              <w:rPr>
                <w:rFonts w:ascii="Arial" w:cs="Arial" w:eastAsia="Arial" w:hAnsi="Arial"/>
                <w:sz w:val="14"/>
                <w:szCs w:val="14"/>
                <w:color w:val="auto"/>
              </w:rPr>
              <w:t>5,215,704</w:t>
            </w:r>
          </w:p>
        </w:tc>
        <w:tc>
          <w:tcPr>
            <w:tcW w:w="980" w:type="dxa"/>
            <w:vAlign w:val="bottom"/>
            <w:gridSpan w:val="2"/>
          </w:tcPr>
          <w:p>
            <w:pPr>
              <w:jc w:val="right"/>
              <w:ind w:right="200"/>
              <w:spacing w:after="0" w:line="143" w:lineRule="exact"/>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180"/>
              <w:spacing w:after="0" w:line="143" w:lineRule="exact"/>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180"/>
              <w:spacing w:after="0" w:line="143" w:lineRule="exact"/>
              <w:rPr>
                <w:sz w:val="20"/>
                <w:szCs w:val="20"/>
                <w:color w:val="auto"/>
              </w:rPr>
            </w:pPr>
            <w:r>
              <w:rPr>
                <w:rFonts w:ascii="Arial" w:cs="Arial" w:eastAsia="Arial" w:hAnsi="Arial"/>
                <w:sz w:val="14"/>
                <w:szCs w:val="14"/>
                <w:color w:val="auto"/>
              </w:rPr>
              <w:t>5,215,704</w:t>
            </w:r>
          </w:p>
        </w:tc>
        <w:tc>
          <w:tcPr>
            <w:tcW w:w="820" w:type="dxa"/>
            <w:vAlign w:val="bottom"/>
            <w:gridSpan w:val="2"/>
          </w:tcPr>
          <w:p>
            <w:pPr>
              <w:jc w:val="right"/>
              <w:ind w:right="20"/>
              <w:spacing w:after="0" w:line="143" w:lineRule="exact"/>
              <w:rPr>
                <w:sz w:val="20"/>
                <w:szCs w:val="20"/>
                <w:color w:val="auto"/>
              </w:rPr>
            </w:pPr>
            <w:r>
              <w:rPr>
                <w:rFonts w:ascii="Arial" w:cs="Arial" w:eastAsia="Arial" w:hAnsi="Arial"/>
                <w:sz w:val="14"/>
                <w:szCs w:val="14"/>
                <w:color w:val="auto"/>
              </w:rPr>
              <w:t>5,118,420</w:t>
            </w:r>
          </w:p>
        </w:tc>
        <w:tc>
          <w:tcPr>
            <w:tcW w:w="60" w:type="dxa"/>
            <w:vAlign w:val="bottom"/>
          </w:tcPr>
          <w:p>
            <w:pPr>
              <w:spacing w:after="0"/>
              <w:rPr>
                <w:sz w:val="12"/>
                <w:szCs w:val="12"/>
                <w:color w:val="auto"/>
              </w:rPr>
            </w:pPr>
          </w:p>
        </w:tc>
      </w:tr>
      <w:tr>
        <w:trPr>
          <w:trHeight w:val="143"/>
        </w:trPr>
        <w:tc>
          <w:tcPr>
            <w:tcW w:w="258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rPr>
              <w:t>Loans, net</w:t>
            </w:r>
          </w:p>
        </w:tc>
        <w:tc>
          <w:tcPr>
            <w:tcW w:w="820" w:type="dxa"/>
            <w:vAlign w:val="bottom"/>
            <w:gridSpan w:val="2"/>
            <w:shd w:val="clear" w:color="auto" w:fill="CCEEFF"/>
          </w:tcPr>
          <w:p>
            <w:pPr>
              <w:jc w:val="right"/>
              <w:ind w:right="180"/>
              <w:spacing w:after="0" w:line="143"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180"/>
              <w:spacing w:after="0" w:line="143" w:lineRule="exact"/>
              <w:rPr>
                <w:sz w:val="20"/>
                <w:szCs w:val="20"/>
                <w:color w:val="auto"/>
              </w:rPr>
            </w:pPr>
            <w:r>
              <w:rPr>
                <w:rFonts w:ascii="Arial" w:cs="Arial" w:eastAsia="Arial" w:hAnsi="Arial"/>
                <w:sz w:val="14"/>
                <w:szCs w:val="14"/>
                <w:color w:val="auto"/>
              </w:rPr>
              <w:t>115,346,836</w:t>
            </w:r>
          </w:p>
        </w:tc>
        <w:tc>
          <w:tcPr>
            <w:tcW w:w="720" w:type="dxa"/>
            <w:vAlign w:val="bottom"/>
            <w:gridSpan w:val="2"/>
            <w:shd w:val="clear" w:color="auto" w:fill="CCEEFF"/>
          </w:tcPr>
          <w:p>
            <w:pPr>
              <w:jc w:val="right"/>
              <w:ind w:right="180"/>
              <w:spacing w:after="0" w:line="143"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200"/>
              <w:spacing w:after="0" w:line="143" w:lineRule="exact"/>
              <w:rPr>
                <w:sz w:val="20"/>
                <w:szCs w:val="20"/>
                <w:color w:val="auto"/>
              </w:rPr>
            </w:pPr>
            <w:r>
              <w:rPr>
                <w:rFonts w:ascii="Arial" w:cs="Arial" w:eastAsia="Arial" w:hAnsi="Arial"/>
                <w:sz w:val="14"/>
                <w:szCs w:val="14"/>
                <w:color w:val="auto"/>
                <w:w w:val="97"/>
              </w:rPr>
              <w:t>115,346,836</w:t>
            </w:r>
          </w:p>
        </w:tc>
        <w:tc>
          <w:tcPr>
            <w:tcW w:w="960" w:type="dxa"/>
            <w:vAlign w:val="bottom"/>
            <w:gridSpan w:val="2"/>
            <w:shd w:val="clear" w:color="auto" w:fill="CCEEFF"/>
          </w:tcPr>
          <w:p>
            <w:pPr>
              <w:jc w:val="right"/>
              <w:ind w:right="180"/>
              <w:spacing w:after="0" w:line="143" w:lineRule="exact"/>
              <w:rPr>
                <w:sz w:val="20"/>
                <w:szCs w:val="20"/>
                <w:color w:val="auto"/>
              </w:rPr>
            </w:pPr>
            <w:r>
              <w:rPr>
                <w:rFonts w:ascii="Arial" w:cs="Arial" w:eastAsia="Arial" w:hAnsi="Arial"/>
                <w:sz w:val="14"/>
                <w:szCs w:val="14"/>
                <w:color w:val="auto"/>
                <w:w w:val="97"/>
              </w:rPr>
              <w:t>115,346,836</w:t>
            </w:r>
          </w:p>
        </w:tc>
        <w:tc>
          <w:tcPr>
            <w:tcW w:w="840" w:type="dxa"/>
            <w:vAlign w:val="bottom"/>
            <w:gridSpan w:val="2"/>
            <w:shd w:val="clear" w:color="auto" w:fill="CCEEFF"/>
          </w:tcPr>
          <w:p>
            <w:pPr>
              <w:jc w:val="right"/>
              <w:ind w:right="180"/>
              <w:spacing w:after="0" w:line="143"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200"/>
              <w:spacing w:after="0" w:line="143" w:lineRule="exact"/>
              <w:rPr>
                <w:sz w:val="20"/>
                <w:szCs w:val="20"/>
                <w:color w:val="auto"/>
              </w:rPr>
            </w:pPr>
            <w:r>
              <w:rPr>
                <w:rFonts w:ascii="Arial" w:cs="Arial" w:eastAsia="Arial" w:hAnsi="Arial"/>
                <w:sz w:val="14"/>
                <w:szCs w:val="14"/>
                <w:color w:val="auto"/>
                <w:w w:val="97"/>
              </w:rPr>
              <w:t>110,137,973</w:t>
            </w:r>
          </w:p>
        </w:tc>
        <w:tc>
          <w:tcPr>
            <w:tcW w:w="700" w:type="dxa"/>
            <w:vAlign w:val="bottom"/>
            <w:gridSpan w:val="2"/>
            <w:shd w:val="clear" w:color="auto" w:fill="CCEEFF"/>
          </w:tcPr>
          <w:p>
            <w:pPr>
              <w:jc w:val="right"/>
              <w:ind w:right="180"/>
              <w:spacing w:after="0" w:line="143"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180"/>
              <w:spacing w:after="0" w:line="143" w:lineRule="exact"/>
              <w:rPr>
                <w:sz w:val="20"/>
                <w:szCs w:val="20"/>
                <w:color w:val="auto"/>
              </w:rPr>
            </w:pPr>
            <w:r>
              <w:rPr>
                <w:rFonts w:ascii="Arial" w:cs="Arial" w:eastAsia="Arial" w:hAnsi="Arial"/>
                <w:sz w:val="14"/>
                <w:szCs w:val="14"/>
                <w:color w:val="auto"/>
              </w:rPr>
              <w:t>110,137,973</w:t>
            </w:r>
          </w:p>
        </w:tc>
        <w:tc>
          <w:tcPr>
            <w:tcW w:w="820" w:type="dxa"/>
            <w:vAlign w:val="bottom"/>
            <w:gridSpan w:val="2"/>
            <w:shd w:val="clear" w:color="auto" w:fill="CCEEFF"/>
          </w:tcPr>
          <w:p>
            <w:pPr>
              <w:jc w:val="right"/>
              <w:ind w:right="20"/>
              <w:spacing w:after="0" w:line="143" w:lineRule="exact"/>
              <w:rPr>
                <w:sz w:val="20"/>
                <w:szCs w:val="20"/>
                <w:color w:val="auto"/>
              </w:rPr>
            </w:pPr>
            <w:r>
              <w:rPr>
                <w:rFonts w:ascii="Arial" w:cs="Arial" w:eastAsia="Arial" w:hAnsi="Arial"/>
                <w:sz w:val="14"/>
                <w:szCs w:val="14"/>
                <w:color w:val="auto"/>
              </w:rPr>
              <w:t>110,393,753</w:t>
            </w:r>
          </w:p>
        </w:tc>
        <w:tc>
          <w:tcPr>
            <w:tcW w:w="60" w:type="dxa"/>
            <w:vAlign w:val="bottom"/>
            <w:shd w:val="clear" w:color="auto" w:fill="CCEEFF"/>
          </w:tcPr>
          <w:p>
            <w:pPr>
              <w:spacing w:after="0"/>
              <w:rPr>
                <w:sz w:val="12"/>
                <w:szCs w:val="12"/>
                <w:color w:val="auto"/>
              </w:rPr>
            </w:pPr>
          </w:p>
        </w:tc>
      </w:tr>
      <w:tr>
        <w:trPr>
          <w:trHeight w:val="143"/>
        </w:trPr>
        <w:tc>
          <w:tcPr>
            <w:tcW w:w="2580" w:type="dxa"/>
            <w:vAlign w:val="bottom"/>
          </w:tcPr>
          <w:p>
            <w:pPr>
              <w:spacing w:after="0" w:line="143" w:lineRule="exact"/>
              <w:rPr>
                <w:sz w:val="20"/>
                <w:szCs w:val="20"/>
                <w:color w:val="auto"/>
              </w:rPr>
            </w:pPr>
            <w:r>
              <w:rPr>
                <w:rFonts w:ascii="Arial" w:cs="Arial" w:eastAsia="Arial" w:hAnsi="Arial"/>
                <w:sz w:val="14"/>
                <w:szCs w:val="14"/>
                <w:color w:val="auto"/>
              </w:rPr>
              <w:t>Premiums and other policies receivable</w:t>
            </w:r>
          </w:p>
        </w:tc>
        <w:tc>
          <w:tcPr>
            <w:tcW w:w="820" w:type="dxa"/>
            <w:vAlign w:val="bottom"/>
            <w:gridSpan w:val="2"/>
          </w:tcPr>
          <w:p>
            <w:pPr>
              <w:jc w:val="right"/>
              <w:ind w:right="180"/>
              <w:spacing w:after="0" w:line="143" w:lineRule="exact"/>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180"/>
              <w:spacing w:after="0" w:line="143" w:lineRule="exact"/>
              <w:rPr>
                <w:sz w:val="20"/>
                <w:szCs w:val="20"/>
                <w:color w:val="auto"/>
              </w:rPr>
            </w:pPr>
            <w:r>
              <w:rPr>
                <w:rFonts w:ascii="Arial" w:cs="Arial" w:eastAsia="Arial" w:hAnsi="Arial"/>
                <w:sz w:val="14"/>
                <w:szCs w:val="14"/>
                <w:color w:val="auto"/>
              </w:rPr>
              <w:t>656,829</w:t>
            </w:r>
          </w:p>
        </w:tc>
        <w:tc>
          <w:tcPr>
            <w:tcW w:w="720" w:type="dxa"/>
            <w:vAlign w:val="bottom"/>
            <w:gridSpan w:val="2"/>
          </w:tcPr>
          <w:p>
            <w:pPr>
              <w:jc w:val="right"/>
              <w:ind w:right="180"/>
              <w:spacing w:after="0" w:line="143" w:lineRule="exact"/>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200"/>
              <w:spacing w:after="0" w:line="143" w:lineRule="exact"/>
              <w:rPr>
                <w:sz w:val="20"/>
                <w:szCs w:val="20"/>
                <w:color w:val="auto"/>
              </w:rPr>
            </w:pPr>
            <w:r>
              <w:rPr>
                <w:rFonts w:ascii="Arial" w:cs="Arial" w:eastAsia="Arial" w:hAnsi="Arial"/>
                <w:sz w:val="14"/>
                <w:szCs w:val="14"/>
                <w:color w:val="auto"/>
              </w:rPr>
              <w:t>656,829</w:t>
            </w:r>
          </w:p>
        </w:tc>
        <w:tc>
          <w:tcPr>
            <w:tcW w:w="960" w:type="dxa"/>
            <w:vAlign w:val="bottom"/>
            <w:gridSpan w:val="2"/>
          </w:tcPr>
          <w:p>
            <w:pPr>
              <w:jc w:val="right"/>
              <w:ind w:right="180"/>
              <w:spacing w:after="0" w:line="143" w:lineRule="exact"/>
              <w:rPr>
                <w:sz w:val="20"/>
                <w:szCs w:val="20"/>
                <w:color w:val="auto"/>
              </w:rPr>
            </w:pPr>
            <w:r>
              <w:rPr>
                <w:rFonts w:ascii="Arial" w:cs="Arial" w:eastAsia="Arial" w:hAnsi="Arial"/>
                <w:sz w:val="14"/>
                <w:szCs w:val="14"/>
                <w:color w:val="auto"/>
              </w:rPr>
              <w:t>656,829</w:t>
            </w:r>
          </w:p>
        </w:tc>
        <w:tc>
          <w:tcPr>
            <w:tcW w:w="840" w:type="dxa"/>
            <w:vAlign w:val="bottom"/>
            <w:gridSpan w:val="2"/>
          </w:tcPr>
          <w:p>
            <w:pPr>
              <w:jc w:val="right"/>
              <w:ind w:right="180"/>
              <w:spacing w:after="0" w:line="143" w:lineRule="exact"/>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200"/>
              <w:spacing w:after="0" w:line="143" w:lineRule="exact"/>
              <w:rPr>
                <w:sz w:val="20"/>
                <w:szCs w:val="20"/>
                <w:color w:val="auto"/>
              </w:rPr>
            </w:pPr>
            <w:r>
              <w:rPr>
                <w:rFonts w:ascii="Arial" w:cs="Arial" w:eastAsia="Arial" w:hAnsi="Arial"/>
                <w:sz w:val="14"/>
                <w:szCs w:val="14"/>
                <w:color w:val="auto"/>
              </w:rPr>
              <w:t>643,224</w:t>
            </w:r>
          </w:p>
        </w:tc>
        <w:tc>
          <w:tcPr>
            <w:tcW w:w="700" w:type="dxa"/>
            <w:vAlign w:val="bottom"/>
            <w:gridSpan w:val="2"/>
          </w:tcPr>
          <w:p>
            <w:pPr>
              <w:jc w:val="right"/>
              <w:ind w:right="180"/>
              <w:spacing w:after="0" w:line="143" w:lineRule="exact"/>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180"/>
              <w:spacing w:after="0" w:line="143" w:lineRule="exact"/>
              <w:rPr>
                <w:sz w:val="20"/>
                <w:szCs w:val="20"/>
                <w:color w:val="auto"/>
              </w:rPr>
            </w:pPr>
            <w:r>
              <w:rPr>
                <w:rFonts w:ascii="Arial" w:cs="Arial" w:eastAsia="Arial" w:hAnsi="Arial"/>
                <w:sz w:val="14"/>
                <w:szCs w:val="14"/>
                <w:color w:val="auto"/>
              </w:rPr>
              <w:t>643,224</w:t>
            </w:r>
          </w:p>
        </w:tc>
        <w:tc>
          <w:tcPr>
            <w:tcW w:w="820" w:type="dxa"/>
            <w:vAlign w:val="bottom"/>
            <w:gridSpan w:val="2"/>
          </w:tcPr>
          <w:p>
            <w:pPr>
              <w:jc w:val="right"/>
              <w:ind w:right="20"/>
              <w:spacing w:after="0" w:line="143" w:lineRule="exact"/>
              <w:rPr>
                <w:sz w:val="20"/>
                <w:szCs w:val="20"/>
                <w:color w:val="auto"/>
              </w:rPr>
            </w:pPr>
            <w:r>
              <w:rPr>
                <w:rFonts w:ascii="Arial" w:cs="Arial" w:eastAsia="Arial" w:hAnsi="Arial"/>
                <w:sz w:val="14"/>
                <w:szCs w:val="14"/>
                <w:color w:val="auto"/>
              </w:rPr>
              <w:t>643,224</w:t>
            </w:r>
          </w:p>
        </w:tc>
        <w:tc>
          <w:tcPr>
            <w:tcW w:w="60" w:type="dxa"/>
            <w:vAlign w:val="bottom"/>
          </w:tcPr>
          <w:p>
            <w:pPr>
              <w:spacing w:after="0"/>
              <w:rPr>
                <w:sz w:val="12"/>
                <w:szCs w:val="12"/>
                <w:color w:val="auto"/>
              </w:rPr>
            </w:pPr>
          </w:p>
        </w:tc>
      </w:tr>
      <w:tr>
        <w:trPr>
          <w:trHeight w:val="124"/>
        </w:trPr>
        <w:tc>
          <w:tcPr>
            <w:tcW w:w="2580" w:type="dxa"/>
            <w:vAlign w:val="bottom"/>
            <w:shd w:val="clear" w:color="auto" w:fill="CCEEFF"/>
          </w:tcPr>
          <w:p>
            <w:pPr>
              <w:spacing w:after="0" w:line="125" w:lineRule="exact"/>
              <w:rPr>
                <w:sz w:val="20"/>
                <w:szCs w:val="20"/>
                <w:color w:val="auto"/>
              </w:rPr>
            </w:pPr>
            <w:r>
              <w:rPr>
                <w:rFonts w:ascii="Arial" w:cs="Arial" w:eastAsia="Arial" w:hAnsi="Arial"/>
                <w:sz w:val="14"/>
                <w:szCs w:val="14"/>
                <w:color w:val="auto"/>
              </w:rPr>
              <w:t>Accounts receivable from reinsurers and</w:t>
            </w:r>
          </w:p>
        </w:tc>
        <w:tc>
          <w:tcPr>
            <w:tcW w:w="6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r>
      <w:tr>
        <w:trPr>
          <w:trHeight w:val="161"/>
        </w:trPr>
        <w:tc>
          <w:tcPr>
            <w:tcW w:w="2580" w:type="dxa"/>
            <w:vAlign w:val="bottom"/>
            <w:shd w:val="clear" w:color="auto" w:fill="CCEEFF"/>
          </w:tcPr>
          <w:p>
            <w:pPr>
              <w:spacing w:after="0"/>
              <w:rPr>
                <w:sz w:val="20"/>
                <w:szCs w:val="20"/>
                <w:color w:val="auto"/>
              </w:rPr>
            </w:pPr>
            <w:r>
              <w:rPr>
                <w:rFonts w:ascii="Arial" w:cs="Arial" w:eastAsia="Arial" w:hAnsi="Arial"/>
                <w:sz w:val="14"/>
                <w:szCs w:val="14"/>
                <w:color w:val="auto"/>
              </w:rPr>
              <w:t>coinsurers</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715,695</w:t>
            </w: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715,695</w:t>
            </w: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715,695</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454,187</w:t>
            </w: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454,187</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454,187</w:t>
            </w:r>
          </w:p>
        </w:tc>
        <w:tc>
          <w:tcPr>
            <w:tcW w:w="60" w:type="dxa"/>
            <w:vAlign w:val="bottom"/>
            <w:shd w:val="clear" w:color="auto" w:fill="CCEEFF"/>
          </w:tcPr>
          <w:p>
            <w:pPr>
              <w:spacing w:after="0"/>
              <w:rPr>
                <w:sz w:val="14"/>
                <w:szCs w:val="14"/>
                <w:color w:val="auto"/>
              </w:rPr>
            </w:pPr>
          </w:p>
        </w:tc>
      </w:tr>
      <w:tr>
        <w:trPr>
          <w:trHeight w:val="143"/>
        </w:trPr>
        <w:tc>
          <w:tcPr>
            <w:tcW w:w="2580" w:type="dxa"/>
            <w:vAlign w:val="bottom"/>
          </w:tcPr>
          <w:p>
            <w:pPr>
              <w:spacing w:after="0" w:line="143" w:lineRule="exact"/>
              <w:rPr>
                <w:sz w:val="20"/>
                <w:szCs w:val="20"/>
                <w:color w:val="auto"/>
              </w:rPr>
            </w:pPr>
            <w:r>
              <w:rPr>
                <w:rFonts w:ascii="Arial" w:cs="Arial" w:eastAsia="Arial" w:hAnsi="Arial"/>
                <w:sz w:val="14"/>
                <w:szCs w:val="14"/>
                <w:color w:val="auto"/>
              </w:rPr>
              <w:t>Bank acceptances</w:t>
            </w:r>
          </w:p>
        </w:tc>
        <w:tc>
          <w:tcPr>
            <w:tcW w:w="820" w:type="dxa"/>
            <w:vAlign w:val="bottom"/>
            <w:gridSpan w:val="2"/>
          </w:tcPr>
          <w:p>
            <w:pPr>
              <w:jc w:val="right"/>
              <w:ind w:right="180"/>
              <w:spacing w:after="0" w:line="143" w:lineRule="exact"/>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180"/>
              <w:spacing w:after="0" w:line="143" w:lineRule="exact"/>
              <w:rPr>
                <w:sz w:val="20"/>
                <w:szCs w:val="20"/>
                <w:color w:val="auto"/>
              </w:rPr>
            </w:pPr>
            <w:r>
              <w:rPr>
                <w:rFonts w:ascii="Arial" w:cs="Arial" w:eastAsia="Arial" w:hAnsi="Arial"/>
                <w:sz w:val="14"/>
                <w:szCs w:val="14"/>
                <w:color w:val="auto"/>
              </w:rPr>
              <w:t>532,034</w:t>
            </w:r>
          </w:p>
        </w:tc>
        <w:tc>
          <w:tcPr>
            <w:tcW w:w="720" w:type="dxa"/>
            <w:vAlign w:val="bottom"/>
            <w:gridSpan w:val="2"/>
          </w:tcPr>
          <w:p>
            <w:pPr>
              <w:jc w:val="right"/>
              <w:ind w:right="180"/>
              <w:spacing w:after="0" w:line="143" w:lineRule="exact"/>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200"/>
              <w:spacing w:after="0" w:line="143" w:lineRule="exact"/>
              <w:rPr>
                <w:sz w:val="20"/>
                <w:szCs w:val="20"/>
                <w:color w:val="auto"/>
              </w:rPr>
            </w:pPr>
            <w:r>
              <w:rPr>
                <w:rFonts w:ascii="Arial" w:cs="Arial" w:eastAsia="Arial" w:hAnsi="Arial"/>
                <w:sz w:val="14"/>
                <w:szCs w:val="14"/>
                <w:color w:val="auto"/>
              </w:rPr>
              <w:t>532,034</w:t>
            </w:r>
          </w:p>
        </w:tc>
        <w:tc>
          <w:tcPr>
            <w:tcW w:w="960" w:type="dxa"/>
            <w:vAlign w:val="bottom"/>
            <w:gridSpan w:val="2"/>
          </w:tcPr>
          <w:p>
            <w:pPr>
              <w:jc w:val="right"/>
              <w:ind w:right="180"/>
              <w:spacing w:after="0" w:line="143" w:lineRule="exact"/>
              <w:rPr>
                <w:sz w:val="20"/>
                <w:szCs w:val="20"/>
                <w:color w:val="auto"/>
              </w:rPr>
            </w:pPr>
            <w:r>
              <w:rPr>
                <w:rFonts w:ascii="Arial" w:cs="Arial" w:eastAsia="Arial" w:hAnsi="Arial"/>
                <w:sz w:val="14"/>
                <w:szCs w:val="14"/>
                <w:color w:val="auto"/>
              </w:rPr>
              <w:t>532,034</w:t>
            </w:r>
          </w:p>
        </w:tc>
        <w:tc>
          <w:tcPr>
            <w:tcW w:w="840" w:type="dxa"/>
            <w:vAlign w:val="bottom"/>
            <w:gridSpan w:val="2"/>
          </w:tcPr>
          <w:p>
            <w:pPr>
              <w:jc w:val="right"/>
              <w:ind w:right="180"/>
              <w:spacing w:after="0" w:line="143" w:lineRule="exact"/>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200"/>
              <w:spacing w:after="0" w:line="143" w:lineRule="exact"/>
              <w:rPr>
                <w:sz w:val="20"/>
                <w:szCs w:val="20"/>
                <w:color w:val="auto"/>
              </w:rPr>
            </w:pPr>
            <w:r>
              <w:rPr>
                <w:rFonts w:ascii="Arial" w:cs="Arial" w:eastAsia="Arial" w:hAnsi="Arial"/>
                <w:sz w:val="14"/>
                <w:szCs w:val="14"/>
                <w:color w:val="auto"/>
              </w:rPr>
              <w:t>491,139</w:t>
            </w:r>
          </w:p>
        </w:tc>
        <w:tc>
          <w:tcPr>
            <w:tcW w:w="700" w:type="dxa"/>
            <w:vAlign w:val="bottom"/>
            <w:gridSpan w:val="2"/>
          </w:tcPr>
          <w:p>
            <w:pPr>
              <w:jc w:val="right"/>
              <w:ind w:right="180"/>
              <w:spacing w:after="0" w:line="143" w:lineRule="exact"/>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180"/>
              <w:spacing w:after="0" w:line="143" w:lineRule="exact"/>
              <w:rPr>
                <w:sz w:val="20"/>
                <w:szCs w:val="20"/>
                <w:color w:val="auto"/>
              </w:rPr>
            </w:pPr>
            <w:r>
              <w:rPr>
                <w:rFonts w:ascii="Arial" w:cs="Arial" w:eastAsia="Arial" w:hAnsi="Arial"/>
                <w:sz w:val="14"/>
                <w:szCs w:val="14"/>
                <w:color w:val="auto"/>
              </w:rPr>
              <w:t>491,139</w:t>
            </w:r>
          </w:p>
        </w:tc>
        <w:tc>
          <w:tcPr>
            <w:tcW w:w="820" w:type="dxa"/>
            <w:vAlign w:val="bottom"/>
            <w:gridSpan w:val="2"/>
          </w:tcPr>
          <w:p>
            <w:pPr>
              <w:jc w:val="right"/>
              <w:ind w:right="20"/>
              <w:spacing w:after="0" w:line="143" w:lineRule="exact"/>
              <w:rPr>
                <w:sz w:val="20"/>
                <w:szCs w:val="20"/>
                <w:color w:val="auto"/>
              </w:rPr>
            </w:pPr>
            <w:r>
              <w:rPr>
                <w:rFonts w:ascii="Arial" w:cs="Arial" w:eastAsia="Arial" w:hAnsi="Arial"/>
                <w:sz w:val="14"/>
                <w:szCs w:val="14"/>
                <w:color w:val="auto"/>
              </w:rPr>
              <w:t>491,139</w:t>
            </w:r>
          </w:p>
        </w:tc>
        <w:tc>
          <w:tcPr>
            <w:tcW w:w="60" w:type="dxa"/>
            <w:vAlign w:val="bottom"/>
          </w:tcPr>
          <w:p>
            <w:pPr>
              <w:spacing w:after="0"/>
              <w:rPr>
                <w:sz w:val="12"/>
                <w:szCs w:val="12"/>
                <w:color w:val="auto"/>
              </w:rPr>
            </w:pPr>
          </w:p>
        </w:tc>
      </w:tr>
      <w:tr>
        <w:trPr>
          <w:trHeight w:val="156"/>
        </w:trPr>
        <w:tc>
          <w:tcPr>
            <w:tcW w:w="2580" w:type="dxa"/>
            <w:vAlign w:val="bottom"/>
            <w:shd w:val="clear" w:color="auto" w:fill="CCEEFF"/>
          </w:tcPr>
          <w:p>
            <w:pPr>
              <w:spacing w:after="0" w:line="156" w:lineRule="exact"/>
              <w:rPr>
                <w:sz w:val="20"/>
                <w:szCs w:val="20"/>
                <w:color w:val="auto"/>
              </w:rPr>
            </w:pPr>
            <w:r>
              <w:rPr>
                <w:rFonts w:ascii="Arial" w:cs="Arial" w:eastAsia="Arial" w:hAnsi="Arial"/>
                <w:sz w:val="14"/>
                <w:szCs w:val="14"/>
                <w:color w:val="auto"/>
              </w:rPr>
              <w:t>Other assets</w:t>
            </w:r>
          </w:p>
        </w:tc>
        <w:tc>
          <w:tcPr>
            <w:tcW w:w="820" w:type="dxa"/>
            <w:vAlign w:val="bottom"/>
            <w:gridSpan w:val="2"/>
            <w:shd w:val="clear" w:color="auto" w:fill="CCEEFF"/>
          </w:tcPr>
          <w:p>
            <w:pPr>
              <w:jc w:val="right"/>
              <w:ind w:right="180"/>
              <w:spacing w:after="0" w:line="156" w:lineRule="exact"/>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line="156" w:lineRule="exact"/>
              <w:rPr>
                <w:sz w:val="20"/>
                <w:szCs w:val="20"/>
                <w:color w:val="auto"/>
              </w:rPr>
            </w:pPr>
            <w:r>
              <w:rPr>
                <w:rFonts w:ascii="Arial" w:cs="Arial" w:eastAsia="Arial" w:hAnsi="Arial"/>
                <w:sz w:val="14"/>
                <w:szCs w:val="14"/>
                <w:color w:val="auto"/>
              </w:rPr>
              <w:t>1,759,125</w:t>
            </w:r>
          </w:p>
        </w:tc>
        <w:tc>
          <w:tcPr>
            <w:tcW w:w="1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80"/>
              <w:spacing w:after="0" w:line="156"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200"/>
              <w:spacing w:after="0" w:line="156" w:lineRule="exact"/>
              <w:rPr>
                <w:sz w:val="20"/>
                <w:szCs w:val="20"/>
                <w:color w:val="auto"/>
              </w:rPr>
            </w:pPr>
            <w:r>
              <w:rPr>
                <w:rFonts w:ascii="Arial" w:cs="Arial" w:eastAsia="Arial" w:hAnsi="Arial"/>
                <w:sz w:val="14"/>
                <w:szCs w:val="14"/>
                <w:color w:val="auto"/>
              </w:rPr>
              <w:t>1,759,125</w:t>
            </w:r>
          </w:p>
        </w:tc>
        <w:tc>
          <w:tcPr>
            <w:tcW w:w="780" w:type="dxa"/>
            <w:vAlign w:val="bottom"/>
            <w:shd w:val="clear" w:color="auto" w:fill="CCEEFF"/>
          </w:tcPr>
          <w:p>
            <w:pPr>
              <w:jc w:val="right"/>
              <w:spacing w:after="0" w:line="156" w:lineRule="exact"/>
              <w:rPr>
                <w:sz w:val="20"/>
                <w:szCs w:val="20"/>
                <w:color w:val="auto"/>
              </w:rPr>
            </w:pPr>
            <w:r>
              <w:rPr>
                <w:rFonts w:ascii="Arial" w:cs="Arial" w:eastAsia="Arial" w:hAnsi="Arial"/>
                <w:sz w:val="14"/>
                <w:szCs w:val="14"/>
                <w:color w:val="auto"/>
              </w:rPr>
              <w:t>1,759,125</w:t>
            </w:r>
          </w:p>
        </w:tc>
        <w:tc>
          <w:tcPr>
            <w:tcW w:w="18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180"/>
              <w:spacing w:after="0" w:line="156"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200"/>
              <w:spacing w:after="0" w:line="156" w:lineRule="exact"/>
              <w:rPr>
                <w:sz w:val="20"/>
                <w:szCs w:val="20"/>
                <w:color w:val="auto"/>
              </w:rPr>
            </w:pPr>
            <w:r>
              <w:rPr>
                <w:rFonts w:ascii="Arial" w:cs="Arial" w:eastAsia="Arial" w:hAnsi="Arial"/>
                <w:sz w:val="14"/>
                <w:szCs w:val="14"/>
                <w:color w:val="auto"/>
              </w:rPr>
              <w:t>1,286,082</w:t>
            </w:r>
          </w:p>
        </w:tc>
        <w:tc>
          <w:tcPr>
            <w:tcW w:w="700" w:type="dxa"/>
            <w:vAlign w:val="bottom"/>
            <w:gridSpan w:val="2"/>
            <w:shd w:val="clear" w:color="auto" w:fill="CCEEFF"/>
          </w:tcPr>
          <w:p>
            <w:pPr>
              <w:jc w:val="right"/>
              <w:ind w:right="180"/>
              <w:spacing w:after="0" w:line="156"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180"/>
              <w:spacing w:after="0" w:line="156" w:lineRule="exact"/>
              <w:rPr>
                <w:sz w:val="20"/>
                <w:szCs w:val="20"/>
                <w:color w:val="auto"/>
              </w:rPr>
            </w:pPr>
            <w:r>
              <w:rPr>
                <w:rFonts w:ascii="Arial" w:cs="Arial" w:eastAsia="Arial" w:hAnsi="Arial"/>
                <w:sz w:val="14"/>
                <w:szCs w:val="14"/>
                <w:color w:val="auto"/>
              </w:rPr>
              <w:t>1,286,082</w:t>
            </w:r>
          </w:p>
        </w:tc>
        <w:tc>
          <w:tcPr>
            <w:tcW w:w="820" w:type="dxa"/>
            <w:vAlign w:val="bottom"/>
            <w:gridSpan w:val="2"/>
            <w:shd w:val="clear" w:color="auto" w:fill="CCEEFF"/>
          </w:tcPr>
          <w:p>
            <w:pPr>
              <w:jc w:val="right"/>
              <w:ind w:right="20"/>
              <w:spacing w:after="0" w:line="156" w:lineRule="exact"/>
              <w:rPr>
                <w:sz w:val="20"/>
                <w:szCs w:val="20"/>
                <w:color w:val="auto"/>
              </w:rPr>
            </w:pPr>
            <w:r>
              <w:rPr>
                <w:rFonts w:ascii="Arial" w:cs="Arial" w:eastAsia="Arial" w:hAnsi="Arial"/>
                <w:sz w:val="14"/>
                <w:szCs w:val="14"/>
                <w:color w:val="auto"/>
              </w:rPr>
              <w:t>1,286,082</w:t>
            </w:r>
          </w:p>
        </w:tc>
        <w:tc>
          <w:tcPr>
            <w:tcW w:w="60" w:type="dxa"/>
            <w:vAlign w:val="bottom"/>
            <w:shd w:val="clear" w:color="auto" w:fill="CCEEFF"/>
          </w:tcPr>
          <w:p>
            <w:pPr>
              <w:spacing w:after="0"/>
              <w:rPr>
                <w:sz w:val="13"/>
                <w:szCs w:val="13"/>
                <w:color w:val="auto"/>
              </w:rPr>
            </w:pPr>
          </w:p>
        </w:tc>
      </w:tr>
      <w:tr>
        <w:trPr>
          <w:trHeight w:val="189"/>
        </w:trPr>
        <w:tc>
          <w:tcPr>
            <w:tcW w:w="2580" w:type="dxa"/>
            <w:vAlign w:val="bottom"/>
            <w:tcBorders>
              <w:bottom w:val="single" w:sz="8" w:color="CCEEFF"/>
            </w:tcBorders>
          </w:tcPr>
          <w:p>
            <w:pPr>
              <w:spacing w:after="0" w:line="149" w:lineRule="exact"/>
              <w:rPr>
                <w:sz w:val="20"/>
                <w:szCs w:val="20"/>
                <w:color w:val="auto"/>
              </w:rPr>
            </w:pPr>
            <w:r>
              <w:rPr>
                <w:rFonts w:ascii="Arial" w:cs="Arial" w:eastAsia="Arial" w:hAnsi="Arial"/>
                <w:sz w:val="14"/>
                <w:szCs w:val="14"/>
                <w:b w:val="1"/>
                <w:bCs w:val="1"/>
                <w:color w:val="auto"/>
              </w:rPr>
              <w:t>Total</w:t>
            </w:r>
          </w:p>
        </w:tc>
        <w:tc>
          <w:tcPr>
            <w:tcW w:w="64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w w:val="99"/>
              </w:rPr>
              <w:t>4,088,520</w:t>
            </w:r>
          </w:p>
        </w:tc>
        <w:tc>
          <w:tcPr>
            <w:tcW w:w="180" w:type="dxa"/>
            <w:vAlign w:val="bottom"/>
            <w:tcBorders>
              <w:bottom w:val="single" w:sz="8" w:color="CCEEFF"/>
            </w:tcBorders>
          </w:tcPr>
          <w:p>
            <w:pPr>
              <w:spacing w:after="0"/>
              <w:rPr>
                <w:sz w:val="16"/>
                <w:szCs w:val="16"/>
                <w:color w:val="auto"/>
              </w:rPr>
            </w:pPr>
          </w:p>
        </w:tc>
        <w:tc>
          <w:tcPr>
            <w:tcW w:w="80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150,274,488</w:t>
            </w:r>
          </w:p>
        </w:tc>
        <w:tc>
          <w:tcPr>
            <w:tcW w:w="180" w:type="dxa"/>
            <w:vAlign w:val="bottom"/>
            <w:tcBorders>
              <w:bottom w:val="single" w:sz="8" w:color="CCEEFF"/>
            </w:tcBorders>
          </w:tcPr>
          <w:p>
            <w:pPr>
              <w:spacing w:after="0"/>
              <w:rPr>
                <w:sz w:val="16"/>
                <w:szCs w:val="16"/>
                <w:color w:val="auto"/>
              </w:rPr>
            </w:pPr>
          </w:p>
        </w:tc>
        <w:tc>
          <w:tcPr>
            <w:tcW w:w="54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tcPr>
          <w:p>
            <w:pPr>
              <w:spacing w:after="0"/>
              <w:rPr>
                <w:sz w:val="16"/>
                <w:szCs w:val="16"/>
                <w:color w:val="auto"/>
              </w:rPr>
            </w:pPr>
          </w:p>
        </w:tc>
        <w:tc>
          <w:tcPr>
            <w:tcW w:w="780" w:type="dxa"/>
            <w:vAlign w:val="bottom"/>
            <w:tcBorders>
              <w:top w:val="single" w:sz="8" w:color="auto"/>
              <w:bottom w:val="single" w:sz="8" w:color="auto"/>
            </w:tcBorders>
          </w:tcPr>
          <w:p>
            <w:pPr>
              <w:ind w:left="100"/>
              <w:spacing w:after="0" w:line="149" w:lineRule="exact"/>
              <w:rPr>
                <w:sz w:val="20"/>
                <w:szCs w:val="20"/>
                <w:color w:val="auto"/>
              </w:rPr>
            </w:pPr>
            <w:r>
              <w:rPr>
                <w:rFonts w:ascii="Arial" w:cs="Arial" w:eastAsia="Arial" w:hAnsi="Arial"/>
                <w:sz w:val="14"/>
                <w:szCs w:val="14"/>
                <w:color w:val="auto"/>
                <w:w w:val="84"/>
              </w:rPr>
              <w:t>154,363,008</w:t>
            </w:r>
          </w:p>
        </w:tc>
        <w:tc>
          <w:tcPr>
            <w:tcW w:w="200" w:type="dxa"/>
            <w:vAlign w:val="bottom"/>
            <w:tcBorders>
              <w:bottom w:val="single" w:sz="8" w:color="CCEEFF"/>
            </w:tcBorders>
          </w:tcPr>
          <w:p>
            <w:pPr>
              <w:spacing w:after="0"/>
              <w:rPr>
                <w:sz w:val="16"/>
                <w:szCs w:val="16"/>
                <w:color w:val="auto"/>
              </w:rPr>
            </w:pPr>
          </w:p>
        </w:tc>
        <w:tc>
          <w:tcPr>
            <w:tcW w:w="78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w w:val="97"/>
              </w:rPr>
              <w:t>154,126,299</w:t>
            </w:r>
          </w:p>
        </w:tc>
        <w:tc>
          <w:tcPr>
            <w:tcW w:w="180" w:type="dxa"/>
            <w:vAlign w:val="bottom"/>
            <w:tcBorders>
              <w:bottom w:val="single" w:sz="8" w:color="CCEEFF"/>
            </w:tcBorders>
          </w:tcPr>
          <w:p>
            <w:pPr>
              <w:spacing w:after="0"/>
              <w:rPr>
                <w:sz w:val="16"/>
                <w:szCs w:val="16"/>
                <w:color w:val="auto"/>
              </w:rPr>
            </w:pPr>
          </w:p>
        </w:tc>
        <w:tc>
          <w:tcPr>
            <w:tcW w:w="66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5,215,704</w:t>
            </w:r>
          </w:p>
        </w:tc>
        <w:tc>
          <w:tcPr>
            <w:tcW w:w="180" w:type="dxa"/>
            <w:vAlign w:val="bottom"/>
            <w:tcBorders>
              <w:bottom w:val="single" w:sz="8" w:color="CCEEFF"/>
            </w:tcBorders>
          </w:tcPr>
          <w:p>
            <w:pPr>
              <w:spacing w:after="0"/>
              <w:rPr>
                <w:sz w:val="16"/>
                <w:szCs w:val="16"/>
                <w:color w:val="auto"/>
              </w:rPr>
            </w:pPr>
          </w:p>
        </w:tc>
        <w:tc>
          <w:tcPr>
            <w:tcW w:w="78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w w:val="97"/>
              </w:rPr>
              <w:t>140,577,998</w:t>
            </w:r>
          </w:p>
        </w:tc>
        <w:tc>
          <w:tcPr>
            <w:tcW w:w="200" w:type="dxa"/>
            <w:vAlign w:val="bottom"/>
            <w:tcBorders>
              <w:bottom w:val="single" w:sz="8" w:color="CCEEFF"/>
            </w:tcBorders>
          </w:tcPr>
          <w:p>
            <w:pPr>
              <w:spacing w:after="0"/>
              <w:rPr>
                <w:sz w:val="16"/>
                <w:szCs w:val="16"/>
                <w:color w:val="auto"/>
              </w:rPr>
            </w:pPr>
          </w:p>
        </w:tc>
        <w:tc>
          <w:tcPr>
            <w:tcW w:w="52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tcPr>
          <w:p>
            <w:pPr>
              <w:spacing w:after="0"/>
              <w:rPr>
                <w:sz w:val="16"/>
                <w:szCs w:val="16"/>
                <w:color w:val="auto"/>
              </w:rPr>
            </w:pPr>
          </w:p>
        </w:tc>
        <w:tc>
          <w:tcPr>
            <w:tcW w:w="80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145,793,702</w:t>
            </w:r>
          </w:p>
        </w:tc>
        <w:tc>
          <w:tcPr>
            <w:tcW w:w="180" w:type="dxa"/>
            <w:vAlign w:val="bottom"/>
            <w:tcBorders>
              <w:bottom w:val="single" w:sz="8" w:color="CCEEFF"/>
            </w:tcBorders>
          </w:tcPr>
          <w:p>
            <w:pPr>
              <w:spacing w:after="0"/>
              <w:rPr>
                <w:sz w:val="16"/>
                <w:szCs w:val="16"/>
                <w:color w:val="auto"/>
              </w:rPr>
            </w:pPr>
          </w:p>
        </w:tc>
        <w:tc>
          <w:tcPr>
            <w:tcW w:w="80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145,952,198</w:t>
            </w:r>
          </w:p>
        </w:tc>
        <w:tc>
          <w:tcPr>
            <w:tcW w:w="2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r>
      <w:tr>
        <w:trPr>
          <w:trHeight w:val="122"/>
        </w:trPr>
        <w:tc>
          <w:tcPr>
            <w:tcW w:w="25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r>
      <w:tr>
        <w:trPr>
          <w:trHeight w:val="143"/>
        </w:trPr>
        <w:tc>
          <w:tcPr>
            <w:tcW w:w="2580" w:type="dxa"/>
            <w:vAlign w:val="bottom"/>
          </w:tcPr>
          <w:p>
            <w:pPr>
              <w:spacing w:after="0" w:line="143" w:lineRule="exact"/>
              <w:rPr>
                <w:sz w:val="20"/>
                <w:szCs w:val="20"/>
                <w:color w:val="auto"/>
              </w:rPr>
            </w:pPr>
            <w:r>
              <w:rPr>
                <w:rFonts w:ascii="Arial" w:cs="Arial" w:eastAsia="Arial" w:hAnsi="Arial"/>
                <w:sz w:val="14"/>
                <w:szCs w:val="14"/>
                <w:b w:val="1"/>
                <w:bCs w:val="1"/>
                <w:color w:val="auto"/>
              </w:rPr>
              <w:t>Liabilities</w:t>
            </w: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43"/>
        </w:trPr>
        <w:tc>
          <w:tcPr>
            <w:tcW w:w="258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rPr>
              <w:t>Deposits and obligations</w:t>
            </w:r>
          </w:p>
        </w:tc>
        <w:tc>
          <w:tcPr>
            <w:tcW w:w="820" w:type="dxa"/>
            <w:vAlign w:val="bottom"/>
            <w:gridSpan w:val="2"/>
            <w:shd w:val="clear" w:color="auto" w:fill="CCEEFF"/>
          </w:tcPr>
          <w:p>
            <w:pPr>
              <w:jc w:val="right"/>
              <w:ind w:right="180"/>
              <w:spacing w:after="0" w:line="143"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180"/>
              <w:spacing w:after="0" w:line="143" w:lineRule="exact"/>
              <w:rPr>
                <w:sz w:val="20"/>
                <w:szCs w:val="20"/>
                <w:color w:val="auto"/>
              </w:rPr>
            </w:pPr>
            <w:r>
              <w:rPr>
                <w:rFonts w:ascii="Arial" w:cs="Arial" w:eastAsia="Arial" w:hAnsi="Arial"/>
                <w:sz w:val="14"/>
                <w:szCs w:val="14"/>
                <w:color w:val="auto"/>
              </w:rPr>
              <w:t>97,170,411</w:t>
            </w:r>
          </w:p>
        </w:tc>
        <w:tc>
          <w:tcPr>
            <w:tcW w:w="720" w:type="dxa"/>
            <w:vAlign w:val="bottom"/>
            <w:gridSpan w:val="2"/>
            <w:shd w:val="clear" w:color="auto" w:fill="CCEEFF"/>
          </w:tcPr>
          <w:p>
            <w:pPr>
              <w:jc w:val="right"/>
              <w:ind w:right="180"/>
              <w:spacing w:after="0" w:line="143"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200"/>
              <w:spacing w:after="0" w:line="143" w:lineRule="exact"/>
              <w:rPr>
                <w:sz w:val="20"/>
                <w:szCs w:val="20"/>
                <w:color w:val="auto"/>
              </w:rPr>
            </w:pPr>
            <w:r>
              <w:rPr>
                <w:rFonts w:ascii="Arial" w:cs="Arial" w:eastAsia="Arial" w:hAnsi="Arial"/>
                <w:sz w:val="14"/>
                <w:szCs w:val="14"/>
                <w:color w:val="auto"/>
              </w:rPr>
              <w:t>97,170,411</w:t>
            </w:r>
          </w:p>
        </w:tc>
        <w:tc>
          <w:tcPr>
            <w:tcW w:w="960" w:type="dxa"/>
            <w:vAlign w:val="bottom"/>
            <w:gridSpan w:val="2"/>
            <w:shd w:val="clear" w:color="auto" w:fill="CCEEFF"/>
          </w:tcPr>
          <w:p>
            <w:pPr>
              <w:jc w:val="right"/>
              <w:ind w:right="180"/>
              <w:spacing w:after="0" w:line="143" w:lineRule="exact"/>
              <w:rPr>
                <w:sz w:val="20"/>
                <w:szCs w:val="20"/>
                <w:color w:val="auto"/>
              </w:rPr>
            </w:pPr>
            <w:r>
              <w:rPr>
                <w:rFonts w:ascii="Arial" w:cs="Arial" w:eastAsia="Arial" w:hAnsi="Arial"/>
                <w:sz w:val="14"/>
                <w:szCs w:val="14"/>
                <w:color w:val="auto"/>
              </w:rPr>
              <w:t>97,170,411</w:t>
            </w:r>
          </w:p>
        </w:tc>
        <w:tc>
          <w:tcPr>
            <w:tcW w:w="840" w:type="dxa"/>
            <w:vAlign w:val="bottom"/>
            <w:gridSpan w:val="2"/>
            <w:shd w:val="clear" w:color="auto" w:fill="CCEEFF"/>
          </w:tcPr>
          <w:p>
            <w:pPr>
              <w:jc w:val="right"/>
              <w:ind w:right="180"/>
              <w:spacing w:after="0" w:line="143"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200"/>
              <w:spacing w:after="0" w:line="143" w:lineRule="exact"/>
              <w:rPr>
                <w:sz w:val="20"/>
                <w:szCs w:val="20"/>
                <w:color w:val="auto"/>
              </w:rPr>
            </w:pPr>
            <w:r>
              <w:rPr>
                <w:rFonts w:ascii="Arial" w:cs="Arial" w:eastAsia="Arial" w:hAnsi="Arial"/>
                <w:sz w:val="14"/>
                <w:szCs w:val="14"/>
                <w:color w:val="auto"/>
              </w:rPr>
              <w:t>85,916,387</w:t>
            </w:r>
          </w:p>
        </w:tc>
        <w:tc>
          <w:tcPr>
            <w:tcW w:w="700" w:type="dxa"/>
            <w:vAlign w:val="bottom"/>
            <w:gridSpan w:val="2"/>
            <w:shd w:val="clear" w:color="auto" w:fill="CCEEFF"/>
          </w:tcPr>
          <w:p>
            <w:pPr>
              <w:jc w:val="right"/>
              <w:ind w:right="180"/>
              <w:spacing w:after="0" w:line="143"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180"/>
              <w:spacing w:after="0" w:line="143" w:lineRule="exact"/>
              <w:rPr>
                <w:sz w:val="20"/>
                <w:szCs w:val="20"/>
                <w:color w:val="auto"/>
              </w:rPr>
            </w:pPr>
            <w:r>
              <w:rPr>
                <w:rFonts w:ascii="Arial" w:cs="Arial" w:eastAsia="Arial" w:hAnsi="Arial"/>
                <w:sz w:val="14"/>
                <w:szCs w:val="14"/>
                <w:color w:val="auto"/>
              </w:rPr>
              <w:t>85,916,387</w:t>
            </w:r>
          </w:p>
        </w:tc>
        <w:tc>
          <w:tcPr>
            <w:tcW w:w="820" w:type="dxa"/>
            <w:vAlign w:val="bottom"/>
            <w:gridSpan w:val="2"/>
            <w:shd w:val="clear" w:color="auto" w:fill="CCEEFF"/>
          </w:tcPr>
          <w:p>
            <w:pPr>
              <w:jc w:val="right"/>
              <w:ind w:right="20"/>
              <w:spacing w:after="0" w:line="143" w:lineRule="exact"/>
              <w:rPr>
                <w:sz w:val="20"/>
                <w:szCs w:val="20"/>
                <w:color w:val="auto"/>
              </w:rPr>
            </w:pPr>
            <w:r>
              <w:rPr>
                <w:rFonts w:ascii="Arial" w:cs="Arial" w:eastAsia="Arial" w:hAnsi="Arial"/>
                <w:sz w:val="14"/>
                <w:szCs w:val="14"/>
                <w:color w:val="auto"/>
              </w:rPr>
              <w:t>85,916,387</w:t>
            </w:r>
          </w:p>
        </w:tc>
        <w:tc>
          <w:tcPr>
            <w:tcW w:w="60" w:type="dxa"/>
            <w:vAlign w:val="bottom"/>
            <w:shd w:val="clear" w:color="auto" w:fill="CCEEFF"/>
          </w:tcPr>
          <w:p>
            <w:pPr>
              <w:spacing w:after="0"/>
              <w:rPr>
                <w:sz w:val="12"/>
                <w:szCs w:val="12"/>
                <w:color w:val="auto"/>
              </w:rPr>
            </w:pPr>
          </w:p>
        </w:tc>
      </w:tr>
      <w:tr>
        <w:trPr>
          <w:trHeight w:val="143"/>
        </w:trPr>
        <w:tc>
          <w:tcPr>
            <w:tcW w:w="2580" w:type="dxa"/>
            <w:vAlign w:val="bottom"/>
          </w:tcPr>
          <w:p>
            <w:pPr>
              <w:spacing w:after="0" w:line="143" w:lineRule="exact"/>
              <w:rPr>
                <w:sz w:val="20"/>
                <w:szCs w:val="20"/>
                <w:color w:val="auto"/>
              </w:rPr>
            </w:pPr>
            <w:r>
              <w:rPr>
                <w:rFonts w:ascii="Arial" w:cs="Arial" w:eastAsia="Arial" w:hAnsi="Arial"/>
                <w:sz w:val="14"/>
                <w:szCs w:val="14"/>
                <w:color w:val="auto"/>
              </w:rPr>
              <w:t>Payables from repurchase agreements</w:t>
            </w:r>
          </w:p>
        </w:tc>
        <w:tc>
          <w:tcPr>
            <w:tcW w:w="820" w:type="dxa"/>
            <w:vAlign w:val="bottom"/>
            <w:gridSpan w:val="2"/>
          </w:tcPr>
          <w:p>
            <w:pPr>
              <w:jc w:val="right"/>
              <w:ind w:right="180"/>
              <w:spacing w:after="0" w:line="143" w:lineRule="exact"/>
              <w:rPr>
                <w:sz w:val="20"/>
                <w:szCs w:val="20"/>
                <w:color w:val="auto"/>
              </w:rPr>
            </w:pPr>
            <w:r>
              <w:rPr>
                <w:rFonts w:ascii="Arial" w:cs="Arial" w:eastAsia="Arial" w:hAnsi="Arial"/>
                <w:sz w:val="14"/>
                <w:szCs w:val="14"/>
                <w:color w:val="auto"/>
              </w:rPr>
              <w:t>-</w:t>
            </w:r>
          </w:p>
        </w:tc>
        <w:tc>
          <w:tcPr>
            <w:tcW w:w="800" w:type="dxa"/>
            <w:vAlign w:val="bottom"/>
          </w:tcPr>
          <w:p>
            <w:pPr>
              <w:jc w:val="right"/>
              <w:spacing w:after="0" w:line="143" w:lineRule="exact"/>
              <w:rPr>
                <w:sz w:val="20"/>
                <w:szCs w:val="20"/>
                <w:color w:val="auto"/>
              </w:rPr>
            </w:pPr>
            <w:r>
              <w:rPr>
                <w:rFonts w:ascii="Arial" w:cs="Arial" w:eastAsia="Arial" w:hAnsi="Arial"/>
                <w:sz w:val="14"/>
                <w:szCs w:val="14"/>
                <w:color w:val="auto"/>
              </w:rPr>
              <w:t>13,415,843</w:t>
            </w:r>
          </w:p>
        </w:tc>
        <w:tc>
          <w:tcPr>
            <w:tcW w:w="180" w:type="dxa"/>
            <w:vAlign w:val="bottom"/>
          </w:tcPr>
          <w:p>
            <w:pPr>
              <w:spacing w:after="0"/>
              <w:rPr>
                <w:sz w:val="12"/>
                <w:szCs w:val="12"/>
                <w:color w:val="auto"/>
              </w:rPr>
            </w:pPr>
          </w:p>
        </w:tc>
        <w:tc>
          <w:tcPr>
            <w:tcW w:w="720" w:type="dxa"/>
            <w:vAlign w:val="bottom"/>
            <w:gridSpan w:val="2"/>
          </w:tcPr>
          <w:p>
            <w:pPr>
              <w:jc w:val="right"/>
              <w:ind w:right="180"/>
              <w:spacing w:after="0" w:line="143" w:lineRule="exact"/>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200"/>
              <w:spacing w:after="0" w:line="143" w:lineRule="exact"/>
              <w:rPr>
                <w:sz w:val="20"/>
                <w:szCs w:val="20"/>
                <w:color w:val="auto"/>
              </w:rPr>
            </w:pPr>
            <w:r>
              <w:rPr>
                <w:rFonts w:ascii="Arial" w:cs="Arial" w:eastAsia="Arial" w:hAnsi="Arial"/>
                <w:sz w:val="14"/>
                <w:szCs w:val="14"/>
                <w:color w:val="auto"/>
              </w:rPr>
              <w:t>13,415,843</w:t>
            </w:r>
          </w:p>
        </w:tc>
        <w:tc>
          <w:tcPr>
            <w:tcW w:w="780" w:type="dxa"/>
            <w:vAlign w:val="bottom"/>
          </w:tcPr>
          <w:p>
            <w:pPr>
              <w:jc w:val="right"/>
              <w:spacing w:after="0" w:line="143" w:lineRule="exact"/>
              <w:rPr>
                <w:sz w:val="20"/>
                <w:szCs w:val="20"/>
                <w:color w:val="auto"/>
              </w:rPr>
            </w:pPr>
            <w:r>
              <w:rPr>
                <w:rFonts w:ascii="Arial" w:cs="Arial" w:eastAsia="Arial" w:hAnsi="Arial"/>
                <w:sz w:val="14"/>
                <w:szCs w:val="14"/>
                <w:color w:val="auto"/>
              </w:rPr>
              <w:t>13,415,843</w:t>
            </w:r>
          </w:p>
        </w:tc>
        <w:tc>
          <w:tcPr>
            <w:tcW w:w="180" w:type="dxa"/>
            <w:vAlign w:val="bottom"/>
          </w:tcPr>
          <w:p>
            <w:pPr>
              <w:spacing w:after="0"/>
              <w:rPr>
                <w:sz w:val="12"/>
                <w:szCs w:val="12"/>
                <w:color w:val="auto"/>
              </w:rPr>
            </w:pPr>
          </w:p>
        </w:tc>
        <w:tc>
          <w:tcPr>
            <w:tcW w:w="840" w:type="dxa"/>
            <w:vAlign w:val="bottom"/>
            <w:gridSpan w:val="2"/>
          </w:tcPr>
          <w:p>
            <w:pPr>
              <w:jc w:val="right"/>
              <w:ind w:right="180"/>
              <w:spacing w:after="0" w:line="143" w:lineRule="exact"/>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200"/>
              <w:spacing w:after="0" w:line="143" w:lineRule="exact"/>
              <w:rPr>
                <w:sz w:val="20"/>
                <w:szCs w:val="20"/>
                <w:color w:val="auto"/>
              </w:rPr>
            </w:pPr>
            <w:r>
              <w:rPr>
                <w:rFonts w:ascii="Arial" w:cs="Arial" w:eastAsia="Arial" w:hAnsi="Arial"/>
                <w:sz w:val="14"/>
                <w:szCs w:val="14"/>
                <w:color w:val="auto"/>
              </w:rPr>
              <w:t>15,127,999</w:t>
            </w:r>
          </w:p>
        </w:tc>
        <w:tc>
          <w:tcPr>
            <w:tcW w:w="700" w:type="dxa"/>
            <w:vAlign w:val="bottom"/>
            <w:gridSpan w:val="2"/>
          </w:tcPr>
          <w:p>
            <w:pPr>
              <w:jc w:val="right"/>
              <w:ind w:right="180"/>
              <w:spacing w:after="0" w:line="143" w:lineRule="exact"/>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180"/>
              <w:spacing w:after="0" w:line="143" w:lineRule="exact"/>
              <w:rPr>
                <w:sz w:val="20"/>
                <w:szCs w:val="20"/>
                <w:color w:val="auto"/>
              </w:rPr>
            </w:pPr>
            <w:r>
              <w:rPr>
                <w:rFonts w:ascii="Arial" w:cs="Arial" w:eastAsia="Arial" w:hAnsi="Arial"/>
                <w:sz w:val="14"/>
                <w:szCs w:val="14"/>
                <w:color w:val="auto"/>
              </w:rPr>
              <w:t>15,127,999</w:t>
            </w:r>
          </w:p>
        </w:tc>
        <w:tc>
          <w:tcPr>
            <w:tcW w:w="820" w:type="dxa"/>
            <w:vAlign w:val="bottom"/>
            <w:gridSpan w:val="2"/>
          </w:tcPr>
          <w:p>
            <w:pPr>
              <w:jc w:val="right"/>
              <w:ind w:right="20"/>
              <w:spacing w:after="0" w:line="143" w:lineRule="exact"/>
              <w:rPr>
                <w:sz w:val="20"/>
                <w:szCs w:val="20"/>
                <w:color w:val="auto"/>
              </w:rPr>
            </w:pPr>
            <w:r>
              <w:rPr>
                <w:rFonts w:ascii="Arial" w:cs="Arial" w:eastAsia="Arial" w:hAnsi="Arial"/>
                <w:sz w:val="14"/>
                <w:szCs w:val="14"/>
                <w:color w:val="auto"/>
              </w:rPr>
              <w:t>15,127,999</w:t>
            </w:r>
          </w:p>
        </w:tc>
        <w:tc>
          <w:tcPr>
            <w:tcW w:w="60" w:type="dxa"/>
            <w:vAlign w:val="bottom"/>
          </w:tcPr>
          <w:p>
            <w:pPr>
              <w:spacing w:after="0"/>
              <w:rPr>
                <w:sz w:val="12"/>
                <w:szCs w:val="12"/>
                <w:color w:val="auto"/>
              </w:rPr>
            </w:pPr>
          </w:p>
        </w:tc>
      </w:tr>
      <w:tr>
        <w:trPr>
          <w:trHeight w:val="124"/>
        </w:trPr>
        <w:tc>
          <w:tcPr>
            <w:tcW w:w="2580" w:type="dxa"/>
            <w:vAlign w:val="bottom"/>
            <w:shd w:val="clear" w:color="auto" w:fill="CCEEFF"/>
          </w:tcPr>
          <w:p>
            <w:pPr>
              <w:spacing w:after="0" w:line="125" w:lineRule="exact"/>
              <w:rPr>
                <w:sz w:val="20"/>
                <w:szCs w:val="20"/>
                <w:color w:val="auto"/>
              </w:rPr>
            </w:pPr>
            <w:r>
              <w:rPr>
                <w:rFonts w:ascii="Arial" w:cs="Arial" w:eastAsia="Arial" w:hAnsi="Arial"/>
                <w:sz w:val="14"/>
                <w:szCs w:val="14"/>
                <w:color w:val="auto"/>
                <w:w w:val="93"/>
              </w:rPr>
              <w:t>Due to Banks and correspondents and other</w:t>
            </w:r>
          </w:p>
        </w:tc>
        <w:tc>
          <w:tcPr>
            <w:tcW w:w="6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r>
      <w:tr>
        <w:trPr>
          <w:trHeight w:val="161"/>
        </w:trPr>
        <w:tc>
          <w:tcPr>
            <w:tcW w:w="2580" w:type="dxa"/>
            <w:vAlign w:val="bottom"/>
            <w:shd w:val="clear" w:color="auto" w:fill="CCEEFF"/>
          </w:tcPr>
          <w:p>
            <w:pPr>
              <w:spacing w:after="0"/>
              <w:rPr>
                <w:sz w:val="20"/>
                <w:szCs w:val="20"/>
                <w:color w:val="auto"/>
              </w:rPr>
            </w:pPr>
            <w:r>
              <w:rPr>
                <w:rFonts w:ascii="Arial" w:cs="Arial" w:eastAsia="Arial" w:hAnsi="Arial"/>
                <w:sz w:val="14"/>
                <w:szCs w:val="14"/>
                <w:color w:val="auto"/>
              </w:rPr>
              <w:t>entities</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8,034,990</w:t>
            </w:r>
          </w:p>
        </w:tc>
        <w:tc>
          <w:tcPr>
            <w:tcW w:w="1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8,034,990</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7,996,889</w:t>
            </w:r>
          </w:p>
        </w:tc>
        <w:tc>
          <w:tcPr>
            <w:tcW w:w="1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7,615,935</w:t>
            </w: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7,615,935</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7,493,916</w:t>
            </w:r>
          </w:p>
        </w:tc>
        <w:tc>
          <w:tcPr>
            <w:tcW w:w="60" w:type="dxa"/>
            <w:vAlign w:val="bottom"/>
            <w:shd w:val="clear" w:color="auto" w:fill="CCEEFF"/>
          </w:tcPr>
          <w:p>
            <w:pPr>
              <w:spacing w:after="0"/>
              <w:rPr>
                <w:sz w:val="14"/>
                <w:szCs w:val="14"/>
                <w:color w:val="auto"/>
              </w:rPr>
            </w:pPr>
          </w:p>
        </w:tc>
      </w:tr>
      <w:tr>
        <w:trPr>
          <w:trHeight w:val="143"/>
        </w:trPr>
        <w:tc>
          <w:tcPr>
            <w:tcW w:w="2580" w:type="dxa"/>
            <w:vAlign w:val="bottom"/>
          </w:tcPr>
          <w:p>
            <w:pPr>
              <w:spacing w:after="0" w:line="143" w:lineRule="exact"/>
              <w:rPr>
                <w:sz w:val="20"/>
                <w:szCs w:val="20"/>
                <w:color w:val="auto"/>
              </w:rPr>
            </w:pPr>
            <w:r>
              <w:rPr>
                <w:rFonts w:ascii="Arial" w:cs="Arial" w:eastAsia="Arial" w:hAnsi="Arial"/>
                <w:sz w:val="14"/>
                <w:szCs w:val="14"/>
                <w:color w:val="auto"/>
              </w:rPr>
              <w:t>Bank acceptances</w:t>
            </w:r>
          </w:p>
        </w:tc>
        <w:tc>
          <w:tcPr>
            <w:tcW w:w="820" w:type="dxa"/>
            <w:vAlign w:val="bottom"/>
            <w:gridSpan w:val="2"/>
          </w:tcPr>
          <w:p>
            <w:pPr>
              <w:jc w:val="right"/>
              <w:ind w:right="180"/>
              <w:spacing w:after="0" w:line="143" w:lineRule="exact"/>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180"/>
              <w:spacing w:after="0" w:line="143" w:lineRule="exact"/>
              <w:rPr>
                <w:sz w:val="20"/>
                <w:szCs w:val="20"/>
                <w:color w:val="auto"/>
              </w:rPr>
            </w:pPr>
            <w:r>
              <w:rPr>
                <w:rFonts w:ascii="Arial" w:cs="Arial" w:eastAsia="Arial" w:hAnsi="Arial"/>
                <w:sz w:val="14"/>
                <w:szCs w:val="14"/>
                <w:color w:val="auto"/>
              </w:rPr>
              <w:t>532,034</w:t>
            </w:r>
          </w:p>
        </w:tc>
        <w:tc>
          <w:tcPr>
            <w:tcW w:w="720" w:type="dxa"/>
            <w:vAlign w:val="bottom"/>
            <w:gridSpan w:val="2"/>
          </w:tcPr>
          <w:p>
            <w:pPr>
              <w:jc w:val="right"/>
              <w:ind w:right="180"/>
              <w:spacing w:after="0" w:line="143" w:lineRule="exact"/>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200"/>
              <w:spacing w:after="0" w:line="143" w:lineRule="exact"/>
              <w:rPr>
                <w:sz w:val="20"/>
                <w:szCs w:val="20"/>
                <w:color w:val="auto"/>
              </w:rPr>
            </w:pPr>
            <w:r>
              <w:rPr>
                <w:rFonts w:ascii="Arial" w:cs="Arial" w:eastAsia="Arial" w:hAnsi="Arial"/>
                <w:sz w:val="14"/>
                <w:szCs w:val="14"/>
                <w:color w:val="auto"/>
              </w:rPr>
              <w:t>532,034</w:t>
            </w:r>
          </w:p>
        </w:tc>
        <w:tc>
          <w:tcPr>
            <w:tcW w:w="960" w:type="dxa"/>
            <w:vAlign w:val="bottom"/>
            <w:gridSpan w:val="2"/>
          </w:tcPr>
          <w:p>
            <w:pPr>
              <w:jc w:val="right"/>
              <w:ind w:right="180"/>
              <w:spacing w:after="0" w:line="143" w:lineRule="exact"/>
              <w:rPr>
                <w:sz w:val="20"/>
                <w:szCs w:val="20"/>
                <w:color w:val="auto"/>
              </w:rPr>
            </w:pPr>
            <w:r>
              <w:rPr>
                <w:rFonts w:ascii="Arial" w:cs="Arial" w:eastAsia="Arial" w:hAnsi="Arial"/>
                <w:sz w:val="14"/>
                <w:szCs w:val="14"/>
                <w:color w:val="auto"/>
              </w:rPr>
              <w:t>532,034</w:t>
            </w:r>
          </w:p>
        </w:tc>
        <w:tc>
          <w:tcPr>
            <w:tcW w:w="840" w:type="dxa"/>
            <w:vAlign w:val="bottom"/>
            <w:gridSpan w:val="2"/>
          </w:tcPr>
          <w:p>
            <w:pPr>
              <w:jc w:val="right"/>
              <w:ind w:right="180"/>
              <w:spacing w:after="0" w:line="143" w:lineRule="exact"/>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200"/>
              <w:spacing w:after="0" w:line="143" w:lineRule="exact"/>
              <w:rPr>
                <w:sz w:val="20"/>
                <w:szCs w:val="20"/>
                <w:color w:val="auto"/>
              </w:rPr>
            </w:pPr>
            <w:r>
              <w:rPr>
                <w:rFonts w:ascii="Arial" w:cs="Arial" w:eastAsia="Arial" w:hAnsi="Arial"/>
                <w:sz w:val="14"/>
                <w:szCs w:val="14"/>
                <w:color w:val="auto"/>
              </w:rPr>
              <w:t>491,139</w:t>
            </w:r>
          </w:p>
        </w:tc>
        <w:tc>
          <w:tcPr>
            <w:tcW w:w="700" w:type="dxa"/>
            <w:vAlign w:val="bottom"/>
            <w:gridSpan w:val="2"/>
          </w:tcPr>
          <w:p>
            <w:pPr>
              <w:jc w:val="right"/>
              <w:ind w:right="180"/>
              <w:spacing w:after="0" w:line="143" w:lineRule="exact"/>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180"/>
              <w:spacing w:after="0" w:line="143" w:lineRule="exact"/>
              <w:rPr>
                <w:sz w:val="20"/>
                <w:szCs w:val="20"/>
                <w:color w:val="auto"/>
              </w:rPr>
            </w:pPr>
            <w:r>
              <w:rPr>
                <w:rFonts w:ascii="Arial" w:cs="Arial" w:eastAsia="Arial" w:hAnsi="Arial"/>
                <w:sz w:val="14"/>
                <w:szCs w:val="14"/>
                <w:color w:val="auto"/>
              </w:rPr>
              <w:t>491,139</w:t>
            </w:r>
          </w:p>
        </w:tc>
        <w:tc>
          <w:tcPr>
            <w:tcW w:w="820" w:type="dxa"/>
            <w:vAlign w:val="bottom"/>
            <w:gridSpan w:val="2"/>
          </w:tcPr>
          <w:p>
            <w:pPr>
              <w:jc w:val="right"/>
              <w:ind w:right="20"/>
              <w:spacing w:after="0" w:line="143" w:lineRule="exact"/>
              <w:rPr>
                <w:sz w:val="20"/>
                <w:szCs w:val="20"/>
                <w:color w:val="auto"/>
              </w:rPr>
            </w:pPr>
            <w:r>
              <w:rPr>
                <w:rFonts w:ascii="Arial" w:cs="Arial" w:eastAsia="Arial" w:hAnsi="Arial"/>
                <w:sz w:val="14"/>
                <w:szCs w:val="14"/>
                <w:color w:val="auto"/>
              </w:rPr>
              <w:t>491,139</w:t>
            </w:r>
          </w:p>
        </w:tc>
        <w:tc>
          <w:tcPr>
            <w:tcW w:w="60" w:type="dxa"/>
            <w:vAlign w:val="bottom"/>
          </w:tcPr>
          <w:p>
            <w:pPr>
              <w:spacing w:after="0"/>
              <w:rPr>
                <w:sz w:val="12"/>
                <w:szCs w:val="12"/>
                <w:color w:val="auto"/>
              </w:rPr>
            </w:pPr>
          </w:p>
        </w:tc>
      </w:tr>
      <w:tr>
        <w:trPr>
          <w:trHeight w:val="143"/>
        </w:trPr>
        <w:tc>
          <w:tcPr>
            <w:tcW w:w="258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rPr>
              <w:t>Payable to reinsurers and coinsurers</w:t>
            </w:r>
          </w:p>
        </w:tc>
        <w:tc>
          <w:tcPr>
            <w:tcW w:w="820" w:type="dxa"/>
            <w:vAlign w:val="bottom"/>
            <w:gridSpan w:val="2"/>
            <w:shd w:val="clear" w:color="auto" w:fill="CCEEFF"/>
          </w:tcPr>
          <w:p>
            <w:pPr>
              <w:jc w:val="right"/>
              <w:ind w:right="180"/>
              <w:spacing w:after="0" w:line="143"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180"/>
              <w:spacing w:after="0" w:line="143" w:lineRule="exact"/>
              <w:rPr>
                <w:sz w:val="20"/>
                <w:szCs w:val="20"/>
                <w:color w:val="auto"/>
              </w:rPr>
            </w:pPr>
            <w:r>
              <w:rPr>
                <w:rFonts w:ascii="Arial" w:cs="Arial" w:eastAsia="Arial" w:hAnsi="Arial"/>
                <w:sz w:val="14"/>
                <w:szCs w:val="14"/>
                <w:color w:val="auto"/>
              </w:rPr>
              <w:t>235,185</w:t>
            </w:r>
          </w:p>
        </w:tc>
        <w:tc>
          <w:tcPr>
            <w:tcW w:w="720" w:type="dxa"/>
            <w:vAlign w:val="bottom"/>
            <w:gridSpan w:val="2"/>
            <w:shd w:val="clear" w:color="auto" w:fill="CCEEFF"/>
          </w:tcPr>
          <w:p>
            <w:pPr>
              <w:jc w:val="right"/>
              <w:ind w:right="180"/>
              <w:spacing w:after="0" w:line="143"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200"/>
              <w:spacing w:after="0" w:line="143" w:lineRule="exact"/>
              <w:rPr>
                <w:sz w:val="20"/>
                <w:szCs w:val="20"/>
                <w:color w:val="auto"/>
              </w:rPr>
            </w:pPr>
            <w:r>
              <w:rPr>
                <w:rFonts w:ascii="Arial" w:cs="Arial" w:eastAsia="Arial" w:hAnsi="Arial"/>
                <w:sz w:val="14"/>
                <w:szCs w:val="14"/>
                <w:color w:val="auto"/>
              </w:rPr>
              <w:t>235,185</w:t>
            </w:r>
          </w:p>
        </w:tc>
        <w:tc>
          <w:tcPr>
            <w:tcW w:w="960" w:type="dxa"/>
            <w:vAlign w:val="bottom"/>
            <w:gridSpan w:val="2"/>
            <w:shd w:val="clear" w:color="auto" w:fill="CCEEFF"/>
          </w:tcPr>
          <w:p>
            <w:pPr>
              <w:jc w:val="right"/>
              <w:ind w:right="180"/>
              <w:spacing w:after="0" w:line="143" w:lineRule="exact"/>
              <w:rPr>
                <w:sz w:val="20"/>
                <w:szCs w:val="20"/>
                <w:color w:val="auto"/>
              </w:rPr>
            </w:pPr>
            <w:r>
              <w:rPr>
                <w:rFonts w:ascii="Arial" w:cs="Arial" w:eastAsia="Arial" w:hAnsi="Arial"/>
                <w:sz w:val="14"/>
                <w:szCs w:val="14"/>
                <w:color w:val="auto"/>
              </w:rPr>
              <w:t>235,185</w:t>
            </w:r>
          </w:p>
        </w:tc>
        <w:tc>
          <w:tcPr>
            <w:tcW w:w="840" w:type="dxa"/>
            <w:vAlign w:val="bottom"/>
            <w:gridSpan w:val="2"/>
            <w:shd w:val="clear" w:color="auto" w:fill="CCEEFF"/>
          </w:tcPr>
          <w:p>
            <w:pPr>
              <w:jc w:val="right"/>
              <w:ind w:right="180"/>
              <w:spacing w:after="0" w:line="143"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200"/>
              <w:spacing w:after="0" w:line="143" w:lineRule="exact"/>
              <w:rPr>
                <w:sz w:val="20"/>
                <w:szCs w:val="20"/>
                <w:color w:val="auto"/>
              </w:rPr>
            </w:pPr>
            <w:r>
              <w:rPr>
                <w:rFonts w:ascii="Arial" w:cs="Arial" w:eastAsia="Arial" w:hAnsi="Arial"/>
                <w:sz w:val="14"/>
                <w:szCs w:val="14"/>
                <w:color w:val="auto"/>
              </w:rPr>
              <w:t>233,892</w:t>
            </w:r>
          </w:p>
        </w:tc>
        <w:tc>
          <w:tcPr>
            <w:tcW w:w="700" w:type="dxa"/>
            <w:vAlign w:val="bottom"/>
            <w:gridSpan w:val="2"/>
            <w:shd w:val="clear" w:color="auto" w:fill="CCEEFF"/>
          </w:tcPr>
          <w:p>
            <w:pPr>
              <w:jc w:val="right"/>
              <w:ind w:right="180"/>
              <w:spacing w:after="0" w:line="143"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180"/>
              <w:spacing w:after="0" w:line="143" w:lineRule="exact"/>
              <w:rPr>
                <w:sz w:val="20"/>
                <w:szCs w:val="20"/>
                <w:color w:val="auto"/>
              </w:rPr>
            </w:pPr>
            <w:r>
              <w:rPr>
                <w:rFonts w:ascii="Arial" w:cs="Arial" w:eastAsia="Arial" w:hAnsi="Arial"/>
                <w:sz w:val="14"/>
                <w:szCs w:val="14"/>
                <w:color w:val="auto"/>
              </w:rPr>
              <w:t>233,892</w:t>
            </w:r>
          </w:p>
        </w:tc>
        <w:tc>
          <w:tcPr>
            <w:tcW w:w="820" w:type="dxa"/>
            <w:vAlign w:val="bottom"/>
            <w:gridSpan w:val="2"/>
            <w:shd w:val="clear" w:color="auto" w:fill="CCEEFF"/>
          </w:tcPr>
          <w:p>
            <w:pPr>
              <w:jc w:val="right"/>
              <w:ind w:right="20"/>
              <w:spacing w:after="0" w:line="143" w:lineRule="exact"/>
              <w:rPr>
                <w:sz w:val="20"/>
                <w:szCs w:val="20"/>
                <w:color w:val="auto"/>
              </w:rPr>
            </w:pPr>
            <w:r>
              <w:rPr>
                <w:rFonts w:ascii="Arial" w:cs="Arial" w:eastAsia="Arial" w:hAnsi="Arial"/>
                <w:sz w:val="14"/>
                <w:szCs w:val="14"/>
                <w:color w:val="auto"/>
              </w:rPr>
              <w:t>233,892</w:t>
            </w:r>
          </w:p>
        </w:tc>
        <w:tc>
          <w:tcPr>
            <w:tcW w:w="60" w:type="dxa"/>
            <w:vAlign w:val="bottom"/>
            <w:shd w:val="clear" w:color="auto" w:fill="CCEEFF"/>
          </w:tcPr>
          <w:p>
            <w:pPr>
              <w:spacing w:after="0"/>
              <w:rPr>
                <w:sz w:val="12"/>
                <w:szCs w:val="12"/>
                <w:color w:val="auto"/>
              </w:rPr>
            </w:pPr>
          </w:p>
        </w:tc>
      </w:tr>
      <w:tr>
        <w:trPr>
          <w:trHeight w:val="143"/>
        </w:trPr>
        <w:tc>
          <w:tcPr>
            <w:tcW w:w="2580" w:type="dxa"/>
            <w:vAlign w:val="bottom"/>
          </w:tcPr>
          <w:p>
            <w:pPr>
              <w:spacing w:after="0" w:line="143" w:lineRule="exact"/>
              <w:rPr>
                <w:sz w:val="20"/>
                <w:szCs w:val="20"/>
                <w:color w:val="auto"/>
              </w:rPr>
            </w:pPr>
            <w:r>
              <w:rPr>
                <w:rFonts w:ascii="Arial" w:cs="Arial" w:eastAsia="Arial" w:hAnsi="Arial"/>
                <w:sz w:val="14"/>
                <w:szCs w:val="14"/>
                <w:color w:val="auto"/>
              </w:rPr>
              <w:t>Bond and Notes issued</w:t>
            </w:r>
          </w:p>
        </w:tc>
        <w:tc>
          <w:tcPr>
            <w:tcW w:w="820" w:type="dxa"/>
            <w:vAlign w:val="bottom"/>
            <w:gridSpan w:val="2"/>
          </w:tcPr>
          <w:p>
            <w:pPr>
              <w:jc w:val="right"/>
              <w:ind w:right="180"/>
              <w:spacing w:after="0" w:line="143" w:lineRule="exact"/>
              <w:rPr>
                <w:sz w:val="20"/>
                <w:szCs w:val="20"/>
                <w:color w:val="auto"/>
              </w:rPr>
            </w:pPr>
            <w:r>
              <w:rPr>
                <w:rFonts w:ascii="Arial" w:cs="Arial" w:eastAsia="Arial" w:hAnsi="Arial"/>
                <w:sz w:val="14"/>
                <w:szCs w:val="14"/>
                <w:color w:val="auto"/>
              </w:rPr>
              <w:t>-</w:t>
            </w:r>
          </w:p>
        </w:tc>
        <w:tc>
          <w:tcPr>
            <w:tcW w:w="800" w:type="dxa"/>
            <w:vAlign w:val="bottom"/>
          </w:tcPr>
          <w:p>
            <w:pPr>
              <w:jc w:val="right"/>
              <w:spacing w:after="0" w:line="143" w:lineRule="exact"/>
              <w:rPr>
                <w:sz w:val="20"/>
                <w:szCs w:val="20"/>
                <w:color w:val="auto"/>
              </w:rPr>
            </w:pPr>
            <w:r>
              <w:rPr>
                <w:rFonts w:ascii="Arial" w:cs="Arial" w:eastAsia="Arial" w:hAnsi="Arial"/>
                <w:sz w:val="14"/>
                <w:szCs w:val="14"/>
                <w:color w:val="auto"/>
              </w:rPr>
              <w:t>8,830,070</w:t>
            </w:r>
          </w:p>
        </w:tc>
        <w:tc>
          <w:tcPr>
            <w:tcW w:w="180" w:type="dxa"/>
            <w:vAlign w:val="bottom"/>
          </w:tcPr>
          <w:p>
            <w:pPr>
              <w:spacing w:after="0"/>
              <w:rPr>
                <w:sz w:val="12"/>
                <w:szCs w:val="12"/>
                <w:color w:val="auto"/>
              </w:rPr>
            </w:pPr>
          </w:p>
        </w:tc>
        <w:tc>
          <w:tcPr>
            <w:tcW w:w="720" w:type="dxa"/>
            <w:vAlign w:val="bottom"/>
            <w:gridSpan w:val="2"/>
          </w:tcPr>
          <w:p>
            <w:pPr>
              <w:jc w:val="right"/>
              <w:ind w:right="180"/>
              <w:spacing w:after="0" w:line="143" w:lineRule="exact"/>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200"/>
              <w:spacing w:after="0" w:line="143" w:lineRule="exact"/>
              <w:rPr>
                <w:sz w:val="20"/>
                <w:szCs w:val="20"/>
                <w:color w:val="auto"/>
              </w:rPr>
            </w:pPr>
            <w:r>
              <w:rPr>
                <w:rFonts w:ascii="Arial" w:cs="Arial" w:eastAsia="Arial" w:hAnsi="Arial"/>
                <w:sz w:val="14"/>
                <w:szCs w:val="14"/>
                <w:color w:val="auto"/>
              </w:rPr>
              <w:t>8,830,070</w:t>
            </w:r>
          </w:p>
        </w:tc>
        <w:tc>
          <w:tcPr>
            <w:tcW w:w="780" w:type="dxa"/>
            <w:vAlign w:val="bottom"/>
          </w:tcPr>
          <w:p>
            <w:pPr>
              <w:jc w:val="right"/>
              <w:spacing w:after="0" w:line="143" w:lineRule="exact"/>
              <w:rPr>
                <w:sz w:val="20"/>
                <w:szCs w:val="20"/>
                <w:color w:val="auto"/>
              </w:rPr>
            </w:pPr>
            <w:r>
              <w:rPr>
                <w:rFonts w:ascii="Arial" w:cs="Arial" w:eastAsia="Arial" w:hAnsi="Arial"/>
                <w:sz w:val="14"/>
                <w:szCs w:val="14"/>
                <w:color w:val="auto"/>
              </w:rPr>
              <w:t>8,255,718</w:t>
            </w:r>
          </w:p>
        </w:tc>
        <w:tc>
          <w:tcPr>
            <w:tcW w:w="180" w:type="dxa"/>
            <w:vAlign w:val="bottom"/>
          </w:tcPr>
          <w:p>
            <w:pPr>
              <w:spacing w:after="0"/>
              <w:rPr>
                <w:sz w:val="12"/>
                <w:szCs w:val="12"/>
                <w:color w:val="auto"/>
              </w:rPr>
            </w:pPr>
          </w:p>
        </w:tc>
        <w:tc>
          <w:tcPr>
            <w:tcW w:w="840" w:type="dxa"/>
            <w:vAlign w:val="bottom"/>
            <w:gridSpan w:val="2"/>
          </w:tcPr>
          <w:p>
            <w:pPr>
              <w:jc w:val="right"/>
              <w:ind w:right="180"/>
              <w:spacing w:after="0" w:line="143" w:lineRule="exact"/>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200"/>
              <w:spacing w:after="0" w:line="143" w:lineRule="exact"/>
              <w:rPr>
                <w:sz w:val="20"/>
                <w:szCs w:val="20"/>
                <w:color w:val="auto"/>
              </w:rPr>
            </w:pPr>
            <w:r>
              <w:rPr>
                <w:rFonts w:ascii="Arial" w:cs="Arial" w:eastAsia="Arial" w:hAnsi="Arial"/>
                <w:sz w:val="14"/>
                <w:szCs w:val="14"/>
                <w:color w:val="auto"/>
              </w:rPr>
              <w:t>8,137,945</w:t>
            </w:r>
          </w:p>
        </w:tc>
        <w:tc>
          <w:tcPr>
            <w:tcW w:w="700" w:type="dxa"/>
            <w:vAlign w:val="bottom"/>
            <w:gridSpan w:val="2"/>
          </w:tcPr>
          <w:p>
            <w:pPr>
              <w:jc w:val="right"/>
              <w:ind w:right="180"/>
              <w:spacing w:after="0" w:line="143" w:lineRule="exact"/>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180"/>
              <w:spacing w:after="0" w:line="143" w:lineRule="exact"/>
              <w:rPr>
                <w:sz w:val="20"/>
                <w:szCs w:val="20"/>
                <w:color w:val="auto"/>
              </w:rPr>
            </w:pPr>
            <w:r>
              <w:rPr>
                <w:rFonts w:ascii="Arial" w:cs="Arial" w:eastAsia="Arial" w:hAnsi="Arial"/>
                <w:sz w:val="14"/>
                <w:szCs w:val="14"/>
                <w:color w:val="auto"/>
              </w:rPr>
              <w:t>8,137,945</w:t>
            </w:r>
          </w:p>
        </w:tc>
        <w:tc>
          <w:tcPr>
            <w:tcW w:w="820" w:type="dxa"/>
            <w:vAlign w:val="bottom"/>
            <w:gridSpan w:val="2"/>
          </w:tcPr>
          <w:p>
            <w:pPr>
              <w:jc w:val="right"/>
              <w:ind w:right="20"/>
              <w:spacing w:after="0" w:line="143" w:lineRule="exact"/>
              <w:rPr>
                <w:sz w:val="20"/>
                <w:szCs w:val="20"/>
                <w:color w:val="auto"/>
              </w:rPr>
            </w:pPr>
            <w:r>
              <w:rPr>
                <w:rFonts w:ascii="Arial" w:cs="Arial" w:eastAsia="Arial" w:hAnsi="Arial"/>
                <w:sz w:val="14"/>
                <w:szCs w:val="14"/>
                <w:color w:val="auto"/>
              </w:rPr>
              <w:t>7,527,088</w:t>
            </w:r>
          </w:p>
        </w:tc>
        <w:tc>
          <w:tcPr>
            <w:tcW w:w="60" w:type="dxa"/>
            <w:vAlign w:val="bottom"/>
          </w:tcPr>
          <w:p>
            <w:pPr>
              <w:spacing w:after="0"/>
              <w:rPr>
                <w:sz w:val="12"/>
                <w:szCs w:val="12"/>
                <w:color w:val="auto"/>
              </w:rPr>
            </w:pPr>
          </w:p>
        </w:tc>
      </w:tr>
      <w:tr>
        <w:trPr>
          <w:trHeight w:val="156"/>
        </w:trPr>
        <w:tc>
          <w:tcPr>
            <w:tcW w:w="2580" w:type="dxa"/>
            <w:vAlign w:val="bottom"/>
            <w:shd w:val="clear" w:color="auto" w:fill="CCEEFF"/>
          </w:tcPr>
          <w:p>
            <w:pPr>
              <w:spacing w:after="0" w:line="156" w:lineRule="exact"/>
              <w:rPr>
                <w:sz w:val="20"/>
                <w:szCs w:val="20"/>
                <w:color w:val="auto"/>
              </w:rPr>
            </w:pPr>
            <w:r>
              <w:rPr>
                <w:rFonts w:ascii="Arial" w:cs="Arial" w:eastAsia="Arial" w:hAnsi="Arial"/>
                <w:sz w:val="14"/>
                <w:szCs w:val="14"/>
                <w:color w:val="auto"/>
              </w:rPr>
              <w:t>Other liabilities</w:t>
            </w:r>
          </w:p>
        </w:tc>
        <w:tc>
          <w:tcPr>
            <w:tcW w:w="820" w:type="dxa"/>
            <w:vAlign w:val="bottom"/>
            <w:gridSpan w:val="2"/>
            <w:shd w:val="clear" w:color="auto" w:fill="CCEEFF"/>
          </w:tcPr>
          <w:p>
            <w:pPr>
              <w:jc w:val="right"/>
              <w:ind w:right="180"/>
              <w:spacing w:after="0" w:line="156" w:lineRule="exact"/>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line="156" w:lineRule="exact"/>
              <w:rPr>
                <w:sz w:val="20"/>
                <w:szCs w:val="20"/>
                <w:color w:val="auto"/>
              </w:rPr>
            </w:pPr>
            <w:r>
              <w:rPr>
                <w:rFonts w:ascii="Arial" w:cs="Arial" w:eastAsia="Arial" w:hAnsi="Arial"/>
                <w:sz w:val="14"/>
                <w:szCs w:val="14"/>
                <w:color w:val="auto"/>
              </w:rPr>
              <w:t>3,270,714</w:t>
            </w:r>
          </w:p>
        </w:tc>
        <w:tc>
          <w:tcPr>
            <w:tcW w:w="1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80"/>
              <w:spacing w:after="0" w:line="156"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200"/>
              <w:spacing w:after="0" w:line="156" w:lineRule="exact"/>
              <w:rPr>
                <w:sz w:val="20"/>
                <w:szCs w:val="20"/>
                <w:color w:val="auto"/>
              </w:rPr>
            </w:pPr>
            <w:r>
              <w:rPr>
                <w:rFonts w:ascii="Arial" w:cs="Arial" w:eastAsia="Arial" w:hAnsi="Arial"/>
                <w:sz w:val="14"/>
                <w:szCs w:val="14"/>
                <w:color w:val="auto"/>
              </w:rPr>
              <w:t>3,270,714</w:t>
            </w:r>
          </w:p>
        </w:tc>
        <w:tc>
          <w:tcPr>
            <w:tcW w:w="780" w:type="dxa"/>
            <w:vAlign w:val="bottom"/>
            <w:shd w:val="clear" w:color="auto" w:fill="CCEEFF"/>
          </w:tcPr>
          <w:p>
            <w:pPr>
              <w:jc w:val="right"/>
              <w:spacing w:after="0" w:line="156" w:lineRule="exact"/>
              <w:rPr>
                <w:sz w:val="20"/>
                <w:szCs w:val="20"/>
                <w:color w:val="auto"/>
              </w:rPr>
            </w:pPr>
            <w:r>
              <w:rPr>
                <w:rFonts w:ascii="Arial" w:cs="Arial" w:eastAsia="Arial" w:hAnsi="Arial"/>
                <w:sz w:val="14"/>
                <w:szCs w:val="14"/>
                <w:color w:val="auto"/>
              </w:rPr>
              <w:t>3,270,714</w:t>
            </w:r>
          </w:p>
        </w:tc>
        <w:tc>
          <w:tcPr>
            <w:tcW w:w="18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180"/>
              <w:spacing w:after="0" w:line="156"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200"/>
              <w:spacing w:after="0" w:line="156" w:lineRule="exact"/>
              <w:rPr>
                <w:sz w:val="20"/>
                <w:szCs w:val="20"/>
                <w:color w:val="auto"/>
              </w:rPr>
            </w:pPr>
            <w:r>
              <w:rPr>
                <w:rFonts w:ascii="Arial" w:cs="Arial" w:eastAsia="Arial" w:hAnsi="Arial"/>
                <w:sz w:val="14"/>
                <w:szCs w:val="14"/>
                <w:color w:val="auto"/>
              </w:rPr>
              <w:t>2,540,980</w:t>
            </w:r>
          </w:p>
        </w:tc>
        <w:tc>
          <w:tcPr>
            <w:tcW w:w="700" w:type="dxa"/>
            <w:vAlign w:val="bottom"/>
            <w:gridSpan w:val="2"/>
            <w:shd w:val="clear" w:color="auto" w:fill="CCEEFF"/>
          </w:tcPr>
          <w:p>
            <w:pPr>
              <w:jc w:val="right"/>
              <w:ind w:right="180"/>
              <w:spacing w:after="0" w:line="156"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180"/>
              <w:spacing w:after="0" w:line="156" w:lineRule="exact"/>
              <w:rPr>
                <w:sz w:val="20"/>
                <w:szCs w:val="20"/>
                <w:color w:val="auto"/>
              </w:rPr>
            </w:pPr>
            <w:r>
              <w:rPr>
                <w:rFonts w:ascii="Arial" w:cs="Arial" w:eastAsia="Arial" w:hAnsi="Arial"/>
                <w:sz w:val="14"/>
                <w:szCs w:val="14"/>
                <w:color w:val="auto"/>
              </w:rPr>
              <w:t>2,540,980</w:t>
            </w:r>
          </w:p>
        </w:tc>
        <w:tc>
          <w:tcPr>
            <w:tcW w:w="820" w:type="dxa"/>
            <w:vAlign w:val="bottom"/>
            <w:gridSpan w:val="2"/>
            <w:shd w:val="clear" w:color="auto" w:fill="CCEEFF"/>
          </w:tcPr>
          <w:p>
            <w:pPr>
              <w:jc w:val="right"/>
              <w:ind w:right="20"/>
              <w:spacing w:after="0" w:line="156" w:lineRule="exact"/>
              <w:rPr>
                <w:sz w:val="20"/>
                <w:szCs w:val="20"/>
                <w:color w:val="auto"/>
              </w:rPr>
            </w:pPr>
            <w:r>
              <w:rPr>
                <w:rFonts w:ascii="Arial" w:cs="Arial" w:eastAsia="Arial" w:hAnsi="Arial"/>
                <w:sz w:val="14"/>
                <w:szCs w:val="14"/>
                <w:color w:val="auto"/>
              </w:rPr>
              <w:t>2,540,980</w:t>
            </w:r>
          </w:p>
        </w:tc>
        <w:tc>
          <w:tcPr>
            <w:tcW w:w="60" w:type="dxa"/>
            <w:vAlign w:val="bottom"/>
            <w:shd w:val="clear" w:color="auto" w:fill="CCEEFF"/>
          </w:tcPr>
          <w:p>
            <w:pPr>
              <w:spacing w:after="0"/>
              <w:rPr>
                <w:sz w:val="13"/>
                <w:szCs w:val="13"/>
                <w:color w:val="auto"/>
              </w:rPr>
            </w:pPr>
          </w:p>
        </w:tc>
      </w:tr>
      <w:tr>
        <w:trPr>
          <w:trHeight w:val="149"/>
        </w:trPr>
        <w:tc>
          <w:tcPr>
            <w:tcW w:w="2580" w:type="dxa"/>
            <w:vAlign w:val="bottom"/>
          </w:tcPr>
          <w:p>
            <w:pPr>
              <w:spacing w:after="0" w:line="149" w:lineRule="exact"/>
              <w:rPr>
                <w:sz w:val="20"/>
                <w:szCs w:val="20"/>
                <w:color w:val="auto"/>
              </w:rPr>
            </w:pPr>
            <w:r>
              <w:rPr>
                <w:rFonts w:ascii="Arial" w:cs="Arial" w:eastAsia="Arial" w:hAnsi="Arial"/>
                <w:sz w:val="14"/>
                <w:szCs w:val="14"/>
                <w:b w:val="1"/>
                <w:bCs w:val="1"/>
                <w:color w:val="auto"/>
              </w:rPr>
              <w:t>Total</w:t>
            </w:r>
          </w:p>
        </w:tc>
        <w:tc>
          <w:tcPr>
            <w:tcW w:w="64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80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131,489,247</w:t>
            </w:r>
          </w:p>
        </w:tc>
        <w:tc>
          <w:tcPr>
            <w:tcW w:w="180" w:type="dxa"/>
            <w:vAlign w:val="bottom"/>
          </w:tcPr>
          <w:p>
            <w:pPr>
              <w:spacing w:after="0"/>
              <w:rPr>
                <w:sz w:val="12"/>
                <w:szCs w:val="12"/>
                <w:color w:val="auto"/>
              </w:rPr>
            </w:pPr>
          </w:p>
        </w:tc>
        <w:tc>
          <w:tcPr>
            <w:tcW w:w="54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780" w:type="dxa"/>
            <w:vAlign w:val="bottom"/>
            <w:tcBorders>
              <w:top w:val="single" w:sz="8" w:color="auto"/>
              <w:bottom w:val="single" w:sz="8" w:color="auto"/>
            </w:tcBorders>
          </w:tcPr>
          <w:p>
            <w:pPr>
              <w:ind w:left="100"/>
              <w:spacing w:after="0" w:line="149" w:lineRule="exact"/>
              <w:rPr>
                <w:sz w:val="20"/>
                <w:szCs w:val="20"/>
                <w:color w:val="auto"/>
              </w:rPr>
            </w:pPr>
            <w:r>
              <w:rPr>
                <w:rFonts w:ascii="Arial" w:cs="Arial" w:eastAsia="Arial" w:hAnsi="Arial"/>
                <w:sz w:val="14"/>
                <w:szCs w:val="14"/>
                <w:color w:val="auto"/>
                <w:w w:val="84"/>
              </w:rPr>
              <w:t>131,489,247</w:t>
            </w:r>
          </w:p>
        </w:tc>
        <w:tc>
          <w:tcPr>
            <w:tcW w:w="200" w:type="dxa"/>
            <w:vAlign w:val="bottom"/>
          </w:tcPr>
          <w:p>
            <w:pPr>
              <w:spacing w:after="0"/>
              <w:rPr>
                <w:sz w:val="12"/>
                <w:szCs w:val="12"/>
                <w:color w:val="auto"/>
              </w:rPr>
            </w:pPr>
          </w:p>
        </w:tc>
        <w:tc>
          <w:tcPr>
            <w:tcW w:w="78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w w:val="97"/>
              </w:rPr>
              <w:t>130,876,794</w:t>
            </w:r>
          </w:p>
        </w:tc>
        <w:tc>
          <w:tcPr>
            <w:tcW w:w="180" w:type="dxa"/>
            <w:vAlign w:val="bottom"/>
          </w:tcPr>
          <w:p>
            <w:pPr>
              <w:spacing w:after="0"/>
              <w:rPr>
                <w:sz w:val="12"/>
                <w:szCs w:val="12"/>
                <w:color w:val="auto"/>
              </w:rPr>
            </w:pPr>
          </w:p>
        </w:tc>
        <w:tc>
          <w:tcPr>
            <w:tcW w:w="66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78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w w:val="97"/>
              </w:rPr>
              <w:t>120,064,277</w:t>
            </w:r>
          </w:p>
        </w:tc>
        <w:tc>
          <w:tcPr>
            <w:tcW w:w="200" w:type="dxa"/>
            <w:vAlign w:val="bottom"/>
          </w:tcPr>
          <w:p>
            <w:pPr>
              <w:spacing w:after="0"/>
              <w:rPr>
                <w:sz w:val="12"/>
                <w:szCs w:val="12"/>
                <w:color w:val="auto"/>
              </w:rPr>
            </w:pPr>
          </w:p>
        </w:tc>
        <w:tc>
          <w:tcPr>
            <w:tcW w:w="52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80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120,064,277</w:t>
            </w:r>
          </w:p>
        </w:tc>
        <w:tc>
          <w:tcPr>
            <w:tcW w:w="180" w:type="dxa"/>
            <w:vAlign w:val="bottom"/>
          </w:tcPr>
          <w:p>
            <w:pPr>
              <w:spacing w:after="0"/>
              <w:rPr>
                <w:sz w:val="12"/>
                <w:szCs w:val="12"/>
                <w:color w:val="auto"/>
              </w:rPr>
            </w:pPr>
          </w:p>
        </w:tc>
        <w:tc>
          <w:tcPr>
            <w:tcW w:w="80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119,331,401</w:t>
            </w:r>
          </w:p>
        </w:tc>
        <w:tc>
          <w:tcPr>
            <w:tcW w:w="2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r>
      <w:tr>
        <w:trPr>
          <w:trHeight w:val="20"/>
        </w:trPr>
        <w:tc>
          <w:tcPr>
            <w:tcW w:w="25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- 145 -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15875</wp:posOffset>
            </wp:positionV>
            <wp:extent cx="725170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51700" cy="8255"/>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151" w:name="page152"/>
    <w:bookmarkEnd w:id="151"/>
    <w:p>
      <w:pPr>
        <w:ind w:left="320" w:right="20"/>
        <w:spacing w:after="0" w:line="285" w:lineRule="auto"/>
        <w:rPr>
          <w:sz w:val="20"/>
          <w:szCs w:val="20"/>
          <w:color w:val="auto"/>
        </w:rPr>
      </w:pPr>
      <w:r>
        <w:rPr>
          <w:rFonts w:ascii="Arial" w:cs="Arial" w:eastAsia="Arial" w:hAnsi="Arial"/>
          <w:sz w:val="17"/>
          <w:szCs w:val="17"/>
          <w:color w:val="auto"/>
        </w:rPr>
        <w:t>The methodologies and assumptions used by the Group to determine fair values depend on the terms and risk characteristics of the various financial instruments and include the following:</w:t>
      </w:r>
    </w:p>
    <w:p>
      <w:pPr>
        <w:spacing w:after="0" w:line="159" w:lineRule="exact"/>
        <w:rPr>
          <w:sz w:val="20"/>
          <w:szCs w:val="20"/>
          <w:color w:val="auto"/>
        </w:rPr>
      </w:pPr>
    </w:p>
    <w:p>
      <w:pPr>
        <w:ind w:left="620" w:right="80" w:hanging="304"/>
        <w:spacing w:after="0" w:line="265" w:lineRule="auto"/>
        <w:tabs>
          <w:tab w:leader="none" w:pos="620" w:val="left"/>
        </w:tabs>
        <w:numPr>
          <w:ilvl w:val="0"/>
          <w:numId w:val="159"/>
        </w:numPr>
        <w:rPr>
          <w:rFonts w:ascii="Arial" w:cs="Arial" w:eastAsia="Arial" w:hAnsi="Arial"/>
          <w:sz w:val="17"/>
          <w:szCs w:val="17"/>
          <w:color w:val="auto"/>
        </w:rPr>
      </w:pPr>
      <w:r>
        <w:rPr>
          <w:rFonts w:ascii="Arial" w:cs="Arial" w:eastAsia="Arial" w:hAnsi="Arial"/>
          <w:sz w:val="17"/>
          <w:szCs w:val="17"/>
          <w:color w:val="auto"/>
        </w:rPr>
        <w:t>Long-term fixed-rate and variable-rate loans are evaluated by the Group based on parameters such as interest rates, specific country risk factors, and individual creditworthiness of the customer and the risk characteristics of the financed project. Based on this evaluation, allowances are taken into account for the incurred losses of these loans. As of December 31, 2017 and 2016, the carrying amounts of loans, net of allowances, were not materially different from their calculated fair values.</w:t>
      </w:r>
    </w:p>
    <w:p>
      <w:pPr>
        <w:spacing w:after="0" w:line="176" w:lineRule="exact"/>
        <w:rPr>
          <w:rFonts w:ascii="Arial" w:cs="Arial" w:eastAsia="Arial" w:hAnsi="Arial"/>
          <w:sz w:val="17"/>
          <w:szCs w:val="17"/>
          <w:color w:val="auto"/>
        </w:rPr>
      </w:pPr>
    </w:p>
    <w:p>
      <w:pPr>
        <w:ind w:left="620" w:right="20" w:hanging="304"/>
        <w:spacing w:after="0" w:line="270" w:lineRule="auto"/>
        <w:tabs>
          <w:tab w:leader="none" w:pos="620" w:val="left"/>
        </w:tabs>
        <w:numPr>
          <w:ilvl w:val="0"/>
          <w:numId w:val="159"/>
        </w:numPr>
        <w:rPr>
          <w:rFonts w:ascii="Arial" w:cs="Arial" w:eastAsia="Arial" w:hAnsi="Arial"/>
          <w:sz w:val="17"/>
          <w:szCs w:val="17"/>
          <w:color w:val="auto"/>
        </w:rPr>
      </w:pPr>
      <w:r>
        <w:rPr>
          <w:rFonts w:ascii="Arial" w:cs="Arial" w:eastAsia="Arial" w:hAnsi="Arial"/>
          <w:sz w:val="17"/>
          <w:szCs w:val="17"/>
          <w:color w:val="auto"/>
        </w:rPr>
        <w:t>Assets for which fair values approximate their carrying value - For financial assets and financial liabilities that are liquid or have a short term maturity (less than three months) it is assumed that the carrying amounts approximate to their fair values. This assumption is also applied to demand deposits, savings accounts without a specific maturity and variable rate financial instruments.</w:t>
      </w:r>
    </w:p>
    <w:p>
      <w:pPr>
        <w:spacing w:after="0" w:line="171" w:lineRule="exact"/>
        <w:rPr>
          <w:rFonts w:ascii="Arial" w:cs="Arial" w:eastAsia="Arial" w:hAnsi="Arial"/>
          <w:sz w:val="17"/>
          <w:szCs w:val="17"/>
          <w:color w:val="auto"/>
        </w:rPr>
      </w:pPr>
    </w:p>
    <w:p>
      <w:pPr>
        <w:ind w:left="620" w:hanging="304"/>
        <w:spacing w:after="0" w:line="262" w:lineRule="auto"/>
        <w:tabs>
          <w:tab w:leader="none" w:pos="620" w:val="left"/>
        </w:tabs>
        <w:numPr>
          <w:ilvl w:val="0"/>
          <w:numId w:val="159"/>
        </w:numPr>
        <w:rPr>
          <w:rFonts w:ascii="Arial" w:cs="Arial" w:eastAsia="Arial" w:hAnsi="Arial"/>
          <w:sz w:val="17"/>
          <w:szCs w:val="17"/>
          <w:color w:val="auto"/>
        </w:rPr>
      </w:pPr>
      <w:r>
        <w:rPr>
          <w:rFonts w:ascii="Arial" w:cs="Arial" w:eastAsia="Arial" w:hAnsi="Arial"/>
          <w:sz w:val="17"/>
          <w:szCs w:val="17"/>
          <w:color w:val="auto"/>
        </w:rPr>
        <w:t>Fixed rate financial instruments - The fair value of fixed rate financial assets and liabilities carried at amortized cost are estimated by comparing market interest rates when they were first recognized with current market rates offered for similar financial instruments. The estimated fair value of fixed interest bearing deposits is based on discounted cash flows using prevailing market interest rates for financial instruments with similar credit risk and maturity. For quoted debt issued the fair values are calculated based on quoted market prices. When quoted market prices are not available, a discounted cash flow model is used based on a current interest rate yield curve appropriate for the remaining term to maturity.</w:t>
      </w:r>
    </w:p>
    <w:p>
      <w:pPr>
        <w:spacing w:after="0" w:line="174" w:lineRule="exact"/>
        <w:rPr>
          <w:sz w:val="20"/>
          <w:szCs w:val="20"/>
          <w:color w:val="auto"/>
        </w:rPr>
      </w:pPr>
    </w:p>
    <w:p>
      <w:pPr>
        <w:spacing w:after="0"/>
        <w:tabs>
          <w:tab w:leader="none" w:pos="600" w:val="left"/>
        </w:tabs>
        <w:rPr>
          <w:sz w:val="20"/>
          <w:szCs w:val="20"/>
          <w:color w:val="auto"/>
        </w:rPr>
      </w:pPr>
      <w:r>
        <w:rPr>
          <w:rFonts w:ascii="Arial" w:cs="Arial" w:eastAsia="Arial" w:hAnsi="Arial"/>
          <w:sz w:val="17"/>
          <w:szCs w:val="17"/>
          <w:b w:val="1"/>
          <w:bCs w:val="1"/>
          <w:color w:val="auto"/>
        </w:rPr>
        <w:t>32.8</w:t>
      </w:r>
      <w:r>
        <w:rPr>
          <w:sz w:val="20"/>
          <w:szCs w:val="20"/>
          <w:color w:val="auto"/>
        </w:rPr>
        <w:tab/>
      </w:r>
      <w:r>
        <w:rPr>
          <w:rFonts w:ascii="Arial" w:cs="Arial" w:eastAsia="Arial" w:hAnsi="Arial"/>
          <w:sz w:val="15"/>
          <w:szCs w:val="15"/>
          <w:b w:val="1"/>
          <w:bCs w:val="1"/>
          <w:color w:val="auto"/>
        </w:rPr>
        <w:t>Fiduciary activities, management of funds and pension funds -</w:t>
      </w:r>
    </w:p>
    <w:p>
      <w:pPr>
        <w:spacing w:after="0" w:line="226"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The Group provides custody, trustee, investment management and advisory services to third parties; therefore, the Group makes allocations and purchase and sale decisions in relation to a wide range of financial instruments. Assets that are held in a fiduciary capacity are not included in these consolidated financial statements. These services give rise to the risk that the Group will be accused of mismanagement or under-performance.</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color w:val="auto"/>
        </w:rPr>
        <w:t>As of December 31, 2017 and 2016, the assigned value of the financial assets under administration off the balance sheet (in millions of soles) is as follows: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3340" w:type="dxa"/>
            <w:vAlign w:val="bottom"/>
          </w:tcPr>
          <w:p>
            <w:pPr>
              <w:spacing w:after="0"/>
              <w:rPr>
                <w:sz w:val="19"/>
                <w:szCs w:val="19"/>
                <w:color w:val="auto"/>
              </w:rPr>
            </w:pPr>
          </w:p>
        </w:tc>
        <w:tc>
          <w:tcPr>
            <w:tcW w:w="6500" w:type="dxa"/>
            <w:vAlign w:val="bottom"/>
            <w:gridSpan w:val="2"/>
          </w:tcPr>
          <w:p>
            <w:pPr>
              <w:jc w:val="right"/>
              <w:ind w:right="373"/>
              <w:spacing w:after="0"/>
              <w:rPr>
                <w:sz w:val="20"/>
                <w:szCs w:val="20"/>
                <w:color w:val="auto"/>
              </w:rPr>
            </w:pPr>
            <w:r>
              <w:rPr>
                <w:rFonts w:ascii="Arial" w:cs="Arial" w:eastAsia="Arial" w:hAnsi="Arial"/>
                <w:sz w:val="17"/>
                <w:szCs w:val="17"/>
                <w:b w:val="1"/>
                <w:bCs w:val="1"/>
                <w:color w:val="auto"/>
              </w:rPr>
              <w:t>2017</w:t>
            </w:r>
          </w:p>
        </w:tc>
        <w:tc>
          <w:tcPr>
            <w:tcW w:w="240" w:type="dxa"/>
            <w:vAlign w:val="bottom"/>
          </w:tcPr>
          <w:p>
            <w:pPr>
              <w:spacing w:after="0"/>
              <w:rPr>
                <w:sz w:val="19"/>
                <w:szCs w:val="19"/>
                <w:color w:val="auto"/>
              </w:rPr>
            </w:pPr>
          </w:p>
        </w:tc>
        <w:tc>
          <w:tcPr>
            <w:tcW w:w="1240" w:type="dxa"/>
            <w:vAlign w:val="bottom"/>
          </w:tcPr>
          <w:p>
            <w:pPr>
              <w:jc w:val="right"/>
              <w:ind w:right="373"/>
              <w:spacing w:after="0"/>
              <w:rPr>
                <w:sz w:val="20"/>
                <w:szCs w:val="20"/>
                <w:color w:val="auto"/>
              </w:rPr>
            </w:pPr>
            <w:r>
              <w:rPr>
                <w:rFonts w:ascii="Arial" w:cs="Arial" w:eastAsia="Arial" w:hAnsi="Arial"/>
                <w:sz w:val="17"/>
                <w:szCs w:val="17"/>
                <w:b w:val="1"/>
                <w:bCs w:val="1"/>
                <w:color w:val="auto"/>
              </w:rPr>
              <w:t>2016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1"/>
        </w:trPr>
        <w:tc>
          <w:tcPr>
            <w:tcW w:w="3340" w:type="dxa"/>
            <w:vAlign w:val="bottom"/>
          </w:tcPr>
          <w:p>
            <w:pPr>
              <w:spacing w:after="0"/>
              <w:rPr>
                <w:sz w:val="17"/>
                <w:szCs w:val="17"/>
                <w:color w:val="auto"/>
              </w:rPr>
            </w:pPr>
          </w:p>
        </w:tc>
        <w:tc>
          <w:tcPr>
            <w:tcW w:w="5240" w:type="dxa"/>
            <w:vAlign w:val="bottom"/>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3340" w:type="dxa"/>
            <w:vAlign w:val="bottom"/>
            <w:shd w:val="clear" w:color="auto" w:fill="CCEEFF"/>
          </w:tcPr>
          <w:p>
            <w:pPr>
              <w:spacing w:after="0"/>
              <w:rPr>
                <w:sz w:val="20"/>
                <w:szCs w:val="20"/>
                <w:color w:val="auto"/>
              </w:rPr>
            </w:pPr>
            <w:r>
              <w:rPr>
                <w:rFonts w:ascii="Arial" w:cs="Arial" w:eastAsia="Arial" w:hAnsi="Arial"/>
                <w:sz w:val="17"/>
                <w:szCs w:val="17"/>
                <w:color w:val="auto"/>
              </w:rPr>
              <w:t>Pension funds</w:t>
            </w:r>
          </w:p>
        </w:tc>
        <w:tc>
          <w:tcPr>
            <w:tcW w:w="6740" w:type="dxa"/>
            <w:vAlign w:val="bottom"/>
            <w:gridSpan w:val="3"/>
            <w:shd w:val="clear" w:color="auto" w:fill="CCEEFF"/>
          </w:tcPr>
          <w:p>
            <w:pPr>
              <w:jc w:val="right"/>
              <w:ind w:right="240"/>
              <w:spacing w:after="0"/>
              <w:rPr>
                <w:sz w:val="20"/>
                <w:szCs w:val="20"/>
                <w:color w:val="auto"/>
              </w:rPr>
            </w:pPr>
            <w:r>
              <w:rPr>
                <w:rFonts w:ascii="Arial" w:cs="Arial" w:eastAsia="Arial" w:hAnsi="Arial"/>
                <w:sz w:val="17"/>
                <w:szCs w:val="17"/>
                <w:color w:val="auto"/>
              </w:rPr>
              <w:t>48,868</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42,871</w:t>
            </w:r>
          </w:p>
        </w:tc>
        <w:tc>
          <w:tcPr>
            <w:tcW w:w="0" w:type="dxa"/>
            <w:vAlign w:val="bottom"/>
          </w:tcPr>
          <w:p>
            <w:pPr>
              <w:spacing w:after="0"/>
              <w:rPr>
                <w:sz w:val="1"/>
                <w:szCs w:val="1"/>
                <w:color w:val="auto"/>
              </w:rPr>
            </w:pPr>
          </w:p>
        </w:tc>
      </w:tr>
      <w:tr>
        <w:trPr>
          <w:trHeight w:val="208"/>
        </w:trPr>
        <w:tc>
          <w:tcPr>
            <w:tcW w:w="3340" w:type="dxa"/>
            <w:vAlign w:val="bottom"/>
          </w:tcPr>
          <w:p>
            <w:pPr>
              <w:spacing w:after="0"/>
              <w:rPr>
                <w:sz w:val="20"/>
                <w:szCs w:val="20"/>
                <w:color w:val="auto"/>
              </w:rPr>
            </w:pPr>
            <w:r>
              <w:rPr>
                <w:rFonts w:ascii="Arial" w:cs="Arial" w:eastAsia="Arial" w:hAnsi="Arial"/>
                <w:sz w:val="17"/>
                <w:szCs w:val="17"/>
                <w:color w:val="auto"/>
              </w:rPr>
              <w:t>Investment funds</w:t>
            </w:r>
          </w:p>
        </w:tc>
        <w:tc>
          <w:tcPr>
            <w:tcW w:w="6740" w:type="dxa"/>
            <w:vAlign w:val="bottom"/>
            <w:gridSpan w:val="3"/>
          </w:tcPr>
          <w:p>
            <w:pPr>
              <w:jc w:val="right"/>
              <w:ind w:right="240"/>
              <w:spacing w:after="0"/>
              <w:rPr>
                <w:sz w:val="20"/>
                <w:szCs w:val="20"/>
                <w:color w:val="auto"/>
              </w:rPr>
            </w:pPr>
            <w:r>
              <w:rPr>
                <w:rFonts w:ascii="Arial" w:cs="Arial" w:eastAsia="Arial" w:hAnsi="Arial"/>
                <w:sz w:val="17"/>
                <w:szCs w:val="17"/>
                <w:color w:val="auto"/>
              </w:rPr>
              <w:t>37,567</w:t>
            </w:r>
          </w:p>
        </w:tc>
        <w:tc>
          <w:tcPr>
            <w:tcW w:w="1340" w:type="dxa"/>
            <w:vAlign w:val="bottom"/>
            <w:gridSpan w:val="2"/>
          </w:tcPr>
          <w:p>
            <w:pPr>
              <w:jc w:val="right"/>
              <w:ind w:right="100"/>
              <w:spacing w:after="0"/>
              <w:rPr>
                <w:sz w:val="20"/>
                <w:szCs w:val="20"/>
                <w:color w:val="auto"/>
              </w:rPr>
            </w:pPr>
            <w:r>
              <w:rPr>
                <w:rFonts w:ascii="Arial" w:cs="Arial" w:eastAsia="Arial" w:hAnsi="Arial"/>
                <w:sz w:val="17"/>
                <w:szCs w:val="17"/>
                <w:color w:val="auto"/>
              </w:rPr>
              <w:t>51,484</w:t>
            </w:r>
          </w:p>
        </w:tc>
        <w:tc>
          <w:tcPr>
            <w:tcW w:w="0" w:type="dxa"/>
            <w:vAlign w:val="bottom"/>
          </w:tcPr>
          <w:p>
            <w:pPr>
              <w:spacing w:after="0"/>
              <w:rPr>
                <w:sz w:val="1"/>
                <w:szCs w:val="1"/>
                <w:color w:val="auto"/>
              </w:rPr>
            </w:pPr>
          </w:p>
        </w:tc>
      </w:tr>
      <w:tr>
        <w:trPr>
          <w:trHeight w:val="208"/>
        </w:trPr>
        <w:tc>
          <w:tcPr>
            <w:tcW w:w="3340" w:type="dxa"/>
            <w:vAlign w:val="bottom"/>
            <w:shd w:val="clear" w:color="auto" w:fill="CCEEFF"/>
          </w:tcPr>
          <w:p>
            <w:pPr>
              <w:spacing w:after="0"/>
              <w:rPr>
                <w:sz w:val="20"/>
                <w:szCs w:val="20"/>
                <w:color w:val="auto"/>
              </w:rPr>
            </w:pPr>
            <w:r>
              <w:rPr>
                <w:rFonts w:ascii="Arial" w:cs="Arial" w:eastAsia="Arial" w:hAnsi="Arial"/>
                <w:sz w:val="17"/>
                <w:szCs w:val="17"/>
                <w:color w:val="auto"/>
              </w:rPr>
              <w:t>Equity managed</w:t>
            </w:r>
          </w:p>
        </w:tc>
        <w:tc>
          <w:tcPr>
            <w:tcW w:w="6740" w:type="dxa"/>
            <w:vAlign w:val="bottom"/>
            <w:gridSpan w:val="3"/>
            <w:shd w:val="clear" w:color="auto" w:fill="CCEEFF"/>
          </w:tcPr>
          <w:p>
            <w:pPr>
              <w:jc w:val="right"/>
              <w:ind w:right="240"/>
              <w:spacing w:after="0"/>
              <w:rPr>
                <w:sz w:val="20"/>
                <w:szCs w:val="20"/>
                <w:color w:val="auto"/>
              </w:rPr>
            </w:pPr>
            <w:r>
              <w:rPr>
                <w:rFonts w:ascii="Arial" w:cs="Arial" w:eastAsia="Arial" w:hAnsi="Arial"/>
                <w:sz w:val="17"/>
                <w:szCs w:val="17"/>
                <w:color w:val="auto"/>
              </w:rPr>
              <w:t>12,874</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12,417</w:t>
            </w:r>
          </w:p>
        </w:tc>
        <w:tc>
          <w:tcPr>
            <w:tcW w:w="0" w:type="dxa"/>
            <w:vAlign w:val="bottom"/>
          </w:tcPr>
          <w:p>
            <w:pPr>
              <w:spacing w:after="0"/>
              <w:rPr>
                <w:sz w:val="1"/>
                <w:szCs w:val="1"/>
                <w:color w:val="auto"/>
              </w:rPr>
            </w:pPr>
          </w:p>
        </w:tc>
      </w:tr>
      <w:tr>
        <w:trPr>
          <w:trHeight w:val="221"/>
        </w:trPr>
        <w:tc>
          <w:tcPr>
            <w:tcW w:w="3340" w:type="dxa"/>
            <w:vAlign w:val="bottom"/>
          </w:tcPr>
          <w:p>
            <w:pPr>
              <w:spacing w:after="0"/>
              <w:rPr>
                <w:sz w:val="20"/>
                <w:szCs w:val="20"/>
                <w:color w:val="auto"/>
              </w:rPr>
            </w:pPr>
            <w:r>
              <w:rPr>
                <w:rFonts w:ascii="Arial" w:cs="Arial" w:eastAsia="Arial" w:hAnsi="Arial"/>
                <w:sz w:val="17"/>
                <w:szCs w:val="17"/>
                <w:color w:val="auto"/>
              </w:rPr>
              <w:t>Bank trusts</w:t>
            </w:r>
          </w:p>
        </w:tc>
        <w:tc>
          <w:tcPr>
            <w:tcW w:w="52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3,435</w:t>
            </w:r>
          </w:p>
        </w:tc>
        <w:tc>
          <w:tcPr>
            <w:tcW w:w="240" w:type="dxa"/>
            <w:vAlign w:val="bottom"/>
          </w:tcPr>
          <w:p>
            <w:pPr>
              <w:spacing w:after="0"/>
              <w:rPr>
                <w:sz w:val="19"/>
                <w:szCs w:val="19"/>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7"/>
                <w:szCs w:val="17"/>
                <w:color w:val="auto"/>
              </w:rPr>
              <w:t>3,482</w:t>
            </w:r>
          </w:p>
        </w:tc>
        <w:tc>
          <w:tcPr>
            <w:tcW w:w="0" w:type="dxa"/>
            <w:vAlign w:val="bottom"/>
          </w:tcPr>
          <w:p>
            <w:pPr>
              <w:spacing w:after="0"/>
              <w:rPr>
                <w:sz w:val="1"/>
                <w:szCs w:val="1"/>
                <w:color w:val="auto"/>
              </w:rPr>
            </w:pPr>
          </w:p>
        </w:tc>
      </w:tr>
      <w:tr>
        <w:trPr>
          <w:trHeight w:val="20"/>
        </w:trPr>
        <w:tc>
          <w:tcPr>
            <w:tcW w:w="3340" w:type="dxa"/>
            <w:vAlign w:val="bottom"/>
            <w:vMerge w:val="restart"/>
            <w:shd w:val="clear" w:color="auto" w:fill="CCEEFF"/>
          </w:tcPr>
          <w:p>
            <w:pPr>
              <w:spacing w:after="0"/>
              <w:rPr>
                <w:sz w:val="20"/>
                <w:szCs w:val="20"/>
                <w:color w:val="auto"/>
              </w:rPr>
            </w:pPr>
            <w:r>
              <w:rPr>
                <w:rFonts w:ascii="Arial" w:cs="Arial" w:eastAsia="Arial" w:hAnsi="Arial"/>
                <w:sz w:val="17"/>
                <w:szCs w:val="17"/>
                <w:b w:val="1"/>
                <w:bCs w:val="1"/>
                <w:color w:val="auto"/>
              </w:rPr>
              <w:t>Total</w:t>
            </w:r>
          </w:p>
        </w:tc>
        <w:tc>
          <w:tcPr>
            <w:tcW w:w="5240" w:type="dxa"/>
            <w:vAlign w:val="bottom"/>
            <w:shd w:val="clear" w:color="auto" w:fill="CCEEFF"/>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3340" w:type="dxa"/>
            <w:vAlign w:val="bottom"/>
            <w:vMerge w:val="continue"/>
            <w:shd w:val="clear" w:color="auto" w:fill="CCEEFF"/>
          </w:tcPr>
          <w:p>
            <w:pPr>
              <w:spacing w:after="0"/>
              <w:rPr>
                <w:sz w:val="18"/>
                <w:szCs w:val="18"/>
                <w:color w:val="auto"/>
              </w:rPr>
            </w:pPr>
          </w:p>
        </w:tc>
        <w:tc>
          <w:tcPr>
            <w:tcW w:w="52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102,744</w:t>
            </w:r>
          </w:p>
        </w:tc>
        <w:tc>
          <w:tcPr>
            <w:tcW w:w="2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110,254</w:t>
            </w:r>
          </w:p>
        </w:tc>
        <w:tc>
          <w:tcPr>
            <w:tcW w:w="0" w:type="dxa"/>
            <w:vAlign w:val="bottom"/>
          </w:tcPr>
          <w:p>
            <w:pPr>
              <w:spacing w:after="0"/>
              <w:rPr>
                <w:sz w:val="1"/>
                <w:szCs w:val="1"/>
                <w:color w:val="auto"/>
              </w:rPr>
            </w:pPr>
          </w:p>
        </w:tc>
      </w:tr>
      <w:tr>
        <w:trPr>
          <w:trHeight w:val="20"/>
        </w:trPr>
        <w:tc>
          <w:tcPr>
            <w:tcW w:w="3340" w:type="dxa"/>
            <w:vAlign w:val="bottom"/>
            <w:tcBorders>
              <w:top w:val="single" w:sz="8" w:color="CCEEFF"/>
            </w:tcBorders>
          </w:tcPr>
          <w:p>
            <w:pPr>
              <w:spacing w:after="0" w:line="20" w:lineRule="exact"/>
              <w:rPr>
                <w:sz w:val="1"/>
                <w:szCs w:val="1"/>
                <w:color w:val="auto"/>
              </w:rPr>
            </w:pPr>
          </w:p>
        </w:tc>
        <w:tc>
          <w:tcPr>
            <w:tcW w:w="5240" w:type="dxa"/>
            <w:vAlign w:val="bottom"/>
            <w:tcBorders>
              <w:top w:val="single" w:sz="8" w:color="CCEEFF"/>
              <w:bottom w:val="single" w:sz="8" w:color="CCEEFF"/>
            </w:tcBorders>
            <w:vMerge w:val="restart"/>
          </w:tcPr>
          <w:p>
            <w:pPr>
              <w:jc w:val="right"/>
              <w:ind w:right="2533"/>
              <w:spacing w:after="0"/>
              <w:rPr>
                <w:sz w:val="20"/>
                <w:szCs w:val="20"/>
                <w:color w:val="auto"/>
              </w:rPr>
            </w:pPr>
            <w:r>
              <w:rPr>
                <w:rFonts w:ascii="Arial" w:cs="Arial" w:eastAsia="Arial" w:hAnsi="Arial"/>
                <w:sz w:val="17"/>
                <w:szCs w:val="17"/>
                <w:color w:val="auto"/>
              </w:rPr>
              <w:t>- 146 -</w:t>
            </w: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3"/>
        </w:trPr>
        <w:tc>
          <w:tcPr>
            <w:tcW w:w="3340" w:type="dxa"/>
            <w:vAlign w:val="bottom"/>
            <w:tcBorders>
              <w:bottom w:val="single" w:sz="8" w:color="auto"/>
            </w:tcBorders>
          </w:tcPr>
          <w:p>
            <w:pPr>
              <w:spacing w:after="0"/>
              <w:rPr>
                <w:sz w:val="24"/>
                <w:szCs w:val="24"/>
                <w:color w:val="auto"/>
              </w:rPr>
            </w:pPr>
          </w:p>
        </w:tc>
        <w:tc>
          <w:tcPr>
            <w:tcW w:w="5240" w:type="dxa"/>
            <w:vAlign w:val="bottom"/>
            <w:tcBorders>
              <w:bottom w:val="single" w:sz="8" w:color="auto"/>
            </w:tcBorders>
            <w:vMerge w:val="continue"/>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81" w:right="239" w:bottom="1440" w:gutter="0" w:footer="0" w:header="0"/>
        </w:sectPr>
      </w:pPr>
    </w:p>
    <w:bookmarkStart w:id="152" w:name="page153"/>
    <w:bookmarkEnd w:id="152"/>
    <w:p>
      <w:pPr>
        <w:spacing w:after="0"/>
        <w:tabs>
          <w:tab w:leader="none" w:pos="300" w:val="left"/>
        </w:tabs>
        <w:rPr>
          <w:sz w:val="20"/>
          <w:szCs w:val="20"/>
          <w:color w:val="auto"/>
        </w:rPr>
      </w:pPr>
      <w:r>
        <w:rPr>
          <w:rFonts w:ascii="Arial" w:cs="Arial" w:eastAsia="Arial" w:hAnsi="Arial"/>
          <w:sz w:val="17"/>
          <w:szCs w:val="17"/>
          <w:b w:val="1"/>
          <w:bCs w:val="1"/>
          <w:color w:val="auto"/>
        </w:rPr>
        <w:t>33</w:t>
        <w:tab/>
        <w:t>COMMITMENTS AND CONTINGENCIES</w:t>
      </w:r>
    </w:p>
    <w:p>
      <w:pPr>
        <w:spacing w:after="0" w:line="226" w:lineRule="exact"/>
        <w:rPr>
          <w:sz w:val="20"/>
          <w:szCs w:val="20"/>
          <w:color w:val="auto"/>
        </w:rPr>
      </w:pPr>
    </w:p>
    <w:p>
      <w:pPr>
        <w:spacing w:after="0"/>
        <w:rPr>
          <w:sz w:val="20"/>
          <w:szCs w:val="20"/>
          <w:color w:val="auto"/>
        </w:rPr>
      </w:pPr>
      <w:r>
        <w:rPr>
          <w:rFonts w:ascii="Arial" w:cs="Arial" w:eastAsia="Arial" w:hAnsi="Arial"/>
          <w:sz w:val="17"/>
          <w:szCs w:val="17"/>
          <w:color w:val="auto"/>
        </w:rPr>
        <w:t>Legal claim contingencies –</w:t>
      </w:r>
    </w:p>
    <w:p>
      <w:pPr>
        <w:spacing w:after="0" w:line="220" w:lineRule="exact"/>
        <w:rPr>
          <w:sz w:val="20"/>
          <w:szCs w:val="20"/>
          <w:color w:val="auto"/>
        </w:rPr>
      </w:pPr>
    </w:p>
    <w:p>
      <w:pPr>
        <w:ind w:left="320" w:hanging="316"/>
        <w:spacing w:after="0"/>
        <w:tabs>
          <w:tab w:leader="none" w:pos="320" w:val="left"/>
        </w:tabs>
        <w:numPr>
          <w:ilvl w:val="0"/>
          <w:numId w:val="160"/>
        </w:numPr>
        <w:rPr>
          <w:rFonts w:ascii="Arial" w:cs="Arial" w:eastAsia="Arial" w:hAnsi="Arial"/>
          <w:sz w:val="17"/>
          <w:szCs w:val="17"/>
          <w:color w:val="auto"/>
        </w:rPr>
      </w:pPr>
      <w:r>
        <w:rPr>
          <w:rFonts w:ascii="Arial" w:cs="Arial" w:eastAsia="Arial" w:hAnsi="Arial"/>
          <w:sz w:val="17"/>
          <w:szCs w:val="17"/>
          <w:color w:val="auto"/>
        </w:rPr>
        <w:t>Madoff Trustee Litigations -</w:t>
      </w:r>
    </w:p>
    <w:p>
      <w:pPr>
        <w:spacing w:after="0" w:line="220" w:lineRule="exact"/>
        <w:rPr>
          <w:rFonts w:ascii="Arial" w:cs="Arial" w:eastAsia="Arial" w:hAnsi="Arial"/>
          <w:sz w:val="17"/>
          <w:szCs w:val="17"/>
          <w:color w:val="auto"/>
        </w:rPr>
      </w:pPr>
    </w:p>
    <w:p>
      <w:pPr>
        <w:ind w:left="320" w:right="60"/>
        <w:spacing w:after="0" w:line="262" w:lineRule="auto"/>
        <w:rPr>
          <w:rFonts w:ascii="Arial" w:cs="Arial" w:eastAsia="Arial" w:hAnsi="Arial"/>
          <w:sz w:val="17"/>
          <w:szCs w:val="17"/>
          <w:color w:val="auto"/>
        </w:rPr>
      </w:pPr>
      <w:r>
        <w:rPr>
          <w:rFonts w:ascii="Arial" w:cs="Arial" w:eastAsia="Arial" w:hAnsi="Arial"/>
          <w:sz w:val="17"/>
          <w:szCs w:val="17"/>
          <w:color w:val="auto"/>
        </w:rPr>
        <w:t>On September 22, 2011, the Trustee for the liquidations of Bernard L. Madoff Investment Securities LLC (BLMIS), and the substantively consolidated state of Bernard L. Madoff (“the Madoff Trustee”) filed a complaint against Credicorp’s subsidiary Atlantic Security Bank (ASB) in U.S. Bankruptcy Court Southern District of New York, for an amount of approximately US$120.0 million (“the Complaint”), equivalent to approximately S/388.9 million, which corresponds to the funds that ASB managed in Atlantic US Blue Chip Fund and that were redeemed between the end of 2004 and the beginning of 2005 from Fairfield Sentry Limited Fund in Liquidation (hereafter “Fairfield”), a fund that invested in BLMIS.</w:t>
      </w:r>
    </w:p>
    <w:p>
      <w:pPr>
        <w:spacing w:after="0" w:line="180" w:lineRule="exact"/>
        <w:rPr>
          <w:rFonts w:ascii="Arial" w:cs="Arial" w:eastAsia="Arial" w:hAnsi="Arial"/>
          <w:sz w:val="17"/>
          <w:szCs w:val="17"/>
          <w:color w:val="auto"/>
        </w:rPr>
      </w:pPr>
    </w:p>
    <w:p>
      <w:pPr>
        <w:ind w:left="320" w:right="60"/>
        <w:spacing w:after="0" w:line="262" w:lineRule="auto"/>
        <w:rPr>
          <w:rFonts w:ascii="Arial" w:cs="Arial" w:eastAsia="Arial" w:hAnsi="Arial"/>
          <w:sz w:val="17"/>
          <w:szCs w:val="17"/>
          <w:color w:val="auto"/>
        </w:rPr>
      </w:pPr>
      <w:r>
        <w:rPr>
          <w:rFonts w:ascii="Arial" w:cs="Arial" w:eastAsia="Arial" w:hAnsi="Arial"/>
          <w:sz w:val="17"/>
          <w:szCs w:val="17"/>
          <w:color w:val="auto"/>
        </w:rPr>
        <w:t>The Complaint further alleges that the Madoff Trustee filed an adversary proceeding against Fairfield, seeking to avoid and recover the initial transfers of money from BLMIS to Fairfield; that on June 7 and 10, 2011, the Bankruptcy Court approved a settlement between the Madoff Trustee, Fairfield and others; and that the Madoff Trustee is entitled to recover the sums sought from ASB as “subsequent transfers” of “avoided transfers” from BLMIS to Fairfield that Fairfield subsequently transferred to ASB. The Madoff Trustee has filed similar actions against other alleged “subsequent transferees” that invested in Fairfield and its sister entities which, in turn, invested in and redeemed funds from BLMIS.</w:t>
      </w:r>
    </w:p>
    <w:p>
      <w:pPr>
        <w:spacing w:after="0" w:line="180" w:lineRule="exact"/>
        <w:rPr>
          <w:rFonts w:ascii="Arial" w:cs="Arial" w:eastAsia="Arial" w:hAnsi="Arial"/>
          <w:sz w:val="17"/>
          <w:szCs w:val="17"/>
          <w:color w:val="auto"/>
        </w:rPr>
      </w:pPr>
    </w:p>
    <w:p>
      <w:pPr>
        <w:jc w:val="both"/>
        <w:ind w:left="320"/>
        <w:spacing w:after="0" w:line="279" w:lineRule="auto"/>
        <w:rPr>
          <w:rFonts w:ascii="Arial" w:cs="Arial" w:eastAsia="Arial" w:hAnsi="Arial"/>
          <w:sz w:val="17"/>
          <w:szCs w:val="17"/>
          <w:color w:val="auto"/>
        </w:rPr>
      </w:pPr>
      <w:r>
        <w:rPr>
          <w:rFonts w:ascii="Arial" w:cs="Arial" w:eastAsia="Arial" w:hAnsi="Arial"/>
          <w:sz w:val="16"/>
          <w:szCs w:val="16"/>
          <w:color w:val="auto"/>
        </w:rPr>
        <w:t>On July 7, 2014, the District Court of New York issued an opinion indicating that the Bankruptcy Laws of the United States are not applicable extraterritorially to permit the recovery of subsequent transfers made outside of the United States, between foreign entities. Furthermore, the District Court returned the case to the Bankruptcy Court, which, on November 22, 2016, issued a verdict establishing that certain subsequent transfers made overseas could not be recovered under the Bankruptcy Laws of the United States and rejected the demands presented by the Trustee of Madoff against the foreign entities; among them, the ASB. On March 16, 2017, the Trustee appealed this decision, additionally seeking that the appeal be heard be heard before the Second Circuit of the Court of Appeal of the United States. On September 27, 2017, the Court of Appeals admitted the hearing of the Trustee’s appeal directly before said Court. On January 10, 2018, the Trustee presented to the Court the written arguments that support his appeal.</w:t>
      </w:r>
    </w:p>
    <w:p>
      <w:pPr>
        <w:spacing w:after="0" w:line="165" w:lineRule="exact"/>
        <w:rPr>
          <w:rFonts w:ascii="Arial" w:cs="Arial" w:eastAsia="Arial" w:hAnsi="Arial"/>
          <w:sz w:val="17"/>
          <w:szCs w:val="17"/>
          <w:color w:val="auto"/>
        </w:rPr>
      </w:pPr>
    </w:p>
    <w:p>
      <w:pPr>
        <w:ind w:left="320" w:right="160"/>
        <w:spacing w:after="0" w:line="262" w:lineRule="auto"/>
        <w:rPr>
          <w:rFonts w:ascii="Arial" w:cs="Arial" w:eastAsia="Arial" w:hAnsi="Arial"/>
          <w:sz w:val="17"/>
          <w:szCs w:val="17"/>
          <w:color w:val="auto"/>
        </w:rPr>
      </w:pPr>
      <w:r>
        <w:rPr>
          <w:rFonts w:ascii="Arial" w:cs="Arial" w:eastAsia="Arial" w:hAnsi="Arial"/>
          <w:sz w:val="17"/>
          <w:szCs w:val="17"/>
          <w:color w:val="auto"/>
        </w:rPr>
        <w:t>Management believes that ASB has valid defense arguments against the Madoff Trustee’s claims alleged in the Complaint and intends to contest these claims vigorously. Management considers, among other substantial defenses, that the Complaint considers only the amounts withdrawn, without taking into account the amounts invested in Fairfield. Furthermore, ASB after redeeming said funds from Fairfield, re-invested them in BLMIS through another vehicle, resulting in a net loss in the funds that ASB managed on behalf of its clients for approximately US$78.0 million (equivalent to approximately S/252.8 million) as of December, 2008.</w:t>
      </w:r>
    </w:p>
    <w:p>
      <w:pPr>
        <w:spacing w:after="0" w:line="180" w:lineRule="exact"/>
        <w:rPr>
          <w:rFonts w:ascii="Arial" w:cs="Arial" w:eastAsia="Arial" w:hAnsi="Arial"/>
          <w:sz w:val="17"/>
          <w:szCs w:val="17"/>
          <w:color w:val="auto"/>
        </w:rPr>
      </w:pPr>
    </w:p>
    <w:p>
      <w:pPr>
        <w:ind w:left="320" w:hanging="316"/>
        <w:spacing w:after="0"/>
        <w:tabs>
          <w:tab w:leader="none" w:pos="320" w:val="left"/>
        </w:tabs>
        <w:numPr>
          <w:ilvl w:val="0"/>
          <w:numId w:val="160"/>
        </w:numPr>
        <w:rPr>
          <w:rFonts w:ascii="Arial" w:cs="Arial" w:eastAsia="Arial" w:hAnsi="Arial"/>
          <w:sz w:val="17"/>
          <w:szCs w:val="17"/>
          <w:color w:val="auto"/>
        </w:rPr>
      </w:pPr>
      <w:r>
        <w:rPr>
          <w:rFonts w:ascii="Arial" w:cs="Arial" w:eastAsia="Arial" w:hAnsi="Arial"/>
          <w:sz w:val="17"/>
          <w:szCs w:val="17"/>
          <w:color w:val="auto"/>
        </w:rPr>
        <w:t>Fairfield Liquidator Litigation -</w:t>
      </w:r>
    </w:p>
    <w:p>
      <w:pPr>
        <w:spacing w:after="0" w:line="220" w:lineRule="exact"/>
        <w:rPr>
          <w:rFonts w:ascii="Arial" w:cs="Arial" w:eastAsia="Arial" w:hAnsi="Arial"/>
          <w:sz w:val="17"/>
          <w:szCs w:val="17"/>
          <w:color w:val="auto"/>
        </w:rPr>
      </w:pPr>
    </w:p>
    <w:p>
      <w:pPr>
        <w:ind w:left="320" w:right="120"/>
        <w:spacing w:after="0" w:line="283" w:lineRule="auto"/>
        <w:rPr>
          <w:rFonts w:ascii="Arial" w:cs="Arial" w:eastAsia="Arial" w:hAnsi="Arial"/>
          <w:sz w:val="17"/>
          <w:szCs w:val="17"/>
          <w:color w:val="auto"/>
        </w:rPr>
      </w:pPr>
      <w:r>
        <w:rPr>
          <w:rFonts w:ascii="Arial" w:cs="Arial" w:eastAsia="Arial" w:hAnsi="Arial"/>
          <w:sz w:val="16"/>
          <w:szCs w:val="16"/>
          <w:color w:val="auto"/>
        </w:rPr>
        <w:t>On April 13, 2012, Fairfield and its representative, Kenneth Krys (the “Fairfield Liquidator”), filed an adversary proceeding against ASB pursuant to Chapter 15 of the U.S. Bankruptcy Code, in the U.S Bankruptcy Court for the Southern District of New York, styled as Fairfield Sentry Limited (In Liquidation) v. Atlantic Security Bank, Adv. Pro. N° 12-01550 (BRL) (Bankr. S.D.N.Y.) (“Fairfield v. ASB Adversary Proceeding”). The complaint sought to recover the amount of approximately US$115.0 million, reflecting ASB’s redemptions of certain investments in Fairfield Sentry Limited, together with investment returns thereon. These are essentially the same moneys that the Madoff Trustee seeks to recover in the Madoff Litigation described above.</w:t>
      </w:r>
    </w:p>
    <w:p>
      <w:pPr>
        <w:spacing w:after="0" w:line="370" w:lineRule="exact"/>
        <w:rPr>
          <w:rFonts w:ascii="Arial" w:cs="Arial" w:eastAsia="Arial" w:hAnsi="Arial"/>
          <w:sz w:val="17"/>
          <w:szCs w:val="17"/>
          <w:color w:val="auto"/>
        </w:rPr>
      </w:pPr>
    </w:p>
    <w:p>
      <w:pPr>
        <w:ind w:left="5600" w:hanging="110"/>
        <w:spacing w:after="0"/>
        <w:tabs>
          <w:tab w:leader="none" w:pos="5600" w:val="left"/>
        </w:tabs>
        <w:numPr>
          <w:ilvl w:val="1"/>
          <w:numId w:val="160"/>
        </w:numPr>
        <w:rPr>
          <w:rFonts w:ascii="Arial" w:cs="Arial" w:eastAsia="Arial" w:hAnsi="Arial"/>
          <w:sz w:val="17"/>
          <w:szCs w:val="17"/>
          <w:color w:val="auto"/>
        </w:rPr>
      </w:pPr>
      <w:r>
        <w:rPr>
          <w:rFonts w:ascii="Arial" w:cs="Arial" w:eastAsia="Arial" w:hAnsi="Arial"/>
          <w:sz w:val="17"/>
          <w:szCs w:val="17"/>
          <w:color w:val="auto"/>
        </w:rPr>
        <w:t>147 -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15875</wp:posOffset>
            </wp:positionV>
            <wp:extent cx="725170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51700" cy="8255"/>
                    </a:xfrm>
                    <a:prstGeom prst="rect">
                      <a:avLst/>
                    </a:prstGeom>
                    <a:noFill/>
                  </pic:spPr>
                </pic:pic>
              </a:graphicData>
            </a:graphic>
          </wp:anchor>
        </w:drawing>
      </w:r>
    </w:p>
    <w:p>
      <w:pPr>
        <w:sectPr>
          <w:pgSz w:w="11900" w:h="16838" w:orient="portrait"/>
          <w:cols w:equalWidth="0" w:num="1">
            <w:col w:w="11420"/>
          </w:cols>
          <w:pgMar w:left="240" w:top="875" w:right="239" w:bottom="1440" w:gutter="0" w:footer="0" w:header="0"/>
        </w:sectPr>
      </w:pPr>
    </w:p>
    <w:bookmarkStart w:id="153" w:name="page154"/>
    <w:bookmarkEnd w:id="153"/>
    <w:p>
      <w:pPr>
        <w:ind w:left="320"/>
        <w:spacing w:after="0" w:line="279" w:lineRule="auto"/>
        <w:rPr>
          <w:sz w:val="20"/>
          <w:szCs w:val="20"/>
          <w:color w:val="auto"/>
        </w:rPr>
      </w:pPr>
      <w:r>
        <w:rPr>
          <w:rFonts w:ascii="Arial" w:cs="Arial" w:eastAsia="Arial" w:hAnsi="Arial"/>
          <w:sz w:val="16"/>
          <w:szCs w:val="16"/>
          <w:color w:val="auto"/>
        </w:rPr>
        <w:t>Thereafter, the Fairfield v. ASB Adversary Proceeding was procedurally consolidated by the Bankruptcy Court with other adversary actions by the Fairfield Liquidator against former investors in Fairfield Sentry. Pursuant to that consolidation, and by consent of the parties, the Bankruptcy Court decreed the suspension of all proceedings in the Fairfield Liquidator adversary actions (except for the filing of amended complaints) in the light of the pending litigation in the British Virgin Island courts (BVI litigation) calling into question the Fairfield Liquidator’s ability to seek recovery of funds invested with and redeemed from Fairfield Sentry. This suspension has been lifted, and on September 18, 2016, the Fairfield Liquidator filed a New Complaint (the modified original Complaint) against ASB. On January 13, 2017, ASB has presented, together with other defendants, a procedural motion/defense for the Complaint to be dismissed. On January 25, 2018, a hearing was held in which the parties have orally presented their arguments in support of each of their positions</w:t>
      </w:r>
    </w:p>
    <w:p>
      <w:pPr>
        <w:spacing w:after="0" w:line="166" w:lineRule="exact"/>
        <w:rPr>
          <w:sz w:val="20"/>
          <w:szCs w:val="20"/>
          <w:color w:val="auto"/>
        </w:rPr>
      </w:pPr>
    </w:p>
    <w:p>
      <w:pPr>
        <w:ind w:left="320" w:right="180"/>
        <w:spacing w:after="0" w:line="285" w:lineRule="auto"/>
        <w:rPr>
          <w:sz w:val="20"/>
          <w:szCs w:val="20"/>
          <w:color w:val="auto"/>
        </w:rPr>
      </w:pPr>
      <w:r>
        <w:rPr>
          <w:rFonts w:ascii="Arial" w:cs="Arial" w:eastAsia="Arial" w:hAnsi="Arial"/>
          <w:sz w:val="17"/>
          <w:szCs w:val="17"/>
          <w:color w:val="auto"/>
        </w:rPr>
        <w:t>Management considers that ASB has substantial defenses against the Fairfield Liquidator’s claims alleged in the Amended Complaint and intends to contest these claims vigorously.</w:t>
      </w:r>
    </w:p>
    <w:p>
      <w:pPr>
        <w:spacing w:after="0" w:line="153" w:lineRule="exact"/>
        <w:rPr>
          <w:sz w:val="20"/>
          <w:szCs w:val="20"/>
          <w:color w:val="auto"/>
        </w:rPr>
      </w:pPr>
    </w:p>
    <w:p>
      <w:pPr>
        <w:spacing w:after="0"/>
        <w:tabs>
          <w:tab w:leader="none" w:pos="300" w:val="left"/>
        </w:tabs>
        <w:rPr>
          <w:sz w:val="20"/>
          <w:szCs w:val="20"/>
          <w:color w:val="auto"/>
        </w:rPr>
      </w:pPr>
      <w:r>
        <w:rPr>
          <w:rFonts w:ascii="Arial" w:cs="Arial" w:eastAsia="Arial" w:hAnsi="Arial"/>
          <w:sz w:val="17"/>
          <w:szCs w:val="17"/>
          <w:b w:val="1"/>
          <w:bCs w:val="1"/>
          <w:color w:val="auto"/>
        </w:rPr>
        <w:t>34</w:t>
        <w:tab/>
        <w:t>SUBSEQUENT EVENT</w:t>
      </w:r>
    </w:p>
    <w:p>
      <w:pPr>
        <w:spacing w:after="0" w:line="226" w:lineRule="exact"/>
        <w:rPr>
          <w:sz w:val="20"/>
          <w:szCs w:val="20"/>
          <w:color w:val="auto"/>
        </w:rPr>
      </w:pPr>
    </w:p>
    <w:p>
      <w:pPr>
        <w:spacing w:after="0"/>
        <w:rPr>
          <w:sz w:val="20"/>
          <w:szCs w:val="20"/>
          <w:color w:val="auto"/>
        </w:rPr>
      </w:pPr>
      <w:r>
        <w:rPr>
          <w:rFonts w:ascii="Arial" w:cs="Arial" w:eastAsia="Arial" w:hAnsi="Arial"/>
          <w:sz w:val="17"/>
          <w:szCs w:val="17"/>
          <w:color w:val="auto"/>
        </w:rPr>
        <w:t>From December 31, 2017 until the date of this report, no significant event has occurred which affects the consolidated financial statements.</w:t>
      </w:r>
    </w:p>
    <w:p>
      <w:pPr>
        <w:spacing w:after="0" w:line="200" w:lineRule="exact"/>
        <w:rPr>
          <w:sz w:val="20"/>
          <w:szCs w:val="20"/>
          <w:color w:val="auto"/>
        </w:rPr>
      </w:pPr>
    </w:p>
    <w:p>
      <w:pPr>
        <w:spacing w:after="0" w:line="228" w:lineRule="exact"/>
        <w:rPr>
          <w:sz w:val="20"/>
          <w:szCs w:val="20"/>
          <w:color w:val="auto"/>
        </w:rPr>
      </w:pPr>
    </w:p>
    <w:p>
      <w:pPr>
        <w:jc w:val="center"/>
        <w:ind w:right="-119"/>
        <w:spacing w:after="0"/>
        <w:rPr>
          <w:sz w:val="20"/>
          <w:szCs w:val="20"/>
          <w:color w:val="auto"/>
        </w:rPr>
      </w:pPr>
      <w:r>
        <w:rPr>
          <w:rFonts w:ascii="Arial" w:cs="Arial" w:eastAsia="Arial" w:hAnsi="Arial"/>
          <w:sz w:val="17"/>
          <w:szCs w:val="17"/>
          <w:color w:val="auto"/>
        </w:rPr>
        <w:t>- 148 -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15875</wp:posOffset>
            </wp:positionV>
            <wp:extent cx="725170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51700" cy="8255"/>
                    </a:xfrm>
                    <a:prstGeom prst="rect">
                      <a:avLst/>
                    </a:prstGeom>
                    <a:noFill/>
                  </pic:spPr>
                </pic:pic>
              </a:graphicData>
            </a:graphic>
          </wp:anchor>
        </w:drawing>
      </w:r>
    </w:p>
    <w:sectPr>
      <w:pgSz w:w="11900" w:h="16838" w:orient="portrait"/>
      <w:cols w:equalWidth="0" w:num="1">
        <w:col w:w="11320"/>
      </w:cols>
      <w:pgMar w:left="240" w:top="88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962813B"/>
    <w:multiLevelType w:val="hybridMultilevel"/>
    <w:lvl w:ilvl="0">
      <w:lvlJc w:val="left"/>
      <w:lvlText w:val="·"/>
      <w:numFmt w:val="bullet"/>
      <w:start w:val="1"/>
    </w:lvl>
  </w:abstractNum>
  <w:abstractNum w:abstractNumId="1">
    <w:nsid w:val="60B6DF70"/>
    <w:multiLevelType w:val="hybridMultilevel"/>
    <w:lvl w:ilvl="0">
      <w:lvlJc w:val="left"/>
      <w:lvlText w:val="·"/>
      <w:numFmt w:val="bullet"/>
      <w:start w:val="1"/>
    </w:lvl>
  </w:abstractNum>
  <w:abstractNum w:abstractNumId="2">
    <w:nsid w:val="6A5EE64"/>
    <w:multiLevelType w:val="hybridMultilevel"/>
    <w:lvl w:ilvl="0">
      <w:lvlJc w:val="left"/>
      <w:lvlText w:val="·"/>
      <w:numFmt w:val="bullet"/>
      <w:start w:val="1"/>
    </w:lvl>
  </w:abstractNum>
  <w:abstractNum w:abstractNumId="3">
    <w:nsid w:val="14330624"/>
    <w:multiLevelType w:val="hybridMultilevel"/>
    <w:lvl w:ilvl="0">
      <w:lvlJc w:val="left"/>
      <w:lvlText w:val="·"/>
      <w:numFmt w:val="bullet"/>
      <w:start w:val="1"/>
    </w:lvl>
  </w:abstractNum>
  <w:abstractNum w:abstractNumId="4">
    <w:nsid w:val="7FFFCA11"/>
    <w:multiLevelType w:val="hybridMultilevel"/>
    <w:lvl w:ilvl="0">
      <w:lvlJc w:val="left"/>
      <w:lvlText w:val="·"/>
      <w:numFmt w:val="bullet"/>
      <w:start w:val="1"/>
    </w:lvl>
    <w:lvl w:ilvl="1">
      <w:lvlJc w:val="left"/>
      <w:lvlText w:val="-"/>
      <w:numFmt w:val="bullet"/>
      <w:start w:val="1"/>
    </w:lvl>
  </w:abstractNum>
  <w:abstractNum w:abstractNumId="5">
    <w:nsid w:val="1A27709E"/>
    <w:multiLevelType w:val="hybridMultilevel"/>
    <w:lvl w:ilvl="0">
      <w:lvlJc w:val="left"/>
      <w:lvlText w:val="·"/>
      <w:numFmt w:val="bullet"/>
      <w:start w:val="1"/>
    </w:lvl>
  </w:abstractNum>
  <w:abstractNum w:abstractNumId="6">
    <w:nsid w:val="71EA1109"/>
    <w:multiLevelType w:val="hybridMultilevel"/>
    <w:lvl w:ilvl="0">
      <w:lvlJc w:val="left"/>
      <w:lvlText w:val="1"/>
      <w:numFmt w:val="bullet"/>
      <w:start w:val="1"/>
    </w:lvl>
  </w:abstractNum>
  <w:abstractNum w:abstractNumId="7">
    <w:nsid w:val="100F59DC"/>
    <w:multiLevelType w:val="hybridMultilevel"/>
    <w:lvl w:ilvl="0">
      <w:lvlJc w:val="left"/>
      <w:lvlText w:val="2"/>
      <w:numFmt w:val="bullet"/>
      <w:start w:val="1"/>
    </w:lvl>
  </w:abstractNum>
  <w:abstractNum w:abstractNumId="8">
    <w:nsid w:val="7FB7E0AA"/>
    <w:multiLevelType w:val="hybridMultilevel"/>
    <w:lvl w:ilvl="0">
      <w:lvlJc w:val="left"/>
      <w:lvlText w:val="%1)"/>
      <w:numFmt w:val="lowerLetter"/>
      <w:start w:val="1"/>
    </w:lvl>
    <w:lvl w:ilvl="1">
      <w:lvlJc w:val="left"/>
      <w:lvlText w:val="·"/>
      <w:numFmt w:val="bullet"/>
      <w:start w:val="1"/>
    </w:lvl>
  </w:abstractNum>
  <w:abstractNum w:abstractNumId="9">
    <w:nsid w:val="6EB5BD4"/>
    <w:multiLevelType w:val="hybridMultilevel"/>
    <w:lvl w:ilvl="0">
      <w:lvlJc w:val="left"/>
      <w:lvlText w:val="%1)"/>
      <w:numFmt w:val="lowerLetter"/>
      <w:start w:val="2"/>
    </w:lvl>
    <w:lvl w:ilvl="1">
      <w:lvlJc w:val="left"/>
      <w:lvlText w:val="-"/>
      <w:numFmt w:val="bullet"/>
      <w:start w:val="1"/>
    </w:lvl>
  </w:abstractNum>
  <w:abstractNum w:abstractNumId="10">
    <w:nsid w:val="6F6DD9AC"/>
    <w:multiLevelType w:val="hybridMultilevel"/>
    <w:lvl w:ilvl="0">
      <w:lvlJc w:val="left"/>
      <w:lvlText w:val="%1)"/>
      <w:numFmt w:val="lowerLetter"/>
      <w:start w:val="3"/>
    </w:lvl>
    <w:lvl w:ilvl="1">
      <w:lvlJc w:val="left"/>
      <w:lvlText w:val="-"/>
      <w:numFmt w:val="bullet"/>
      <w:start w:val="1"/>
    </w:lvl>
  </w:abstractNum>
  <w:abstractNum w:abstractNumId="11">
    <w:nsid w:val="94211F2"/>
    <w:multiLevelType w:val="hybridMultilevel"/>
    <w:lvl w:ilvl="0">
      <w:lvlJc w:val="left"/>
      <w:lvlText w:val="3"/>
      <w:numFmt w:val="bullet"/>
      <w:start w:val="1"/>
    </w:lvl>
  </w:abstractNum>
  <w:abstractNum w:abstractNumId="12">
    <w:nsid w:val="885E1B"/>
    <w:multiLevelType w:val="hybridMultilevel"/>
    <w:lvl w:ilvl="0">
      <w:lvlJc w:val="left"/>
      <w:lvlText w:val="%1)"/>
      <w:numFmt w:val="lowerLetter"/>
      <w:start w:val="1"/>
    </w:lvl>
    <w:lvl w:ilvl="1">
      <w:lvlJc w:val="left"/>
      <w:lvlText w:val="-"/>
      <w:numFmt w:val="bullet"/>
      <w:start w:val="1"/>
    </w:lvl>
    <w:lvl w:ilvl="2">
      <w:lvlJc w:val="left"/>
      <w:lvlText w:val="·"/>
      <w:numFmt w:val="bullet"/>
      <w:start w:val="1"/>
    </w:lvl>
    <w:lvl w:ilvl="3">
      <w:lvlJc w:val="left"/>
      <w:lvlText w:val="-"/>
      <w:numFmt w:val="bullet"/>
      <w:start w:val="1"/>
    </w:lvl>
  </w:abstractNum>
  <w:abstractNum w:abstractNumId="13">
    <w:nsid w:val="76272110"/>
    <w:multiLevelType w:val="hybridMultilevel"/>
    <w:lvl w:ilvl="0">
      <w:lvlJc w:val="left"/>
      <w:lvlText w:val="·"/>
      <w:numFmt w:val="bullet"/>
      <w:start w:val="1"/>
    </w:lvl>
  </w:abstractNum>
  <w:abstractNum w:abstractNumId="14">
    <w:nsid w:val="4C04A8AF"/>
    <w:multiLevelType w:val="hybridMultilevel"/>
    <w:lvl w:ilvl="0">
      <w:lvlJc w:val="left"/>
      <w:lvlText w:val="%1)"/>
      <w:numFmt w:val="lowerLetter"/>
      <w:start w:val="1"/>
    </w:lvl>
    <w:lvl w:ilvl="1">
      <w:lvlJc w:val="left"/>
      <w:lvlText w:val="-"/>
      <w:numFmt w:val="bullet"/>
      <w:start w:val="1"/>
    </w:lvl>
  </w:abstractNum>
  <w:abstractNum w:abstractNumId="15">
    <w:nsid w:val="1716703B"/>
    <w:multiLevelType w:val="hybridMultilevel"/>
    <w:lvl w:ilvl="0">
      <w:lvlJc w:val="left"/>
      <w:lvlText w:val="-"/>
      <w:numFmt w:val="bullet"/>
      <w:start w:val="1"/>
    </w:lvl>
  </w:abstractNum>
  <w:abstractNum w:abstractNumId="16">
    <w:nsid w:val="14E17E33"/>
    <w:multiLevelType w:val="hybridMultilevel"/>
    <w:lvl w:ilvl="0">
      <w:lvlJc w:val="left"/>
      <w:lvlText w:val="(%1)"/>
      <w:numFmt w:val="lowerRoman"/>
      <w:start w:val="1"/>
    </w:lvl>
    <w:lvl w:ilvl="1">
      <w:lvlJc w:val="left"/>
      <w:lvlText w:val="-"/>
      <w:numFmt w:val="bullet"/>
      <w:start w:val="1"/>
    </w:lvl>
  </w:abstractNum>
  <w:abstractNum w:abstractNumId="17">
    <w:nsid w:val="3222E7CD"/>
    <w:multiLevelType w:val="hybridMultilevel"/>
    <w:lvl w:ilvl="0">
      <w:lvlJc w:val="left"/>
      <w:lvlText w:val="(%1)"/>
      <w:numFmt w:val="lowerRoman"/>
      <w:start w:val="6"/>
    </w:lvl>
  </w:abstractNum>
  <w:abstractNum w:abstractNumId="18">
    <w:nsid w:val="74DE0EE3"/>
    <w:multiLevelType w:val="hybridMultilevel"/>
    <w:lvl w:ilvl="0">
      <w:lvlJc w:val="left"/>
      <w:lvlText w:val="%1)"/>
      <w:numFmt w:val="lowerLetter"/>
      <w:start w:val="3"/>
    </w:lvl>
    <w:lvl w:ilvl="1">
      <w:lvlJc w:val="left"/>
      <w:lvlText w:val="(%2)"/>
      <w:numFmt w:val="lowerRoman"/>
      <w:start w:val="1"/>
    </w:lvl>
    <w:lvl w:ilvl="2">
      <w:lvlJc w:val="left"/>
      <w:lvlText w:val="-"/>
      <w:numFmt w:val="bullet"/>
      <w:start w:val="1"/>
    </w:lvl>
  </w:abstractNum>
  <w:abstractNum w:abstractNumId="19">
    <w:nsid w:val="68EBC550"/>
    <w:multiLevelType w:val="hybridMultilevel"/>
    <w:lvl w:ilvl="0">
      <w:lvlJc w:val="left"/>
      <w:lvlText w:val="%1)"/>
      <w:numFmt w:val="lowerLetter"/>
      <w:start w:val="4"/>
    </w:lvl>
    <w:lvl w:ilvl="1">
      <w:lvlJc w:val="left"/>
      <w:lvlText w:val="-"/>
      <w:numFmt w:val="bullet"/>
      <w:start w:val="1"/>
    </w:lvl>
  </w:abstractNum>
  <w:abstractNum w:abstractNumId="20">
    <w:nsid w:val="2DF6D648"/>
    <w:multiLevelType w:val="hybridMultilevel"/>
    <w:lvl w:ilvl="0">
      <w:lvlJc w:val="left"/>
      <w:lvlText w:val="%1)"/>
      <w:numFmt w:val="lowerRoman"/>
      <w:start w:val="1"/>
    </w:lvl>
    <w:lvl w:ilvl="1">
      <w:lvlJc w:val="left"/>
      <w:lvlText w:val="-"/>
      <w:numFmt w:val="bullet"/>
      <w:start w:val="1"/>
    </w:lvl>
  </w:abstractNum>
  <w:abstractNum w:abstractNumId="21">
    <w:nsid w:val="46B7D447"/>
    <w:multiLevelType w:val="hybridMultilevel"/>
    <w:lvl w:ilvl="0">
      <w:lvlJc w:val="left"/>
      <w:lvlText w:val="(%1)"/>
      <w:numFmt w:val="lowerRoman"/>
      <w:start w:val="1"/>
    </w:lvl>
  </w:abstractNum>
  <w:abstractNum w:abstractNumId="22">
    <w:nsid w:val="4A2AC315"/>
    <w:multiLevelType w:val="hybridMultilevel"/>
    <w:lvl w:ilvl="0">
      <w:lvlJc w:val="left"/>
      <w:lvlText w:val="(%1)"/>
      <w:numFmt w:val="lowerRoman"/>
      <w:start w:val="1"/>
    </w:lvl>
    <w:lvl w:ilvl="1">
      <w:lvlJc w:val="left"/>
      <w:lvlText w:val="-"/>
      <w:numFmt w:val="bullet"/>
      <w:start w:val="1"/>
    </w:lvl>
  </w:abstractNum>
  <w:abstractNum w:abstractNumId="23">
    <w:nsid w:val="39EE015C"/>
    <w:multiLevelType w:val="hybridMultilevel"/>
    <w:lvl w:ilvl="0">
      <w:lvlJc w:val="left"/>
      <w:lvlText w:val="%1"/>
      <w:numFmt w:val="lowerLetter"/>
      <w:start w:val="1"/>
    </w:lvl>
    <w:lvl w:ilvl="1">
      <w:lvlJc w:val="left"/>
      <w:lvlText w:val="(%2)"/>
      <w:numFmt w:val="lowerRoman"/>
      <w:start w:val="2"/>
    </w:lvl>
    <w:lvl w:ilvl="2">
      <w:lvlJc w:val="left"/>
      <w:lvlText w:val="-"/>
      <w:numFmt w:val="bullet"/>
      <w:start w:val="1"/>
    </w:lvl>
    <w:lvl w:ilvl="3">
      <w:lvlJc w:val="left"/>
      <w:lvlText w:val="-"/>
      <w:numFmt w:val="bullet"/>
      <w:start w:val="1"/>
    </w:lvl>
  </w:abstractNum>
  <w:abstractNum w:abstractNumId="24">
    <w:nsid w:val="57FC4FBB"/>
    <w:multiLevelType w:val="hybridMultilevel"/>
    <w:lvl w:ilvl="0">
      <w:lvlJc w:val="left"/>
      <w:lvlText w:val="%1)"/>
      <w:numFmt w:val="lowerLetter"/>
      <w:start w:val="6"/>
    </w:lvl>
    <w:lvl w:ilvl="1">
      <w:lvlJc w:val="left"/>
      <w:lvlText w:val="(%2)"/>
      <w:numFmt w:val="lowerRoman"/>
      <w:start w:val="1"/>
    </w:lvl>
    <w:lvl w:ilvl="2">
      <w:lvlJc w:val="left"/>
      <w:lvlText w:val="-"/>
      <w:numFmt w:val="bullet"/>
      <w:start w:val="1"/>
    </w:lvl>
    <w:lvl w:ilvl="3">
      <w:lvlJc w:val="left"/>
      <w:lvlText w:val="-"/>
      <w:numFmt w:val="bullet"/>
      <w:start w:val="1"/>
    </w:lvl>
  </w:abstractNum>
  <w:abstractNum w:abstractNumId="25">
    <w:nsid w:val="CC1016F"/>
    <w:multiLevelType w:val="hybridMultilevel"/>
    <w:lvl w:ilvl="0">
      <w:lvlJc w:val="left"/>
      <w:lvlText w:val="-"/>
      <w:numFmt w:val="bullet"/>
      <w:start w:val="1"/>
    </w:lvl>
  </w:abstractNum>
  <w:abstractNum w:abstractNumId="26">
    <w:nsid w:val="43F18422"/>
    <w:multiLevelType w:val="hybridMultilevel"/>
    <w:lvl w:ilvl="0">
      <w:lvlJc w:val="left"/>
      <w:lvlText w:val="(%1)"/>
      <w:numFmt w:val="lowerRoman"/>
      <w:start w:val="2"/>
    </w:lvl>
    <w:lvl w:ilvl="1">
      <w:lvlJc w:val="left"/>
      <w:lvlText w:val="-"/>
      <w:numFmt w:val="bullet"/>
      <w:start w:val="1"/>
    </w:lvl>
  </w:abstractNum>
  <w:abstractNum w:abstractNumId="27">
    <w:nsid w:val="60EF0119"/>
    <w:multiLevelType w:val="hybridMultilevel"/>
    <w:lvl w:ilvl="0">
      <w:lvlJc w:val="left"/>
      <w:lvlText w:val="(%1)"/>
      <w:numFmt w:val="lowerRoman"/>
      <w:start w:val="4"/>
    </w:lvl>
    <w:lvl w:ilvl="1">
      <w:lvlJc w:val="left"/>
      <w:lvlText w:val="-"/>
      <w:numFmt w:val="bullet"/>
      <w:start w:val="1"/>
    </w:lvl>
  </w:abstractNum>
  <w:abstractNum w:abstractNumId="28">
    <w:nsid w:val="26F324BA"/>
    <w:multiLevelType w:val="hybridMultilevel"/>
    <w:lvl w:ilvl="0">
      <w:lvlJc w:val="left"/>
      <w:lvlText w:val="%1"/>
      <w:numFmt w:val="lowerLetter"/>
      <w:start w:val="1"/>
    </w:lvl>
    <w:lvl w:ilvl="1">
      <w:lvlJc w:val="left"/>
      <w:lvlText w:val="(%2)"/>
      <w:numFmt w:val="lowerRoman"/>
      <w:start w:val="6"/>
    </w:lvl>
    <w:lvl w:ilvl="2">
      <w:lvlJc w:val="left"/>
      <w:lvlText w:val="-"/>
      <w:numFmt w:val="bullet"/>
      <w:start w:val="1"/>
    </w:lvl>
  </w:abstractNum>
  <w:abstractNum w:abstractNumId="29">
    <w:nsid w:val="7F01579B"/>
    <w:multiLevelType w:val="hybridMultilevel"/>
    <w:lvl w:ilvl="0">
      <w:lvlJc w:val="left"/>
      <w:lvlText w:val="%1)"/>
      <w:numFmt w:val="lowerLetter"/>
      <w:start w:val="7"/>
    </w:lvl>
    <w:lvl w:ilvl="1">
      <w:lvlJc w:val="left"/>
      <w:lvlText w:val="%2"/>
      <w:numFmt w:val="lowerRoman"/>
      <w:start w:val="1"/>
    </w:lvl>
    <w:lvl w:ilvl="2">
      <w:lvlJc w:val="left"/>
      <w:lvlText w:val="-"/>
      <w:numFmt w:val="bullet"/>
      <w:start w:val="1"/>
    </w:lvl>
  </w:abstractNum>
  <w:abstractNum w:abstractNumId="30">
    <w:nsid w:val="49DA307D"/>
    <w:multiLevelType w:val="hybridMultilevel"/>
    <w:lvl w:ilvl="0">
      <w:lvlJc w:val="left"/>
      <w:lvlText w:val="%1)"/>
      <w:numFmt w:val="lowerLetter"/>
      <w:start w:val="8"/>
    </w:lvl>
    <w:lvl w:ilvl="1">
      <w:lvlJc w:val="left"/>
      <w:lvlText w:val="(%2)"/>
      <w:numFmt w:val="lowerRoman"/>
      <w:start w:val="1"/>
    </w:lvl>
    <w:lvl w:ilvl="2">
      <w:lvlJc w:val="left"/>
      <w:lvlText w:val="-"/>
      <w:numFmt w:val="bullet"/>
      <w:start w:val="1"/>
    </w:lvl>
  </w:abstractNum>
  <w:abstractNum w:abstractNumId="31">
    <w:nsid w:val="7055A5F5"/>
    <w:multiLevelType w:val="hybridMultilevel"/>
    <w:lvl w:ilvl="0">
      <w:lvlJc w:val="left"/>
      <w:lvlText w:val="(%1)"/>
      <w:numFmt w:val="lowerRoman"/>
      <w:start w:val="2"/>
    </w:lvl>
    <w:lvl w:ilvl="1">
      <w:lvlJc w:val="left"/>
      <w:lvlText w:val="-"/>
      <w:numFmt w:val="bullet"/>
      <w:start w:val="1"/>
    </w:lvl>
  </w:abstractNum>
  <w:abstractNum w:abstractNumId="32">
    <w:nsid w:val="5FB8370B"/>
    <w:multiLevelType w:val="hybridMultilevel"/>
    <w:lvl w:ilvl="0">
      <w:lvlJc w:val="left"/>
      <w:lvlText w:val="%1"/>
      <w:numFmt w:val="lowerLetter"/>
      <w:start w:val="1"/>
    </w:lvl>
    <w:lvl w:ilvl="1">
      <w:lvlJc w:val="left"/>
      <w:lvlText w:val="(%2)"/>
      <w:numFmt w:val="lowerRoman"/>
      <w:start w:val="3"/>
    </w:lvl>
    <w:lvl w:ilvl="2">
      <w:lvlJc w:val="left"/>
      <w:lvlText w:val="-"/>
      <w:numFmt w:val="bullet"/>
      <w:start w:val="1"/>
    </w:lvl>
  </w:abstractNum>
  <w:abstractNum w:abstractNumId="33">
    <w:nsid w:val="50801EE1"/>
    <w:multiLevelType w:val="hybridMultilevel"/>
    <w:lvl w:ilvl="0">
      <w:lvlJc w:val="left"/>
      <w:lvlText w:val="%1)"/>
      <w:numFmt w:val="lowerLetter"/>
      <w:start w:val="10"/>
    </w:lvl>
    <w:lvl w:ilvl="1">
      <w:lvlJc w:val="left"/>
      <w:lvlText w:val="%2"/>
      <w:numFmt w:val="lowerRoman"/>
      <w:start w:val="1"/>
    </w:lvl>
    <w:lvl w:ilvl="2">
      <w:lvlJc w:val="left"/>
      <w:lvlText w:val="-"/>
      <w:numFmt w:val="bullet"/>
      <w:start w:val="1"/>
    </w:lvl>
  </w:abstractNum>
  <w:abstractNum w:abstractNumId="34">
    <w:nsid w:val="488AC1A"/>
    <w:multiLevelType w:val="hybridMultilevel"/>
    <w:lvl w:ilvl="0">
      <w:lvlJc w:val="left"/>
      <w:lvlText w:val="%1)"/>
      <w:numFmt w:val="lowerLetter"/>
      <w:start w:val="12"/>
    </w:lvl>
    <w:lvl w:ilvl="1">
      <w:lvlJc w:val="left"/>
      <w:lvlText w:val="-"/>
      <w:numFmt w:val="bullet"/>
      <w:start w:val="1"/>
    </w:lvl>
  </w:abstractNum>
  <w:abstractNum w:abstractNumId="35">
    <w:nsid w:val="5FB8011C"/>
    <w:multiLevelType w:val="hybridMultilevel"/>
    <w:lvl w:ilvl="0">
      <w:lvlJc w:val="left"/>
      <w:lvlText w:val="%1)"/>
      <w:numFmt w:val="lowerLetter"/>
      <w:start w:val="15"/>
    </w:lvl>
    <w:lvl w:ilvl="1">
      <w:lvlJc w:val="left"/>
      <w:lvlText w:val="-"/>
      <w:numFmt w:val="bullet"/>
      <w:start w:val="1"/>
    </w:lvl>
  </w:abstractNum>
  <w:abstractNum w:abstractNumId="36">
    <w:nsid w:val="6AA78F7F"/>
    <w:multiLevelType w:val="hybridMultilevel"/>
    <w:lvl w:ilvl="0">
      <w:lvlJc w:val="left"/>
      <w:lvlText w:val="%1)"/>
      <w:numFmt w:val="lowerLetter"/>
      <w:start w:val="16"/>
    </w:lvl>
    <w:lvl w:ilvl="1">
      <w:lvlJc w:val="left"/>
      <w:lvlText w:val="-"/>
      <w:numFmt w:val="bullet"/>
      <w:start w:val="1"/>
    </w:lvl>
  </w:abstractNum>
  <w:abstractNum w:abstractNumId="37">
    <w:nsid w:val="7672BD23"/>
    <w:multiLevelType w:val="hybridMultilevel"/>
    <w:lvl w:ilvl="0">
      <w:lvlJc w:val="left"/>
      <w:lvlText w:val="%1)"/>
      <w:numFmt w:val="lowerLetter"/>
      <w:start w:val="17"/>
    </w:lvl>
    <w:lvl w:ilvl="1">
      <w:lvlJc w:val="left"/>
      <w:lvlText w:val="-"/>
      <w:numFmt w:val="bullet"/>
      <w:start w:val="1"/>
    </w:lvl>
  </w:abstractNum>
  <w:abstractNum w:abstractNumId="38">
    <w:nsid w:val="6FC75AF8"/>
    <w:multiLevelType w:val="hybridMultilevel"/>
    <w:lvl w:ilvl="0">
      <w:lvlJc w:val="left"/>
      <w:lvlText w:val="%1)"/>
      <w:numFmt w:val="lowerLetter"/>
      <w:start w:val="21"/>
    </w:lvl>
    <w:lvl w:ilvl="1">
      <w:lvlJc w:val="left"/>
      <w:lvlText w:val="-"/>
      <w:numFmt w:val="bullet"/>
      <w:start w:val="1"/>
    </w:lvl>
  </w:abstractNum>
  <w:abstractNum w:abstractNumId="39">
    <w:nsid w:val="6A5F7029"/>
    <w:multiLevelType w:val="hybridMultilevel"/>
    <w:lvl w:ilvl="0">
      <w:lvlJc w:val="left"/>
      <w:lvlText w:val="%1)"/>
      <w:numFmt w:val="lowerLetter"/>
      <w:start w:val="24"/>
    </w:lvl>
    <w:lvl w:ilvl="1">
      <w:lvlJc w:val="left"/>
      <w:lvlText w:val="-"/>
      <w:numFmt w:val="bullet"/>
      <w:start w:val="1"/>
    </w:lvl>
    <w:lvl w:ilvl="2">
      <w:lvlJc w:val="left"/>
      <w:lvlText w:val="-"/>
      <w:numFmt w:val="bullet"/>
      <w:start w:val="1"/>
    </w:lvl>
  </w:abstractNum>
  <w:abstractNum w:abstractNumId="40">
    <w:nsid w:val="7D5E18F8"/>
    <w:multiLevelType w:val="hybridMultilevel"/>
    <w:lvl w:ilvl="0">
      <w:lvlJc w:val="left"/>
      <w:lvlText w:val="-"/>
      <w:numFmt w:val="bullet"/>
      <w:start w:val="1"/>
    </w:lvl>
  </w:abstractNum>
  <w:abstractNum w:abstractNumId="41">
    <w:nsid w:val="5F3534A4"/>
    <w:multiLevelType w:val="hybridMultilevel"/>
    <w:lvl w:ilvl="0">
      <w:lvlJc w:val="left"/>
      <w:lvlText w:val="%1)"/>
      <w:numFmt w:val="lowerRoman"/>
      <w:start w:val="1"/>
    </w:lvl>
    <w:lvl w:ilvl="1">
      <w:lvlJc w:val="left"/>
      <w:lvlText w:val="-"/>
      <w:numFmt w:val="bullet"/>
      <w:start w:val="1"/>
    </w:lvl>
  </w:abstractNum>
  <w:abstractNum w:abstractNumId="42">
    <w:nsid w:val="73A1821B"/>
    <w:multiLevelType w:val="hybridMultilevel"/>
    <w:lvl w:ilvl="0">
      <w:lvlJc w:val="left"/>
      <w:lvlText w:val="%1)"/>
      <w:numFmt w:val="lowerLetter"/>
      <w:start w:val="26"/>
    </w:lvl>
    <w:lvl w:ilvl="1">
      <w:lvlJc w:val="left"/>
      <w:lvlText w:val="-"/>
      <w:numFmt w:val="bullet"/>
      <w:start w:val="1"/>
    </w:lvl>
  </w:abstractNum>
  <w:abstractNum w:abstractNumId="43">
    <w:nsid w:val="7DE67713"/>
    <w:multiLevelType w:val="hybridMultilevel"/>
    <w:lvl w:ilvl="0">
      <w:lvlJc w:val="left"/>
      <w:lvlText w:val="-"/>
      <w:numFmt w:val="bullet"/>
      <w:start w:val="1"/>
    </w:lvl>
  </w:abstractNum>
  <w:abstractNum w:abstractNumId="44">
    <w:nsid w:val="555C55B5"/>
    <w:multiLevelType w:val="hybridMultilevel"/>
    <w:lvl w:ilvl="0">
      <w:lvlJc w:val="left"/>
      <w:lvlText w:val="%1)"/>
      <w:numFmt w:val="lowerLetter"/>
      <w:start w:val="27"/>
    </w:lvl>
    <w:lvl w:ilvl="1">
      <w:lvlJc w:val="left"/>
      <w:lvlText w:val="-"/>
      <w:numFmt w:val="bullet"/>
      <w:start w:val="1"/>
    </w:lvl>
  </w:abstractNum>
  <w:abstractNum w:abstractNumId="45">
    <w:nsid w:val="3FA62ACA"/>
    <w:multiLevelType w:val="hybridMultilevel"/>
    <w:lvl w:ilvl="0">
      <w:lvlJc w:val="left"/>
      <w:lvlText w:val="(%1)"/>
      <w:numFmt w:val="lowerRoman"/>
      <w:start w:val="1"/>
    </w:lvl>
    <w:lvl w:ilvl="1">
      <w:lvlJc w:val="left"/>
      <w:lvlText w:val="-"/>
      <w:numFmt w:val="bullet"/>
      <w:start w:val="1"/>
    </w:lvl>
  </w:abstractNum>
  <w:abstractNum w:abstractNumId="46">
    <w:nsid w:val="14FCE74E"/>
    <w:multiLevelType w:val="hybridMultilevel"/>
    <w:lvl w:ilvl="0">
      <w:lvlJc w:val="left"/>
      <w:lvlText w:val="·"/>
      <w:numFmt w:val="bullet"/>
      <w:start w:val="1"/>
    </w:lvl>
  </w:abstractNum>
  <w:abstractNum w:abstractNumId="47">
    <w:nsid w:val="6A3DD3E8"/>
    <w:multiLevelType w:val="hybridMultilevel"/>
    <w:lvl w:ilvl="0">
      <w:lvlJc w:val="left"/>
      <w:lvlText w:val="-"/>
      <w:numFmt w:val="bullet"/>
      <w:start w:val="1"/>
    </w:lvl>
  </w:abstractNum>
  <w:abstractNum w:abstractNumId="48">
    <w:nsid w:val="71C91298"/>
    <w:multiLevelType w:val="hybridMultilevel"/>
    <w:lvl w:ilvl="0">
      <w:lvlJc w:val="left"/>
      <w:lvlText w:val="(%1)"/>
      <w:numFmt w:val="lowerRoman"/>
      <w:start w:val="2"/>
    </w:lvl>
    <w:lvl w:ilvl="1">
      <w:lvlJc w:val="left"/>
      <w:lvlText w:val="·"/>
      <w:numFmt w:val="bullet"/>
      <w:start w:val="1"/>
    </w:lvl>
  </w:abstractNum>
  <w:abstractNum w:abstractNumId="49">
    <w:nsid w:val="9DAF632"/>
    <w:multiLevelType w:val="hybridMultilevel"/>
    <w:lvl w:ilvl="0">
      <w:lvlJc w:val="left"/>
      <w:lvlText w:val="·"/>
      <w:numFmt w:val="bullet"/>
      <w:start w:val="1"/>
    </w:lvl>
  </w:abstractNum>
  <w:abstractNum w:abstractNumId="50">
    <w:nsid w:val="53299938"/>
    <w:multiLevelType w:val="hybridMultilevel"/>
    <w:lvl w:ilvl="0">
      <w:lvlJc w:val="left"/>
      <w:lvlText w:val="(%1)"/>
      <w:numFmt w:val="lowerRoman"/>
      <w:start w:val="3"/>
    </w:lvl>
    <w:lvl w:ilvl="1">
      <w:lvlJc w:val="left"/>
      <w:lvlText w:val="-"/>
      <w:numFmt w:val="bullet"/>
      <w:start w:val="1"/>
    </w:lvl>
  </w:abstractNum>
  <w:abstractNum w:abstractNumId="51">
    <w:nsid w:val="1FBFE8E0"/>
    <w:multiLevelType w:val="hybridMultilevel"/>
    <w:lvl w:ilvl="0">
      <w:lvlJc w:val="left"/>
      <w:lvlText w:val="(%1)"/>
      <w:numFmt w:val="lowerRoman"/>
      <w:start w:val="4"/>
    </w:lvl>
    <w:lvl w:ilvl="1">
      <w:lvlJc w:val="left"/>
      <w:lvlText w:val="·"/>
      <w:numFmt w:val="bullet"/>
      <w:start w:val="1"/>
    </w:lvl>
  </w:abstractNum>
  <w:abstractNum w:abstractNumId="52">
    <w:nsid w:val="5092CA79"/>
    <w:multiLevelType w:val="hybridMultilevel"/>
    <w:lvl w:ilvl="0">
      <w:lvlJc w:val="left"/>
      <w:lvlText w:val="(%1)"/>
      <w:numFmt w:val="lowerRoman"/>
      <w:start w:val="5"/>
    </w:lvl>
    <w:lvl w:ilvl="1">
      <w:lvlJc w:val="left"/>
      <w:lvlText w:val="·"/>
      <w:numFmt w:val="bullet"/>
      <w:start w:val="1"/>
    </w:lvl>
  </w:abstractNum>
  <w:abstractNum w:abstractNumId="53">
    <w:nsid w:val="1D545C4D"/>
    <w:multiLevelType w:val="hybridMultilevel"/>
    <w:lvl w:ilvl="0">
      <w:lvlJc w:val="left"/>
      <w:lvlText w:val="%1"/>
      <w:numFmt w:val="lowerRoman"/>
      <w:start w:val="1"/>
    </w:lvl>
    <w:lvl w:ilvl="1">
      <w:lvlJc w:val="left"/>
      <w:lvlText w:val="(%2)"/>
      <w:numFmt w:val="lowerRoman"/>
      <w:start w:val="6"/>
    </w:lvl>
    <w:lvl w:ilvl="2">
      <w:lvlJc w:val="left"/>
      <w:lvlText w:val="·"/>
      <w:numFmt w:val="bullet"/>
      <w:start w:val="1"/>
    </w:lvl>
  </w:abstractNum>
  <w:abstractNum w:abstractNumId="54">
    <w:nsid w:val="59ADEA3D"/>
    <w:multiLevelType w:val="hybridMultilevel"/>
    <w:lvl w:ilvl="0">
      <w:lvlJc w:val="left"/>
      <w:lvlText w:val="(%1)"/>
      <w:numFmt w:val="lowerRoman"/>
      <w:start w:val="7"/>
    </w:lvl>
    <w:lvl w:ilvl="1">
      <w:lvlJc w:val="left"/>
      <w:lvlText w:val="%2"/>
      <w:numFmt w:val="lowerRoman"/>
      <w:start w:val="1"/>
    </w:lvl>
    <w:lvl w:ilvl="2">
      <w:lvlJc w:val="left"/>
      <w:lvlText w:val="·"/>
      <w:numFmt w:val="bullet"/>
      <w:start w:val="1"/>
    </w:lvl>
  </w:abstractNum>
  <w:abstractNum w:abstractNumId="55">
    <w:nsid w:val="288F1A34"/>
    <w:multiLevelType w:val="hybridMultilevel"/>
    <w:lvl w:ilvl="0">
      <w:lvlJc w:val="left"/>
      <w:lvlText w:val="(%1)"/>
      <w:numFmt w:val="lowerRoman"/>
      <w:start w:val="8"/>
    </w:lvl>
    <w:lvl w:ilvl="1">
      <w:lvlJc w:val="left"/>
      <w:lvlText w:val="·"/>
      <w:numFmt w:val="bullet"/>
      <w:start w:val="1"/>
    </w:lvl>
    <w:lvl w:ilvl="2">
      <w:lvlJc w:val="left"/>
      <w:lvlText w:val="-"/>
      <w:numFmt w:val="bullet"/>
      <w:start w:val="1"/>
    </w:lvl>
  </w:abstractNum>
  <w:abstractNum w:abstractNumId="56">
    <w:nsid w:val="2A155DBC"/>
    <w:multiLevelType w:val="hybridMultilevel"/>
    <w:lvl w:ilvl="0">
      <w:lvlJc w:val="left"/>
      <w:lvlText w:val="(%1)"/>
      <w:numFmt w:val="lowerRoman"/>
      <w:start w:val="9"/>
    </w:lvl>
    <w:lvl w:ilvl="1">
      <w:lvlJc w:val="left"/>
      <w:lvlText w:val="·"/>
      <w:numFmt w:val="bullet"/>
      <w:start w:val="1"/>
    </w:lvl>
  </w:abstractNum>
  <w:abstractNum w:abstractNumId="57">
    <w:nsid w:val="1D9F6E5F"/>
    <w:multiLevelType w:val="hybridMultilevel"/>
    <w:lvl w:ilvl="0">
      <w:lvlJc w:val="left"/>
      <w:lvlText w:val="(%1)"/>
      <w:numFmt w:val="lowerRoman"/>
      <w:start w:val="11"/>
    </w:lvl>
  </w:abstractNum>
  <w:abstractNum w:abstractNumId="58">
    <w:nsid w:val="97E1B4E"/>
    <w:multiLevelType w:val="hybridMultilevel"/>
    <w:lvl w:ilvl="0">
      <w:lvlJc w:val="left"/>
      <w:lvlText w:val="%1)"/>
      <w:numFmt w:val="lowerLetter"/>
      <w:start w:val="1"/>
    </w:lvl>
  </w:abstractNum>
  <w:abstractNum w:abstractNumId="59">
    <w:nsid w:val="51088277"/>
    <w:multiLevelType w:val="hybridMultilevel"/>
    <w:lvl w:ilvl="0">
      <w:lvlJc w:val="left"/>
      <w:lvlText w:val="%1"/>
      <w:numFmt w:val="lowerLetter"/>
      <w:start w:val="1"/>
    </w:lvl>
    <w:lvl w:ilvl="1">
      <w:lvlJc w:val="left"/>
      <w:lvlText w:val="(%2)"/>
      <w:numFmt w:val="lowerRoman"/>
      <w:start w:val="1"/>
    </w:lvl>
    <w:lvl w:ilvl="2">
      <w:lvlJc w:val="left"/>
      <w:lvlText w:val="-"/>
      <w:numFmt w:val="bullet"/>
      <w:start w:val="1"/>
    </w:lvl>
  </w:abstractNum>
  <w:abstractNum w:abstractNumId="60">
    <w:nsid w:val="1CA0C5FA"/>
    <w:multiLevelType w:val="hybridMultilevel"/>
    <w:lvl w:ilvl="0">
      <w:lvlJc w:val="left"/>
      <w:lvlText w:val="%1)"/>
      <w:numFmt w:val="lowerLetter"/>
      <w:start w:val="2"/>
    </w:lvl>
    <w:lvl w:ilvl="1">
      <w:lvlJc w:val="left"/>
      <w:lvlText w:val="%2"/>
      <w:numFmt w:val="lowerRoman"/>
      <w:start w:val="1"/>
    </w:lvl>
    <w:lvl w:ilvl="2">
      <w:lvlJc w:val="left"/>
      <w:lvlText w:val="-"/>
      <w:numFmt w:val="bullet"/>
      <w:start w:val="1"/>
    </w:lvl>
  </w:abstractNum>
  <w:abstractNum w:abstractNumId="61">
    <w:nsid w:val="53584BCB"/>
    <w:multiLevelType w:val="hybridMultilevel"/>
    <w:lvl w:ilvl="0">
      <w:lvlJc w:val="left"/>
      <w:lvlText w:val="5"/>
      <w:numFmt w:val="bullet"/>
      <w:start w:val="1"/>
    </w:lvl>
  </w:abstractNum>
  <w:abstractNum w:abstractNumId="62">
    <w:nsid w:val="415E286C"/>
    <w:multiLevelType w:val="hybridMultilevel"/>
    <w:lvl w:ilvl="0">
      <w:lvlJc w:val="left"/>
      <w:lvlText w:val="(%1)"/>
      <w:numFmt w:val="lowerRoman"/>
      <w:start w:val="1"/>
    </w:lvl>
    <w:lvl w:ilvl="1">
      <w:lvlJc w:val="left"/>
      <w:lvlText w:val="-"/>
      <w:numFmt w:val="bullet"/>
      <w:start w:val="1"/>
    </w:lvl>
  </w:abstractNum>
  <w:abstractNum w:abstractNumId="63">
    <w:nsid w:val="7C58FD05"/>
    <w:multiLevelType w:val="hybridMultilevel"/>
    <w:lvl w:ilvl="0">
      <w:lvlJc w:val="left"/>
      <w:lvlText w:val="(%1)"/>
      <w:numFmt w:val="lowerRoman"/>
      <w:start w:val="2"/>
    </w:lvl>
  </w:abstractNum>
  <w:abstractNum w:abstractNumId="64">
    <w:nsid w:val="23D86AAC"/>
    <w:multiLevelType w:val="hybridMultilevel"/>
    <w:lvl w:ilvl="0">
      <w:lvlJc w:val="left"/>
      <w:lvlText w:val="%1)"/>
      <w:numFmt w:val="lowerLetter"/>
      <w:start w:val="2"/>
    </w:lvl>
  </w:abstractNum>
  <w:abstractNum w:abstractNumId="65">
    <w:nsid w:val="45E6D486"/>
    <w:multiLevelType w:val="hybridMultilevel"/>
    <w:lvl w:ilvl="0">
      <w:lvlJc w:val="left"/>
      <w:lvlText w:val="%1)"/>
      <w:numFmt w:val="lowerLetter"/>
      <w:start w:val="3"/>
    </w:lvl>
  </w:abstractNum>
  <w:abstractNum w:abstractNumId="66">
    <w:nsid w:val="5C10FE21"/>
    <w:multiLevelType w:val="hybridMultilevel"/>
    <w:lvl w:ilvl="0">
      <w:lvlJc w:val="left"/>
      <w:lvlText w:val="(%1)"/>
      <w:numFmt w:val="lowerRoman"/>
      <w:start w:val="1"/>
    </w:lvl>
    <w:lvl w:ilvl="1">
      <w:lvlJc w:val="left"/>
      <w:lvlText w:val="-"/>
      <w:numFmt w:val="bullet"/>
      <w:start w:val="1"/>
    </w:lvl>
  </w:abstractNum>
  <w:abstractNum w:abstractNumId="67">
    <w:nsid w:val="E7FFA2B"/>
    <w:multiLevelType w:val="hybridMultilevel"/>
    <w:lvl w:ilvl="0">
      <w:lvlJc w:val="left"/>
      <w:lvlText w:val="6"/>
      <w:numFmt w:val="bullet"/>
      <w:start w:val="1"/>
    </w:lvl>
  </w:abstractNum>
  <w:abstractNum w:abstractNumId="68">
    <w:nsid w:val="3C5991AA"/>
    <w:multiLevelType w:val="hybridMultilevel"/>
    <w:lvl w:ilvl="0">
      <w:lvlJc w:val="left"/>
      <w:lvlText w:val="%1)"/>
      <w:numFmt w:val="lowerLetter"/>
      <w:start w:val="1"/>
    </w:lvl>
  </w:abstractNum>
  <w:abstractNum w:abstractNumId="69">
    <w:nsid w:val="4BD8591A"/>
    <w:multiLevelType w:val="hybridMultilevel"/>
    <w:lvl w:ilvl="0">
      <w:lvlJc w:val="left"/>
      <w:lvlText w:val="(%1)"/>
      <w:numFmt w:val="lowerRoman"/>
      <w:start w:val="1"/>
    </w:lvl>
  </w:abstractNum>
  <w:abstractNum w:abstractNumId="70">
    <w:nsid w:val="78DF6A55"/>
    <w:multiLevelType w:val="hybridMultilevel"/>
    <w:lvl w:ilvl="0">
      <w:lvlJc w:val="left"/>
      <w:lvlText w:val="(%1)"/>
      <w:numFmt w:val="lowerRoman"/>
      <w:start w:val="4"/>
    </w:lvl>
    <w:lvl w:ilvl="1">
      <w:lvlJc w:val="left"/>
      <w:lvlText w:val="-"/>
      <w:numFmt w:val="bullet"/>
      <w:start w:val="1"/>
    </w:lvl>
    <w:lvl w:ilvl="2">
      <w:lvlJc w:val="left"/>
      <w:lvlText w:val="-"/>
      <w:numFmt w:val="bullet"/>
      <w:start w:val="1"/>
    </w:lvl>
  </w:abstractNum>
  <w:abstractNum w:abstractNumId="71">
    <w:nsid w:val="39B7AAA2"/>
    <w:multiLevelType w:val="hybridMultilevel"/>
    <w:lvl w:ilvl="0">
      <w:lvlJc w:val="left"/>
      <w:lvlText w:val="(%1)"/>
      <w:numFmt w:val="lowerRoman"/>
      <w:start w:val="7"/>
    </w:lvl>
    <w:lvl w:ilvl="1">
      <w:lvlJc w:val="left"/>
      <w:lvlText w:val="-"/>
      <w:numFmt w:val="bullet"/>
      <w:start w:val="1"/>
    </w:lvl>
    <w:lvl w:ilvl="2">
      <w:lvlJc w:val="left"/>
      <w:lvlText w:val="-"/>
      <w:numFmt w:val="bullet"/>
      <w:start w:val="1"/>
    </w:lvl>
  </w:abstractNum>
  <w:abstractNum w:abstractNumId="72">
    <w:nsid w:val="2B0D8DBE"/>
    <w:multiLevelType w:val="hybridMultilevel"/>
    <w:lvl w:ilvl="0">
      <w:lvlJc w:val="left"/>
      <w:lvlText w:val="-"/>
      <w:numFmt w:val="bullet"/>
      <w:start w:val="1"/>
    </w:lvl>
  </w:abstractNum>
  <w:abstractNum w:abstractNumId="73">
    <w:nsid w:val="6C80EC70"/>
    <w:multiLevelType w:val="hybridMultilevel"/>
    <w:lvl w:ilvl="0">
      <w:lvlJc w:val="left"/>
      <w:lvlText w:val="%1)"/>
      <w:numFmt w:val="lowerLetter"/>
      <w:start w:val="2"/>
    </w:lvl>
    <w:lvl w:ilvl="1">
      <w:lvlJc w:val="left"/>
      <w:lvlText w:val="(*)"/>
      <w:numFmt w:val="bullet"/>
      <w:start w:val="1"/>
    </w:lvl>
  </w:abstractNum>
  <w:abstractNum w:abstractNumId="74">
    <w:nsid w:val="379E21B5"/>
    <w:multiLevelType w:val="hybridMultilevel"/>
    <w:lvl w:ilvl="0">
      <w:lvlJc w:val="left"/>
      <w:lvlText w:val="7"/>
      <w:numFmt w:val="bullet"/>
      <w:start w:val="1"/>
    </w:lvl>
  </w:abstractNum>
  <w:abstractNum w:abstractNumId="75">
    <w:nsid w:val="69E373"/>
    <w:multiLevelType w:val="hybridMultilevel"/>
    <w:lvl w:ilvl="0">
      <w:lvlJc w:val="left"/>
      <w:lvlText w:val="%1)"/>
      <w:numFmt w:val="lowerLetter"/>
      <w:start w:val="3"/>
    </w:lvl>
    <w:lvl w:ilvl="1">
      <w:lvlJc w:val="left"/>
      <w:lvlText w:val="-"/>
      <w:numFmt w:val="bullet"/>
      <w:start w:val="1"/>
    </w:lvl>
  </w:abstractNum>
  <w:abstractNum w:abstractNumId="76">
    <w:nsid w:val="2C27173B"/>
    <w:multiLevelType w:val="hybridMultilevel"/>
    <w:lvl w:ilvl="0">
      <w:lvlJc w:val="left"/>
      <w:lvlText w:val="(*)"/>
      <w:numFmt w:val="bullet"/>
      <w:start w:val="1"/>
    </w:lvl>
    <w:lvl w:ilvl="1">
      <w:lvlJc w:val="left"/>
      <w:lvlText w:val="-"/>
      <w:numFmt w:val="bullet"/>
      <w:start w:val="1"/>
    </w:lvl>
  </w:abstractNum>
  <w:abstractNum w:abstractNumId="77">
    <w:nsid w:val="4C9B0904"/>
    <w:multiLevelType w:val="hybridMultilevel"/>
    <w:lvl w:ilvl="0">
      <w:lvlJc w:val="left"/>
      <w:lvlText w:val="%1)"/>
      <w:numFmt w:val="lowerLetter"/>
      <w:start w:val="5"/>
    </w:lvl>
  </w:abstractNum>
  <w:abstractNum w:abstractNumId="78">
    <w:nsid w:val="6AA7B75C"/>
    <w:multiLevelType w:val="hybridMultilevel"/>
    <w:lvl w:ilvl="0">
      <w:lvlJc w:val="left"/>
      <w:lvlText w:val="8"/>
      <w:numFmt w:val="bullet"/>
      <w:start w:val="1"/>
    </w:lvl>
  </w:abstractNum>
  <w:abstractNum w:abstractNumId="79">
    <w:nsid w:val="1DF029D3"/>
    <w:multiLevelType w:val="hybridMultilevel"/>
    <w:lvl w:ilvl="0">
      <w:lvlJc w:val="left"/>
      <w:lvlText w:val="9"/>
      <w:numFmt w:val="bullet"/>
      <w:start w:val="1"/>
    </w:lvl>
  </w:abstractNum>
  <w:abstractNum w:abstractNumId="80">
    <w:nsid w:val="5675FF36"/>
    <w:multiLevelType w:val="hybridMultilevel"/>
    <w:lvl w:ilvl="0">
      <w:lvlJc w:val="left"/>
      <w:lvlText w:val="%1)"/>
      <w:numFmt w:val="lowerLetter"/>
      <w:start w:val="1"/>
    </w:lvl>
    <w:lvl w:ilvl="1">
      <w:lvlJc w:val="left"/>
      <w:lvlText w:val="-"/>
      <w:numFmt w:val="bullet"/>
      <w:start w:val="1"/>
    </w:lvl>
  </w:abstractNum>
  <w:abstractNum w:abstractNumId="81">
    <w:nsid w:val="3DD15094"/>
    <w:multiLevelType w:val="hybridMultilevel"/>
    <w:lvl w:ilvl="0">
      <w:lvlJc w:val="left"/>
      <w:lvlText w:val="%1)"/>
      <w:numFmt w:val="lowerLetter"/>
      <w:start w:val="2"/>
    </w:lvl>
  </w:abstractNum>
  <w:abstractNum w:abstractNumId="82">
    <w:nsid w:val="3DB012B3"/>
    <w:multiLevelType w:val="hybridMultilevel"/>
    <w:lvl w:ilvl="0">
      <w:lvlJc w:val="left"/>
      <w:lvlText w:val="%1)"/>
      <w:numFmt w:val="lowerLetter"/>
      <w:start w:val="1"/>
    </w:lvl>
  </w:abstractNum>
  <w:abstractNum w:abstractNumId="83">
    <w:nsid w:val="2708C9AF"/>
    <w:multiLevelType w:val="hybridMultilevel"/>
    <w:lvl w:ilvl="0">
      <w:lvlJc w:val="left"/>
      <w:lvlText w:val="%1)"/>
      <w:numFmt w:val="lowerLetter"/>
      <w:start w:val="1"/>
    </w:lvl>
  </w:abstractNum>
  <w:abstractNum w:abstractNumId="84">
    <w:nsid w:val="5B25ACE2"/>
    <w:multiLevelType w:val="hybridMultilevel"/>
    <w:lvl w:ilvl="0">
      <w:lvlJc w:val="left"/>
      <w:lvlText w:val="%1)"/>
      <w:numFmt w:val="lowerLetter"/>
      <w:start w:val="2"/>
    </w:lvl>
  </w:abstractNum>
  <w:abstractNum w:abstractNumId="85">
    <w:nsid w:val="175DFCF0"/>
    <w:multiLevelType w:val="hybridMultilevel"/>
    <w:lvl w:ilvl="0">
      <w:lvlJc w:val="left"/>
      <w:lvlText w:val="(*)"/>
      <w:numFmt w:val="bullet"/>
      <w:start w:val="1"/>
    </w:lvl>
    <w:lvl w:ilvl="1">
      <w:lvlJc w:val="left"/>
      <w:lvlText w:val="-"/>
      <w:numFmt w:val="bullet"/>
      <w:start w:val="1"/>
    </w:lvl>
  </w:abstractNum>
  <w:abstractNum w:abstractNumId="86">
    <w:nsid w:val="4F97E3E4"/>
    <w:multiLevelType w:val="hybridMultilevel"/>
    <w:lvl w:ilvl="0">
      <w:lvlJc w:val="left"/>
      <w:lvlText w:val="%1)"/>
      <w:numFmt w:val="lowerLetter"/>
      <w:start w:val="2"/>
    </w:lvl>
  </w:abstractNum>
  <w:abstractNum w:abstractNumId="87">
    <w:nsid w:val="53B0A9E"/>
    <w:multiLevelType w:val="hybridMultilevel"/>
    <w:lvl w:ilvl="0">
      <w:lvlJc w:val="left"/>
      <w:lvlText w:val="(%1)"/>
      <w:numFmt w:val="lowerRoman"/>
      <w:start w:val="1"/>
    </w:lvl>
  </w:abstractNum>
  <w:abstractNum w:abstractNumId="88">
    <w:nsid w:val="34FD6B4F"/>
    <w:multiLevelType w:val="hybridMultilevel"/>
    <w:lvl w:ilvl="0">
      <w:lvlJc w:val="left"/>
      <w:lvlText w:val="(%1)"/>
      <w:numFmt w:val="lowerRoman"/>
      <w:start w:val="2"/>
    </w:lvl>
  </w:abstractNum>
  <w:abstractNum w:abstractNumId="89">
    <w:nsid w:val="5915FF32"/>
    <w:multiLevelType w:val="hybridMultilevel"/>
    <w:lvl w:ilvl="0">
      <w:lvlJc w:val="left"/>
      <w:lvlText w:val="%1)"/>
      <w:numFmt w:val="lowerLetter"/>
      <w:start w:val="3"/>
    </w:lvl>
    <w:lvl w:ilvl="1">
      <w:lvlJc w:val="left"/>
      <w:lvlText w:val="-"/>
      <w:numFmt w:val="bullet"/>
      <w:start w:val="1"/>
    </w:lvl>
  </w:abstractNum>
  <w:abstractNum w:abstractNumId="90">
    <w:nsid w:val="56438D15"/>
    <w:multiLevelType w:val="hybridMultilevel"/>
    <w:lvl w:ilvl="0">
      <w:lvlJc w:val="left"/>
      <w:lvlText w:val="%1)"/>
      <w:numFmt w:val="lowerLetter"/>
      <w:start w:val="5"/>
    </w:lvl>
  </w:abstractNum>
  <w:abstractNum w:abstractNumId="91">
    <w:nsid w:val="519E3149"/>
    <w:multiLevelType w:val="hybridMultilevel"/>
    <w:lvl w:ilvl="0">
      <w:lvlJc w:val="left"/>
      <w:lvlText w:val="(%1)"/>
      <w:numFmt w:val="lowerRoman"/>
      <w:start w:val="1"/>
    </w:lvl>
    <w:lvl w:ilvl="1">
      <w:lvlJc w:val="left"/>
      <w:lvlText w:val="-"/>
      <w:numFmt w:val="bullet"/>
      <w:start w:val="1"/>
    </w:lvl>
  </w:abstractNum>
  <w:abstractNum w:abstractNumId="92">
    <w:nsid w:val="2C6E4AFD"/>
    <w:multiLevelType w:val="hybridMultilevel"/>
    <w:lvl w:ilvl="0">
      <w:lvlJc w:val="left"/>
      <w:lvlText w:val="(%1)"/>
      <w:numFmt w:val="lowerRoman"/>
      <w:start w:val="2"/>
    </w:lvl>
  </w:abstractNum>
  <w:abstractNum w:abstractNumId="93">
    <w:nsid w:val="17A1B582"/>
    <w:multiLevelType w:val="hybridMultilevel"/>
    <w:lvl w:ilvl="0">
      <w:lvlJc w:val="left"/>
      <w:lvlText w:val="%1)"/>
      <w:numFmt w:val="lowerLetter"/>
      <w:start w:val="1"/>
    </w:lvl>
  </w:abstractNum>
  <w:abstractNum w:abstractNumId="94">
    <w:nsid w:val="4DF72E4E"/>
    <w:multiLevelType w:val="hybridMultilevel"/>
    <w:lvl w:ilvl="0">
      <w:lvlJc w:val="left"/>
      <w:lvlText w:val="%1)"/>
      <w:numFmt w:val="lowerLetter"/>
      <w:start w:val="3"/>
    </w:lvl>
  </w:abstractNum>
  <w:abstractNum w:abstractNumId="95">
    <w:nsid w:val="5046B5A9"/>
    <w:multiLevelType w:val="hybridMultilevel"/>
    <w:lvl w:ilvl="0">
      <w:lvlJc w:val="left"/>
      <w:lvlText w:val="%1)"/>
      <w:numFmt w:val="lowerLetter"/>
      <w:start w:val="1"/>
    </w:lvl>
  </w:abstractNum>
  <w:abstractNum w:abstractNumId="96">
    <w:nsid w:val="5D888A08"/>
    <w:multiLevelType w:val="hybridMultilevel"/>
    <w:lvl w:ilvl="0">
      <w:lvlJc w:val="left"/>
      <w:lvlText w:val="(%1)"/>
      <w:numFmt w:val="lowerRoman"/>
      <w:start w:val="1"/>
    </w:lvl>
    <w:lvl w:ilvl="1">
      <w:lvlJc w:val="left"/>
      <w:lvlText w:val="-"/>
      <w:numFmt w:val="bullet"/>
      <w:start w:val="1"/>
    </w:lvl>
  </w:abstractNum>
  <w:abstractNum w:abstractNumId="97">
    <w:nsid w:val="2A082C70"/>
    <w:multiLevelType w:val="hybridMultilevel"/>
    <w:lvl w:ilvl="0">
      <w:lvlJc w:val="left"/>
      <w:lvlText w:val="%1"/>
      <w:numFmt w:val="lowerLetter"/>
      <w:start w:val="1"/>
    </w:lvl>
    <w:lvl w:ilvl="1">
      <w:lvlJc w:val="left"/>
      <w:lvlText w:val="(%2)"/>
      <w:numFmt w:val="lowerRoman"/>
      <w:start w:val="3"/>
    </w:lvl>
  </w:abstractNum>
  <w:abstractNum w:abstractNumId="98">
    <w:nsid w:val="5EC6AFD4"/>
    <w:multiLevelType w:val="hybridMultilevel"/>
    <w:lvl w:ilvl="0">
      <w:lvlJc w:val="left"/>
      <w:lvlText w:val="%1)"/>
      <w:numFmt w:val="lowerLetter"/>
      <w:start w:val="3"/>
    </w:lvl>
    <w:lvl w:ilvl="1">
      <w:lvlJc w:val="left"/>
      <w:lvlText w:val="%2"/>
      <w:numFmt w:val="lowerRoman"/>
      <w:start w:val="1"/>
    </w:lvl>
  </w:abstractNum>
  <w:abstractNum w:abstractNumId="99">
    <w:nsid w:val="19E21BB2"/>
    <w:multiLevelType w:val="hybridMultilevel"/>
    <w:lvl w:ilvl="0">
      <w:lvlJc w:val="left"/>
      <w:lvlText w:val="%1)"/>
      <w:numFmt w:val="lowerLetter"/>
      <w:start w:val="5"/>
    </w:lvl>
    <w:lvl w:ilvl="1">
      <w:lvlJc w:val="left"/>
      <w:lvlText w:val="-"/>
      <w:numFmt w:val="bullet"/>
      <w:start w:val="1"/>
    </w:lvl>
  </w:abstractNum>
  <w:abstractNum w:abstractNumId="100">
    <w:nsid w:val="75E0858A"/>
    <w:multiLevelType w:val="hybridMultilevel"/>
    <w:lvl w:ilvl="0">
      <w:lvlJc w:val="left"/>
      <w:lvlText w:val="%1)"/>
      <w:numFmt w:val="lowerLetter"/>
      <w:start w:val="1"/>
    </w:lvl>
  </w:abstractNum>
  <w:abstractNum w:abstractNumId="101">
    <w:nsid w:val="57A61A29"/>
    <w:multiLevelType w:val="hybridMultilevel"/>
    <w:lvl w:ilvl="0">
      <w:lvlJc w:val="left"/>
      <w:lvlText w:val="(*)"/>
      <w:numFmt w:val="bullet"/>
      <w:start w:val="1"/>
    </w:lvl>
  </w:abstractNum>
  <w:abstractNum w:abstractNumId="102">
    <w:nsid w:val="5399C654"/>
    <w:multiLevelType w:val="hybridMultilevel"/>
    <w:lvl w:ilvl="0">
      <w:lvlJc w:val="left"/>
      <w:lvlText w:val="%1)"/>
      <w:numFmt w:val="lowerLetter"/>
      <w:start w:val="3"/>
    </w:lvl>
  </w:abstractNum>
  <w:abstractNum w:abstractNumId="103">
    <w:nsid w:val="20EE1348"/>
    <w:multiLevelType w:val="hybridMultilevel"/>
    <w:lvl w:ilvl="0">
      <w:lvlJc w:val="left"/>
      <w:lvlText w:val="%1)"/>
      <w:numFmt w:val="lowerLetter"/>
      <w:start w:val="1"/>
    </w:lvl>
  </w:abstractNum>
  <w:abstractNum w:abstractNumId="104">
    <w:nsid w:val="4427069A"/>
    <w:multiLevelType w:val="hybridMultilevel"/>
    <w:lvl w:ilvl="0">
      <w:lvlJc w:val="left"/>
      <w:lvlText w:val="(%1)"/>
      <w:numFmt w:val="lowerRoman"/>
      <w:start w:val="1"/>
    </w:lvl>
    <w:lvl w:ilvl="1">
      <w:lvlJc w:val="left"/>
      <w:lvlText w:val="-"/>
      <w:numFmt w:val="bullet"/>
      <w:start w:val="1"/>
    </w:lvl>
  </w:abstractNum>
  <w:abstractNum w:abstractNumId="105">
    <w:nsid w:val="B37E80A"/>
    <w:multiLevelType w:val="hybridMultilevel"/>
    <w:lvl w:ilvl="0">
      <w:lvlJc w:val="left"/>
      <w:lvlText w:val="%1"/>
      <w:numFmt w:val="lowerLetter"/>
      <w:start w:val="1"/>
    </w:lvl>
    <w:lvl w:ilvl="1">
      <w:lvlJc w:val="left"/>
      <w:lvlText w:val="(%2)"/>
      <w:numFmt w:val="lowerRoman"/>
      <w:start w:val="7"/>
    </w:lvl>
  </w:abstractNum>
  <w:abstractNum w:abstractNumId="106">
    <w:nsid w:val="2157F6BC"/>
    <w:multiLevelType w:val="hybridMultilevel"/>
    <w:lvl w:ilvl="0">
      <w:lvlJc w:val="left"/>
      <w:lvlText w:val="%1)"/>
      <w:numFmt w:val="lowerLetter"/>
      <w:start w:val="2"/>
    </w:lvl>
    <w:lvl w:ilvl="1">
      <w:lvlJc w:val="left"/>
      <w:lvlText w:val="%2"/>
      <w:numFmt w:val="lowerRoman"/>
      <w:start w:val="1"/>
    </w:lvl>
  </w:abstractNum>
  <w:abstractNum w:abstractNumId="107">
    <w:nsid w:val="704E1DD5"/>
    <w:multiLevelType w:val="hybridMultilevel"/>
    <w:lvl w:ilvl="0">
      <w:lvlJc w:val="left"/>
      <w:lvlText w:val="%1)"/>
      <w:numFmt w:val="lowerLetter"/>
      <w:start w:val="1"/>
    </w:lvl>
  </w:abstractNum>
  <w:abstractNum w:abstractNumId="108">
    <w:nsid w:val="57D2F10E"/>
    <w:multiLevelType w:val="hybridMultilevel"/>
    <w:lvl w:ilvl="0">
      <w:lvlJc w:val="left"/>
      <w:lvlText w:val="%1)"/>
      <w:numFmt w:val="lowerLetter"/>
      <w:start w:val="3"/>
    </w:lvl>
  </w:abstractNum>
  <w:abstractNum w:abstractNumId="109">
    <w:nsid w:val="BFFAE18"/>
    <w:multiLevelType w:val="hybridMultilevel"/>
    <w:lvl w:ilvl="0">
      <w:lvlJc w:val="left"/>
      <w:lvlText w:val="%1)"/>
      <w:numFmt w:val="lowerLetter"/>
      <w:start w:val="4"/>
    </w:lvl>
  </w:abstractNum>
  <w:abstractNum w:abstractNumId="110">
    <w:nsid w:val="E3E47A8"/>
    <w:multiLevelType w:val="hybridMultilevel"/>
    <w:lvl w:ilvl="0">
      <w:lvlJc w:val="left"/>
      <w:lvlText w:val="%1)"/>
      <w:numFmt w:val="lowerLetter"/>
      <w:start w:val="5"/>
    </w:lvl>
    <w:lvl w:ilvl="1">
      <w:lvlJc w:val="left"/>
      <w:lvlText w:val="-"/>
      <w:numFmt w:val="bullet"/>
      <w:start w:val="1"/>
    </w:lvl>
  </w:abstractNum>
  <w:abstractNum w:abstractNumId="111">
    <w:nsid w:val="2E48F044"/>
    <w:multiLevelType w:val="hybridMultilevel"/>
    <w:lvl w:ilvl="0">
      <w:lvlJc w:val="left"/>
      <w:lvlText w:val="%1)"/>
      <w:numFmt w:val="lowerLetter"/>
      <w:start w:val="6"/>
    </w:lvl>
  </w:abstractNum>
  <w:abstractNum w:abstractNumId="112">
    <w:nsid w:val="49D0FEAC"/>
    <w:multiLevelType w:val="hybridMultilevel"/>
    <w:lvl w:ilvl="0">
      <w:lvlJc w:val="left"/>
      <w:lvlText w:val="%1)"/>
      <w:numFmt w:val="lowerLetter"/>
      <w:start w:val="1"/>
    </w:lvl>
    <w:lvl w:ilvl="1">
      <w:lvlJc w:val="left"/>
      <w:lvlText w:val="-"/>
      <w:numFmt w:val="bullet"/>
      <w:start w:val="1"/>
    </w:lvl>
  </w:abstractNum>
  <w:abstractNum w:abstractNumId="113">
    <w:nsid w:val="4BEE5A5B"/>
    <w:multiLevelType w:val="hybridMultilevel"/>
    <w:lvl w:ilvl="0">
      <w:lvlJc w:val="left"/>
      <w:lvlText w:val="%1)"/>
      <w:numFmt w:val="lowerLetter"/>
      <w:start w:val="3"/>
    </w:lvl>
  </w:abstractNum>
  <w:abstractNum w:abstractNumId="114">
    <w:nsid w:val="5551B9F3"/>
    <w:multiLevelType w:val="hybridMultilevel"/>
    <w:lvl w:ilvl="0">
      <w:lvlJc w:val="left"/>
      <w:lvlText w:val="%1)"/>
      <w:numFmt w:val="lowerLetter"/>
      <w:start w:val="4"/>
    </w:lvl>
  </w:abstractNum>
  <w:abstractNum w:abstractNumId="115">
    <w:nsid w:val="24F6AB8E"/>
    <w:multiLevelType w:val="hybridMultilevel"/>
    <w:lvl w:ilvl="0">
      <w:lvlJc w:val="left"/>
      <w:lvlText w:val="%1)"/>
      <w:numFmt w:val="lowerLetter"/>
      <w:start w:val="2"/>
    </w:lvl>
    <w:lvl w:ilvl="1">
      <w:lvlJc w:val="left"/>
      <w:lvlText w:val="-"/>
      <w:numFmt w:val="bullet"/>
      <w:start w:val="1"/>
    </w:lvl>
  </w:abstractNum>
  <w:abstractNum w:abstractNumId="116">
    <w:nsid w:val="634C574C"/>
    <w:multiLevelType w:val="hybridMultilevel"/>
    <w:lvl w:ilvl="0">
      <w:lvlJc w:val="left"/>
      <w:lvlText w:val="(*)"/>
      <w:numFmt w:val="bullet"/>
      <w:start w:val="1"/>
    </w:lvl>
  </w:abstractNum>
  <w:abstractNum w:abstractNumId="117">
    <w:nsid w:val="24E99DD7"/>
    <w:multiLevelType w:val="hybridMultilevel"/>
    <w:lvl w:ilvl="0">
      <w:lvlJc w:val="left"/>
      <w:lvlText w:val="(%1)"/>
      <w:numFmt w:val="lowerRoman"/>
      <w:start w:val="1"/>
    </w:lvl>
  </w:abstractNum>
  <w:abstractNum w:abstractNumId="118">
    <w:nsid w:val="2A31B62D"/>
    <w:multiLevelType w:val="hybridMultilevel"/>
    <w:lvl w:ilvl="0">
      <w:lvlJc w:val="left"/>
      <w:lvlText w:val="(%1)"/>
      <w:numFmt w:val="lowerRoman"/>
      <w:start w:val="1"/>
    </w:lvl>
    <w:lvl w:ilvl="1">
      <w:lvlJc w:val="left"/>
      <w:lvlText w:val="(*)"/>
      <w:numFmt w:val="bullet"/>
      <w:start w:val="1"/>
    </w:lvl>
    <w:lvl w:ilvl="2">
      <w:lvlJc w:val="left"/>
      <w:lvlText w:val="-"/>
      <w:numFmt w:val="bullet"/>
      <w:start w:val="1"/>
    </w:lvl>
  </w:abstractNum>
  <w:abstractNum w:abstractNumId="119">
    <w:nsid w:val="1849C29B"/>
    <w:multiLevelType w:val="hybridMultilevel"/>
    <w:lvl w:ilvl="0">
      <w:lvlJc w:val="left"/>
      <w:lvlText w:val="(*)"/>
      <w:numFmt w:val="bullet"/>
      <w:start w:val="1"/>
    </w:lvl>
    <w:lvl w:ilvl="1">
      <w:lvlJc w:val="left"/>
      <w:lvlText w:val="-"/>
      <w:numFmt w:val="bullet"/>
      <w:start w:val="1"/>
    </w:lvl>
  </w:abstractNum>
  <w:abstractNum w:abstractNumId="120">
    <w:nsid w:val="7DFF9D09"/>
    <w:multiLevelType w:val="hybridMultilevel"/>
    <w:lvl w:ilvl="0">
      <w:lvlJc w:val="left"/>
      <w:lvlText w:val="(*)"/>
      <w:numFmt w:val="bullet"/>
      <w:start w:val="1"/>
    </w:lvl>
  </w:abstractNum>
  <w:abstractNum w:abstractNumId="121">
    <w:nsid w:val="754342"/>
    <w:multiLevelType w:val="hybridMultilevel"/>
    <w:lvl w:ilvl="0">
      <w:lvlJc w:val="left"/>
      <w:lvlText w:val="(*)"/>
      <w:numFmt w:val="bullet"/>
      <w:start w:val="1"/>
    </w:lvl>
  </w:abstractNum>
  <w:abstractNum w:abstractNumId="122">
    <w:nsid w:val="69E7F3E5"/>
    <w:multiLevelType w:val="hybridMultilevel"/>
    <w:lvl w:ilvl="0">
      <w:lvlJc w:val="left"/>
      <w:lvlText w:val="(%1)"/>
      <w:numFmt w:val="lowerRoman"/>
      <w:start w:val="1"/>
    </w:lvl>
  </w:abstractNum>
  <w:abstractNum w:abstractNumId="123">
    <w:nsid w:val="2A6DE806"/>
    <w:multiLevelType w:val="hybridMultilevel"/>
    <w:lvl w:ilvl="0">
      <w:lvlJc w:val="left"/>
      <w:lvlText w:val="(%1)"/>
      <w:numFmt w:val="lowerRoman"/>
      <w:start w:val="2"/>
    </w:lvl>
  </w:abstractNum>
  <w:abstractNum w:abstractNumId="124">
    <w:nsid w:val="1816F8C4"/>
    <w:multiLevelType w:val="hybridMultilevel"/>
    <w:lvl w:ilvl="0">
      <w:lvlJc w:val="left"/>
      <w:lvlText w:val="(*)"/>
      <w:numFmt w:val="bullet"/>
      <w:start w:val="1"/>
    </w:lvl>
  </w:abstractNum>
  <w:abstractNum w:abstractNumId="125">
    <w:nsid w:val="37DF2233"/>
    <w:multiLevelType w:val="hybridMultilevel"/>
    <w:lvl w:ilvl="0">
      <w:lvlJc w:val="left"/>
      <w:lvlText w:val="(**)"/>
      <w:numFmt w:val="bullet"/>
      <w:start w:val="1"/>
    </w:lvl>
  </w:abstractNum>
  <w:abstractNum w:abstractNumId="126">
    <w:nsid w:val="7AB49DAF"/>
    <w:multiLevelType w:val="hybridMultilevel"/>
    <w:lvl w:ilvl="0">
      <w:lvlJc w:val="left"/>
      <w:lvlText w:val="(***)"/>
      <w:numFmt w:val="bullet"/>
      <w:start w:val="1"/>
    </w:lvl>
    <w:lvl w:ilvl="1">
      <w:lvlJc w:val="left"/>
      <w:lvlText w:val="-"/>
      <w:numFmt w:val="bullet"/>
      <w:start w:val="1"/>
    </w:lvl>
  </w:abstractNum>
  <w:abstractNum w:abstractNumId="127">
    <w:nsid w:val="759F82CD"/>
    <w:multiLevelType w:val="hybridMultilevel"/>
    <w:lvl w:ilvl="0">
      <w:lvlJc w:val="left"/>
      <w:lvlText w:val="%1)"/>
      <w:numFmt w:val="lowerLetter"/>
      <w:start w:val="1"/>
    </w:lvl>
  </w:abstractNum>
  <w:abstractNum w:abstractNumId="128">
    <w:nsid w:val="61E74EA3"/>
    <w:multiLevelType w:val="hybridMultilevel"/>
    <w:lvl w:ilvl="0">
      <w:lvlJc w:val="left"/>
      <w:lvlText w:val="%1)"/>
      <w:numFmt w:val="lowerLetter"/>
      <w:start w:val="3"/>
    </w:lvl>
  </w:abstractNum>
  <w:abstractNum w:abstractNumId="129">
    <w:nsid w:val="597B4D84"/>
    <w:multiLevelType w:val="hybridMultilevel"/>
    <w:lvl w:ilvl="0">
      <w:lvlJc w:val="left"/>
      <w:lvlText w:val="%1)"/>
      <w:numFmt w:val="lowerLetter"/>
      <w:start w:val="6"/>
    </w:lvl>
  </w:abstractNum>
  <w:abstractNum w:abstractNumId="130">
    <w:nsid w:val="F819E7F"/>
    <w:multiLevelType w:val="hybridMultilevel"/>
    <w:lvl w:ilvl="0">
      <w:lvlJc w:val="left"/>
      <w:lvlText w:val="%1)"/>
      <w:numFmt w:val="lowerLetter"/>
      <w:start w:val="1"/>
    </w:lvl>
    <w:lvl w:ilvl="1">
      <w:lvlJc w:val="left"/>
      <w:lvlText w:val="(%2)"/>
      <w:numFmt w:val="lowerRoman"/>
      <w:start w:val="1"/>
    </w:lvl>
    <w:lvl w:ilvl="2">
      <w:lvlJc w:val="left"/>
      <w:lvlText w:val="-"/>
      <w:numFmt w:val="bullet"/>
      <w:start w:val="1"/>
    </w:lvl>
  </w:abstractNum>
  <w:abstractNum w:abstractNumId="131">
    <w:nsid w:val="57C7D42D"/>
    <w:multiLevelType w:val="hybridMultilevel"/>
    <w:lvl w:ilvl="0">
      <w:lvlJc w:val="left"/>
      <w:lvlText w:val="(%1)"/>
      <w:numFmt w:val="lowerRoman"/>
      <w:start w:val="3"/>
    </w:lvl>
    <w:lvl w:ilvl="1">
      <w:lvlJc w:val="left"/>
      <w:lvlText w:val="-"/>
      <w:numFmt w:val="bullet"/>
      <w:start w:val="1"/>
    </w:lvl>
  </w:abstractNum>
  <w:abstractNum w:abstractNumId="132">
    <w:nsid w:val="312167AD"/>
    <w:multiLevelType w:val="hybridMultilevel"/>
    <w:lvl w:ilvl="0">
      <w:lvlJc w:val="left"/>
      <w:lvlText w:val="%1"/>
      <w:numFmt w:val="lowerLetter"/>
      <w:start w:val="1"/>
    </w:lvl>
    <w:lvl w:ilvl="1">
      <w:lvlJc w:val="left"/>
      <w:lvlText w:val="(%2)"/>
      <w:numFmt w:val="lowerRoman"/>
      <w:start w:val="4"/>
    </w:lvl>
    <w:lvl w:ilvl="2">
      <w:lvlJc w:val="left"/>
      <w:lvlText w:val="-"/>
      <w:numFmt w:val="bullet"/>
      <w:start w:val="1"/>
    </w:lvl>
  </w:abstractNum>
  <w:abstractNum w:abstractNumId="133">
    <w:nsid w:val="631B64D4"/>
    <w:multiLevelType w:val="hybridMultilevel"/>
    <w:lvl w:ilvl="0">
      <w:lvlJc w:val="left"/>
      <w:lvlText w:val="%1)"/>
      <w:numFmt w:val="lowerLetter"/>
      <w:start w:val="2"/>
    </w:lvl>
    <w:lvl w:ilvl="1">
      <w:lvlJc w:val="left"/>
      <w:lvlText w:val="%2"/>
      <w:numFmt w:val="lowerRoman"/>
      <w:start w:val="1"/>
    </w:lvl>
    <w:lvl w:ilvl="2">
      <w:lvlJc w:val="left"/>
      <w:lvlText w:val="-"/>
      <w:numFmt w:val="bullet"/>
      <w:start w:val="1"/>
    </w:lvl>
  </w:abstractNum>
  <w:abstractNum w:abstractNumId="134">
    <w:nsid w:val="78B5E776"/>
    <w:multiLevelType w:val="hybridMultilevel"/>
    <w:lvl w:ilvl="0">
      <w:lvlJc w:val="left"/>
      <w:lvlText w:val="%1)"/>
      <w:numFmt w:val="lowerLetter"/>
      <w:start w:val="4"/>
    </w:lvl>
    <w:lvl w:ilvl="1">
      <w:lvlJc w:val="left"/>
      <w:lvlText w:val="-"/>
      <w:numFmt w:val="bullet"/>
      <w:start w:val="1"/>
    </w:lvl>
  </w:abstractNum>
  <w:abstractNum w:abstractNumId="135">
    <w:nsid w:val="75486E47"/>
    <w:multiLevelType w:val="hybridMultilevel"/>
    <w:lvl w:ilvl="0">
      <w:lvlJc w:val="left"/>
      <w:lvlText w:val="%1)"/>
      <w:numFmt w:val="lowerLetter"/>
      <w:start w:val="1"/>
    </w:lvl>
    <w:lvl w:ilvl="1">
      <w:lvlJc w:val="left"/>
      <w:lvlText w:val="-"/>
      <w:numFmt w:val="bullet"/>
      <w:start w:val="1"/>
    </w:lvl>
  </w:abstractNum>
  <w:abstractNum w:abstractNumId="136">
    <w:nsid w:val="6E534CDE"/>
    <w:multiLevelType w:val="hybridMultilevel"/>
    <w:lvl w:ilvl="0">
      <w:lvlJc w:val="left"/>
      <w:lvlText w:val="(%1)"/>
      <w:numFmt w:val="lowerRoman"/>
      <w:start w:val="1"/>
    </w:lvl>
    <w:lvl w:ilvl="1">
      <w:lvlJc w:val="left"/>
      <w:lvlText w:val="-"/>
      <w:numFmt w:val="bullet"/>
      <w:start w:val="1"/>
    </w:lvl>
  </w:abstractNum>
  <w:abstractNum w:abstractNumId="137">
    <w:nsid w:val="1A0DDE32"/>
    <w:multiLevelType w:val="hybridMultilevel"/>
    <w:lvl w:ilvl="0">
      <w:lvlJc w:val="left"/>
      <w:lvlText w:val="(%1)"/>
      <w:numFmt w:val="lowerRoman"/>
      <w:start w:val="2"/>
    </w:lvl>
    <w:lvl w:ilvl="1">
      <w:lvlJc w:val="left"/>
      <w:lvlText w:val="-"/>
      <w:numFmt w:val="bullet"/>
      <w:start w:val="1"/>
    </w:lvl>
  </w:abstractNum>
  <w:abstractNum w:abstractNumId="138">
    <w:nsid w:val="65968C1C"/>
    <w:multiLevelType w:val="hybridMultilevel"/>
    <w:lvl w:ilvl="0">
      <w:lvlJc w:val="left"/>
      <w:lvlText w:val="%1)"/>
      <w:numFmt w:val="lowerLetter"/>
      <w:start w:val="2"/>
    </w:lvl>
    <w:lvl w:ilvl="1">
      <w:lvlJc w:val="left"/>
      <w:lvlText w:val="-"/>
      <w:numFmt w:val="bullet"/>
      <w:start w:val="1"/>
    </w:lvl>
  </w:abstractNum>
  <w:abstractNum w:abstractNumId="139">
    <w:nsid w:val="46263DEC"/>
    <w:multiLevelType w:val="hybridMultilevel"/>
    <w:lvl w:ilvl="0">
      <w:lvlJc w:val="left"/>
      <w:lvlText w:val="·"/>
      <w:numFmt w:val="bullet"/>
      <w:start w:val="1"/>
    </w:lvl>
    <w:lvl w:ilvl="1">
      <w:lvlJc w:val="left"/>
      <w:lvlText w:val="-"/>
      <w:numFmt w:val="bullet"/>
      <w:start w:val="1"/>
    </w:lvl>
  </w:abstractNum>
  <w:abstractNum w:abstractNumId="140">
    <w:nsid w:val="260D8C4A"/>
    <w:multiLevelType w:val="hybridMultilevel"/>
    <w:lvl w:ilvl="0">
      <w:lvlJc w:val="left"/>
      <w:lvlText w:val="·"/>
      <w:numFmt w:val="bullet"/>
      <w:start w:val="1"/>
    </w:lvl>
    <w:lvl w:ilvl="1">
      <w:lvlJc w:val="left"/>
      <w:lvlText w:val="-"/>
      <w:numFmt w:val="bullet"/>
      <w:start w:val="1"/>
    </w:lvl>
  </w:abstractNum>
  <w:abstractNum w:abstractNumId="141">
    <w:nsid w:val="73D4D3C4"/>
    <w:multiLevelType w:val="hybridMultilevel"/>
    <w:lvl w:ilvl="0">
      <w:lvlJc w:val="left"/>
      <w:lvlText w:val="(%1)"/>
      <w:numFmt w:val="lowerRoman"/>
      <w:start w:val="1"/>
    </w:lvl>
  </w:abstractNum>
  <w:abstractNum w:abstractNumId="142">
    <w:nsid w:val="746F2E30"/>
    <w:multiLevelType w:val="hybridMultilevel"/>
    <w:lvl w:ilvl="0">
      <w:lvlJc w:val="left"/>
      <w:lvlText w:val="(%1)"/>
      <w:numFmt w:val="lowerRoman"/>
      <w:start w:val="1"/>
    </w:lvl>
  </w:abstractNum>
  <w:abstractNum w:abstractNumId="143">
    <w:nsid w:val="6FDE8AF6"/>
    <w:multiLevelType w:val="hybridMultilevel"/>
    <w:lvl w:ilvl="0">
      <w:lvlJc w:val="left"/>
      <w:lvlText w:val="%1)"/>
      <w:numFmt w:val="lowerLetter"/>
      <w:start w:val="4"/>
    </w:lvl>
  </w:abstractNum>
  <w:abstractNum w:abstractNumId="144">
    <w:nsid w:val="3FC32E20"/>
    <w:multiLevelType w:val="hybridMultilevel"/>
    <w:lvl w:ilvl="0">
      <w:lvlJc w:val="left"/>
      <w:lvlText w:val="%1)"/>
      <w:numFmt w:val="lowerLetter"/>
      <w:start w:val="6"/>
    </w:lvl>
  </w:abstractNum>
  <w:abstractNum w:abstractNumId="145">
    <w:nsid w:val="49C0E823"/>
    <w:multiLevelType w:val="hybridMultilevel"/>
    <w:lvl w:ilvl="0">
      <w:lvlJc w:val="left"/>
      <w:lvlText w:val="%1)"/>
      <w:numFmt w:val="lowerLetter"/>
      <w:start w:val="7"/>
    </w:lvl>
    <w:lvl w:ilvl="1">
      <w:lvlJc w:val="left"/>
      <w:lvlText w:val="-"/>
      <w:numFmt w:val="bullet"/>
      <w:start w:val="1"/>
    </w:lvl>
  </w:abstractNum>
  <w:abstractNum w:abstractNumId="146">
    <w:nsid w:val="14D53685"/>
    <w:multiLevelType w:val="hybridMultilevel"/>
    <w:lvl w:ilvl="0">
      <w:lvlJc w:val="left"/>
      <w:lvlText w:val="-"/>
      <w:numFmt w:val="bullet"/>
      <w:start w:val="1"/>
    </w:lvl>
  </w:abstractNum>
  <w:abstractNum w:abstractNumId="147">
    <w:nsid w:val="230F856C"/>
    <w:multiLevelType w:val="hybridMultilevel"/>
    <w:lvl w:ilvl="0">
      <w:lvlJc w:val="left"/>
      <w:lvlText w:val="•"/>
      <w:numFmt w:val="bullet"/>
      <w:start w:val="1"/>
    </w:lvl>
  </w:abstractNum>
  <w:abstractNum w:abstractNumId="148">
    <w:nsid w:val="6EAA85FB"/>
    <w:multiLevelType w:val="hybridMultilevel"/>
    <w:lvl w:ilvl="0">
      <w:lvlJc w:val="left"/>
      <w:lvlText w:val="%1)"/>
      <w:numFmt w:val="lowerLetter"/>
      <w:start w:val="1"/>
    </w:lvl>
    <w:lvl w:ilvl="1">
      <w:lvlJc w:val="left"/>
      <w:lvlText w:val="(%2)"/>
      <w:numFmt w:val="lowerRoman"/>
      <w:start w:val="1"/>
    </w:lvl>
    <w:lvl w:ilvl="2">
      <w:lvlJc w:val="left"/>
      <w:lvlText w:val="-"/>
      <w:numFmt w:val="bullet"/>
      <w:start w:val="1"/>
    </w:lvl>
  </w:abstractNum>
  <w:abstractNum w:abstractNumId="149">
    <w:nsid w:val="3F06ECB2"/>
    <w:multiLevelType w:val="hybridMultilevel"/>
    <w:lvl w:ilvl="0">
      <w:lvlJc w:val="left"/>
      <w:lvlText w:val="%1)"/>
      <w:numFmt w:val="lowerLetter"/>
      <w:start w:val="2"/>
    </w:lvl>
    <w:lvl w:ilvl="1">
      <w:lvlJc w:val="left"/>
      <w:lvlText w:val="-"/>
      <w:numFmt w:val="bullet"/>
      <w:start w:val="1"/>
    </w:lvl>
  </w:abstractNum>
  <w:abstractNum w:abstractNumId="150">
    <w:nsid w:val="3B594807"/>
    <w:multiLevelType w:val="hybridMultilevel"/>
    <w:lvl w:ilvl="0">
      <w:lvlJc w:val="left"/>
      <w:lvlText w:val="(%1)"/>
      <w:numFmt w:val="lowerRoman"/>
      <w:start w:val="1"/>
    </w:lvl>
    <w:lvl w:ilvl="1">
      <w:lvlJc w:val="left"/>
      <w:lvlText w:val="-"/>
      <w:numFmt w:val="bullet"/>
      <w:start w:val="1"/>
    </w:lvl>
  </w:abstractNum>
  <w:abstractNum w:abstractNumId="151">
    <w:nsid w:val="6CAA2304"/>
    <w:multiLevelType w:val="hybridMultilevel"/>
    <w:lvl w:ilvl="0">
      <w:lvlJc w:val="left"/>
      <w:lvlText w:val="(*)"/>
      <w:numFmt w:val="bullet"/>
      <w:start w:val="1"/>
    </w:lvl>
  </w:abstractNum>
  <w:abstractNum w:abstractNumId="152">
    <w:nsid w:val="3F7C2FF4"/>
    <w:multiLevelType w:val="hybridMultilevel"/>
    <w:lvl w:ilvl="0">
      <w:lvlJc w:val="left"/>
      <w:lvlText w:val="(**)"/>
      <w:numFmt w:val="bullet"/>
      <w:start w:val="1"/>
    </w:lvl>
  </w:abstractNum>
  <w:abstractNum w:abstractNumId="153">
    <w:nsid w:val="25413BEC"/>
    <w:multiLevelType w:val="hybridMultilevel"/>
    <w:lvl w:ilvl="0">
      <w:lvlJc w:val="left"/>
      <w:lvlText w:val="(*)"/>
      <w:numFmt w:val="bullet"/>
      <w:start w:val="1"/>
    </w:lvl>
  </w:abstractNum>
  <w:abstractNum w:abstractNumId="154">
    <w:nsid w:val="17180B0B"/>
    <w:multiLevelType w:val="hybridMultilevel"/>
    <w:lvl w:ilvl="0">
      <w:lvlJc w:val="left"/>
      <w:lvlText w:val="(**)"/>
      <w:numFmt w:val="bullet"/>
      <w:start w:val="1"/>
    </w:lvl>
  </w:abstractNum>
  <w:abstractNum w:abstractNumId="155">
    <w:nsid w:val="579328B9"/>
    <w:multiLevelType w:val="hybridMultilevel"/>
    <w:lvl w:ilvl="0">
      <w:lvlJc w:val="left"/>
      <w:lvlText w:val="(%1)"/>
      <w:numFmt w:val="lowerRoman"/>
      <w:start w:val="2"/>
    </w:lvl>
    <w:lvl w:ilvl="1">
      <w:lvlJc w:val="left"/>
      <w:lvlText w:val="-"/>
      <w:numFmt w:val="bullet"/>
      <w:start w:val="1"/>
    </w:lvl>
  </w:abstractNum>
  <w:abstractNum w:abstractNumId="156">
    <w:nsid w:val="5D205E20"/>
    <w:multiLevelType w:val="hybridMultilevel"/>
    <w:lvl w:ilvl="0">
      <w:lvlJc w:val="left"/>
      <w:lvlText w:val="-"/>
      <w:numFmt w:val="bullet"/>
      <w:start w:val="1"/>
    </w:lvl>
    <w:lvl w:ilvl="1">
      <w:lvlJc w:val="left"/>
      <w:lvlText w:val="-"/>
      <w:numFmt w:val="bullet"/>
      <w:start w:val="1"/>
    </w:lvl>
  </w:abstractNum>
  <w:abstractNum w:abstractNumId="157">
    <w:nsid w:val="11CCA8BA"/>
    <w:multiLevelType w:val="hybridMultilevel"/>
    <w:lvl w:ilvl="0">
      <w:lvlJc w:val="left"/>
      <w:lvlText w:val="%1)"/>
      <w:numFmt w:val="lowerLetter"/>
      <w:start w:val="1"/>
    </w:lvl>
  </w:abstractNum>
  <w:abstractNum w:abstractNumId="158">
    <w:nsid w:val="4D32AB86"/>
    <w:multiLevelType w:val="hybridMultilevel"/>
    <w:lvl w:ilvl="0">
      <w:lvlJc w:val="left"/>
      <w:lvlText w:val="(%1)"/>
      <w:numFmt w:val="lowerRoman"/>
      <w:start w:val="1"/>
    </w:lvl>
  </w:abstractNum>
  <w:abstractNum w:abstractNumId="159">
    <w:nsid w:val="3F07ACC3"/>
    <w:multiLevelType w:val="hybridMultilevel"/>
    <w:lvl w:ilvl="0">
      <w:lvlJc w:val="left"/>
      <w:lvlText w:val="(%1)"/>
      <w:numFmt w:val="lowerRoman"/>
      <w:start w:val="1"/>
    </w:lvl>
    <w:lvl w:ilvl="1">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2019-12-06T06:28:27Z</dcterms:created>
  <dcterms:modified xsi:type="dcterms:W3CDTF">2019-12-06T06:28:27Z</dcterms:modified>
</cp:coreProperties>
</file>