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Report of Foreign Private Issuer</w:t>
      </w:r>
    </w:p>
    <w:p>
      <w:pPr>
        <w:jc w:val="center"/>
        <w:spacing w:after="0" w:line="238" w:lineRule="auto"/>
        <w:rPr>
          <w:sz w:val="20"/>
          <w:szCs w:val="20"/>
          <w:color w:val="auto"/>
        </w:rPr>
      </w:pPr>
      <w:r>
        <w:rPr>
          <w:rFonts w:ascii="Arial" w:cs="Arial" w:eastAsia="Arial" w:hAnsi="Arial"/>
          <w:sz w:val="22"/>
          <w:szCs w:val="22"/>
          <w:color w:val="auto"/>
        </w:rPr>
        <w:t>Pursuant to Rule 13a-16 or 15d-16 of the</w:t>
      </w:r>
    </w:p>
    <w:p>
      <w:pPr>
        <w:jc w:val="center"/>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For the month of February, 2005</w:t>
      </w:r>
    </w:p>
    <w:p>
      <w:pPr>
        <w:spacing w:after="0" w:line="206"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Commission File Number 1-14014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172085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Church Street</w:t>
      </w:r>
    </w:p>
    <w:p>
      <w:pPr>
        <w:jc w:val="center"/>
        <w:spacing w:after="0"/>
        <w:rPr>
          <w:sz w:val="20"/>
          <w:szCs w:val="20"/>
          <w:color w:val="auto"/>
        </w:rPr>
      </w:pPr>
      <w:r>
        <w:rPr>
          <w:rFonts w:ascii="Arial" w:cs="Arial" w:eastAsia="Arial" w:hAnsi="Arial"/>
          <w:sz w:val="22"/>
          <w:szCs w:val="22"/>
          <w:b w:val="1"/>
          <w:bCs w:val="1"/>
          <w:color w:val="auto"/>
        </w:rPr>
        <w:t>Hamilton HM 11 Bermuda</w:t>
      </w: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8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41" w:lineRule="exact"/>
        <w:rPr>
          <w:sz w:val="24"/>
          <w:szCs w:val="24"/>
          <w:color w:val="auto"/>
        </w:rPr>
      </w:pPr>
    </w:p>
    <w:p>
      <w:pPr>
        <w:ind w:left="1100" w:right="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Yes _______ No ___X____</w:t>
      </w:r>
    </w:p>
    <w:p>
      <w:pPr>
        <w:spacing w:after="0" w:line="206" w:lineRule="exact"/>
        <w:rPr>
          <w:sz w:val="24"/>
          <w:szCs w:val="24"/>
          <w:color w:val="auto"/>
        </w:rPr>
      </w:pPr>
    </w:p>
    <w:p>
      <w:pPr>
        <w:ind w:left="160"/>
        <w:spacing w:after="0"/>
        <w:rPr>
          <w:sz w:val="20"/>
          <w:szCs w:val="20"/>
          <w:color w:val="auto"/>
        </w:rPr>
      </w:pPr>
      <w:r>
        <w:rPr>
          <w:rFonts w:ascii="Arial" w:cs="Arial" w:eastAsia="Arial" w:hAnsi="Arial"/>
          <w:sz w:val="19"/>
          <w:szCs w:val="19"/>
          <w:color w:val="auto"/>
        </w:rPr>
        <w:t>If "Yes" is marked, indicate below the file number assigned to the registrant in connection with Rule 12g3-2(b): 82-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164465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Material Event dated Febrary 25, 2005.</w:t>
      </w:r>
    </w:p>
    <w:p>
      <w:pPr>
        <w:spacing w:after="0" w:line="1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Summary Audited Financial Statements and Opinion of Independent Auditors.</w:t>
      </w:r>
    </w:p>
    <w:p>
      <w:pPr>
        <w:spacing w:after="0" w:line="32"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2004 Annual Information Document.</w:t>
      </w:r>
    </w:p>
    <w:p>
      <w:pPr>
        <w:sectPr>
          <w:pgSz w:w="11900" w:h="16838" w:orient="portrait"/>
          <w:cols w:equalWidth="0" w:num="1">
            <w:col w:w="10219"/>
          </w:cols>
          <w:pgMar w:left="240" w:top="13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7266940</wp:posOffset>
            </wp:positionH>
            <wp:positionV relativeFrom="page">
              <wp:posOffset>88900</wp:posOffset>
            </wp:positionV>
            <wp:extent cx="13716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February 25,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Messrs.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CREDICORP LTD., in accordance with article 28 of the Capital Markets Law and CONASEV Resolution for Material Events and Reserved Information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Other Communications number 107-2002-EF/94.10, as modified by CONASEV Resolution number 009-2003-EF/94.10, complies with notifying you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Event:</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Credicorp’s Board of Directors, in the session held yesterday, February 24, 2005, agreed to submit for consideration and approval at the company’s Annual General Meeting of Shareholders, which will be held on March 31, 2005, the following matters:</w:t>
      </w:r>
    </w:p>
    <w:p>
      <w:pPr>
        <w:spacing w:after="0" w:line="18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2004.</w:t>
      </w:r>
    </w:p>
    <w:p>
      <w:pPr>
        <w:spacing w:after="0" w:line="15" w:lineRule="exact"/>
        <w:rPr>
          <w:rFonts w:ascii="Arial" w:cs="Arial" w:eastAsia="Arial" w:hAnsi="Arial"/>
          <w:sz w:val="18"/>
          <w:szCs w:val="18"/>
          <w:color w:val="auto"/>
        </w:rPr>
      </w:pPr>
    </w:p>
    <w:p>
      <w:pPr>
        <w:ind w:firstLine="8"/>
        <w:spacing w:after="0" w:line="250" w:lineRule="auto"/>
        <w:tabs>
          <w:tab w:leader="none" w:pos="207"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the consolidated financial statements of the Company and its subsidiaries for the year ended December 31, 2004, including the report of the independent auditors Medina, Zaldívar, Paredes &amp; Asociados, a member firm of Ernst &amp; Young in Perú.</w:t>
      </w: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Approved to propose the amendment of the Company’s Bye-Laws, replacing Bye-Law 4.11, and deleting Bye-Law 4.23.</w:t>
      </w:r>
    </w:p>
    <w:p>
      <w:pPr>
        <w:spacing w:after="0" w:line="9" w:lineRule="exact"/>
        <w:rPr>
          <w:rFonts w:ascii="Arial" w:cs="Arial" w:eastAsia="Arial" w:hAnsi="Arial"/>
          <w:sz w:val="18"/>
          <w:szCs w:val="18"/>
          <w:color w:val="auto"/>
        </w:rPr>
      </w:pPr>
    </w:p>
    <w:p>
      <w:pPr>
        <w:ind w:right="20" w:firstLine="8"/>
        <w:spacing w:after="0" w:line="261" w:lineRule="auto"/>
        <w:tabs>
          <w:tab w:leader="none" w:pos="186"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Approved to propose, at the recommendation of the Audit Committee, that Medina, Zaldivar, Paredes &amp; Asociados be appointed to serve as the independent auditors of the Company for the 2005 financial year.</w:t>
      </w:r>
    </w:p>
    <w:p>
      <w:pPr>
        <w:spacing w:after="0" w:line="19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Please note that Credicorp’s Board of Directors, in the session held on February 17, 2005, agreed to pay its shareholders a cash dividend of US$75,505,853.60, which amount to US$0.80 per share, payable on May 2, 2005, to shareholders registered as of April 19, 2005 (“Record Date”).</w:t>
      </w:r>
    </w:p>
    <w:p>
      <w:pPr>
        <w:spacing w:after="0" w:line="13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accordance with CONASEV Resolution No. 107-2002-EF/94.10.0, we are enclosing the company’s Annual Report and consolidated financial statements as of December 31, 2004 together with the external auditor’s opinion, as well as the 2004 Annual Information Document, also approved by the Board.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Sincerely,</w:t>
            </w:r>
          </w:p>
        </w:tc>
        <w:tc>
          <w:tcPr>
            <w:tcW w:w="1360" w:type="dxa"/>
            <w:vAlign w:val="bottom"/>
          </w:tcPr>
          <w:p>
            <w:pPr>
              <w:spacing w:after="0"/>
              <w:rPr>
                <w:sz w:val="19"/>
                <w:szCs w:val="19"/>
                <w:color w:val="auto"/>
              </w:rPr>
            </w:pPr>
          </w:p>
        </w:tc>
      </w:tr>
      <w:tr>
        <w:trPr>
          <w:trHeight w:val="394"/>
        </w:trPr>
        <w:tc>
          <w:tcPr>
            <w:tcW w:w="840" w:type="dxa"/>
            <w:vAlign w:val="bottom"/>
          </w:tcPr>
          <w:p>
            <w:pPr>
              <w:ind w:left="20"/>
              <w:spacing w:after="0"/>
              <w:rPr>
                <w:sz w:val="20"/>
                <w:szCs w:val="20"/>
                <w:color w:val="auto"/>
              </w:rPr>
            </w:pPr>
            <w:r>
              <w:rPr>
                <w:rFonts w:ascii="Arial" w:cs="Arial" w:eastAsia="Arial" w:hAnsi="Arial"/>
                <w:sz w:val="18"/>
                <w:szCs w:val="18"/>
                <w:color w:val="auto"/>
              </w:rPr>
              <w: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Fernando Palao</w:t>
            </w:r>
          </w:p>
        </w:tc>
      </w:tr>
      <w:tr>
        <w:trPr>
          <w:trHeight w:val="228"/>
        </w:trPr>
        <w:tc>
          <w:tcPr>
            <w:tcW w:w="8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Fernando Palao</w:t>
            </w:r>
          </w:p>
        </w:tc>
      </w:tr>
      <w:tr>
        <w:trPr>
          <w:trHeight w:val="222"/>
        </w:trPr>
        <w:tc>
          <w:tcPr>
            <w:tcW w:w="8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Credicorp Ltd.</w:t>
            </w:r>
          </w:p>
        </w:tc>
      </w:tr>
    </w:tbl>
    <w:p>
      <w:pPr>
        <w:sectPr>
          <w:pgSz w:w="11900" w:h="16838" w:orient="portrait"/>
          <w:cols w:equalWidth="0" w:num="1">
            <w:col w:w="11420"/>
          </w:cols>
          <w:pgMar w:left="240" w:top="56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71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Report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Credicorp Ltd. and Subsidiaries as of December 31, 2004 and 2003, and the related consolidated statements of income, changes in shareholders' equity and cash flow for the years then ended. These consolidated financial statements are the responsibility of the Company's management. Our responsibility is to express an opinion on these financial statements based on our audits. The consolidated financial statements of Credicorp Ltd. and Subsidiaries as of December 31, 2002, were audited by other independent auditors whose report, dated February 12, 2003, expressed an unqualified opinion on those financial statements.</w:t>
      </w:r>
    </w:p>
    <w:p>
      <w:pPr>
        <w:spacing w:after="0" w:line="197"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We conducted our audits in accordance with International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2004 and 2003 consolidated financial statements referred to above present fairly, in all material respects, the consolidated financial position of Credicorp Ltd. and Subsidiaries as of December 31, 2004 and 2003, and the consolidated results of its operations and cash flows for the years then ended, in conformity with International Financial Reporting Standards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71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CREDICORP LTD. AND SUBSIDIARIES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0" w:type="dxa"/>
            <w:vAlign w:val="bottom"/>
          </w:tcPr>
          <w:p>
            <w:pPr>
              <w:spacing w:after="0"/>
              <w:rPr>
                <w:sz w:val="19"/>
                <w:szCs w:val="19"/>
                <w:color w:val="auto"/>
              </w:rPr>
            </w:pPr>
          </w:p>
        </w:tc>
        <w:tc>
          <w:tcPr>
            <w:tcW w:w="3420" w:type="dxa"/>
            <w:vAlign w:val="bottom"/>
            <w:gridSpan w:val="2"/>
          </w:tcPr>
          <w:p>
            <w:pPr>
              <w:jc w:val="right"/>
              <w:ind w:right="912"/>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110"/>
        </w:trPr>
        <w:tc>
          <w:tcPr>
            <w:tcW w:w="8000" w:type="dxa"/>
            <w:vAlign w:val="bottom"/>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00" w:type="dxa"/>
            <w:vAlign w:val="bottom"/>
          </w:tcPr>
          <w:p>
            <w:pPr>
              <w:ind w:left="3680"/>
              <w:spacing w:after="0"/>
              <w:rPr>
                <w:sz w:val="20"/>
                <w:szCs w:val="20"/>
                <w:color w:val="auto"/>
              </w:rPr>
            </w:pPr>
            <w:r>
              <w:rPr>
                <w:rFonts w:ascii="Arial" w:cs="Arial" w:eastAsia="Arial" w:hAnsi="Arial"/>
                <w:sz w:val="18"/>
                <w:szCs w:val="18"/>
                <w:color w:val="auto"/>
              </w:rPr>
              <w:t>ASSETS</w:t>
            </w:r>
          </w:p>
        </w:tc>
        <w:tc>
          <w:tcPr>
            <w:tcW w:w="1980" w:type="dxa"/>
            <w:vAlign w:val="bottom"/>
          </w:tcPr>
          <w:p>
            <w:pPr>
              <w:jc w:val="center"/>
              <w:ind w:right="212"/>
              <w:spacing w:after="0"/>
              <w:rPr>
                <w:sz w:val="20"/>
                <w:szCs w:val="20"/>
                <w:color w:val="auto"/>
              </w:rPr>
            </w:pPr>
            <w:r>
              <w:rPr>
                <w:rFonts w:ascii="Arial" w:cs="Arial" w:eastAsia="Arial" w:hAnsi="Arial"/>
                <w:sz w:val="18"/>
                <w:szCs w:val="18"/>
                <w:color w:val="auto"/>
                <w:w w:val="89"/>
              </w:rPr>
              <w:t>2004</w:t>
            </w:r>
          </w:p>
        </w:tc>
        <w:tc>
          <w:tcPr>
            <w:tcW w:w="1440" w:type="dxa"/>
            <w:vAlign w:val="bottom"/>
          </w:tcPr>
          <w:p>
            <w:pPr>
              <w:jc w:val="center"/>
              <w:ind w:right="212"/>
              <w:spacing w:after="0"/>
              <w:rPr>
                <w:sz w:val="20"/>
                <w:szCs w:val="20"/>
                <w:color w:val="auto"/>
              </w:rPr>
            </w:pPr>
            <w:r>
              <w:rPr>
                <w:rFonts w:ascii="Arial" w:cs="Arial" w:eastAsia="Arial" w:hAnsi="Arial"/>
                <w:sz w:val="18"/>
                <w:szCs w:val="18"/>
                <w:color w:val="auto"/>
                <w:w w:val="84"/>
              </w:rPr>
              <w:t>2003</w:t>
            </w:r>
          </w:p>
        </w:tc>
        <w:tc>
          <w:tcPr>
            <w:tcW w:w="0" w:type="dxa"/>
            <w:vAlign w:val="bottom"/>
          </w:tcPr>
          <w:p>
            <w:pPr>
              <w:spacing w:after="0"/>
              <w:rPr>
                <w:sz w:val="1"/>
                <w:szCs w:val="1"/>
                <w:color w:val="auto"/>
              </w:rPr>
            </w:pPr>
          </w:p>
        </w:tc>
      </w:tr>
      <w:tr>
        <w:trPr>
          <w:trHeight w:val="110"/>
        </w:trPr>
        <w:tc>
          <w:tcPr>
            <w:tcW w:w="8000" w:type="dxa"/>
            <w:vAlign w:val="bottom"/>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00" w:type="dxa"/>
            <w:vAlign w:val="bottom"/>
            <w:vMerge w:val="restart"/>
          </w:tcPr>
          <w:p>
            <w:pPr>
              <w:spacing w:after="0"/>
              <w:rPr>
                <w:sz w:val="20"/>
                <w:szCs w:val="20"/>
                <w:color w:val="auto"/>
              </w:rPr>
            </w:pPr>
            <w:r>
              <w:rPr>
                <w:rFonts w:ascii="Arial" w:cs="Arial" w:eastAsia="Arial" w:hAnsi="Arial"/>
                <w:sz w:val="18"/>
                <w:szCs w:val="18"/>
                <w:color w:val="auto"/>
              </w:rPr>
              <w:t>CASH AND DUE FROM BANKS</w:t>
            </w:r>
          </w:p>
        </w:tc>
        <w:tc>
          <w:tcPr>
            <w:tcW w:w="1980" w:type="dxa"/>
            <w:vAlign w:val="bottom"/>
          </w:tcPr>
          <w:p>
            <w:pPr>
              <w:jc w:val="center"/>
              <w:ind w:right="172"/>
              <w:spacing w:after="0"/>
              <w:rPr>
                <w:sz w:val="20"/>
                <w:szCs w:val="20"/>
                <w:color w:val="auto"/>
              </w:rPr>
            </w:pPr>
            <w:r>
              <w:rPr>
                <w:rFonts w:ascii="Arial" w:cs="Arial" w:eastAsia="Arial" w:hAnsi="Arial"/>
                <w:sz w:val="18"/>
                <w:szCs w:val="18"/>
                <w:color w:val="auto"/>
                <w:w w:val="86"/>
              </w:rPr>
              <w:t>US$000</w:t>
            </w:r>
          </w:p>
        </w:tc>
        <w:tc>
          <w:tcPr>
            <w:tcW w:w="1440" w:type="dxa"/>
            <w:vAlign w:val="bottom"/>
          </w:tcPr>
          <w:p>
            <w:pPr>
              <w:jc w:val="center"/>
              <w:ind w:right="172"/>
              <w:spacing w:after="0"/>
              <w:rPr>
                <w:sz w:val="20"/>
                <w:szCs w:val="20"/>
                <w:color w:val="auto"/>
              </w:rPr>
            </w:pPr>
            <w:r>
              <w:rPr>
                <w:rFonts w:ascii="Arial" w:cs="Arial" w:eastAsia="Arial" w:hAnsi="Arial"/>
                <w:sz w:val="18"/>
                <w:szCs w:val="18"/>
                <w:color w:val="auto"/>
                <w:w w:val="89"/>
              </w:rPr>
              <w:t>US$000</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non interest bearing deposits in banks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251,561</w:t>
            </w:r>
          </w:p>
        </w:tc>
        <w:tc>
          <w:tcPr>
            <w:tcW w:w="1440" w:type="dxa"/>
            <w:vAlign w:val="bottom"/>
          </w:tcPr>
          <w:p>
            <w:pPr>
              <w:jc w:val="right"/>
              <w:spacing w:after="0"/>
              <w:rPr>
                <w:sz w:val="20"/>
                <w:szCs w:val="20"/>
                <w:color w:val="auto"/>
              </w:rPr>
            </w:pPr>
            <w:r>
              <w:rPr>
                <w:rFonts w:ascii="Arial" w:cs="Arial" w:eastAsia="Arial" w:hAnsi="Arial"/>
                <w:sz w:val="18"/>
                <w:szCs w:val="18"/>
                <w:color w:val="auto"/>
              </w:rPr>
              <w:t>228,965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bearing deposits in banks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1,593,900</w:t>
            </w:r>
          </w:p>
        </w:tc>
        <w:tc>
          <w:tcPr>
            <w:tcW w:w="1440" w:type="dxa"/>
            <w:vAlign w:val="bottom"/>
          </w:tcPr>
          <w:p>
            <w:pPr>
              <w:jc w:val="right"/>
              <w:spacing w:after="0"/>
              <w:rPr>
                <w:sz w:val="20"/>
                <w:szCs w:val="20"/>
                <w:color w:val="auto"/>
              </w:rPr>
            </w:pPr>
            <w:r>
              <w:rPr>
                <w:rFonts w:ascii="Arial" w:cs="Arial" w:eastAsia="Arial" w:hAnsi="Arial"/>
                <w:sz w:val="18"/>
                <w:szCs w:val="18"/>
                <w:color w:val="auto"/>
              </w:rPr>
              <w:t>1,386,095</w:t>
            </w:r>
          </w:p>
        </w:tc>
        <w:tc>
          <w:tcPr>
            <w:tcW w:w="0" w:type="dxa"/>
            <w:vAlign w:val="bottom"/>
          </w:tcPr>
          <w:p>
            <w:pPr>
              <w:spacing w:after="0"/>
              <w:rPr>
                <w:sz w:val="1"/>
                <w:szCs w:val="1"/>
                <w:color w:val="auto"/>
              </w:rPr>
            </w:pPr>
          </w:p>
        </w:tc>
      </w:tr>
      <w:tr>
        <w:trPr>
          <w:trHeight w:val="222"/>
        </w:trPr>
        <w:tc>
          <w:tcPr>
            <w:tcW w:w="8000" w:type="dxa"/>
            <w:vAlign w:val="bottom"/>
            <w:vMerge w:val="restart"/>
          </w:tcPr>
          <w:p>
            <w:pPr>
              <w:spacing w:after="0"/>
              <w:rPr>
                <w:sz w:val="20"/>
                <w:szCs w:val="20"/>
                <w:color w:val="auto"/>
              </w:rPr>
            </w:pPr>
            <w:r>
              <w:rPr>
                <w:rFonts w:ascii="Arial" w:cs="Arial" w:eastAsia="Arial" w:hAnsi="Arial"/>
                <w:sz w:val="18"/>
                <w:szCs w:val="18"/>
                <w:color w:val="auto"/>
              </w:rPr>
              <w:t>INVESTMENTS: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1,845,461</w:t>
            </w:r>
          </w:p>
        </w:tc>
        <w:tc>
          <w:tcPr>
            <w:tcW w:w="1440" w:type="dxa"/>
            <w:vAlign w:val="bottom"/>
          </w:tcPr>
          <w:p>
            <w:pPr>
              <w:jc w:val="right"/>
              <w:spacing w:after="0"/>
              <w:rPr>
                <w:sz w:val="20"/>
                <w:szCs w:val="20"/>
                <w:color w:val="auto"/>
              </w:rPr>
            </w:pPr>
            <w:r>
              <w:rPr>
                <w:rFonts w:ascii="Arial" w:cs="Arial" w:eastAsia="Arial" w:hAnsi="Arial"/>
                <w:sz w:val="18"/>
                <w:szCs w:val="18"/>
                <w:color w:val="auto"/>
              </w:rPr>
              <w:t>1,615,060</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102,534</w:t>
            </w:r>
          </w:p>
        </w:tc>
        <w:tc>
          <w:tcPr>
            <w:tcW w:w="1440" w:type="dxa"/>
            <w:vAlign w:val="bottom"/>
          </w:tcPr>
          <w:p>
            <w:pPr>
              <w:jc w:val="right"/>
              <w:spacing w:after="0"/>
              <w:rPr>
                <w:sz w:val="20"/>
                <w:szCs w:val="20"/>
                <w:color w:val="auto"/>
              </w:rPr>
            </w:pPr>
            <w:r>
              <w:rPr>
                <w:rFonts w:ascii="Arial" w:cs="Arial" w:eastAsia="Arial" w:hAnsi="Arial"/>
                <w:sz w:val="18"/>
                <w:szCs w:val="18"/>
                <w:color w:val="auto"/>
              </w:rPr>
              <w:t>98,746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2,128,522</w:t>
            </w:r>
          </w:p>
        </w:tc>
        <w:tc>
          <w:tcPr>
            <w:tcW w:w="1440" w:type="dxa"/>
            <w:vAlign w:val="bottom"/>
          </w:tcPr>
          <w:p>
            <w:pPr>
              <w:jc w:val="right"/>
              <w:spacing w:after="0"/>
              <w:rPr>
                <w:sz w:val="20"/>
                <w:szCs w:val="20"/>
                <w:color w:val="auto"/>
              </w:rPr>
            </w:pPr>
            <w:r>
              <w:rPr>
                <w:rFonts w:ascii="Arial" w:cs="Arial" w:eastAsia="Arial" w:hAnsi="Arial"/>
                <w:sz w:val="18"/>
                <w:szCs w:val="18"/>
                <w:color w:val="auto"/>
              </w:rPr>
              <w:t>1,652,313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2,231,056</w:t>
            </w:r>
          </w:p>
        </w:tc>
        <w:tc>
          <w:tcPr>
            <w:tcW w:w="1440" w:type="dxa"/>
            <w:vAlign w:val="bottom"/>
          </w:tcPr>
          <w:p>
            <w:pPr>
              <w:jc w:val="right"/>
              <w:spacing w:after="0"/>
              <w:rPr>
                <w:sz w:val="20"/>
                <w:szCs w:val="20"/>
                <w:color w:val="auto"/>
              </w:rPr>
            </w:pPr>
            <w:r>
              <w:rPr>
                <w:rFonts w:ascii="Arial" w:cs="Arial" w:eastAsia="Arial" w:hAnsi="Arial"/>
                <w:sz w:val="18"/>
                <w:szCs w:val="18"/>
                <w:color w:val="auto"/>
              </w:rPr>
              <w:t>1,751,059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LOANS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4,589,729</w:t>
            </w:r>
          </w:p>
        </w:tc>
        <w:tc>
          <w:tcPr>
            <w:tcW w:w="1440" w:type="dxa"/>
            <w:vAlign w:val="bottom"/>
          </w:tcPr>
          <w:p>
            <w:pPr>
              <w:jc w:val="right"/>
              <w:spacing w:after="0"/>
              <w:rPr>
                <w:sz w:val="20"/>
                <w:szCs w:val="20"/>
                <w:color w:val="auto"/>
              </w:rPr>
            </w:pPr>
            <w:r>
              <w:rPr>
                <w:rFonts w:ascii="Arial" w:cs="Arial" w:eastAsia="Arial" w:hAnsi="Arial"/>
                <w:sz w:val="18"/>
                <w:szCs w:val="18"/>
                <w:color w:val="auto"/>
              </w:rPr>
              <w:t>4,516,894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Reserve for possible loan losses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253,408</w:t>
            </w:r>
          </w:p>
        </w:tc>
        <w:tc>
          <w:tcPr>
            <w:tcW w:w="1440" w:type="dxa"/>
            <w:vAlign w:val="bottom"/>
          </w:tcPr>
          <w:p>
            <w:pPr>
              <w:jc w:val="right"/>
              <w:spacing w:after="0"/>
              <w:rPr>
                <w:sz w:val="20"/>
                <w:szCs w:val="20"/>
                <w:color w:val="auto"/>
              </w:rPr>
            </w:pPr>
            <w:r>
              <w:rPr>
                <w:rFonts w:ascii="Arial" w:cs="Arial" w:eastAsia="Arial" w:hAnsi="Arial"/>
                <w:sz w:val="18"/>
                <w:szCs w:val="18"/>
                <w:color w:val="auto"/>
              </w:rPr>
              <w:t>306,758</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LOANS, net</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4,336,321</w:t>
            </w:r>
          </w:p>
        </w:tc>
        <w:tc>
          <w:tcPr>
            <w:tcW w:w="1440" w:type="dxa"/>
            <w:vAlign w:val="bottom"/>
          </w:tcPr>
          <w:p>
            <w:pPr>
              <w:jc w:val="right"/>
              <w:spacing w:after="0"/>
              <w:rPr>
                <w:sz w:val="20"/>
                <w:szCs w:val="20"/>
                <w:color w:val="auto"/>
              </w:rPr>
            </w:pPr>
            <w:r>
              <w:rPr>
                <w:rFonts w:ascii="Arial" w:cs="Arial" w:eastAsia="Arial" w:hAnsi="Arial"/>
                <w:sz w:val="18"/>
                <w:szCs w:val="18"/>
                <w:color w:val="auto"/>
              </w:rPr>
              <w:t>4,210,136</w:t>
            </w:r>
          </w:p>
        </w:tc>
        <w:tc>
          <w:tcPr>
            <w:tcW w:w="0" w:type="dxa"/>
            <w:vAlign w:val="bottom"/>
          </w:tcPr>
          <w:p>
            <w:pPr>
              <w:spacing w:after="0"/>
              <w:rPr>
                <w:sz w:val="1"/>
                <w:szCs w:val="1"/>
                <w:color w:val="auto"/>
              </w:rPr>
            </w:pPr>
          </w:p>
        </w:tc>
      </w:tr>
      <w:tr>
        <w:trPr>
          <w:trHeight w:val="426"/>
        </w:trPr>
        <w:tc>
          <w:tcPr>
            <w:tcW w:w="8000" w:type="dxa"/>
            <w:vAlign w:val="bottom"/>
          </w:tcPr>
          <w:p>
            <w:pPr>
              <w:spacing w:after="0"/>
              <w:rPr>
                <w:sz w:val="20"/>
                <w:szCs w:val="20"/>
                <w:color w:val="auto"/>
              </w:rPr>
            </w:pPr>
            <w:r>
              <w:rPr>
                <w:rFonts w:ascii="Arial" w:cs="Arial" w:eastAsia="Arial" w:hAnsi="Arial"/>
                <w:sz w:val="18"/>
                <w:szCs w:val="18"/>
                <w:color w:val="auto"/>
              </w:rPr>
              <w:t>PREMIUMS AND OTHER POLICYHOLDER</w:t>
            </w: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RECEIVABLES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60,665</w:t>
            </w:r>
          </w:p>
        </w:tc>
        <w:tc>
          <w:tcPr>
            <w:tcW w:w="1440" w:type="dxa"/>
            <w:vAlign w:val="bottom"/>
          </w:tcPr>
          <w:p>
            <w:pPr>
              <w:jc w:val="right"/>
              <w:spacing w:after="0"/>
              <w:rPr>
                <w:sz w:val="20"/>
                <w:szCs w:val="20"/>
                <w:color w:val="auto"/>
              </w:rPr>
            </w:pPr>
            <w:r>
              <w:rPr>
                <w:rFonts w:ascii="Arial" w:cs="Arial" w:eastAsia="Arial" w:hAnsi="Arial"/>
                <w:sz w:val="18"/>
                <w:szCs w:val="18"/>
                <w:color w:val="auto"/>
              </w:rPr>
              <w:t>60,057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REINSURANCE ASSETS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35,453</w:t>
            </w:r>
          </w:p>
        </w:tc>
        <w:tc>
          <w:tcPr>
            <w:tcW w:w="1440" w:type="dxa"/>
            <w:vAlign w:val="bottom"/>
          </w:tcPr>
          <w:p>
            <w:pPr>
              <w:jc w:val="right"/>
              <w:spacing w:after="0"/>
              <w:rPr>
                <w:sz w:val="20"/>
                <w:szCs w:val="20"/>
                <w:color w:val="auto"/>
              </w:rPr>
            </w:pPr>
            <w:r>
              <w:rPr>
                <w:rFonts w:ascii="Arial" w:cs="Arial" w:eastAsia="Arial" w:hAnsi="Arial"/>
                <w:sz w:val="18"/>
                <w:szCs w:val="18"/>
                <w:color w:val="auto"/>
              </w:rPr>
              <w:t>45,904</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246,712</w:t>
            </w:r>
          </w:p>
        </w:tc>
        <w:tc>
          <w:tcPr>
            <w:tcW w:w="1440" w:type="dxa"/>
            <w:vAlign w:val="bottom"/>
          </w:tcPr>
          <w:p>
            <w:pPr>
              <w:jc w:val="right"/>
              <w:spacing w:after="0"/>
              <w:rPr>
                <w:sz w:val="20"/>
                <w:szCs w:val="20"/>
                <w:color w:val="auto"/>
              </w:rPr>
            </w:pPr>
            <w:r>
              <w:rPr>
                <w:rFonts w:ascii="Arial" w:cs="Arial" w:eastAsia="Arial" w:hAnsi="Arial"/>
                <w:sz w:val="18"/>
                <w:szCs w:val="18"/>
                <w:color w:val="auto"/>
              </w:rPr>
              <w:t>264,533</w:t>
            </w: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DUE FROM CUSTOMERS ON ACCEPTANCES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47,635</w:t>
            </w:r>
          </w:p>
        </w:tc>
        <w:tc>
          <w:tcPr>
            <w:tcW w:w="1440" w:type="dxa"/>
            <w:vAlign w:val="bottom"/>
          </w:tcPr>
          <w:p>
            <w:pPr>
              <w:jc w:val="right"/>
              <w:spacing w:after="0"/>
              <w:rPr>
                <w:sz w:val="20"/>
                <w:szCs w:val="20"/>
                <w:color w:val="auto"/>
              </w:rPr>
            </w:pPr>
            <w:r>
              <w:rPr>
                <w:rFonts w:ascii="Arial" w:cs="Arial" w:eastAsia="Arial" w:hAnsi="Arial"/>
                <w:sz w:val="18"/>
                <w:szCs w:val="18"/>
                <w:color w:val="auto"/>
              </w:rPr>
              <w:t>50,284</w:t>
            </w: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FORECLOSED ASSETS, net</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64,873</w:t>
            </w:r>
          </w:p>
        </w:tc>
        <w:tc>
          <w:tcPr>
            <w:tcW w:w="1440" w:type="dxa"/>
            <w:vAlign w:val="bottom"/>
          </w:tcPr>
          <w:p>
            <w:pPr>
              <w:jc w:val="right"/>
              <w:spacing w:after="0"/>
              <w:rPr>
                <w:sz w:val="20"/>
                <w:szCs w:val="20"/>
                <w:color w:val="auto"/>
              </w:rPr>
            </w:pPr>
            <w:r>
              <w:rPr>
                <w:rFonts w:ascii="Arial" w:cs="Arial" w:eastAsia="Arial" w:hAnsi="Arial"/>
                <w:sz w:val="18"/>
                <w:szCs w:val="18"/>
                <w:color w:val="auto"/>
              </w:rPr>
              <w:t>89,030</w:t>
            </w: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219,384</w:t>
            </w:r>
          </w:p>
        </w:tc>
        <w:tc>
          <w:tcPr>
            <w:tcW w:w="1440" w:type="dxa"/>
            <w:vAlign w:val="bottom"/>
          </w:tcPr>
          <w:p>
            <w:pPr>
              <w:jc w:val="right"/>
              <w:spacing w:after="0"/>
              <w:rPr>
                <w:sz w:val="20"/>
                <w:szCs w:val="20"/>
                <w:color w:val="auto"/>
              </w:rPr>
            </w:pPr>
            <w:r>
              <w:rPr>
                <w:rFonts w:ascii="Arial" w:cs="Arial" w:eastAsia="Arial" w:hAnsi="Arial"/>
                <w:sz w:val="18"/>
                <w:szCs w:val="18"/>
                <w:color w:val="auto"/>
              </w:rPr>
              <w:t>235,720</w:t>
            </w: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Total Assets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9,087,560</w:t>
            </w:r>
          </w:p>
        </w:tc>
        <w:tc>
          <w:tcPr>
            <w:tcW w:w="1440" w:type="dxa"/>
            <w:vAlign w:val="bottom"/>
          </w:tcPr>
          <w:p>
            <w:pPr>
              <w:jc w:val="right"/>
              <w:spacing w:after="0"/>
              <w:rPr>
                <w:sz w:val="20"/>
                <w:szCs w:val="20"/>
                <w:color w:val="auto"/>
              </w:rPr>
            </w:pPr>
            <w:r>
              <w:rPr>
                <w:rFonts w:ascii="Arial" w:cs="Arial" w:eastAsia="Arial" w:hAnsi="Arial"/>
                <w:sz w:val="18"/>
                <w:szCs w:val="18"/>
                <w:color w:val="auto"/>
              </w:rPr>
              <w:t>8,321,783</w:t>
            </w: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Contingent liabilities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1,882,388</w:t>
            </w:r>
          </w:p>
        </w:tc>
        <w:tc>
          <w:tcPr>
            <w:tcW w:w="1440" w:type="dxa"/>
            <w:vAlign w:val="bottom"/>
          </w:tcPr>
          <w:p>
            <w:pPr>
              <w:jc w:val="right"/>
              <w:spacing w:after="0"/>
              <w:rPr>
                <w:sz w:val="20"/>
                <w:szCs w:val="20"/>
                <w:color w:val="auto"/>
              </w:rPr>
            </w:pPr>
            <w:r>
              <w:rPr>
                <w:rFonts w:ascii="Arial" w:cs="Arial" w:eastAsia="Arial" w:hAnsi="Arial"/>
                <w:sz w:val="18"/>
                <w:szCs w:val="18"/>
                <w:color w:val="auto"/>
              </w:rPr>
              <w:t>1,586,892</w:t>
            </w:r>
          </w:p>
        </w:tc>
        <w:tc>
          <w:tcPr>
            <w:tcW w:w="0" w:type="dxa"/>
            <w:vAlign w:val="bottom"/>
          </w:tcPr>
          <w:p>
            <w:pPr>
              <w:spacing w:after="0"/>
              <w:rPr>
                <w:sz w:val="1"/>
                <w:szCs w:val="1"/>
                <w:color w:val="auto"/>
              </w:rPr>
            </w:pPr>
          </w:p>
        </w:tc>
      </w:tr>
      <w:tr>
        <w:trPr>
          <w:trHeight w:val="459"/>
        </w:trPr>
        <w:tc>
          <w:tcPr>
            <w:tcW w:w="8000" w:type="dxa"/>
            <w:vAlign w:val="bottom"/>
          </w:tcPr>
          <w:p>
            <w:pPr>
              <w:spacing w:after="0"/>
              <w:rPr>
                <w:sz w:val="24"/>
                <w:szCs w:val="24"/>
                <w:color w:val="auto"/>
              </w:rPr>
            </w:pPr>
          </w:p>
        </w:tc>
        <w:tc>
          <w:tcPr>
            <w:tcW w:w="3420" w:type="dxa"/>
            <w:vAlign w:val="bottom"/>
            <w:gridSpan w:val="2"/>
          </w:tcPr>
          <w:p>
            <w:pPr>
              <w:jc w:val="right"/>
              <w:ind w:right="912"/>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110"/>
        </w:trPr>
        <w:tc>
          <w:tcPr>
            <w:tcW w:w="8000" w:type="dxa"/>
            <w:vAlign w:val="bottom"/>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00" w:type="dxa"/>
            <w:vAlign w:val="bottom"/>
          </w:tcPr>
          <w:p>
            <w:pPr>
              <w:ind w:left="2220"/>
              <w:spacing w:after="0"/>
              <w:rPr>
                <w:sz w:val="20"/>
                <w:szCs w:val="20"/>
                <w:color w:val="auto"/>
              </w:rPr>
            </w:pPr>
            <w:r>
              <w:rPr>
                <w:rFonts w:ascii="Arial" w:cs="Arial" w:eastAsia="Arial" w:hAnsi="Arial"/>
                <w:sz w:val="18"/>
                <w:szCs w:val="18"/>
                <w:color w:val="auto"/>
              </w:rPr>
              <w:t>LIABILITIES AND SHAREHOLDERS' EQUITY</w:t>
            </w:r>
          </w:p>
        </w:tc>
        <w:tc>
          <w:tcPr>
            <w:tcW w:w="1980" w:type="dxa"/>
            <w:vAlign w:val="bottom"/>
          </w:tcPr>
          <w:p>
            <w:pPr>
              <w:jc w:val="center"/>
              <w:ind w:right="212"/>
              <w:spacing w:after="0"/>
              <w:rPr>
                <w:sz w:val="20"/>
                <w:szCs w:val="20"/>
                <w:color w:val="auto"/>
              </w:rPr>
            </w:pPr>
            <w:r>
              <w:rPr>
                <w:rFonts w:ascii="Arial" w:cs="Arial" w:eastAsia="Arial" w:hAnsi="Arial"/>
                <w:sz w:val="18"/>
                <w:szCs w:val="18"/>
                <w:color w:val="auto"/>
                <w:w w:val="89"/>
              </w:rPr>
              <w:t>2004</w:t>
            </w:r>
          </w:p>
        </w:tc>
        <w:tc>
          <w:tcPr>
            <w:tcW w:w="1440" w:type="dxa"/>
            <w:vAlign w:val="bottom"/>
          </w:tcPr>
          <w:p>
            <w:pPr>
              <w:jc w:val="center"/>
              <w:ind w:right="212"/>
              <w:spacing w:after="0"/>
              <w:rPr>
                <w:sz w:val="20"/>
                <w:szCs w:val="20"/>
                <w:color w:val="auto"/>
              </w:rPr>
            </w:pPr>
            <w:r>
              <w:rPr>
                <w:rFonts w:ascii="Arial" w:cs="Arial" w:eastAsia="Arial" w:hAnsi="Arial"/>
                <w:sz w:val="18"/>
                <w:szCs w:val="18"/>
                <w:color w:val="auto"/>
                <w:w w:val="84"/>
              </w:rPr>
              <w:t>2003</w:t>
            </w:r>
          </w:p>
        </w:tc>
        <w:tc>
          <w:tcPr>
            <w:tcW w:w="0" w:type="dxa"/>
            <w:vAlign w:val="bottom"/>
          </w:tcPr>
          <w:p>
            <w:pPr>
              <w:spacing w:after="0"/>
              <w:rPr>
                <w:sz w:val="1"/>
                <w:szCs w:val="1"/>
                <w:color w:val="auto"/>
              </w:rPr>
            </w:pPr>
          </w:p>
        </w:tc>
      </w:tr>
      <w:tr>
        <w:trPr>
          <w:trHeight w:val="110"/>
        </w:trPr>
        <w:tc>
          <w:tcPr>
            <w:tcW w:w="8000" w:type="dxa"/>
            <w:vAlign w:val="bottom"/>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00" w:type="dxa"/>
            <w:vAlign w:val="bottom"/>
            <w:vMerge w:val="restart"/>
          </w:tcPr>
          <w:p>
            <w:pPr>
              <w:spacing w:after="0"/>
              <w:rPr>
                <w:sz w:val="20"/>
                <w:szCs w:val="20"/>
                <w:color w:val="auto"/>
              </w:rPr>
            </w:pPr>
            <w:r>
              <w:rPr>
                <w:rFonts w:ascii="Arial" w:cs="Arial" w:eastAsia="Arial" w:hAnsi="Arial"/>
                <w:sz w:val="18"/>
                <w:szCs w:val="18"/>
                <w:color w:val="auto"/>
              </w:rPr>
              <w:t>DEPOSITS AND OBLIGATIONS:</w:t>
            </w:r>
          </w:p>
        </w:tc>
        <w:tc>
          <w:tcPr>
            <w:tcW w:w="1980" w:type="dxa"/>
            <w:vAlign w:val="bottom"/>
          </w:tcPr>
          <w:p>
            <w:pPr>
              <w:jc w:val="center"/>
              <w:ind w:right="172"/>
              <w:spacing w:after="0"/>
              <w:rPr>
                <w:sz w:val="20"/>
                <w:szCs w:val="20"/>
                <w:color w:val="auto"/>
              </w:rPr>
            </w:pPr>
            <w:r>
              <w:rPr>
                <w:rFonts w:ascii="Arial" w:cs="Arial" w:eastAsia="Arial" w:hAnsi="Arial"/>
                <w:sz w:val="18"/>
                <w:szCs w:val="18"/>
                <w:color w:val="auto"/>
                <w:w w:val="86"/>
              </w:rPr>
              <w:t>US$000</w:t>
            </w:r>
          </w:p>
        </w:tc>
        <w:tc>
          <w:tcPr>
            <w:tcW w:w="1440" w:type="dxa"/>
            <w:vAlign w:val="bottom"/>
          </w:tcPr>
          <w:p>
            <w:pPr>
              <w:jc w:val="center"/>
              <w:ind w:right="172"/>
              <w:spacing w:after="0"/>
              <w:rPr>
                <w:sz w:val="20"/>
                <w:szCs w:val="20"/>
                <w:color w:val="auto"/>
              </w:rPr>
            </w:pPr>
            <w:r>
              <w:rPr>
                <w:rFonts w:ascii="Arial" w:cs="Arial" w:eastAsia="Arial" w:hAnsi="Arial"/>
                <w:sz w:val="18"/>
                <w:szCs w:val="18"/>
                <w:color w:val="auto"/>
                <w:w w:val="89"/>
              </w:rPr>
              <w:t>US$000</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Non-interest bearing</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1,219,695</w:t>
            </w:r>
          </w:p>
        </w:tc>
        <w:tc>
          <w:tcPr>
            <w:tcW w:w="1440" w:type="dxa"/>
            <w:vAlign w:val="bottom"/>
          </w:tcPr>
          <w:p>
            <w:pPr>
              <w:jc w:val="right"/>
              <w:spacing w:after="0"/>
              <w:rPr>
                <w:sz w:val="20"/>
                <w:szCs w:val="20"/>
                <w:color w:val="auto"/>
              </w:rPr>
            </w:pPr>
            <w:r>
              <w:rPr>
                <w:rFonts w:ascii="Arial" w:cs="Arial" w:eastAsia="Arial" w:hAnsi="Arial"/>
                <w:sz w:val="18"/>
                <w:szCs w:val="18"/>
                <w:color w:val="auto"/>
              </w:rPr>
              <w:t>850,861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bearing</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5,076,504</w:t>
            </w:r>
          </w:p>
        </w:tc>
        <w:tc>
          <w:tcPr>
            <w:tcW w:w="1440" w:type="dxa"/>
            <w:vAlign w:val="bottom"/>
          </w:tcPr>
          <w:p>
            <w:pPr>
              <w:jc w:val="right"/>
              <w:spacing w:after="0"/>
              <w:rPr>
                <w:sz w:val="20"/>
                <w:szCs w:val="20"/>
                <w:color w:val="auto"/>
              </w:rPr>
            </w:pPr>
            <w:r>
              <w:rPr>
                <w:rFonts w:ascii="Arial" w:cs="Arial" w:eastAsia="Arial" w:hAnsi="Arial"/>
                <w:sz w:val="18"/>
                <w:szCs w:val="18"/>
                <w:color w:val="auto"/>
              </w:rPr>
              <w:t>5,149,244</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19"/>
                <w:szCs w:val="19"/>
                <w:color w:val="auto"/>
              </w:rPr>
            </w:pP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6,296,199</w:t>
            </w:r>
          </w:p>
        </w:tc>
        <w:tc>
          <w:tcPr>
            <w:tcW w:w="1440" w:type="dxa"/>
            <w:vAlign w:val="bottom"/>
          </w:tcPr>
          <w:p>
            <w:pPr>
              <w:jc w:val="right"/>
              <w:spacing w:after="0"/>
              <w:rPr>
                <w:sz w:val="20"/>
                <w:szCs w:val="20"/>
                <w:color w:val="auto"/>
              </w:rPr>
            </w:pPr>
            <w:r>
              <w:rPr>
                <w:rFonts w:ascii="Arial" w:cs="Arial" w:eastAsia="Arial" w:hAnsi="Arial"/>
                <w:sz w:val="18"/>
                <w:szCs w:val="18"/>
                <w:color w:val="auto"/>
              </w:rPr>
              <w:t>6,000,105</w:t>
            </w: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431,052</w:t>
            </w:r>
          </w:p>
        </w:tc>
        <w:tc>
          <w:tcPr>
            <w:tcW w:w="1440" w:type="dxa"/>
            <w:vAlign w:val="bottom"/>
          </w:tcPr>
          <w:p>
            <w:pPr>
              <w:jc w:val="right"/>
              <w:spacing w:after="0"/>
              <w:rPr>
                <w:sz w:val="20"/>
                <w:szCs w:val="20"/>
                <w:color w:val="auto"/>
              </w:rPr>
            </w:pPr>
            <w:r>
              <w:rPr>
                <w:rFonts w:ascii="Arial" w:cs="Arial" w:eastAsia="Arial" w:hAnsi="Arial"/>
                <w:sz w:val="18"/>
                <w:szCs w:val="18"/>
                <w:color w:val="auto"/>
              </w:rPr>
              <w:t>274,237</w:t>
            </w:r>
          </w:p>
        </w:tc>
        <w:tc>
          <w:tcPr>
            <w:tcW w:w="0" w:type="dxa"/>
            <w:vAlign w:val="bottom"/>
          </w:tcPr>
          <w:p>
            <w:pPr>
              <w:spacing w:after="0"/>
              <w:rPr>
                <w:sz w:val="1"/>
                <w:szCs w:val="1"/>
                <w:color w:val="auto"/>
              </w:rPr>
            </w:pPr>
          </w:p>
        </w:tc>
      </w:tr>
      <w:tr>
        <w:trPr>
          <w:trHeight w:val="426"/>
        </w:trPr>
        <w:tc>
          <w:tcPr>
            <w:tcW w:w="800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47,635</w:t>
            </w:r>
          </w:p>
        </w:tc>
        <w:tc>
          <w:tcPr>
            <w:tcW w:w="1440" w:type="dxa"/>
            <w:vAlign w:val="bottom"/>
          </w:tcPr>
          <w:p>
            <w:pPr>
              <w:jc w:val="right"/>
              <w:spacing w:after="0"/>
              <w:rPr>
                <w:sz w:val="20"/>
                <w:szCs w:val="20"/>
                <w:color w:val="auto"/>
              </w:rPr>
            </w:pPr>
            <w:r>
              <w:rPr>
                <w:rFonts w:ascii="Arial" w:cs="Arial" w:eastAsia="Arial" w:hAnsi="Arial"/>
                <w:sz w:val="18"/>
                <w:szCs w:val="18"/>
                <w:color w:val="auto"/>
              </w:rPr>
              <w:t>50,284</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RESERVE PROPERTY and CASUALTY CLAIMS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398,439</w:t>
            </w:r>
          </w:p>
        </w:tc>
        <w:tc>
          <w:tcPr>
            <w:tcW w:w="1440" w:type="dxa"/>
            <w:vAlign w:val="bottom"/>
          </w:tcPr>
          <w:p>
            <w:pPr>
              <w:jc w:val="right"/>
              <w:spacing w:after="0"/>
              <w:rPr>
                <w:sz w:val="20"/>
                <w:szCs w:val="20"/>
                <w:color w:val="auto"/>
              </w:rPr>
            </w:pPr>
            <w:r>
              <w:rPr>
                <w:rFonts w:ascii="Arial" w:cs="Arial" w:eastAsia="Arial" w:hAnsi="Arial"/>
                <w:sz w:val="18"/>
                <w:szCs w:val="18"/>
                <w:color w:val="auto"/>
              </w:rPr>
              <w:t>303,587</w:t>
            </w:r>
          </w:p>
        </w:tc>
        <w:tc>
          <w:tcPr>
            <w:tcW w:w="0" w:type="dxa"/>
            <w:vAlign w:val="bottom"/>
          </w:tcPr>
          <w:p>
            <w:pPr>
              <w:spacing w:after="0"/>
              <w:rPr>
                <w:sz w:val="1"/>
                <w:szCs w:val="1"/>
                <w:color w:val="auto"/>
              </w:rPr>
            </w:pPr>
          </w:p>
        </w:tc>
      </w:tr>
      <w:tr>
        <w:trPr>
          <w:trHeight w:val="426"/>
        </w:trPr>
        <w:tc>
          <w:tcPr>
            <w:tcW w:w="8000" w:type="dxa"/>
            <w:vAlign w:val="bottom"/>
          </w:tcPr>
          <w:p>
            <w:pPr>
              <w:spacing w:after="0"/>
              <w:rPr>
                <w:sz w:val="20"/>
                <w:szCs w:val="20"/>
                <w:color w:val="auto"/>
              </w:rPr>
            </w:pPr>
            <w:r>
              <w:rPr>
                <w:rFonts w:ascii="Arial" w:cs="Arial" w:eastAsia="Arial" w:hAnsi="Arial"/>
                <w:sz w:val="18"/>
                <w:szCs w:val="18"/>
                <w:color w:val="auto"/>
              </w:rPr>
              <w:t>RESERVE FOR UNEARNED PREMIUMS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72,327</w:t>
            </w:r>
          </w:p>
        </w:tc>
        <w:tc>
          <w:tcPr>
            <w:tcW w:w="1440" w:type="dxa"/>
            <w:vAlign w:val="bottom"/>
          </w:tcPr>
          <w:p>
            <w:pPr>
              <w:jc w:val="right"/>
              <w:spacing w:after="0"/>
              <w:rPr>
                <w:sz w:val="20"/>
                <w:szCs w:val="20"/>
                <w:color w:val="auto"/>
              </w:rPr>
            </w:pPr>
            <w:r>
              <w:rPr>
                <w:rFonts w:ascii="Arial" w:cs="Arial" w:eastAsia="Arial" w:hAnsi="Arial"/>
                <w:sz w:val="18"/>
                <w:szCs w:val="18"/>
                <w:color w:val="auto"/>
              </w:rPr>
              <w:t>66,084</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REINSURANCE PAYABLE</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23,612</w:t>
            </w:r>
          </w:p>
        </w:tc>
        <w:tc>
          <w:tcPr>
            <w:tcW w:w="1440" w:type="dxa"/>
            <w:vAlign w:val="bottom"/>
          </w:tcPr>
          <w:p>
            <w:pPr>
              <w:jc w:val="right"/>
              <w:spacing w:after="0"/>
              <w:rPr>
                <w:sz w:val="20"/>
                <w:szCs w:val="20"/>
                <w:color w:val="auto"/>
              </w:rPr>
            </w:pPr>
            <w:r>
              <w:rPr>
                <w:rFonts w:ascii="Arial" w:cs="Arial" w:eastAsia="Arial" w:hAnsi="Arial"/>
                <w:sz w:val="18"/>
                <w:szCs w:val="18"/>
                <w:color w:val="auto"/>
              </w:rPr>
              <w:t>33,043</w:t>
            </w:r>
          </w:p>
        </w:tc>
        <w:tc>
          <w:tcPr>
            <w:tcW w:w="0" w:type="dxa"/>
            <w:vAlign w:val="bottom"/>
          </w:tcPr>
          <w:p>
            <w:pPr>
              <w:spacing w:after="0"/>
              <w:rPr>
                <w:sz w:val="1"/>
                <w:szCs w:val="1"/>
                <w:color w:val="auto"/>
              </w:rPr>
            </w:pPr>
          </w:p>
        </w:tc>
      </w:tr>
      <w:tr>
        <w:trPr>
          <w:trHeight w:val="42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243,869</w:t>
            </w:r>
          </w:p>
        </w:tc>
        <w:tc>
          <w:tcPr>
            <w:tcW w:w="1440" w:type="dxa"/>
            <w:vAlign w:val="bottom"/>
          </w:tcPr>
          <w:p>
            <w:pPr>
              <w:jc w:val="right"/>
              <w:spacing w:after="0"/>
              <w:rPr>
                <w:sz w:val="20"/>
                <w:szCs w:val="20"/>
                <w:color w:val="auto"/>
              </w:rPr>
            </w:pPr>
            <w:r>
              <w:rPr>
                <w:rFonts w:ascii="Arial" w:cs="Arial" w:eastAsia="Arial" w:hAnsi="Arial"/>
                <w:sz w:val="18"/>
                <w:szCs w:val="18"/>
                <w:color w:val="auto"/>
              </w:rPr>
              <w:t>191,411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ISSUED DEBT</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423,977</w:t>
            </w:r>
          </w:p>
        </w:tc>
        <w:tc>
          <w:tcPr>
            <w:tcW w:w="1440" w:type="dxa"/>
            <w:vAlign w:val="bottom"/>
          </w:tcPr>
          <w:p>
            <w:pPr>
              <w:jc w:val="right"/>
              <w:spacing w:after="0"/>
              <w:rPr>
                <w:sz w:val="20"/>
                <w:szCs w:val="20"/>
                <w:color w:val="auto"/>
              </w:rPr>
            </w:pPr>
            <w:r>
              <w:rPr>
                <w:rFonts w:ascii="Arial" w:cs="Arial" w:eastAsia="Arial" w:hAnsi="Arial"/>
                <w:sz w:val="18"/>
                <w:szCs w:val="18"/>
                <w:color w:val="auto"/>
              </w:rPr>
              <w:t>419,461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MINORITY INTEREST</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85,253</w:t>
            </w:r>
          </w:p>
        </w:tc>
        <w:tc>
          <w:tcPr>
            <w:tcW w:w="1440" w:type="dxa"/>
            <w:vAlign w:val="bottom"/>
          </w:tcPr>
          <w:p>
            <w:pPr>
              <w:jc w:val="right"/>
              <w:spacing w:after="0"/>
              <w:rPr>
                <w:sz w:val="20"/>
                <w:szCs w:val="20"/>
                <w:color w:val="auto"/>
              </w:rPr>
            </w:pPr>
            <w:r>
              <w:rPr>
                <w:rFonts w:ascii="Arial" w:cs="Arial" w:eastAsia="Arial" w:hAnsi="Arial"/>
                <w:sz w:val="18"/>
                <w:szCs w:val="18"/>
                <w:color w:val="auto"/>
              </w:rPr>
              <w:t>72,841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Common Shares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471,912</w:t>
            </w:r>
          </w:p>
        </w:tc>
        <w:tc>
          <w:tcPr>
            <w:tcW w:w="1440" w:type="dxa"/>
            <w:vAlign w:val="bottom"/>
          </w:tcPr>
          <w:p>
            <w:pPr>
              <w:jc w:val="right"/>
              <w:spacing w:after="0"/>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Treasury stock</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-73,107</w:t>
            </w:r>
          </w:p>
        </w:tc>
        <w:tc>
          <w:tcPr>
            <w:tcW w:w="1440" w:type="dxa"/>
            <w:vAlign w:val="bottom"/>
          </w:tcPr>
          <w:p>
            <w:pPr>
              <w:jc w:val="right"/>
              <w:spacing w:after="0"/>
              <w:rPr>
                <w:sz w:val="20"/>
                <w:szCs w:val="20"/>
                <w:color w:val="auto"/>
              </w:rPr>
            </w:pPr>
            <w:r>
              <w:rPr>
                <w:rFonts w:ascii="Arial" w:cs="Arial" w:eastAsia="Arial" w:hAnsi="Arial"/>
                <w:sz w:val="18"/>
                <w:szCs w:val="18"/>
                <w:color w:val="auto"/>
              </w:rPr>
              <w:t>-73,177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Capital surplus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140,693</w:t>
            </w:r>
          </w:p>
        </w:tc>
        <w:tc>
          <w:tcPr>
            <w:tcW w:w="1440" w:type="dxa"/>
            <w:vAlign w:val="bottom"/>
          </w:tcPr>
          <w:p>
            <w:pPr>
              <w:jc w:val="right"/>
              <w:spacing w:after="0"/>
              <w:rPr>
                <w:sz w:val="20"/>
                <w:szCs w:val="20"/>
                <w:color w:val="auto"/>
              </w:rPr>
            </w:pPr>
            <w:r>
              <w:rPr>
                <w:rFonts w:ascii="Arial" w:cs="Arial" w:eastAsia="Arial" w:hAnsi="Arial"/>
                <w:sz w:val="18"/>
                <w:szCs w:val="18"/>
                <w:color w:val="auto"/>
              </w:rPr>
              <w:t>140,500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Reserves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269,527</w:t>
            </w:r>
          </w:p>
        </w:tc>
        <w:tc>
          <w:tcPr>
            <w:tcW w:w="1440" w:type="dxa"/>
            <w:vAlign w:val="bottom"/>
          </w:tcPr>
          <w:p>
            <w:pPr>
              <w:jc w:val="right"/>
              <w:spacing w:after="0"/>
              <w:rPr>
                <w:sz w:val="20"/>
                <w:szCs w:val="20"/>
                <w:color w:val="auto"/>
              </w:rPr>
            </w:pPr>
            <w:r>
              <w:rPr>
                <w:rFonts w:ascii="Arial" w:cs="Arial" w:eastAsia="Arial" w:hAnsi="Arial"/>
                <w:sz w:val="18"/>
                <w:szCs w:val="18"/>
                <w:color w:val="auto"/>
              </w:rPr>
              <w:t>269,527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Retained earnings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256,172</w:t>
            </w:r>
          </w:p>
        </w:tc>
        <w:tc>
          <w:tcPr>
            <w:tcW w:w="1440" w:type="dxa"/>
            <w:vAlign w:val="bottom"/>
          </w:tcPr>
          <w:p>
            <w:pPr>
              <w:jc w:val="right"/>
              <w:spacing w:after="0"/>
              <w:rPr>
                <w:sz w:val="20"/>
                <w:szCs w:val="20"/>
                <w:color w:val="auto"/>
              </w:rPr>
            </w:pPr>
            <w:r>
              <w:rPr>
                <w:rFonts w:ascii="Arial" w:cs="Arial" w:eastAsia="Arial" w:hAnsi="Arial"/>
                <w:sz w:val="18"/>
                <w:szCs w:val="18"/>
                <w:color w:val="auto"/>
              </w:rPr>
              <w:t>101,968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1,065,197</w:t>
            </w:r>
          </w:p>
        </w:tc>
        <w:tc>
          <w:tcPr>
            <w:tcW w:w="1440" w:type="dxa"/>
            <w:vAlign w:val="bottom"/>
          </w:tcPr>
          <w:p>
            <w:pPr>
              <w:jc w:val="right"/>
              <w:spacing w:after="0"/>
              <w:rPr>
                <w:sz w:val="20"/>
                <w:szCs w:val="20"/>
                <w:color w:val="auto"/>
              </w:rPr>
            </w:pPr>
            <w:r>
              <w:rPr>
                <w:rFonts w:ascii="Arial" w:cs="Arial" w:eastAsia="Arial" w:hAnsi="Arial"/>
                <w:sz w:val="18"/>
                <w:szCs w:val="18"/>
                <w:color w:val="auto"/>
              </w:rPr>
              <w:t>910,730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9,087,560</w:t>
            </w:r>
          </w:p>
        </w:tc>
        <w:tc>
          <w:tcPr>
            <w:tcW w:w="1440" w:type="dxa"/>
            <w:vAlign w:val="bottom"/>
          </w:tcPr>
          <w:p>
            <w:pPr>
              <w:jc w:val="right"/>
              <w:spacing w:after="0"/>
              <w:rPr>
                <w:sz w:val="20"/>
                <w:szCs w:val="20"/>
                <w:color w:val="auto"/>
              </w:rPr>
            </w:pPr>
            <w:r>
              <w:rPr>
                <w:rFonts w:ascii="Arial" w:cs="Arial" w:eastAsia="Arial" w:hAnsi="Arial"/>
                <w:sz w:val="18"/>
                <w:szCs w:val="18"/>
                <w:color w:val="auto"/>
              </w:rPr>
              <w:t>8,321,783</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Contingent liabilities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1,882,388</w:t>
            </w:r>
          </w:p>
        </w:tc>
        <w:tc>
          <w:tcPr>
            <w:tcW w:w="1440" w:type="dxa"/>
            <w:vAlign w:val="bottom"/>
          </w:tcPr>
          <w:p>
            <w:pPr>
              <w:jc w:val="right"/>
              <w:spacing w:after="0"/>
              <w:rPr>
                <w:sz w:val="20"/>
                <w:szCs w:val="20"/>
                <w:color w:val="auto"/>
              </w:rPr>
            </w:pPr>
            <w:r>
              <w:rPr>
                <w:rFonts w:ascii="Arial" w:cs="Arial" w:eastAsia="Arial" w:hAnsi="Arial"/>
                <w:sz w:val="18"/>
                <w:szCs w:val="18"/>
                <w:color w:val="auto"/>
              </w:rPr>
              <w:t>1,586,892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-8363585</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-8080375</wp:posOffset>
            </wp:positionV>
            <wp:extent cx="342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-3938270</wp:posOffset>
            </wp:positionV>
            <wp:extent cx="342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-3655695</wp:posOffset>
            </wp:positionV>
            <wp:extent cx="342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(1) Note: Financial statements summarized from the audited financial report.</w:t>
      </w:r>
    </w:p>
    <w:p>
      <w:pPr>
        <w:sectPr>
          <w:pgSz w:w="11900" w:h="16838" w:orient="portrait"/>
          <w:cols w:equalWidth="0" w:num="1">
            <w:col w:w="11420"/>
          </w:cols>
          <w:pgMar w:left="240" w:top="34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8000" w:type="dxa"/>
            <w:vAlign w:val="bottom"/>
          </w:tcPr>
          <w:p>
            <w:pPr>
              <w:ind w:left="4180"/>
              <w:spacing w:after="0"/>
              <w:rPr>
                <w:sz w:val="20"/>
                <w:szCs w:val="20"/>
                <w:color w:val="auto"/>
              </w:rPr>
            </w:pPr>
            <w:r>
              <w:rPr>
                <w:rFonts w:ascii="Arial" w:cs="Arial" w:eastAsia="Arial" w:hAnsi="Arial"/>
                <w:sz w:val="18"/>
                <w:szCs w:val="18"/>
                <w:color w:val="auto"/>
              </w:rPr>
              <w:t>CREDICORP LTD. AND SUBSIDIARIES</w:t>
            </w:r>
          </w:p>
        </w:tc>
        <w:tc>
          <w:tcPr>
            <w:tcW w:w="2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3960"/>
              <w:spacing w:after="0"/>
              <w:rPr>
                <w:sz w:val="20"/>
                <w:szCs w:val="20"/>
                <w:color w:val="auto"/>
              </w:rPr>
            </w:pPr>
            <w:r>
              <w:rPr>
                <w:rFonts w:ascii="Arial" w:cs="Arial" w:eastAsia="Arial" w:hAnsi="Arial"/>
                <w:sz w:val="18"/>
                <w:szCs w:val="18"/>
                <w:color w:val="auto"/>
              </w:rPr>
              <w:t>CONSOLIDATED STATEMENTS OF INCOME</w:t>
            </w:r>
          </w:p>
        </w:tc>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000" w:type="dxa"/>
            <w:vAlign w:val="bottom"/>
          </w:tcPr>
          <w:p>
            <w:pPr>
              <w:spacing w:after="0"/>
              <w:rPr>
                <w:sz w:val="24"/>
                <w:szCs w:val="24"/>
                <w:color w:val="auto"/>
              </w:rPr>
            </w:pPr>
          </w:p>
        </w:tc>
        <w:tc>
          <w:tcPr>
            <w:tcW w:w="3420" w:type="dxa"/>
            <w:vAlign w:val="bottom"/>
            <w:gridSpan w:val="2"/>
          </w:tcPr>
          <w:p>
            <w:pPr>
              <w:jc w:val="right"/>
              <w:ind w:right="932"/>
              <w:spacing w:after="0"/>
              <w:rPr>
                <w:sz w:val="20"/>
                <w:szCs w:val="20"/>
                <w:color w:val="auto"/>
              </w:rPr>
            </w:pPr>
            <w:r>
              <w:rPr>
                <w:rFonts w:ascii="Arial" w:cs="Arial" w:eastAsia="Arial" w:hAnsi="Arial"/>
                <w:sz w:val="18"/>
                <w:szCs w:val="18"/>
                <w:color w:val="auto"/>
              </w:rPr>
              <w:t>For the years ended</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December 31,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000" w:type="dxa"/>
            <w:vAlign w:val="bottom"/>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00" w:type="dxa"/>
            <w:vAlign w:val="bottom"/>
          </w:tcPr>
          <w:p>
            <w:pPr>
              <w:spacing w:after="0"/>
              <w:rPr>
                <w:sz w:val="24"/>
                <w:szCs w:val="24"/>
                <w:color w:val="auto"/>
              </w:rPr>
            </w:pPr>
          </w:p>
        </w:tc>
        <w:tc>
          <w:tcPr>
            <w:tcW w:w="2240" w:type="dxa"/>
            <w:vAlign w:val="bottom"/>
          </w:tcPr>
          <w:p>
            <w:pPr>
              <w:jc w:val="right"/>
              <w:ind w:right="1132"/>
              <w:spacing w:after="0"/>
              <w:rPr>
                <w:sz w:val="20"/>
                <w:szCs w:val="20"/>
                <w:color w:val="auto"/>
              </w:rPr>
            </w:pPr>
            <w:r>
              <w:rPr>
                <w:rFonts w:ascii="Arial" w:cs="Arial" w:eastAsia="Arial" w:hAnsi="Arial"/>
                <w:sz w:val="18"/>
                <w:szCs w:val="18"/>
                <w:color w:val="auto"/>
              </w:rPr>
              <w:t>2004</w:t>
            </w:r>
          </w:p>
        </w:tc>
        <w:tc>
          <w:tcPr>
            <w:tcW w:w="1180" w:type="dxa"/>
            <w:vAlign w:val="bottom"/>
          </w:tcPr>
          <w:p>
            <w:pPr>
              <w:jc w:val="right"/>
              <w:ind w:right="612"/>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10"/>
        </w:trPr>
        <w:tc>
          <w:tcPr>
            <w:tcW w:w="8000" w:type="dxa"/>
            <w:vAlign w:val="bottom"/>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0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240" w:type="dxa"/>
            <w:vAlign w:val="bottom"/>
          </w:tcPr>
          <w:p>
            <w:pPr>
              <w:jc w:val="right"/>
              <w:ind w:right="1012"/>
              <w:spacing w:after="0"/>
              <w:rPr>
                <w:sz w:val="20"/>
                <w:szCs w:val="20"/>
                <w:color w:val="auto"/>
              </w:rPr>
            </w:pPr>
            <w:r>
              <w:rPr>
                <w:rFonts w:ascii="Arial" w:cs="Arial" w:eastAsia="Arial" w:hAnsi="Arial"/>
                <w:sz w:val="18"/>
                <w:szCs w:val="18"/>
                <w:color w:val="auto"/>
              </w:rPr>
              <w:t>US$000</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w w:val="92"/>
              </w:rPr>
              <w:t>US$000</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on loans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426,537</w:t>
            </w:r>
          </w:p>
        </w:tc>
        <w:tc>
          <w:tcPr>
            <w:tcW w:w="1180" w:type="dxa"/>
            <w:vAlign w:val="bottom"/>
          </w:tcPr>
          <w:p>
            <w:pPr>
              <w:jc w:val="right"/>
              <w:spacing w:after="0"/>
              <w:rPr>
                <w:sz w:val="20"/>
                <w:szCs w:val="20"/>
                <w:color w:val="auto"/>
              </w:rPr>
            </w:pPr>
            <w:r>
              <w:rPr>
                <w:rFonts w:ascii="Arial" w:cs="Arial" w:eastAsia="Arial" w:hAnsi="Arial"/>
                <w:sz w:val="18"/>
                <w:szCs w:val="18"/>
                <w:color w:val="auto"/>
              </w:rPr>
              <w:t>457,826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on deposits with banks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20,146</w:t>
            </w:r>
          </w:p>
        </w:tc>
        <w:tc>
          <w:tcPr>
            <w:tcW w:w="1180" w:type="dxa"/>
            <w:vAlign w:val="bottom"/>
          </w:tcPr>
          <w:p>
            <w:pPr>
              <w:jc w:val="right"/>
              <w:spacing w:after="0"/>
              <w:rPr>
                <w:sz w:val="20"/>
                <w:szCs w:val="20"/>
                <w:color w:val="auto"/>
              </w:rPr>
            </w:pPr>
            <w:r>
              <w:rPr>
                <w:rFonts w:ascii="Arial" w:cs="Arial" w:eastAsia="Arial" w:hAnsi="Arial"/>
                <w:sz w:val="18"/>
                <w:szCs w:val="18"/>
                <w:color w:val="auto"/>
              </w:rPr>
              <w:t>18,826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on securities and investments and others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93,903</w:t>
            </w:r>
          </w:p>
        </w:tc>
        <w:tc>
          <w:tcPr>
            <w:tcW w:w="1180" w:type="dxa"/>
            <w:vAlign w:val="bottom"/>
          </w:tcPr>
          <w:p>
            <w:pPr>
              <w:jc w:val="right"/>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Dividends on investments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2,256</w:t>
            </w:r>
          </w:p>
        </w:tc>
        <w:tc>
          <w:tcPr>
            <w:tcW w:w="118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Interest Income</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542,842</w:t>
            </w:r>
          </w:p>
        </w:tc>
        <w:tc>
          <w:tcPr>
            <w:tcW w:w="1180" w:type="dxa"/>
            <w:vAlign w:val="bottom"/>
          </w:tcPr>
          <w:p>
            <w:pPr>
              <w:jc w:val="right"/>
              <w:spacing w:after="0"/>
              <w:rPr>
                <w:sz w:val="20"/>
                <w:szCs w:val="20"/>
                <w:color w:val="auto"/>
              </w:rPr>
            </w:pPr>
            <w:r>
              <w:rPr>
                <w:rFonts w:ascii="Arial" w:cs="Arial" w:eastAsia="Arial" w:hAnsi="Arial"/>
                <w:sz w:val="18"/>
                <w:szCs w:val="18"/>
                <w:color w:val="auto"/>
              </w:rPr>
              <w:t>548,285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on deposits and bonds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123,616</w:t>
            </w:r>
          </w:p>
        </w:tc>
        <w:tc>
          <w:tcPr>
            <w:tcW w:w="1180" w:type="dxa"/>
            <w:vAlign w:val="bottom"/>
          </w:tcPr>
          <w:p>
            <w:pPr>
              <w:jc w:val="right"/>
              <w:spacing w:after="0"/>
              <w:rPr>
                <w:sz w:val="20"/>
                <w:szCs w:val="20"/>
                <w:color w:val="auto"/>
              </w:rPr>
            </w:pPr>
            <w:r>
              <w:rPr>
                <w:rFonts w:ascii="Arial" w:cs="Arial" w:eastAsia="Arial" w:hAnsi="Arial"/>
                <w:sz w:val="18"/>
                <w:szCs w:val="18"/>
                <w:color w:val="auto"/>
              </w:rPr>
              <w:t>128,023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16,366</w:t>
            </w:r>
          </w:p>
        </w:tc>
        <w:tc>
          <w:tcPr>
            <w:tcW w:w="1180" w:type="dxa"/>
            <w:vAlign w:val="bottom"/>
          </w:tcPr>
          <w:p>
            <w:pPr>
              <w:jc w:val="right"/>
              <w:spacing w:after="0"/>
              <w:rPr>
                <w:sz w:val="20"/>
                <w:szCs w:val="20"/>
                <w:color w:val="auto"/>
              </w:rPr>
            </w:pPr>
            <w:r>
              <w:rPr>
                <w:rFonts w:ascii="Arial" w:cs="Arial" w:eastAsia="Arial" w:hAnsi="Arial"/>
                <w:sz w:val="18"/>
                <w:szCs w:val="18"/>
                <w:color w:val="auto"/>
              </w:rPr>
              <w:t>17,235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interest expense</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20,316</w:t>
            </w:r>
          </w:p>
        </w:tc>
        <w:tc>
          <w:tcPr>
            <w:tcW w:w="1180" w:type="dxa"/>
            <w:vAlign w:val="bottom"/>
          </w:tcPr>
          <w:p>
            <w:pPr>
              <w:jc w:val="right"/>
              <w:spacing w:after="0"/>
              <w:rPr>
                <w:sz w:val="20"/>
                <w:szCs w:val="20"/>
                <w:color w:val="auto"/>
              </w:rPr>
            </w:pPr>
            <w:r>
              <w:rPr>
                <w:rFonts w:ascii="Arial" w:cs="Arial" w:eastAsia="Arial" w:hAnsi="Arial"/>
                <w:sz w:val="18"/>
                <w:szCs w:val="18"/>
                <w:color w:val="auto"/>
              </w:rPr>
              <w:t>18,322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Interest Expense</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160,298</w:t>
            </w:r>
          </w:p>
        </w:tc>
        <w:tc>
          <w:tcPr>
            <w:tcW w:w="1180" w:type="dxa"/>
            <w:vAlign w:val="bottom"/>
          </w:tcPr>
          <w:p>
            <w:pPr>
              <w:jc w:val="right"/>
              <w:spacing w:after="0"/>
              <w:rPr>
                <w:sz w:val="20"/>
                <w:szCs w:val="20"/>
                <w:color w:val="auto"/>
              </w:rPr>
            </w:pPr>
            <w:r>
              <w:rPr>
                <w:rFonts w:ascii="Arial" w:cs="Arial" w:eastAsia="Arial" w:hAnsi="Arial"/>
                <w:sz w:val="18"/>
                <w:szCs w:val="18"/>
                <w:color w:val="auto"/>
              </w:rPr>
              <w:t>163,580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Interest Income</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382,544</w:t>
            </w:r>
          </w:p>
        </w:tc>
        <w:tc>
          <w:tcPr>
            <w:tcW w:w="1180" w:type="dxa"/>
            <w:vAlign w:val="bottom"/>
          </w:tcPr>
          <w:p>
            <w:pPr>
              <w:jc w:val="right"/>
              <w:spacing w:after="0"/>
              <w:rPr>
                <w:sz w:val="20"/>
                <w:szCs w:val="20"/>
                <w:color w:val="auto"/>
              </w:rPr>
            </w:pPr>
            <w:r>
              <w:rPr>
                <w:rFonts w:ascii="Arial" w:cs="Arial" w:eastAsia="Arial" w:hAnsi="Arial"/>
                <w:sz w:val="18"/>
                <w:szCs w:val="18"/>
                <w:color w:val="auto"/>
              </w:rPr>
              <w:t>384,705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Provision for possible loan losses, net</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16,131</w:t>
            </w:r>
          </w:p>
        </w:tc>
        <w:tc>
          <w:tcPr>
            <w:tcW w:w="1180" w:type="dxa"/>
            <w:vAlign w:val="bottom"/>
          </w:tcPr>
          <w:p>
            <w:pPr>
              <w:jc w:val="right"/>
              <w:spacing w:after="0"/>
              <w:rPr>
                <w:sz w:val="20"/>
                <w:szCs w:val="20"/>
                <w:color w:val="auto"/>
              </w:rPr>
            </w:pPr>
            <w:r>
              <w:rPr>
                <w:rFonts w:ascii="Arial" w:cs="Arial" w:eastAsia="Arial" w:hAnsi="Arial"/>
                <w:sz w:val="18"/>
                <w:szCs w:val="18"/>
                <w:color w:val="auto"/>
              </w:rPr>
              <w:t>66,421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interest income after provision for</w:t>
            </w: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possible loan losses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366,413</w:t>
            </w:r>
          </w:p>
        </w:tc>
        <w:tc>
          <w:tcPr>
            <w:tcW w:w="1180" w:type="dxa"/>
            <w:vAlign w:val="bottom"/>
          </w:tcPr>
          <w:p>
            <w:pPr>
              <w:jc w:val="right"/>
              <w:spacing w:after="0"/>
              <w:rPr>
                <w:sz w:val="20"/>
                <w:szCs w:val="20"/>
                <w:color w:val="auto"/>
              </w:rPr>
            </w:pPr>
            <w:r>
              <w:rPr>
                <w:rFonts w:ascii="Arial" w:cs="Arial" w:eastAsia="Arial" w:hAnsi="Arial"/>
                <w:sz w:val="18"/>
                <w:szCs w:val="18"/>
                <w:color w:val="auto"/>
              </w:rPr>
              <w:t>318,284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w:t>
            </w: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Fees and commissions from banking services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201,474</w:t>
            </w:r>
          </w:p>
        </w:tc>
        <w:tc>
          <w:tcPr>
            <w:tcW w:w="1180" w:type="dxa"/>
            <w:vAlign w:val="bottom"/>
          </w:tcPr>
          <w:p>
            <w:pPr>
              <w:jc w:val="right"/>
              <w:spacing w:after="0"/>
              <w:rPr>
                <w:sz w:val="20"/>
                <w:szCs w:val="20"/>
                <w:color w:val="auto"/>
              </w:rPr>
            </w:pPr>
            <w:r>
              <w:rPr>
                <w:rFonts w:ascii="Arial" w:cs="Arial" w:eastAsia="Arial" w:hAnsi="Arial"/>
                <w:sz w:val="18"/>
                <w:szCs w:val="18"/>
                <w:color w:val="auto"/>
              </w:rPr>
              <w:t>189,472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24,165</w:t>
            </w:r>
          </w:p>
        </w:tc>
        <w:tc>
          <w:tcPr>
            <w:tcW w:w="1180" w:type="dxa"/>
            <w:vAlign w:val="bottom"/>
          </w:tcPr>
          <w:p>
            <w:pPr>
              <w:jc w:val="right"/>
              <w:spacing w:after="0"/>
              <w:rPr>
                <w:sz w:val="20"/>
                <w:szCs w:val="20"/>
                <w:color w:val="auto"/>
              </w:rPr>
            </w:pPr>
            <w:r>
              <w:rPr>
                <w:rFonts w:ascii="Arial" w:cs="Arial" w:eastAsia="Arial" w:hAnsi="Arial"/>
                <w:sz w:val="18"/>
                <w:szCs w:val="18"/>
                <w:color w:val="auto"/>
              </w:rPr>
              <w:t>23,681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10,135</w:t>
            </w:r>
          </w:p>
        </w:tc>
        <w:tc>
          <w:tcPr>
            <w:tcW w:w="1180" w:type="dxa"/>
            <w:vAlign w:val="bottom"/>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8,105</w:t>
            </w:r>
          </w:p>
        </w:tc>
        <w:tc>
          <w:tcPr>
            <w:tcW w:w="1180" w:type="dxa"/>
            <w:vAlign w:val="bottom"/>
          </w:tcPr>
          <w:p>
            <w:pPr>
              <w:jc w:val="right"/>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22"/>
        </w:trPr>
        <w:tc>
          <w:tcPr>
            <w:tcW w:w="8000" w:type="dxa"/>
            <w:vAlign w:val="bottom"/>
            <w:vMerge w:val="restart"/>
          </w:tcPr>
          <w:p>
            <w:pPr>
              <w:spacing w:after="0"/>
              <w:rPr>
                <w:sz w:val="20"/>
                <w:szCs w:val="20"/>
                <w:color w:val="auto"/>
              </w:rPr>
            </w:pPr>
            <w:r>
              <w:rPr>
                <w:rFonts w:ascii="Arial" w:cs="Arial" w:eastAsia="Arial" w:hAnsi="Arial"/>
                <w:sz w:val="18"/>
                <w:szCs w:val="18"/>
                <w:color w:val="auto"/>
              </w:rPr>
              <w:t>PREMIUMS AND CLAIMS ON INSURANCE ACTIVITIES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243,879</w:t>
            </w:r>
          </w:p>
        </w:tc>
        <w:tc>
          <w:tcPr>
            <w:tcW w:w="1180" w:type="dxa"/>
            <w:vAlign w:val="bottom"/>
          </w:tcPr>
          <w:p>
            <w:pPr>
              <w:jc w:val="right"/>
              <w:spacing w:after="0"/>
              <w:rPr>
                <w:sz w:val="20"/>
                <w:szCs w:val="20"/>
                <w:color w:val="auto"/>
              </w:rPr>
            </w:pPr>
            <w:r>
              <w:rPr>
                <w:rFonts w:ascii="Arial" w:cs="Arial" w:eastAsia="Arial" w:hAnsi="Arial"/>
                <w:sz w:val="18"/>
                <w:szCs w:val="18"/>
                <w:color w:val="auto"/>
              </w:rPr>
              <w:t>239,615</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premiums earned</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192,672</w:t>
            </w:r>
          </w:p>
        </w:tc>
        <w:tc>
          <w:tcPr>
            <w:tcW w:w="1180" w:type="dxa"/>
            <w:vAlign w:val="bottom"/>
          </w:tcPr>
          <w:p>
            <w:pPr>
              <w:jc w:val="right"/>
              <w:spacing w:after="0"/>
              <w:rPr>
                <w:sz w:val="20"/>
                <w:szCs w:val="20"/>
                <w:color w:val="auto"/>
              </w:rPr>
            </w:pPr>
            <w:r>
              <w:rPr>
                <w:rFonts w:ascii="Arial" w:cs="Arial" w:eastAsia="Arial" w:hAnsi="Arial"/>
                <w:sz w:val="18"/>
                <w:szCs w:val="18"/>
                <w:color w:val="auto"/>
              </w:rPr>
              <w:t>125,115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claims incurred</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-34,791</w:t>
            </w:r>
          </w:p>
        </w:tc>
        <w:tc>
          <w:tcPr>
            <w:tcW w:w="1180" w:type="dxa"/>
            <w:vAlign w:val="bottom"/>
          </w:tcPr>
          <w:p>
            <w:pPr>
              <w:jc w:val="right"/>
              <w:spacing w:after="0"/>
              <w:rPr>
                <w:sz w:val="20"/>
                <w:szCs w:val="20"/>
                <w:color w:val="auto"/>
              </w:rPr>
            </w:pPr>
            <w:r>
              <w:rPr>
                <w:rFonts w:ascii="Arial" w:cs="Arial" w:eastAsia="Arial" w:hAnsi="Arial"/>
                <w:sz w:val="18"/>
                <w:szCs w:val="18"/>
                <w:color w:val="auto"/>
              </w:rPr>
              <w:t>-23,844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Increase in future policy benefits for life</w:t>
            </w: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and health</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-119,534</w:t>
            </w:r>
          </w:p>
        </w:tc>
        <w:tc>
          <w:tcPr>
            <w:tcW w:w="1180" w:type="dxa"/>
            <w:vAlign w:val="bottom"/>
          </w:tcPr>
          <w:p>
            <w:pPr>
              <w:jc w:val="right"/>
              <w:spacing w:after="0"/>
              <w:rPr>
                <w:sz w:val="20"/>
                <w:szCs w:val="20"/>
                <w:color w:val="auto"/>
              </w:rPr>
            </w:pPr>
            <w:r>
              <w:rPr>
                <w:rFonts w:ascii="Arial" w:cs="Arial" w:eastAsia="Arial" w:hAnsi="Arial"/>
                <w:sz w:val="18"/>
                <w:szCs w:val="18"/>
                <w:color w:val="auto"/>
              </w:rPr>
              <w:t>-75,930</w:t>
            </w:r>
          </w:p>
        </w:tc>
        <w:tc>
          <w:tcPr>
            <w:tcW w:w="0" w:type="dxa"/>
            <w:vAlign w:val="bottom"/>
          </w:tcPr>
          <w:p>
            <w:pPr>
              <w:spacing w:after="0"/>
              <w:rPr>
                <w:sz w:val="1"/>
                <w:szCs w:val="1"/>
                <w:color w:val="auto"/>
              </w:rPr>
            </w:pPr>
          </w:p>
        </w:tc>
      </w:tr>
      <w:tr>
        <w:trPr>
          <w:trHeight w:val="222"/>
        </w:trPr>
        <w:tc>
          <w:tcPr>
            <w:tcW w:w="800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38,347</w:t>
            </w:r>
          </w:p>
        </w:tc>
        <w:tc>
          <w:tcPr>
            <w:tcW w:w="1180" w:type="dxa"/>
            <w:vAlign w:val="bottom"/>
          </w:tcPr>
          <w:p>
            <w:pPr>
              <w:jc w:val="right"/>
              <w:spacing w:after="0"/>
              <w:rPr>
                <w:sz w:val="20"/>
                <w:szCs w:val="20"/>
                <w:color w:val="auto"/>
              </w:rPr>
            </w:pPr>
            <w:r>
              <w:rPr>
                <w:rFonts w:ascii="Arial" w:cs="Arial" w:eastAsia="Arial" w:hAnsi="Arial"/>
                <w:sz w:val="18"/>
                <w:szCs w:val="18"/>
                <w:color w:val="auto"/>
              </w:rPr>
              <w:t>25,341</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202,729</w:t>
            </w:r>
          </w:p>
        </w:tc>
        <w:tc>
          <w:tcPr>
            <w:tcW w:w="1180" w:type="dxa"/>
            <w:vAlign w:val="bottom"/>
          </w:tcPr>
          <w:p>
            <w:pPr>
              <w:jc w:val="right"/>
              <w:spacing w:after="0"/>
              <w:rPr>
                <w:sz w:val="20"/>
                <w:szCs w:val="20"/>
                <w:color w:val="auto"/>
              </w:rPr>
            </w:pPr>
            <w:r>
              <w:rPr>
                <w:rFonts w:ascii="Arial" w:cs="Arial" w:eastAsia="Arial" w:hAnsi="Arial"/>
                <w:sz w:val="18"/>
                <w:szCs w:val="18"/>
                <w:color w:val="auto"/>
              </w:rPr>
              <w:t>193,563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 expense, and other taxes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153,096</w:t>
            </w:r>
          </w:p>
        </w:tc>
        <w:tc>
          <w:tcPr>
            <w:tcW w:w="1180" w:type="dxa"/>
            <w:vAlign w:val="bottom"/>
          </w:tcPr>
          <w:p>
            <w:pPr>
              <w:jc w:val="right"/>
              <w:spacing w:after="0"/>
              <w:rPr>
                <w:sz w:val="20"/>
                <w:szCs w:val="20"/>
                <w:color w:val="auto"/>
              </w:rPr>
            </w:pPr>
            <w:r>
              <w:rPr>
                <w:rFonts w:ascii="Arial" w:cs="Arial" w:eastAsia="Arial" w:hAnsi="Arial"/>
                <w:sz w:val="18"/>
                <w:szCs w:val="18"/>
                <w:color w:val="auto"/>
              </w:rPr>
              <w:t>147,593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41,742</w:t>
            </w:r>
          </w:p>
        </w:tc>
        <w:tc>
          <w:tcPr>
            <w:tcW w:w="1180" w:type="dxa"/>
            <w:vAlign w:val="bottom"/>
          </w:tcPr>
          <w:p>
            <w:pPr>
              <w:jc w:val="right"/>
              <w:spacing w:after="0"/>
              <w:rPr>
                <w:sz w:val="20"/>
                <w:szCs w:val="20"/>
                <w:color w:val="auto"/>
              </w:rPr>
            </w:pPr>
            <w:r>
              <w:rPr>
                <w:rFonts w:ascii="Arial" w:cs="Arial" w:eastAsia="Arial" w:hAnsi="Arial"/>
                <w:sz w:val="18"/>
                <w:szCs w:val="18"/>
                <w:color w:val="auto"/>
              </w:rPr>
              <w:t>43,660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Provision for assets received in lieu of loan repayment</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14,639</w:t>
            </w:r>
          </w:p>
        </w:tc>
        <w:tc>
          <w:tcPr>
            <w:tcW w:w="1180" w:type="dxa"/>
            <w:vAlign w:val="bottom"/>
          </w:tcPr>
          <w:p>
            <w:pPr>
              <w:jc w:val="right"/>
              <w:spacing w:after="0"/>
              <w:rPr>
                <w:sz w:val="20"/>
                <w:szCs w:val="20"/>
                <w:color w:val="auto"/>
              </w:rPr>
            </w:pPr>
            <w:r>
              <w:rPr>
                <w:rFonts w:ascii="Arial" w:cs="Arial" w:eastAsia="Arial" w:hAnsi="Arial"/>
                <w:sz w:val="18"/>
                <w:szCs w:val="18"/>
                <w:color w:val="auto"/>
              </w:rPr>
              <w:t>13,588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Merger costs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3,742</w:t>
            </w:r>
          </w:p>
        </w:tc>
        <w:tc>
          <w:tcPr>
            <w:tcW w:w="1180" w:type="dxa"/>
            <w:vAlign w:val="bottom"/>
          </w:tcPr>
          <w:p>
            <w:pPr>
              <w:jc w:val="right"/>
              <w:spacing w:after="0"/>
              <w:rPr>
                <w:sz w:val="20"/>
                <w:szCs w:val="20"/>
                <w:color w:val="auto"/>
              </w:rPr>
            </w:pPr>
            <w:r>
              <w:rPr>
                <w:rFonts w:ascii="Arial" w:cs="Arial" w:eastAsia="Arial" w:hAnsi="Arial"/>
                <w:sz w:val="18"/>
                <w:szCs w:val="18"/>
                <w:color w:val="auto"/>
              </w:rPr>
              <w:t>18,587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 amortization</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4,853</w:t>
            </w:r>
          </w:p>
        </w:tc>
        <w:tc>
          <w:tcPr>
            <w:tcW w:w="1180" w:type="dxa"/>
            <w:vAlign w:val="bottom"/>
          </w:tcPr>
          <w:p>
            <w:pPr>
              <w:jc w:val="right"/>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42,869</w:t>
            </w:r>
          </w:p>
        </w:tc>
        <w:tc>
          <w:tcPr>
            <w:tcW w:w="1180" w:type="dxa"/>
            <w:vAlign w:val="bottom"/>
          </w:tcPr>
          <w:p>
            <w:pPr>
              <w:jc w:val="right"/>
              <w:spacing w:after="0"/>
              <w:rPr>
                <w:sz w:val="20"/>
                <w:szCs w:val="20"/>
                <w:color w:val="auto"/>
              </w:rPr>
            </w:pPr>
            <w:r>
              <w:rPr>
                <w:rFonts w:ascii="Arial" w:cs="Arial" w:eastAsia="Arial" w:hAnsi="Arial"/>
                <w:sz w:val="18"/>
                <w:szCs w:val="18"/>
                <w:color w:val="auto"/>
              </w:rPr>
              <w:t>27,746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463,670</w:t>
            </w:r>
          </w:p>
        </w:tc>
        <w:tc>
          <w:tcPr>
            <w:tcW w:w="1180" w:type="dxa"/>
            <w:vAlign w:val="bottom"/>
          </w:tcPr>
          <w:p>
            <w:pPr>
              <w:jc w:val="right"/>
              <w:spacing w:after="0"/>
              <w:rPr>
                <w:sz w:val="20"/>
                <w:szCs w:val="20"/>
                <w:color w:val="auto"/>
              </w:rPr>
            </w:pPr>
            <w:r>
              <w:rPr>
                <w:rFonts w:ascii="Arial" w:cs="Arial" w:eastAsia="Arial" w:hAnsi="Arial"/>
                <w:sz w:val="18"/>
                <w:szCs w:val="18"/>
                <w:color w:val="auto"/>
              </w:rPr>
              <w:t>448,960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TRANSLATION RESULT</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2,040</w:t>
            </w:r>
          </w:p>
        </w:tc>
        <w:tc>
          <w:tcPr>
            <w:tcW w:w="118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before income tax and minority interest</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187,009</w:t>
            </w:r>
          </w:p>
        </w:tc>
        <w:tc>
          <w:tcPr>
            <w:tcW w:w="1180" w:type="dxa"/>
            <w:vAlign w:val="bottom"/>
          </w:tcPr>
          <w:p>
            <w:pPr>
              <w:jc w:val="right"/>
              <w:spacing w:after="0"/>
              <w:rPr>
                <w:sz w:val="20"/>
                <w:szCs w:val="20"/>
                <w:color w:val="auto"/>
              </w:rPr>
            </w:pPr>
            <w:r>
              <w:rPr>
                <w:rFonts w:ascii="Arial" w:cs="Arial" w:eastAsia="Arial" w:hAnsi="Arial"/>
                <w:sz w:val="18"/>
                <w:szCs w:val="18"/>
                <w:color w:val="auto"/>
              </w:rPr>
              <w:t>130,605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-45,497</w:t>
            </w:r>
          </w:p>
        </w:tc>
        <w:tc>
          <w:tcPr>
            <w:tcW w:w="1180" w:type="dxa"/>
            <w:vAlign w:val="bottom"/>
          </w:tcPr>
          <w:p>
            <w:pPr>
              <w:jc w:val="right"/>
              <w:spacing w:after="0"/>
              <w:rPr>
                <w:sz w:val="20"/>
                <w:szCs w:val="20"/>
                <w:color w:val="auto"/>
              </w:rPr>
            </w:pPr>
            <w:r>
              <w:rPr>
                <w:rFonts w:ascii="Arial" w:cs="Arial" w:eastAsia="Arial" w:hAnsi="Arial"/>
                <w:sz w:val="18"/>
                <w:szCs w:val="18"/>
                <w:color w:val="auto"/>
              </w:rPr>
              <w:t>-39,695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MINORITY INTEREST</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-10,765</w:t>
            </w:r>
          </w:p>
        </w:tc>
        <w:tc>
          <w:tcPr>
            <w:tcW w:w="1180" w:type="dxa"/>
            <w:vAlign w:val="bottom"/>
          </w:tcPr>
          <w:p>
            <w:pPr>
              <w:jc w:val="right"/>
              <w:spacing w:after="0"/>
              <w:rPr>
                <w:sz w:val="20"/>
                <w:szCs w:val="20"/>
                <w:color w:val="auto"/>
              </w:rPr>
            </w:pPr>
            <w:r>
              <w:rPr>
                <w:rFonts w:ascii="Arial" w:cs="Arial" w:eastAsia="Arial" w:hAnsi="Arial"/>
                <w:sz w:val="18"/>
                <w:szCs w:val="18"/>
                <w:color w:val="auto"/>
              </w:rPr>
              <w:t>-10,303</w:t>
            </w: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130,747</w:t>
            </w:r>
          </w:p>
        </w:tc>
        <w:tc>
          <w:tcPr>
            <w:tcW w:w="1180" w:type="dxa"/>
            <w:vAlign w:val="bottom"/>
          </w:tcPr>
          <w:p>
            <w:pPr>
              <w:jc w:val="right"/>
              <w:spacing w:after="0"/>
              <w:rPr>
                <w:sz w:val="20"/>
                <w:szCs w:val="20"/>
                <w:color w:val="auto"/>
              </w:rPr>
            </w:pPr>
            <w:r>
              <w:rPr>
                <w:rFonts w:ascii="Arial" w:cs="Arial" w:eastAsia="Arial" w:hAnsi="Arial"/>
                <w:sz w:val="18"/>
                <w:szCs w:val="18"/>
                <w:color w:val="auto"/>
              </w:rPr>
              <w:t>80,607</w:t>
            </w: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Net income per share (in Dollars)</w:t>
            </w:r>
          </w:p>
        </w:tc>
        <w:tc>
          <w:tcPr>
            <w:tcW w:w="2240" w:type="dxa"/>
            <w:vAlign w:val="bottom"/>
          </w:tcPr>
          <w:p>
            <w:pPr>
              <w:jc w:val="right"/>
              <w:ind w:right="472"/>
              <w:spacing w:after="0"/>
              <w:rPr>
                <w:sz w:val="20"/>
                <w:szCs w:val="20"/>
                <w:color w:val="auto"/>
              </w:rPr>
            </w:pPr>
            <w:r>
              <w:rPr>
                <w:rFonts w:ascii="Arial" w:cs="Arial" w:eastAsia="Arial" w:hAnsi="Arial"/>
                <w:sz w:val="18"/>
                <w:szCs w:val="18"/>
                <w:color w:val="auto"/>
              </w:rPr>
              <w:t>1.64</w:t>
            </w: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-6408420</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-6125210</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CREDICORP LTD. AND SUBSIDIARIES</w:t>
      </w:r>
    </w:p>
    <w:p>
      <w:pPr>
        <w:spacing w:after="0" w:line="225" w:lineRule="exact"/>
        <w:rPr>
          <w:sz w:val="20"/>
          <w:szCs w:val="20"/>
          <w:color w:val="auto"/>
        </w:rPr>
      </w:pPr>
    </w:p>
    <w:p>
      <w:pPr>
        <w:jc w:val="right"/>
        <w:ind w:right="3640"/>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15" w:lineRule="exact"/>
        <w:rPr>
          <w:sz w:val="20"/>
          <w:szCs w:val="20"/>
          <w:color w:val="auto"/>
        </w:rPr>
      </w:pPr>
    </w:p>
    <w:p>
      <w:pPr>
        <w:jc w:val="right"/>
        <w:ind w:right="3660"/>
        <w:spacing w:after="0"/>
        <w:rPr>
          <w:sz w:val="20"/>
          <w:szCs w:val="20"/>
          <w:color w:val="auto"/>
        </w:rPr>
      </w:pPr>
      <w:r>
        <w:rPr>
          <w:rFonts w:ascii="Arial" w:cs="Arial" w:eastAsia="Arial" w:hAnsi="Arial"/>
          <w:sz w:val="18"/>
          <w:szCs w:val="18"/>
          <w:color w:val="auto"/>
        </w:rPr>
        <w:t>(For the years ended December 31, 2004, 2003 and 2002)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color w:val="auto"/>
              </w:rPr>
              <w:t>Capital</w:t>
            </w:r>
          </w:p>
        </w:tc>
        <w:tc>
          <w:tcPr>
            <w:tcW w:w="40" w:type="dxa"/>
            <w:vAlign w:val="bottom"/>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color w:val="auto"/>
              </w:rPr>
              <w:t>Treasury</w:t>
            </w:r>
          </w:p>
        </w:tc>
        <w:tc>
          <w:tcPr>
            <w:tcW w:w="1120" w:type="dxa"/>
            <w:vAlign w:val="bottom"/>
          </w:tcPr>
          <w:p>
            <w:pPr>
              <w:jc w:val="right"/>
              <w:ind w:right="312"/>
              <w:spacing w:after="0"/>
              <w:rPr>
                <w:sz w:val="20"/>
                <w:szCs w:val="20"/>
                <w:color w:val="auto"/>
              </w:rPr>
            </w:pPr>
            <w:r>
              <w:rPr>
                <w:rFonts w:ascii="Arial" w:cs="Arial" w:eastAsia="Arial" w:hAnsi="Arial"/>
                <w:sz w:val="14"/>
                <w:szCs w:val="14"/>
                <w:color w:val="auto"/>
              </w:rPr>
              <w:t>Capital</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Retained</w:t>
            </w:r>
          </w:p>
        </w:tc>
        <w:tc>
          <w:tcPr>
            <w:tcW w:w="1120" w:type="dxa"/>
            <w:vAlign w:val="bottom"/>
          </w:tcPr>
          <w:p>
            <w:pPr>
              <w:spacing w:after="0"/>
              <w:rPr>
                <w:sz w:val="14"/>
                <w:szCs w:val="14"/>
                <w:color w:val="auto"/>
              </w:rPr>
            </w:pPr>
          </w:p>
        </w:tc>
      </w:tr>
      <w:tr>
        <w:trPr>
          <w:trHeight w:val="172"/>
        </w:trPr>
        <w:tc>
          <w:tcPr>
            <w:tcW w:w="4500" w:type="dxa"/>
            <w:vAlign w:val="bottom"/>
          </w:tcPr>
          <w:p>
            <w:pPr>
              <w:spacing w:after="0"/>
              <w:rPr>
                <w:sz w:val="14"/>
                <w:szCs w:val="14"/>
                <w:color w:val="auto"/>
              </w:rPr>
            </w:pPr>
          </w:p>
        </w:tc>
        <w:tc>
          <w:tcPr>
            <w:tcW w:w="1120" w:type="dxa"/>
            <w:vAlign w:val="bottom"/>
          </w:tcPr>
          <w:p>
            <w:pPr>
              <w:jc w:val="right"/>
              <w:ind w:right="352"/>
              <w:spacing w:after="0"/>
              <w:rPr>
                <w:sz w:val="20"/>
                <w:szCs w:val="20"/>
                <w:color w:val="auto"/>
              </w:rPr>
            </w:pPr>
            <w:r>
              <w:rPr>
                <w:rFonts w:ascii="Arial" w:cs="Arial" w:eastAsia="Arial" w:hAnsi="Arial"/>
                <w:sz w:val="14"/>
                <w:szCs w:val="14"/>
                <w:color w:val="auto"/>
              </w:rPr>
              <w:t>stock</w:t>
            </w:r>
          </w:p>
        </w:tc>
        <w:tc>
          <w:tcPr>
            <w:tcW w:w="40" w:type="dxa"/>
            <w:vAlign w:val="bottom"/>
          </w:tcPr>
          <w:p>
            <w:pPr>
              <w:spacing w:after="0"/>
              <w:rPr>
                <w:sz w:val="14"/>
                <w:szCs w:val="14"/>
                <w:color w:val="auto"/>
              </w:rPr>
            </w:pPr>
          </w:p>
        </w:tc>
        <w:tc>
          <w:tcPr>
            <w:tcW w:w="1140" w:type="dxa"/>
            <w:vAlign w:val="bottom"/>
            <w:gridSpan w:val="2"/>
          </w:tcPr>
          <w:p>
            <w:pPr>
              <w:ind w:left="420"/>
              <w:spacing w:after="0"/>
              <w:rPr>
                <w:sz w:val="20"/>
                <w:szCs w:val="20"/>
                <w:color w:val="auto"/>
              </w:rPr>
            </w:pPr>
            <w:r>
              <w:rPr>
                <w:rFonts w:ascii="Arial" w:cs="Arial" w:eastAsia="Arial" w:hAnsi="Arial"/>
                <w:sz w:val="14"/>
                <w:szCs w:val="14"/>
                <w:color w:val="auto"/>
              </w:rPr>
              <w:t>stock</w:t>
            </w:r>
          </w:p>
        </w:tc>
        <w:tc>
          <w:tcPr>
            <w:tcW w:w="1120" w:type="dxa"/>
            <w:vAlign w:val="bottom"/>
          </w:tcPr>
          <w:p>
            <w:pPr>
              <w:jc w:val="right"/>
              <w:ind w:right="292"/>
              <w:spacing w:after="0"/>
              <w:rPr>
                <w:sz w:val="20"/>
                <w:szCs w:val="20"/>
                <w:color w:val="auto"/>
              </w:rPr>
            </w:pPr>
            <w:r>
              <w:rPr>
                <w:rFonts w:ascii="Arial" w:cs="Arial" w:eastAsia="Arial" w:hAnsi="Arial"/>
                <w:sz w:val="14"/>
                <w:szCs w:val="14"/>
                <w:color w:val="auto"/>
              </w:rPr>
              <w:t>surplus</w:t>
            </w:r>
          </w:p>
        </w:tc>
        <w:tc>
          <w:tcPr>
            <w:tcW w:w="2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Arial" w:cs="Arial" w:eastAsia="Arial" w:hAnsi="Arial"/>
                <w:sz w:val="14"/>
                <w:szCs w:val="14"/>
                <w:color w:val="auto"/>
              </w:rPr>
              <w:t>Reserves</w:t>
            </w:r>
          </w:p>
        </w:tc>
        <w:tc>
          <w:tcPr>
            <w:tcW w:w="2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earnings</w:t>
            </w:r>
          </w:p>
        </w:tc>
        <w:tc>
          <w:tcPr>
            <w:tcW w:w="1120" w:type="dxa"/>
            <w:vAlign w:val="bottom"/>
          </w:tcPr>
          <w:p>
            <w:pPr>
              <w:jc w:val="right"/>
              <w:ind w:right="372"/>
              <w:spacing w:after="0"/>
              <w:rPr>
                <w:sz w:val="20"/>
                <w:szCs w:val="20"/>
                <w:color w:val="auto"/>
              </w:rPr>
            </w:pPr>
            <w:r>
              <w:rPr>
                <w:rFonts w:ascii="Arial" w:cs="Arial" w:eastAsia="Arial" w:hAnsi="Arial"/>
                <w:sz w:val="14"/>
                <w:szCs w:val="14"/>
                <w:color w:val="auto"/>
              </w:rPr>
              <w:t>Total</w:t>
            </w:r>
          </w:p>
        </w:tc>
      </w:tr>
      <w:tr>
        <w:trPr>
          <w:trHeight w:val="351"/>
        </w:trPr>
        <w:tc>
          <w:tcPr>
            <w:tcW w:w="4500" w:type="dxa"/>
            <w:vAlign w:val="bottom"/>
          </w:tcPr>
          <w:p>
            <w:pPr>
              <w:spacing w:after="0"/>
              <w:rPr>
                <w:sz w:val="24"/>
                <w:szCs w:val="24"/>
                <w:color w:val="auto"/>
              </w:rPr>
            </w:pPr>
          </w:p>
        </w:tc>
        <w:tc>
          <w:tcPr>
            <w:tcW w:w="1120" w:type="dxa"/>
            <w:vAlign w:val="bottom"/>
          </w:tcPr>
          <w:p>
            <w:pPr>
              <w:jc w:val="right"/>
              <w:ind w:right="212"/>
              <w:spacing w:after="0"/>
              <w:rPr>
                <w:sz w:val="20"/>
                <w:szCs w:val="20"/>
                <w:color w:val="auto"/>
              </w:rPr>
            </w:pPr>
            <w:r>
              <w:rPr>
                <w:rFonts w:ascii="Arial" w:cs="Arial" w:eastAsia="Arial" w:hAnsi="Arial"/>
                <w:sz w:val="14"/>
                <w:szCs w:val="14"/>
                <w:color w:val="auto"/>
              </w:rPr>
              <w:t>US$(000)</w:t>
            </w:r>
          </w:p>
        </w:tc>
        <w:tc>
          <w:tcPr>
            <w:tcW w:w="4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US$(000)</w:t>
            </w: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US$(000)</w:t>
            </w:r>
          </w:p>
        </w:tc>
        <w:tc>
          <w:tcPr>
            <w:tcW w:w="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4"/>
                <w:szCs w:val="14"/>
                <w:color w:val="auto"/>
              </w:rPr>
              <w:t>US$(000)</w:t>
            </w:r>
          </w:p>
        </w:tc>
        <w:tc>
          <w:tcPr>
            <w:tcW w:w="20" w:type="dxa"/>
            <w:vAlign w:val="bottom"/>
          </w:tcPr>
          <w:p>
            <w:pPr>
              <w:spacing w:after="0"/>
              <w:rPr>
                <w:sz w:val="24"/>
                <w:szCs w:val="2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color w:val="auto"/>
                <w:w w:val="86"/>
              </w:rPr>
              <w:t>US$(000)</w:t>
            </w: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US$(000)</w:t>
            </w:r>
          </w:p>
        </w:tc>
      </w:tr>
      <w:tr>
        <w:trPr>
          <w:trHeight w:val="351"/>
        </w:trPr>
        <w:tc>
          <w:tcPr>
            <w:tcW w:w="4500" w:type="dxa"/>
            <w:vAlign w:val="bottom"/>
          </w:tcPr>
          <w:p>
            <w:pPr>
              <w:spacing w:after="0"/>
              <w:rPr>
                <w:sz w:val="20"/>
                <w:szCs w:val="20"/>
                <w:color w:val="auto"/>
              </w:rPr>
            </w:pPr>
            <w:r>
              <w:rPr>
                <w:rFonts w:ascii="Arial" w:cs="Arial" w:eastAsia="Arial" w:hAnsi="Arial"/>
                <w:sz w:val="14"/>
                <w:szCs w:val="14"/>
                <w:color w:val="auto"/>
              </w:rPr>
              <w:t>Balances as of January 1st, 2002</w:t>
            </w:r>
          </w:p>
        </w:tc>
        <w:tc>
          <w:tcPr>
            <w:tcW w:w="1120" w:type="dxa"/>
            <w:vAlign w:val="bottom"/>
          </w:tcPr>
          <w:p>
            <w:pPr>
              <w:jc w:val="right"/>
              <w:spacing w:after="0"/>
              <w:rPr>
                <w:sz w:val="20"/>
                <w:szCs w:val="20"/>
                <w:color w:val="auto"/>
              </w:rPr>
            </w:pPr>
            <w:r>
              <w:rPr>
                <w:rFonts w:ascii="Arial" w:cs="Arial" w:eastAsia="Arial" w:hAnsi="Arial"/>
                <w:sz w:val="14"/>
                <w:szCs w:val="14"/>
                <w:color w:val="auto"/>
              </w:rPr>
              <w:t>471,912</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(74,605)</w:t>
            </w:r>
          </w:p>
        </w:tc>
        <w:tc>
          <w:tcPr>
            <w:tcW w:w="1120" w:type="dxa"/>
            <w:vAlign w:val="bottom"/>
          </w:tcPr>
          <w:p>
            <w:pPr>
              <w:jc w:val="right"/>
              <w:spacing w:after="0"/>
              <w:rPr>
                <w:sz w:val="20"/>
                <w:szCs w:val="20"/>
                <w:color w:val="auto"/>
              </w:rPr>
            </w:pPr>
            <w:r>
              <w:rPr>
                <w:rFonts w:ascii="Arial" w:cs="Arial" w:eastAsia="Arial" w:hAnsi="Arial"/>
                <w:sz w:val="14"/>
                <w:szCs w:val="14"/>
                <w:color w:val="auto"/>
              </w:rPr>
              <w:t>139,020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104,104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156,342</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796,773</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Decrease in treasury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1,428</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2,908</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Cash dividends, note 15(d)</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(15,987)</w:t>
            </w:r>
          </w:p>
        </w:tc>
        <w:tc>
          <w:tcPr>
            <w:tcW w:w="1120" w:type="dxa"/>
            <w:vAlign w:val="bottom"/>
          </w:tcPr>
          <w:p>
            <w:pPr>
              <w:jc w:val="right"/>
              <w:spacing w:after="0"/>
              <w:rPr>
                <w:sz w:val="20"/>
                <w:szCs w:val="20"/>
                <w:color w:val="auto"/>
              </w:rPr>
            </w:pPr>
            <w:r>
              <w:rPr>
                <w:rFonts w:ascii="Arial" w:cs="Arial" w:eastAsia="Arial" w:hAnsi="Arial"/>
                <w:sz w:val="14"/>
                <w:szCs w:val="14"/>
                <w:color w:val="auto"/>
              </w:rPr>
              <w:t>(15,987)</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Net unrealized loss from investments available-for-sale, note 6(b)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(14,444)</w:t>
            </w:r>
          </w:p>
        </w:tc>
        <w:tc>
          <w:tcPr>
            <w:tcW w:w="1120" w:type="dxa"/>
            <w:vAlign w:val="bottom"/>
          </w:tcPr>
          <w:p>
            <w:pPr>
              <w:jc w:val="right"/>
              <w:spacing w:after="0"/>
              <w:rPr>
                <w:sz w:val="20"/>
                <w:szCs w:val="20"/>
                <w:color w:val="auto"/>
              </w:rPr>
            </w:pPr>
            <w:r>
              <w:rPr>
                <w:rFonts w:ascii="Arial" w:cs="Arial" w:eastAsia="Arial" w:hAnsi="Arial"/>
                <w:sz w:val="14"/>
                <w:szCs w:val="14"/>
                <w:color w:val="auto"/>
              </w:rPr>
              <w:t>(14,444)</w:t>
            </w:r>
          </w:p>
        </w:tc>
      </w:tr>
      <w:tr>
        <w:trPr>
          <w:trHeight w:val="152"/>
        </w:trPr>
        <w:tc>
          <w:tcPr>
            <w:tcW w:w="4500" w:type="dxa"/>
            <w:vAlign w:val="bottom"/>
          </w:tcPr>
          <w:p>
            <w:pPr>
              <w:spacing w:after="0" w:line="152" w:lineRule="exact"/>
              <w:rPr>
                <w:sz w:val="20"/>
                <w:szCs w:val="20"/>
                <w:color w:val="auto"/>
              </w:rPr>
            </w:pPr>
            <w:r>
              <w:rPr>
                <w:rFonts w:ascii="Arial" w:cs="Arial" w:eastAsia="Arial" w:hAnsi="Arial"/>
                <w:sz w:val="14"/>
                <w:szCs w:val="14"/>
                <w:color w:val="auto"/>
                <w:w w:val="91"/>
              </w:rPr>
              <w:t>Transfer of net realized loss and impairment losses from investments available-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for-sale to the operations results, net of realized gains, note -(b)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12,167</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12,167</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Net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42,383</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42,383</w:t>
            </w:r>
          </w:p>
        </w:tc>
      </w:tr>
      <w:tr>
        <w:trPr>
          <w:trHeight w:val="122"/>
        </w:trPr>
        <w:tc>
          <w:tcPr>
            <w:tcW w:w="450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290"/>
        </w:trPr>
        <w:tc>
          <w:tcPr>
            <w:tcW w:w="4500" w:type="dxa"/>
            <w:vAlign w:val="bottom"/>
          </w:tcPr>
          <w:p>
            <w:pPr>
              <w:spacing w:after="0"/>
              <w:rPr>
                <w:sz w:val="20"/>
                <w:szCs w:val="20"/>
                <w:color w:val="auto"/>
              </w:rPr>
            </w:pPr>
            <w:r>
              <w:rPr>
                <w:rFonts w:ascii="Arial" w:cs="Arial" w:eastAsia="Arial" w:hAnsi="Arial"/>
                <w:sz w:val="14"/>
                <w:szCs w:val="14"/>
                <w:color w:val="auto"/>
              </w:rPr>
              <w:t>Balances as of December 31, 2002</w:t>
            </w:r>
          </w:p>
        </w:tc>
        <w:tc>
          <w:tcPr>
            <w:tcW w:w="1120" w:type="dxa"/>
            <w:vAlign w:val="bottom"/>
          </w:tcPr>
          <w:p>
            <w:pPr>
              <w:jc w:val="right"/>
              <w:spacing w:after="0"/>
              <w:rPr>
                <w:sz w:val="20"/>
                <w:szCs w:val="20"/>
                <w:color w:val="auto"/>
              </w:rPr>
            </w:pPr>
            <w:r>
              <w:rPr>
                <w:rFonts w:ascii="Arial" w:cs="Arial" w:eastAsia="Arial" w:hAnsi="Arial"/>
                <w:sz w:val="14"/>
                <w:szCs w:val="14"/>
                <w:color w:val="auto"/>
              </w:rPr>
              <w:t>471,912</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(73,177)</w:t>
            </w:r>
          </w:p>
        </w:tc>
        <w:tc>
          <w:tcPr>
            <w:tcW w:w="1120" w:type="dxa"/>
            <w:vAlign w:val="bottom"/>
          </w:tcPr>
          <w:p>
            <w:pPr>
              <w:jc w:val="right"/>
              <w:spacing w:after="0"/>
              <w:rPr>
                <w:sz w:val="20"/>
                <w:szCs w:val="20"/>
                <w:color w:val="auto"/>
              </w:rPr>
            </w:pPr>
            <w:r>
              <w:rPr>
                <w:rFonts w:ascii="Arial" w:cs="Arial" w:eastAsia="Arial" w:hAnsi="Arial"/>
                <w:sz w:val="14"/>
                <w:szCs w:val="14"/>
                <w:color w:val="auto"/>
              </w:rPr>
              <w:t>140,500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104,104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180,461</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823,800</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Cash dividends, note 15(d)</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(23,922)</w:t>
            </w:r>
          </w:p>
        </w:tc>
        <w:tc>
          <w:tcPr>
            <w:tcW w:w="1120" w:type="dxa"/>
            <w:vAlign w:val="bottom"/>
          </w:tcPr>
          <w:p>
            <w:pPr>
              <w:jc w:val="right"/>
              <w:spacing w:after="0"/>
              <w:rPr>
                <w:sz w:val="20"/>
                <w:szCs w:val="20"/>
                <w:color w:val="auto"/>
              </w:rPr>
            </w:pPr>
            <w:r>
              <w:rPr>
                <w:rFonts w:ascii="Arial" w:cs="Arial" w:eastAsia="Arial" w:hAnsi="Arial"/>
                <w:sz w:val="14"/>
                <w:szCs w:val="14"/>
                <w:color w:val="auto"/>
              </w:rPr>
              <w:t>(23,922)</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Transfer of retained earnings to reserve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165,423</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(165,423)</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Net unrealized gain from investments available-for-sale, note 6(b)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18,844</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18,844</w:t>
            </w:r>
          </w:p>
        </w:tc>
      </w:tr>
      <w:tr>
        <w:trPr>
          <w:trHeight w:val="152"/>
        </w:trPr>
        <w:tc>
          <w:tcPr>
            <w:tcW w:w="4500" w:type="dxa"/>
            <w:vAlign w:val="bottom"/>
          </w:tcPr>
          <w:p>
            <w:pPr>
              <w:spacing w:after="0" w:line="152" w:lineRule="exact"/>
              <w:rPr>
                <w:sz w:val="20"/>
                <w:szCs w:val="20"/>
                <w:color w:val="auto"/>
              </w:rPr>
            </w:pPr>
            <w:r>
              <w:rPr>
                <w:rFonts w:ascii="Arial" w:cs="Arial" w:eastAsia="Arial" w:hAnsi="Arial"/>
                <w:sz w:val="14"/>
                <w:szCs w:val="14"/>
                <w:color w:val="auto"/>
                <w:w w:val="91"/>
              </w:rPr>
              <w:t>Transfer of net realized loss and impairment losses from investments available-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for-sale to the operations results, net of realized gains, note -(b)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11,401</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11,401</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Net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80,607</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80,607</w:t>
            </w:r>
          </w:p>
        </w:tc>
      </w:tr>
      <w:tr>
        <w:trPr>
          <w:trHeight w:val="122"/>
        </w:trPr>
        <w:tc>
          <w:tcPr>
            <w:tcW w:w="450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290"/>
        </w:trPr>
        <w:tc>
          <w:tcPr>
            <w:tcW w:w="4500" w:type="dxa"/>
            <w:vAlign w:val="bottom"/>
          </w:tcPr>
          <w:p>
            <w:pPr>
              <w:spacing w:after="0"/>
              <w:rPr>
                <w:sz w:val="20"/>
                <w:szCs w:val="20"/>
                <w:color w:val="auto"/>
              </w:rPr>
            </w:pPr>
            <w:r>
              <w:rPr>
                <w:rFonts w:ascii="Arial" w:cs="Arial" w:eastAsia="Arial" w:hAnsi="Arial"/>
                <w:sz w:val="14"/>
                <w:szCs w:val="14"/>
                <w:color w:val="auto"/>
              </w:rPr>
              <w:t>Balances as of December 31, 2003</w:t>
            </w:r>
          </w:p>
        </w:tc>
        <w:tc>
          <w:tcPr>
            <w:tcW w:w="1120" w:type="dxa"/>
            <w:vAlign w:val="bottom"/>
          </w:tcPr>
          <w:p>
            <w:pPr>
              <w:jc w:val="right"/>
              <w:spacing w:after="0"/>
              <w:rPr>
                <w:sz w:val="20"/>
                <w:szCs w:val="20"/>
                <w:color w:val="auto"/>
              </w:rPr>
            </w:pPr>
            <w:r>
              <w:rPr>
                <w:rFonts w:ascii="Arial" w:cs="Arial" w:eastAsia="Arial" w:hAnsi="Arial"/>
                <w:sz w:val="14"/>
                <w:szCs w:val="14"/>
                <w:color w:val="auto"/>
              </w:rPr>
              <w:t>471,912</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(73,177)</w:t>
            </w:r>
          </w:p>
        </w:tc>
        <w:tc>
          <w:tcPr>
            <w:tcW w:w="1120" w:type="dxa"/>
            <w:vAlign w:val="bottom"/>
          </w:tcPr>
          <w:p>
            <w:pPr>
              <w:jc w:val="right"/>
              <w:spacing w:after="0"/>
              <w:rPr>
                <w:sz w:val="20"/>
                <w:szCs w:val="20"/>
                <w:color w:val="auto"/>
              </w:rPr>
            </w:pPr>
            <w:r>
              <w:rPr>
                <w:rFonts w:ascii="Arial" w:cs="Arial" w:eastAsia="Arial" w:hAnsi="Arial"/>
                <w:sz w:val="14"/>
                <w:szCs w:val="14"/>
                <w:color w:val="auto"/>
              </w:rPr>
              <w:t>140,500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269,527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101,968</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910,730</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Decrease in treasury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Cash dividends, note 15(d)</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(31,900)</w:t>
            </w:r>
          </w:p>
        </w:tc>
        <w:tc>
          <w:tcPr>
            <w:tcW w:w="1120" w:type="dxa"/>
            <w:vAlign w:val="bottom"/>
          </w:tcPr>
          <w:p>
            <w:pPr>
              <w:jc w:val="right"/>
              <w:spacing w:after="0"/>
              <w:rPr>
                <w:sz w:val="20"/>
                <w:szCs w:val="20"/>
                <w:color w:val="auto"/>
              </w:rPr>
            </w:pPr>
            <w:r>
              <w:rPr>
                <w:rFonts w:ascii="Arial" w:cs="Arial" w:eastAsia="Arial" w:hAnsi="Arial"/>
                <w:sz w:val="14"/>
                <w:szCs w:val="14"/>
                <w:color w:val="auto"/>
              </w:rPr>
              <w:t>(31,900)</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Net unrealized gain from investments available-for-sale, note 6(b)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56,746</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56,746</w:t>
            </w:r>
          </w:p>
        </w:tc>
      </w:tr>
      <w:tr>
        <w:trPr>
          <w:trHeight w:val="152"/>
        </w:trPr>
        <w:tc>
          <w:tcPr>
            <w:tcW w:w="4500" w:type="dxa"/>
            <w:vAlign w:val="bottom"/>
          </w:tcPr>
          <w:p>
            <w:pPr>
              <w:spacing w:after="0" w:line="152" w:lineRule="exact"/>
              <w:rPr>
                <w:sz w:val="20"/>
                <w:szCs w:val="20"/>
                <w:color w:val="auto"/>
              </w:rPr>
            </w:pPr>
            <w:r>
              <w:rPr>
                <w:rFonts w:ascii="Arial" w:cs="Arial" w:eastAsia="Arial" w:hAnsi="Arial"/>
                <w:sz w:val="14"/>
                <w:szCs w:val="14"/>
                <w:color w:val="auto"/>
                <w:w w:val="91"/>
              </w:rPr>
              <w:t>Transfer of net realized loss and impairment losses from investments available-</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for-sale to the operations results, net of realized gains, note -(b)</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(1,365)</w:t>
            </w:r>
          </w:p>
        </w:tc>
        <w:tc>
          <w:tcPr>
            <w:tcW w:w="1120" w:type="dxa"/>
            <w:vAlign w:val="bottom"/>
          </w:tcPr>
          <w:p>
            <w:pPr>
              <w:jc w:val="right"/>
              <w:spacing w:after="0"/>
              <w:rPr>
                <w:sz w:val="20"/>
                <w:szCs w:val="20"/>
                <w:color w:val="auto"/>
              </w:rPr>
            </w:pPr>
            <w:r>
              <w:rPr>
                <w:rFonts w:ascii="Arial" w:cs="Arial" w:eastAsia="Arial" w:hAnsi="Arial"/>
                <w:sz w:val="14"/>
                <w:szCs w:val="14"/>
                <w:color w:val="auto"/>
              </w:rPr>
              <w:t>(1,365)</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Other</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(24)</w:t>
            </w:r>
          </w:p>
        </w:tc>
        <w:tc>
          <w:tcPr>
            <w:tcW w:w="11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76"/>
        </w:trPr>
        <w:tc>
          <w:tcPr>
            <w:tcW w:w="4500" w:type="dxa"/>
            <w:vAlign w:val="bottom"/>
          </w:tcPr>
          <w:p>
            <w:pPr>
              <w:spacing w:after="0"/>
              <w:rPr>
                <w:sz w:val="20"/>
                <w:szCs w:val="20"/>
                <w:color w:val="auto"/>
              </w:rPr>
            </w:pPr>
            <w:r>
              <w:rPr>
                <w:rFonts w:ascii="Arial" w:cs="Arial" w:eastAsia="Arial" w:hAnsi="Arial"/>
                <w:sz w:val="14"/>
                <w:szCs w:val="14"/>
                <w:color w:val="auto"/>
              </w:rPr>
              <w:t>Net income</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130,747</w:t>
            </w:r>
          </w:p>
        </w:tc>
        <w:tc>
          <w:tcPr>
            <w:tcW w:w="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130,747</w:t>
            </w:r>
          </w:p>
        </w:tc>
      </w:tr>
      <w:tr>
        <w:trPr>
          <w:trHeight w:val="122"/>
        </w:trPr>
        <w:tc>
          <w:tcPr>
            <w:tcW w:w="450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r>
        <w:trPr>
          <w:trHeight w:val="290"/>
        </w:trPr>
        <w:tc>
          <w:tcPr>
            <w:tcW w:w="4500" w:type="dxa"/>
            <w:vAlign w:val="bottom"/>
          </w:tcPr>
          <w:p>
            <w:pPr>
              <w:spacing w:after="0"/>
              <w:rPr>
                <w:sz w:val="20"/>
                <w:szCs w:val="20"/>
                <w:color w:val="auto"/>
              </w:rPr>
            </w:pPr>
            <w:r>
              <w:rPr>
                <w:rFonts w:ascii="Arial" w:cs="Arial" w:eastAsia="Arial" w:hAnsi="Arial"/>
                <w:sz w:val="14"/>
                <w:szCs w:val="14"/>
                <w:color w:val="auto"/>
              </w:rPr>
              <w:t>Balances as of December 31, 2004</w:t>
            </w:r>
          </w:p>
        </w:tc>
        <w:tc>
          <w:tcPr>
            <w:tcW w:w="1120" w:type="dxa"/>
            <w:vAlign w:val="bottom"/>
          </w:tcPr>
          <w:p>
            <w:pPr>
              <w:jc w:val="right"/>
              <w:spacing w:after="0"/>
              <w:rPr>
                <w:sz w:val="20"/>
                <w:szCs w:val="20"/>
                <w:color w:val="auto"/>
              </w:rPr>
            </w:pPr>
            <w:r>
              <w:rPr>
                <w:rFonts w:ascii="Arial" w:cs="Arial" w:eastAsia="Arial" w:hAnsi="Arial"/>
                <w:sz w:val="14"/>
                <w:szCs w:val="14"/>
                <w:color w:val="auto"/>
              </w:rPr>
              <w:t>471,912</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(73,107)</w:t>
            </w:r>
          </w:p>
        </w:tc>
        <w:tc>
          <w:tcPr>
            <w:tcW w:w="1120" w:type="dxa"/>
            <w:vAlign w:val="bottom"/>
          </w:tcPr>
          <w:p>
            <w:pPr>
              <w:jc w:val="right"/>
              <w:spacing w:after="0"/>
              <w:rPr>
                <w:sz w:val="20"/>
                <w:szCs w:val="20"/>
                <w:color w:val="auto"/>
              </w:rPr>
            </w:pPr>
            <w:r>
              <w:rPr>
                <w:rFonts w:ascii="Arial" w:cs="Arial" w:eastAsia="Arial" w:hAnsi="Arial"/>
                <w:sz w:val="14"/>
                <w:szCs w:val="14"/>
                <w:color w:val="auto"/>
              </w:rPr>
              <w:t>140,693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269,527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256,172</w:t>
            </w: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1,065,197</w:t>
            </w:r>
          </w:p>
        </w:tc>
      </w:tr>
      <w:tr>
        <w:trPr>
          <w:trHeight w:val="122"/>
        </w:trPr>
        <w:tc>
          <w:tcPr>
            <w:tcW w:w="450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-2258695</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-2258695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-2258695</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-2258695</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6467475</wp:posOffset>
            </wp:positionH>
            <wp:positionV relativeFrom="paragraph">
              <wp:posOffset>-2258695</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-2258695</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-1332865</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-1332865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-1332865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-1332865</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6467475</wp:posOffset>
            </wp:positionH>
            <wp:positionV relativeFrom="paragraph">
              <wp:posOffset>-1332865</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-1332865</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-295275</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-295275</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-295275</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-295275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6467475</wp:posOffset>
            </wp:positionH>
            <wp:positionV relativeFrom="paragraph">
              <wp:posOffset>-295275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-295275</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-20955</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-20955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-20955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-20955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6467475</wp:posOffset>
            </wp:positionH>
            <wp:positionV relativeFrom="paragraph">
              <wp:posOffset>-20955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-20955</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60"/>
          </w:cols>
          <w:pgMar w:left="280" w:top="347"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5760" w:type="dxa"/>
            <w:vAlign w:val="bottom"/>
            <w:gridSpan w:val="3"/>
          </w:tcPr>
          <w:p>
            <w:pPr>
              <w:jc w:val="center"/>
              <w:ind w:right="2220"/>
              <w:spacing w:after="0"/>
              <w:rPr>
                <w:sz w:val="20"/>
                <w:szCs w:val="20"/>
                <w:color w:val="auto"/>
              </w:rPr>
            </w:pPr>
            <w:r>
              <w:rPr>
                <w:rFonts w:ascii="Arial" w:cs="Arial" w:eastAsia="Arial" w:hAnsi="Arial"/>
                <w:sz w:val="18"/>
                <w:szCs w:val="18"/>
                <w:color w:val="auto"/>
                <w:w w:val="93"/>
              </w:rPr>
              <w:t>CREDICORP LTD. AND SUBSIDIARIES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00" w:type="dxa"/>
            <w:vAlign w:val="bottom"/>
          </w:tcPr>
          <w:p>
            <w:pPr>
              <w:spacing w:after="0"/>
              <w:rPr>
                <w:sz w:val="24"/>
                <w:szCs w:val="24"/>
                <w:color w:val="auto"/>
              </w:rPr>
            </w:pPr>
          </w:p>
        </w:tc>
        <w:tc>
          <w:tcPr>
            <w:tcW w:w="5760" w:type="dxa"/>
            <w:vAlign w:val="bottom"/>
            <w:gridSpan w:val="3"/>
          </w:tcPr>
          <w:p>
            <w:pPr>
              <w:ind w:left="540"/>
              <w:spacing w:after="0"/>
              <w:rPr>
                <w:sz w:val="20"/>
                <w:szCs w:val="20"/>
                <w:color w:val="auto"/>
              </w:rPr>
            </w:pPr>
            <w:r>
              <w:rPr>
                <w:rFonts w:ascii="Arial" w:cs="Arial" w:eastAsia="Arial" w:hAnsi="Arial"/>
                <w:sz w:val="18"/>
                <w:szCs w:val="18"/>
                <w:color w:val="auto"/>
              </w:rPr>
              <w:t>Consolidated cash flow statements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5760" w:type="dxa"/>
            <w:vAlign w:val="bottom"/>
            <w:gridSpan w:val="3"/>
          </w:tcPr>
          <w:p>
            <w:pPr>
              <w:jc w:val="center"/>
              <w:ind w:right="2220"/>
              <w:spacing w:after="0"/>
              <w:rPr>
                <w:sz w:val="20"/>
                <w:szCs w:val="20"/>
                <w:color w:val="auto"/>
              </w:rPr>
            </w:pPr>
            <w:r>
              <w:rPr>
                <w:rFonts w:ascii="Arial" w:cs="Arial" w:eastAsia="Arial" w:hAnsi="Arial"/>
                <w:sz w:val="18"/>
                <w:szCs w:val="18"/>
                <w:color w:val="auto"/>
                <w:w w:val="86"/>
              </w:rPr>
              <w:t>(For the years ended December, 2004 and 2003)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900" w:type="dxa"/>
            <w:vAlign w:val="bottom"/>
          </w:tcPr>
          <w:p>
            <w:pPr>
              <w:spacing w:after="0"/>
              <w:rPr>
                <w:sz w:val="24"/>
                <w:szCs w:val="24"/>
                <w:color w:val="auto"/>
              </w:rPr>
            </w:pPr>
          </w:p>
        </w:tc>
        <w:tc>
          <w:tcPr>
            <w:tcW w:w="5740" w:type="dxa"/>
            <w:vAlign w:val="bottom"/>
            <w:gridSpan w:val="2"/>
          </w:tcPr>
          <w:p>
            <w:pPr>
              <w:jc w:val="right"/>
              <w:ind w:right="612"/>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24"/>
                <w:szCs w:val="24"/>
                <w:color w:val="auto"/>
              </w:rPr>
            </w:pPr>
          </w:p>
        </w:tc>
        <w:tc>
          <w:tcPr>
            <w:tcW w:w="1700" w:type="dxa"/>
            <w:vAlign w:val="bottom"/>
          </w:tcPr>
          <w:p>
            <w:pPr>
              <w:jc w:val="right"/>
              <w:ind w:right="612"/>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720" w:type="dxa"/>
            <w:vAlign w:val="bottom"/>
            <w:gridSpan w:val="2"/>
          </w:tcPr>
          <w:p>
            <w:pPr>
              <w:ind w:left="500"/>
              <w:spacing w:after="0"/>
              <w:rPr>
                <w:sz w:val="20"/>
                <w:szCs w:val="20"/>
                <w:color w:val="auto"/>
              </w:rPr>
            </w:pPr>
            <w:r>
              <w:rPr>
                <w:rFonts w:ascii="Arial" w:cs="Arial" w:eastAsia="Arial" w:hAnsi="Arial"/>
                <w:sz w:val="18"/>
                <w:szCs w:val="18"/>
                <w:color w:val="auto"/>
              </w:rPr>
              <w:t>US$(000)</w:t>
            </w:r>
          </w:p>
        </w:tc>
        <w:tc>
          <w:tcPr>
            <w:tcW w:w="1700" w:type="dxa"/>
            <w:vAlign w:val="bottom"/>
          </w:tcPr>
          <w:p>
            <w:pPr>
              <w:jc w:val="right"/>
              <w:ind w:right="412"/>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130,747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80,607</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Add (deduct)</w:t>
            </w:r>
          </w:p>
        </w:tc>
        <w:tc>
          <w:tcPr>
            <w:tcW w:w="4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16,131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66,421</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41,742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43,660</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Amortization of goodwill</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4,853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14,639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13,588</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Minority interest</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10,765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10,303</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Provision for sundry risks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9,819</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Deferred income tax</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Gain on sale on available for sale securities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(10,135)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w w:val="96"/>
              </w:rPr>
              <w:t>Loss on sales of property, furniture and equipment</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4,525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Translation loss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Sale (purchase) of trading securities, net</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(3,788)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506,358</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4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Decrease (increase) in loans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(142,316)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136,994</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42,402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16,504</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Increase (decrease) in deposits and obligations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296,094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(418,569)</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Decrease in due to banks and correspondents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156,815</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(36,467)</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Increase (decrease) in other liabilities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139,626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90,435</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39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703,554</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522,568</w:t>
            </w:r>
          </w:p>
        </w:tc>
        <w:tc>
          <w:tcPr>
            <w:tcW w:w="0" w:type="dxa"/>
            <w:vAlign w:val="bottom"/>
          </w:tcPr>
          <w:p>
            <w:pPr>
              <w:spacing w:after="0"/>
              <w:rPr>
                <w:sz w:val="1"/>
                <w:szCs w:val="1"/>
                <w:color w:val="auto"/>
              </w:rPr>
            </w:pPr>
          </w:p>
        </w:tc>
      </w:tr>
      <w:tr>
        <w:trPr>
          <w:trHeight w:val="137"/>
        </w:trPr>
        <w:tc>
          <w:tcPr>
            <w:tcW w:w="390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0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86"/>
        </w:trPr>
        <w:tc>
          <w:tcPr>
            <w:tcW w:w="390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Purchase of investments available-for-sale</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(410,693)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(984,815)</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Purchase of property, furniture and equipment</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(41,087)</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(29,919)</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Sales of property, furniture and equipment</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7,788</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23,951</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3900" w:type="dxa"/>
            <w:vAlign w:val="bottom"/>
          </w:tcPr>
          <w:p>
            <w:pPr>
              <w:spacing w:after="0"/>
              <w:rPr>
                <w:sz w:val="20"/>
                <w:szCs w:val="20"/>
                <w:color w:val="auto"/>
              </w:rPr>
            </w:pPr>
            <w:r>
              <w:rPr>
                <w:rFonts w:ascii="Arial" w:cs="Arial" w:eastAsia="Arial" w:hAnsi="Arial"/>
                <w:sz w:val="18"/>
                <w:szCs w:val="18"/>
                <w:color w:val="auto"/>
                <w:w w:val="98"/>
              </w:rPr>
              <w:t>Net cash provided by (used in) investing activities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(443,992)</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(990,783)</w:t>
            </w:r>
          </w:p>
        </w:tc>
        <w:tc>
          <w:tcPr>
            <w:tcW w:w="0" w:type="dxa"/>
            <w:vAlign w:val="bottom"/>
          </w:tcPr>
          <w:p>
            <w:pPr>
              <w:spacing w:after="0"/>
              <w:rPr>
                <w:sz w:val="1"/>
                <w:szCs w:val="1"/>
                <w:color w:val="auto"/>
              </w:rPr>
            </w:pPr>
          </w:p>
        </w:tc>
      </w:tr>
      <w:tr>
        <w:trPr>
          <w:trHeight w:val="137"/>
        </w:trPr>
        <w:tc>
          <w:tcPr>
            <w:tcW w:w="390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40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86"/>
        </w:trPr>
        <w:tc>
          <w:tcPr>
            <w:tcW w:w="390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Decrease (increase) in bonds issued</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4,516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Sales (purchase) of treasury stocks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Cash dividends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(31,900)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3900" w:type="dxa"/>
            <w:vAlign w:val="bottom"/>
          </w:tcPr>
          <w:p>
            <w:pPr>
              <w:spacing w:after="0"/>
              <w:rPr>
                <w:sz w:val="20"/>
                <w:szCs w:val="20"/>
                <w:color w:val="auto"/>
              </w:rPr>
            </w:pPr>
            <w:r>
              <w:rPr>
                <w:rFonts w:ascii="Arial" w:cs="Arial" w:eastAsia="Arial" w:hAnsi="Arial"/>
                <w:sz w:val="18"/>
                <w:szCs w:val="18"/>
                <w:color w:val="auto"/>
                <w:w w:val="98"/>
              </w:rPr>
              <w:t>Net cash provided by (used in) financing activities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(27,121)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(95,440)</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86"/>
        </w:trPr>
        <w:tc>
          <w:tcPr>
            <w:tcW w:w="3900" w:type="dxa"/>
            <w:vAlign w:val="bottom"/>
          </w:tcPr>
          <w:p>
            <w:pPr>
              <w:spacing w:after="0"/>
              <w:rPr>
                <w:sz w:val="20"/>
                <w:szCs w:val="20"/>
                <w:color w:val="auto"/>
              </w:rPr>
            </w:pPr>
            <w:r>
              <w:rPr>
                <w:rFonts w:ascii="Arial" w:cs="Arial" w:eastAsia="Arial" w:hAnsi="Arial"/>
                <w:sz w:val="18"/>
                <w:szCs w:val="18"/>
                <w:color w:val="auto"/>
                <w:w w:val="92"/>
              </w:rPr>
              <w:t>Translation (loss) gain on cash and cash equivalents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86"/>
        </w:trPr>
        <w:tc>
          <w:tcPr>
            <w:tcW w:w="3900" w:type="dxa"/>
            <w:vAlign w:val="bottom"/>
          </w:tcPr>
          <w:p>
            <w:pPr>
              <w:spacing w:after="0"/>
              <w:rPr>
                <w:sz w:val="20"/>
                <w:szCs w:val="20"/>
                <w:color w:val="auto"/>
              </w:rPr>
            </w:pPr>
            <w:r>
              <w:rPr>
                <w:rFonts w:ascii="Arial" w:cs="Arial" w:eastAsia="Arial" w:hAnsi="Arial"/>
                <w:sz w:val="18"/>
                <w:szCs w:val="18"/>
                <w:color w:val="auto"/>
                <w:w w:val="90"/>
              </w:rPr>
              <w:t>Net increase (decrease) in cash and cash equivalents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230,401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(567,330)</w:t>
            </w:r>
          </w:p>
        </w:tc>
        <w:tc>
          <w:tcPr>
            <w:tcW w:w="0" w:type="dxa"/>
            <w:vAlign w:val="bottom"/>
          </w:tcPr>
          <w:p>
            <w:pPr>
              <w:spacing w:after="0"/>
              <w:rPr>
                <w:sz w:val="1"/>
                <w:szCs w:val="1"/>
                <w:color w:val="auto"/>
              </w:rPr>
            </w:pP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w w:val="88"/>
              </w:rPr>
              <w:t>Cash and cash equivalents at the beginning of the year</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1,615,060</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2,182,390</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86"/>
        </w:trPr>
        <w:tc>
          <w:tcPr>
            <w:tcW w:w="3900" w:type="dxa"/>
            <w:vAlign w:val="bottom"/>
          </w:tcPr>
          <w:p>
            <w:pPr>
              <w:spacing w:after="0"/>
              <w:rPr>
                <w:sz w:val="20"/>
                <w:szCs w:val="20"/>
                <w:color w:val="auto"/>
              </w:rPr>
            </w:pPr>
            <w:r>
              <w:rPr>
                <w:rFonts w:ascii="Arial" w:cs="Arial" w:eastAsia="Arial" w:hAnsi="Arial"/>
                <w:sz w:val="18"/>
                <w:szCs w:val="18"/>
                <w:color w:val="auto"/>
                <w:w w:val="99"/>
              </w:rPr>
              <w:t>Cash and cash equivalents at the end of the year</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1,845,461</w:t>
            </w:r>
          </w:p>
        </w:tc>
        <w:tc>
          <w:tcPr>
            <w:tcW w:w="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1,615,060</w:t>
            </w:r>
          </w:p>
        </w:tc>
        <w:tc>
          <w:tcPr>
            <w:tcW w:w="0" w:type="dxa"/>
            <w:vAlign w:val="bottom"/>
          </w:tcPr>
          <w:p>
            <w:pPr>
              <w:spacing w:after="0"/>
              <w:rPr>
                <w:sz w:val="1"/>
                <w:szCs w:val="1"/>
                <w:color w:val="auto"/>
              </w:rPr>
            </w:pPr>
          </w:p>
        </w:tc>
      </w:tr>
      <w:tr>
        <w:trPr>
          <w:trHeight w:val="137"/>
        </w:trPr>
        <w:tc>
          <w:tcPr>
            <w:tcW w:w="3900" w:type="dxa"/>
            <w:vAlign w:val="bottom"/>
            <w:vMerge w:val="restart"/>
          </w:tcPr>
          <w:p>
            <w:pPr>
              <w:spacing w:after="0"/>
              <w:rPr>
                <w:sz w:val="20"/>
                <w:szCs w:val="20"/>
                <w:color w:val="auto"/>
              </w:rPr>
            </w:pPr>
            <w:r>
              <w:rPr>
                <w:rFonts w:ascii="Arial" w:cs="Arial" w:eastAsia="Arial" w:hAnsi="Arial"/>
                <w:sz w:val="18"/>
                <w:szCs w:val="18"/>
                <w:color w:val="auto"/>
              </w:rPr>
              <w:t>Supplementary cash flows information:</w:t>
            </w:r>
          </w:p>
        </w:tc>
        <w:tc>
          <w:tcPr>
            <w:tcW w:w="404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86"/>
        </w:trPr>
        <w:tc>
          <w:tcPr>
            <w:tcW w:w="390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4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Interest</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158,414</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146,972</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Income taxes</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43,866</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6098540</wp:posOffset>
            </wp:positionH>
            <wp:positionV relativeFrom="paragraph">
              <wp:posOffset>-5405120</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-5405120</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-5087620</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-5087620</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-4152900</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-4152900</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-3835400</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-3835400</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-2900680</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-2900680</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-2583815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-2583815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-2112010</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-2112010</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-1331595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-1331595</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-859790</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-859790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60"/>
          </w:cols>
          <w:pgMar w:left="280" w:top="347" w:right="259" w:bottom="618"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7266940</wp:posOffset>
            </wp:positionH>
            <wp:positionV relativeFrom="page">
              <wp:posOffset>88900</wp:posOffset>
            </wp:positionV>
            <wp:extent cx="137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t>Credicorp Ltd. and Subsidiaries</w:t>
      </w:r>
    </w:p>
    <w:p>
      <w:pPr>
        <w:sectPr>
          <w:pgSz w:w="11900" w:h="16838" w:orient="portrait"/>
          <w:cols w:equalWidth="0" w:num="1">
            <w:col w:w="9019"/>
          </w:cols>
          <w:pgMar w:left="1440" w:top="5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Information Document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2004</w:t>
      </w:r>
    </w:p>
    <w:p>
      <w:pPr>
        <w:sectPr>
          <w:pgSz w:w="11900" w:h="16838" w:orient="portrait"/>
          <w:cols w:equalWidth="0" w:num="1">
            <w:col w:w="9019"/>
          </w:cols>
          <w:pgMar w:left="1440" w:top="563" w:right="1440"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Section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Declaration of Responsibility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contains truthful and sufficiently detailed information with respect to the business activity of Credicorp Ltd. and its subsidiaries during year 2004. Notwithstanding the responsibilities of the registrant, the undersigned is responsible for the information under the scope of its competence according to applicable regulations.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WALTER BAYLY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Walter Bayly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2005</w:t>
      </w:r>
    </w:p>
    <w:p>
      <w:pPr>
        <w:sectPr>
          <w:pgSz w:w="11900" w:h="16838" w:orient="portrait"/>
          <w:cols w:equalWidth="0" w:num="1">
            <w:col w:w="11420"/>
          </w:cols>
          <w:pgMar w:left="240" w:top="347"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color w:val="auto"/>
        </w:rPr>
        <w:t>Section II</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General Information</w:t>
      </w:r>
    </w:p>
    <w:p>
      <w:pPr>
        <w:sectPr>
          <w:pgSz w:w="11900" w:h="16838" w:orient="portrait"/>
          <w:cols w:equalWidth="0" w:num="1">
            <w:col w:w="11420"/>
          </w:cols>
          <w:pgMar w:left="240" w:top="347"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Name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Credicorp Ltd.</w:t>
      </w:r>
    </w:p>
    <w:p>
      <w:pPr>
        <w:spacing w:after="0" w:line="200" w:lineRule="exact"/>
        <w:rPr>
          <w:sz w:val="20"/>
          <w:szCs w:val="20"/>
          <w:color w:val="auto"/>
        </w:rPr>
      </w:pPr>
    </w:p>
    <w:p>
      <w:pPr>
        <w:sectPr>
          <w:pgSz w:w="11900" w:h="16838" w:orient="portrait"/>
          <w:cols w:equalWidth="0" w:num="2">
            <w:col w:w="1000" w:space="720"/>
            <w:col w:w="9700"/>
          </w:cols>
          <w:pgMar w:left="240" w:top="34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Centenario 156, La Molina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Lima 12 , Peru</w:t>
      </w:r>
    </w:p>
    <w:p>
      <w:pPr>
        <w:spacing w:after="0" w:line="200" w:lineRule="exact"/>
        <w:rPr>
          <w:sz w:val="20"/>
          <w:szCs w:val="20"/>
          <w:color w:val="auto"/>
        </w:rPr>
      </w:pPr>
    </w:p>
    <w:p>
      <w:pPr>
        <w:sectPr>
          <w:pgSz w:w="11900" w:h="16838" w:orient="portrait"/>
          <w:cols w:equalWidth="0" w:num="2">
            <w:col w:w="1000" w:space="720"/>
            <w:col w:w="9700"/>
          </w:cols>
          <w:pgMar w:left="240" w:top="347" w:right="23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Telephone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Fax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51-1-313-2000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51-1-313-2135</w:t>
      </w:r>
    </w:p>
    <w:p>
      <w:pPr>
        <w:spacing w:after="0" w:line="222" w:lineRule="exact"/>
        <w:rPr>
          <w:sz w:val="20"/>
          <w:szCs w:val="20"/>
          <w:color w:val="auto"/>
        </w:rPr>
      </w:pPr>
    </w:p>
    <w:p>
      <w:pPr>
        <w:sectPr>
          <w:pgSz w:w="11900" w:h="16838" w:orient="portrait"/>
          <w:cols w:equalWidth="0" w:num="2">
            <w:col w:w="1000" w:space="720"/>
            <w:col w:w="9700"/>
          </w:cols>
          <w:pgMar w:left="240" w:top="347" w:right="239"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347" w:right="239"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Credicorp Ltd, August 17th, 1995 in Hamilton, Bermuda, registry No. EC21045.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duration of the society is indefinite.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Business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Credicorp was formed in 1995 for the purposes of acquiring through an exchange offer (the “Exchange Offer”) the common shares of BCP, ASHC and PPS. Pursuant to the Exchange Offer, in October 1995, Credicorp acquired 90.1% of BCP; 98.2% of ASHC; and 75.8% of PPS. Credicorp’s shares began to be traded in the New York Stock Exchange, immediately after finishing the exchange offer, with a closing price at such date of US$11.61 (adjusted for stock dividends). Credicorp acquired in March 19, 1996, pursuant to an exchange offer, the remaining 1.8% outstanding shares of ASHC. Credicorp also owns 99.99% of Inversiones Credito, which is a non-financial entity with long-term investments.</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BCP began operations in 1889 as Banco Italiano and changed its name to Banco de Crédito del Perú in 1941. BCP has been the largest commercial bank in Peru since the 1920s.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ASHC was organized in December 1981 as a wholly owned subsidiary of BCP, under the name Crédito Del Peru Holding Corporation (“BCP International”), in the Cayman Islands and became the first Peruvian bank to establish an offshore banking presence to serve its Peruvian customers. In 1983, BCP distributed the shares of BCP International as dividends to the shareholders of BCP to protect its privately held status in the event BCP were nationalized. BCP International established its first physical presence offshore (previously having been operated through BCP’s corporate offices) by opening an office in Panama in 1984, and in 1986 opened an agency in Miami and changed its name to Atlantic Security Holding Corporation.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PPS was formed in 1992 as a result of a merger between El Pacífico Compañía de Seguros y Reaseguros S.A. and Compañía de Seguros y Reaseguros Peruano-Suiza S.A., and leads the insurance group with the largest market share in Perú.</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Credicorp Securities Inc., a wholly owned subsidiary, was established in 2002, and began operating since January 2003, in the city of Miami, Florida, at the same time that Atlantic Security’s agency in this city was closed. Also, since 2002, Banco de Crédito BCP began operating an agency in this same city.</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December 2002, BCP acquired 99.94% of the shares of BSHC-Perú, the Peruvian subsidiary of Banco Santander Central Hispano, which was merged with BCP in March 2003. Also in march 2003, BCP acquired 45% of the shares of Solución Financiera de Crédito del Perú S.A., that belonged to Banco de Crédito e Inversiones, of Chile, and other foreing shareholders, resuming its status a a wholly owned subsidiary. The Bank began the merger process of Solución.</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March 2004, Solución’s merger was finalized with the integration of its operations to the Bank’s and the establishment of a specialized unit to manage products targeted to small and micro-businesses.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 March 2004, PPS acquired Novasalud EPS, a private health insurance provider, which was merged with Pacífico Salud EPS in august 2004. With this acquisition PPS will further the development of its health insurance business line, seeking economies of scale in order to improve operating efficiencies and profitability.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2004, Credicorp announced the start-up of a new Private Pension Fund Management Company, Prima AFP, which will operate in the Peruvian market beginning in July 2005. Credicorp’s subsidiary Inversiones Credito will be the principal shareholder in the new company, with which Credicorp will return to this business after the sale of its stake in AFP Unión in 1999.</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year-end 2004, the loan portfolio of the Peruvian subsidiary of Bank Boston was purchased. Even though this acquisition was formalized in January 2005, the transaction was performed and agreed in December 2004. The purchased loan portfolio amount to approximately US$400 million of credits of excellent risk and mostly loaned to businesses. This portfolio will increase BCP’s market share among Peruvian banks by three percentage points.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October 2004 the sale of Banco Tequendama was announced, subject to approval by Colombian regulators, the transfer is expected to take place in first quarter 2005.</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Banco de Crédito de Bolivia had an outstanding year 2004, after three consecutive years when fiancial support was needed from the home office in order to cover provision expense required by subs-tandard loans. In 2004 the Bolivian subsidiary turned around to contribute a net income of US$4.8 million. Additionally, its loan portfolio quality improved significantly, reducing the past due loan ratio from 20.7% at year-end 2003 to 11.0% in 2004, while the coverage of past due loans with loan provisions increased from 76.7% to 100.6%.</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2004, the company had paid-in capital of US$471,911,585, which is represented by 94,382,317, shares with a par value of US$ 5.00 each.</w:t>
      </w:r>
    </w:p>
    <w:p>
      <w:pPr>
        <w:sectPr>
          <w:pgSz w:w="11900" w:h="16838" w:orient="portrait"/>
          <w:cols w:equalWidth="0" w:num="1">
            <w:col w:w="11420"/>
          </w:cols>
          <w:pgMar w:left="240" w:top="347"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w w:val="98"/>
              </w:rPr>
              <w:t>Shareholders with 5% or more of the company:</w:t>
            </w:r>
          </w:p>
        </w:tc>
        <w:tc>
          <w:tcPr>
            <w:tcW w:w="3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Participation</w:t>
            </w: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309"/>
        </w:trPr>
        <w:tc>
          <w:tcPr>
            <w:tcW w:w="3720" w:type="dxa"/>
            <w:vAlign w:val="bottom"/>
            <w:gridSpan w:val="2"/>
          </w:tcPr>
          <w:p>
            <w:pPr>
              <w:spacing w:after="0"/>
              <w:rPr>
                <w:sz w:val="20"/>
                <w:szCs w:val="20"/>
                <w:color w:val="auto"/>
              </w:rPr>
            </w:pPr>
            <w:r>
              <w:rPr>
                <w:rFonts w:ascii="Arial" w:cs="Arial" w:eastAsia="Arial" w:hAnsi="Arial"/>
                <w:sz w:val="18"/>
                <w:szCs w:val="18"/>
                <w:color w:val="auto"/>
              </w:rPr>
              <w:t>Atlantic Security Holding Corporation</w:t>
            </w:r>
          </w:p>
        </w:tc>
        <w:tc>
          <w:tcPr>
            <w:tcW w:w="3180" w:type="dxa"/>
            <w:vAlign w:val="bottom"/>
          </w:tcPr>
          <w:p>
            <w:pPr>
              <w:spacing w:after="0"/>
              <w:rPr>
                <w:sz w:val="24"/>
                <w:szCs w:val="24"/>
                <w:color w:val="auto"/>
              </w:rPr>
            </w:pP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15.24%</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IN-Cartadm</w:t>
            </w:r>
          </w:p>
        </w:tc>
        <w:tc>
          <w:tcPr>
            <w:tcW w:w="3180" w:type="dxa"/>
            <w:vAlign w:val="bottom"/>
          </w:tcPr>
          <w:p>
            <w:pPr>
              <w:spacing w:after="0"/>
              <w:rPr>
                <w:sz w:val="18"/>
                <w:szCs w:val="18"/>
                <w:color w:val="auto"/>
              </w:rPr>
            </w:pP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8.41%</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HO-Cartadm</w:t>
            </w:r>
          </w:p>
        </w:tc>
        <w:tc>
          <w:tcPr>
            <w:tcW w:w="3180" w:type="dxa"/>
            <w:vAlign w:val="bottom"/>
          </w:tcPr>
          <w:p>
            <w:pPr>
              <w:spacing w:after="0"/>
              <w:rPr>
                <w:sz w:val="18"/>
                <w:szCs w:val="18"/>
                <w:color w:val="auto"/>
              </w:rPr>
            </w:pP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7.73%</w:t>
            </w: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NV-Cartadm</w:t>
            </w:r>
          </w:p>
        </w:tc>
        <w:tc>
          <w:tcPr>
            <w:tcW w:w="3180" w:type="dxa"/>
            <w:vAlign w:val="bottom"/>
          </w:tcPr>
          <w:p>
            <w:pPr>
              <w:spacing w:after="0"/>
              <w:rPr>
                <w:sz w:val="19"/>
                <w:szCs w:val="19"/>
                <w:color w:val="auto"/>
              </w:rPr>
            </w:pP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5.48%</w:t>
            </w:r>
          </w:p>
        </w:tc>
      </w:tr>
      <w:tr>
        <w:trPr>
          <w:trHeight w:val="252"/>
        </w:trPr>
        <w:tc>
          <w:tcPr>
            <w:tcW w:w="20" w:type="dxa"/>
            <w:vAlign w:val="bottom"/>
            <w:tcBorders>
              <w:bottom w:val="single" w:sz="8" w:color="808080"/>
            </w:tcBorders>
          </w:tcPr>
          <w:p>
            <w:pPr>
              <w:spacing w:after="0"/>
              <w:rPr>
                <w:sz w:val="21"/>
                <w:szCs w:val="21"/>
                <w:color w:val="auto"/>
              </w:rPr>
            </w:pPr>
          </w:p>
        </w:tc>
        <w:tc>
          <w:tcPr>
            <w:tcW w:w="3700" w:type="dxa"/>
            <w:vAlign w:val="bottom"/>
            <w:tcBorders>
              <w:bottom w:val="single" w:sz="8" w:color="2C2C2C"/>
            </w:tcBorders>
          </w:tcPr>
          <w:p>
            <w:pPr>
              <w:spacing w:after="0"/>
              <w:rPr>
                <w:sz w:val="21"/>
                <w:szCs w:val="21"/>
                <w:color w:val="auto"/>
              </w:rPr>
            </w:pPr>
          </w:p>
        </w:tc>
        <w:tc>
          <w:tcPr>
            <w:tcW w:w="3180" w:type="dxa"/>
            <w:vAlign w:val="bottom"/>
            <w:tcBorders>
              <w:bottom w:val="single" w:sz="8" w:color="2C2C2C"/>
            </w:tcBorders>
          </w:tcPr>
          <w:p>
            <w:pPr>
              <w:spacing w:after="0"/>
              <w:rPr>
                <w:sz w:val="21"/>
                <w:szCs w:val="21"/>
                <w:color w:val="auto"/>
              </w:rPr>
            </w:pPr>
          </w:p>
        </w:tc>
        <w:tc>
          <w:tcPr>
            <w:tcW w:w="2820" w:type="dxa"/>
            <w:vAlign w:val="bottom"/>
            <w:tcBorders>
              <w:bottom w:val="single" w:sz="8" w:color="2C2C2C"/>
            </w:tcBorders>
          </w:tcPr>
          <w:p>
            <w:pPr>
              <w:spacing w:after="0"/>
              <w:rPr>
                <w:sz w:val="21"/>
                <w:szCs w:val="21"/>
                <w:color w:val="auto"/>
              </w:rPr>
            </w:pP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180" w:type="dxa"/>
            <w:vAlign w:val="bottom"/>
          </w:tcPr>
          <w:p>
            <w:pPr>
              <w:jc w:val="center"/>
              <w:ind w:right="1372"/>
              <w:spacing w:after="0"/>
              <w:rPr>
                <w:sz w:val="20"/>
                <w:szCs w:val="20"/>
                <w:color w:val="auto"/>
              </w:rPr>
            </w:pPr>
            <w:r>
              <w:rPr>
                <w:rFonts w:ascii="Arial" w:cs="Arial" w:eastAsia="Arial" w:hAnsi="Arial"/>
                <w:sz w:val="18"/>
                <w:szCs w:val="18"/>
                <w:color w:val="auto"/>
                <w:w w:val="90"/>
              </w:rPr>
              <w:t>Number of</w:t>
            </w:r>
          </w:p>
        </w:tc>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180" w:type="dxa"/>
            <w:vAlign w:val="bottom"/>
          </w:tcPr>
          <w:p>
            <w:pPr>
              <w:jc w:val="center"/>
              <w:ind w:right="1372"/>
              <w:spacing w:after="0"/>
              <w:rPr>
                <w:sz w:val="20"/>
                <w:szCs w:val="20"/>
                <w:color w:val="auto"/>
              </w:rPr>
            </w:pPr>
            <w:r>
              <w:rPr>
                <w:rFonts w:ascii="Arial" w:cs="Arial" w:eastAsia="Arial" w:hAnsi="Arial"/>
                <w:sz w:val="18"/>
                <w:szCs w:val="18"/>
                <w:color w:val="auto"/>
                <w:w w:val="85"/>
              </w:rPr>
              <w:t>Shareholders</w:t>
            </w:r>
          </w:p>
        </w:tc>
        <w:tc>
          <w:tcPr>
            <w:tcW w:w="4520" w:type="dxa"/>
            <w:vAlign w:val="bottom"/>
            <w:gridSpan w:val="3"/>
          </w:tcPr>
          <w:p>
            <w:pPr>
              <w:jc w:val="right"/>
              <w:ind w:right="1900"/>
              <w:spacing w:after="0"/>
              <w:rPr>
                <w:sz w:val="20"/>
                <w:szCs w:val="20"/>
                <w:color w:val="auto"/>
              </w:rPr>
            </w:pPr>
            <w:r>
              <w:rPr>
                <w:rFonts w:ascii="Arial" w:cs="Arial" w:eastAsia="Arial" w:hAnsi="Arial"/>
                <w:sz w:val="18"/>
                <w:szCs w:val="18"/>
                <w:color w:val="auto"/>
              </w:rPr>
              <w:t>Percentage</w:t>
            </w:r>
          </w:p>
        </w:tc>
      </w:tr>
      <w:tr>
        <w:trPr>
          <w:trHeight w:val="223"/>
        </w:trPr>
        <w:tc>
          <w:tcPr>
            <w:tcW w:w="20" w:type="dxa"/>
            <w:vAlign w:val="bottom"/>
          </w:tcPr>
          <w:p>
            <w:pPr>
              <w:spacing w:after="0"/>
              <w:rPr>
                <w:sz w:val="19"/>
                <w:szCs w:val="19"/>
                <w:color w:val="auto"/>
              </w:rPr>
            </w:pPr>
          </w:p>
        </w:tc>
        <w:tc>
          <w:tcPr>
            <w:tcW w:w="370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8"/>
                <w:szCs w:val="18"/>
                <w:color w:val="auto"/>
              </w:rPr>
              <w:t>-1%</w:t>
            </w:r>
          </w:p>
        </w:tc>
        <w:tc>
          <w:tcPr>
            <w:tcW w:w="3180" w:type="dxa"/>
            <w:vAlign w:val="bottom"/>
            <w:tcBorders>
              <w:top w:val="single" w:sz="8" w:color="2C2C2C"/>
              <w:bottom w:val="single" w:sz="8" w:color="2C2C2C"/>
            </w:tcBorders>
          </w:tcPr>
          <w:p>
            <w:pPr>
              <w:jc w:val="center"/>
              <w:ind w:right="1372"/>
              <w:spacing w:after="0"/>
              <w:rPr>
                <w:sz w:val="20"/>
                <w:szCs w:val="20"/>
                <w:color w:val="auto"/>
              </w:rPr>
            </w:pPr>
            <w:r>
              <w:rPr>
                <w:rFonts w:ascii="Arial" w:cs="Arial" w:eastAsia="Arial" w:hAnsi="Arial"/>
                <w:sz w:val="18"/>
                <w:szCs w:val="18"/>
                <w:color w:val="auto"/>
                <w:w w:val="88"/>
              </w:rPr>
              <w:t>5,055</w:t>
            </w:r>
          </w:p>
        </w:tc>
        <w:tc>
          <w:tcPr>
            <w:tcW w:w="2820" w:type="dxa"/>
            <w:vAlign w:val="bottom"/>
            <w:tcBorders>
              <w:top w:val="single" w:sz="8" w:color="2C2C2C"/>
              <w:bottom w:val="single" w:sz="8" w:color="2C2C2C"/>
            </w:tcBorders>
          </w:tcPr>
          <w:p>
            <w:pPr>
              <w:jc w:val="center"/>
              <w:ind w:left="1552"/>
              <w:spacing w:after="0"/>
              <w:rPr>
                <w:sz w:val="20"/>
                <w:szCs w:val="20"/>
                <w:color w:val="auto"/>
              </w:rPr>
            </w:pPr>
            <w:r>
              <w:rPr>
                <w:rFonts w:ascii="Arial" w:cs="Arial" w:eastAsia="Arial" w:hAnsi="Arial"/>
                <w:sz w:val="18"/>
                <w:szCs w:val="18"/>
                <w:color w:val="auto"/>
                <w:w w:val="84"/>
              </w:rPr>
              <w:t>13.69</w:t>
            </w:r>
          </w:p>
        </w:tc>
        <w:tc>
          <w:tcPr>
            <w:tcW w:w="1680" w:type="dxa"/>
            <w:vAlign w:val="bottom"/>
            <w:tcBorders>
              <w:top w:val="single" w:sz="8" w:color="2C2C2C"/>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1% - 5%</w:t>
            </w:r>
          </w:p>
        </w:tc>
        <w:tc>
          <w:tcPr>
            <w:tcW w:w="3180" w:type="dxa"/>
            <w:vAlign w:val="bottom"/>
            <w:tcBorders>
              <w:bottom w:val="single" w:sz="8" w:color="2C2C2C"/>
            </w:tcBorders>
          </w:tcPr>
          <w:p>
            <w:pPr>
              <w:jc w:val="center"/>
              <w:ind w:right="1372"/>
              <w:spacing w:after="0"/>
              <w:rPr>
                <w:sz w:val="20"/>
                <w:szCs w:val="20"/>
                <w:color w:val="auto"/>
              </w:rPr>
            </w:pPr>
            <w:r>
              <w:rPr>
                <w:rFonts w:ascii="Arial" w:cs="Arial" w:eastAsia="Arial" w:hAnsi="Arial"/>
                <w:sz w:val="18"/>
                <w:szCs w:val="18"/>
                <w:color w:val="auto"/>
                <w:w w:val="79"/>
              </w:rPr>
              <w:t>4</w:t>
            </w:r>
          </w:p>
        </w:tc>
        <w:tc>
          <w:tcPr>
            <w:tcW w:w="282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auto"/>
                <w:w w:val="84"/>
              </w:rPr>
              <w:t>10.42</w:t>
            </w:r>
          </w:p>
        </w:tc>
        <w:tc>
          <w:tcPr>
            <w:tcW w:w="16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5% -10%</w:t>
            </w:r>
          </w:p>
        </w:tc>
        <w:tc>
          <w:tcPr>
            <w:tcW w:w="3180" w:type="dxa"/>
            <w:vAlign w:val="bottom"/>
            <w:tcBorders>
              <w:bottom w:val="single" w:sz="8" w:color="2C2C2C"/>
            </w:tcBorders>
          </w:tcPr>
          <w:p>
            <w:pPr>
              <w:jc w:val="center"/>
              <w:ind w:right="1372"/>
              <w:spacing w:after="0"/>
              <w:rPr>
                <w:sz w:val="20"/>
                <w:szCs w:val="20"/>
                <w:color w:val="auto"/>
              </w:rPr>
            </w:pPr>
            <w:r>
              <w:rPr>
                <w:rFonts w:ascii="Arial" w:cs="Arial" w:eastAsia="Arial" w:hAnsi="Arial"/>
                <w:sz w:val="18"/>
                <w:szCs w:val="18"/>
                <w:color w:val="auto"/>
                <w:w w:val="79"/>
              </w:rPr>
              <w:t>3</w:t>
            </w:r>
          </w:p>
        </w:tc>
        <w:tc>
          <w:tcPr>
            <w:tcW w:w="282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auto"/>
                <w:w w:val="84"/>
              </w:rPr>
              <w:t>21.63</w:t>
            </w:r>
          </w:p>
        </w:tc>
        <w:tc>
          <w:tcPr>
            <w:tcW w:w="16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+ 10% (*)</w:t>
            </w:r>
          </w:p>
        </w:tc>
        <w:tc>
          <w:tcPr>
            <w:tcW w:w="3180" w:type="dxa"/>
            <w:vAlign w:val="bottom"/>
            <w:tcBorders>
              <w:bottom w:val="single" w:sz="8" w:color="2C2C2C"/>
            </w:tcBorders>
          </w:tcPr>
          <w:p>
            <w:pPr>
              <w:jc w:val="center"/>
              <w:ind w:right="1372"/>
              <w:spacing w:after="0"/>
              <w:rPr>
                <w:sz w:val="20"/>
                <w:szCs w:val="20"/>
                <w:color w:val="auto"/>
              </w:rPr>
            </w:pPr>
            <w:r>
              <w:rPr>
                <w:rFonts w:ascii="Arial" w:cs="Arial" w:eastAsia="Arial" w:hAnsi="Arial"/>
                <w:sz w:val="18"/>
                <w:szCs w:val="18"/>
                <w:color w:val="auto"/>
                <w:w w:val="79"/>
              </w:rPr>
              <w:t>2</w:t>
            </w:r>
          </w:p>
        </w:tc>
        <w:tc>
          <w:tcPr>
            <w:tcW w:w="282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auto"/>
                <w:w w:val="84"/>
              </w:rPr>
              <w:t>54.26</w:t>
            </w:r>
          </w:p>
        </w:tc>
        <w:tc>
          <w:tcPr>
            <w:tcW w:w="16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3180" w:type="dxa"/>
            <w:vAlign w:val="bottom"/>
          </w:tcPr>
          <w:p>
            <w:pPr>
              <w:jc w:val="center"/>
              <w:ind w:right="1372"/>
              <w:spacing w:after="0"/>
              <w:rPr>
                <w:sz w:val="20"/>
                <w:szCs w:val="20"/>
                <w:color w:val="auto"/>
              </w:rPr>
            </w:pPr>
            <w:r>
              <w:rPr>
                <w:rFonts w:ascii="Arial" w:cs="Arial" w:eastAsia="Arial" w:hAnsi="Arial"/>
                <w:sz w:val="18"/>
                <w:szCs w:val="18"/>
                <w:color w:val="auto"/>
                <w:w w:val="88"/>
              </w:rPr>
              <w:t>5,064</w:t>
            </w:r>
          </w:p>
        </w:tc>
        <w:tc>
          <w:tcPr>
            <w:tcW w:w="2820" w:type="dxa"/>
            <w:vAlign w:val="bottom"/>
          </w:tcPr>
          <w:p>
            <w:pPr>
              <w:jc w:val="center"/>
              <w:ind w:left="1552"/>
              <w:spacing w:after="0"/>
              <w:rPr>
                <w:sz w:val="20"/>
                <w:szCs w:val="20"/>
                <w:color w:val="auto"/>
              </w:rPr>
            </w:pPr>
            <w:r>
              <w:rPr>
                <w:rFonts w:ascii="Arial" w:cs="Arial" w:eastAsia="Arial" w:hAnsi="Arial"/>
                <w:sz w:val="18"/>
                <w:szCs w:val="18"/>
                <w:color w:val="auto"/>
                <w:w w:val="90"/>
              </w:rPr>
              <w:t>100.00</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-1859915</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-1079500</wp:posOffset>
            </wp:positionV>
            <wp:extent cx="7272020" cy="11061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1106170"/>
                    </a:xfrm>
                    <a:prstGeom prst="rect">
                      <a:avLst/>
                    </a:prstGeom>
                    <a:noFill/>
                  </pic:spPr>
                </pic:pic>
              </a:graphicData>
            </a:graphic>
          </wp:anchor>
        </w:drawing>
      </w:r>
    </w:p>
    <w:p>
      <w:pPr>
        <w:ind w:right="6620" w:firstLine="8"/>
        <w:spacing w:after="0" w:line="50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holdings in CEDEFAST – DTC, for electronic clearing. Number of employees</w:t>
      </w: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4720" w:type="dxa"/>
            <w:vAlign w:val="bottom"/>
          </w:tcPr>
          <w:p>
            <w:pPr>
              <w:jc w:val="right"/>
              <w:ind w:right="552"/>
              <w:spacing w:after="0"/>
              <w:rPr>
                <w:sz w:val="20"/>
                <w:szCs w:val="20"/>
                <w:color w:val="auto"/>
              </w:rPr>
            </w:pPr>
            <w:r>
              <w:rPr>
                <w:rFonts w:ascii="Arial" w:cs="Arial" w:eastAsia="Arial" w:hAnsi="Arial"/>
                <w:sz w:val="18"/>
                <w:szCs w:val="18"/>
                <w:color w:val="auto"/>
              </w:rPr>
              <w:t>2003</w:t>
            </w:r>
          </w:p>
        </w:tc>
        <w:tc>
          <w:tcPr>
            <w:tcW w:w="106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Managers</w:t>
            </w:r>
          </w:p>
        </w:tc>
        <w:tc>
          <w:tcPr>
            <w:tcW w:w="4720" w:type="dxa"/>
            <w:vAlign w:val="bottom"/>
          </w:tcPr>
          <w:p>
            <w:pPr>
              <w:jc w:val="right"/>
              <w:ind w:right="552"/>
              <w:spacing w:after="0"/>
              <w:rPr>
                <w:sz w:val="20"/>
                <w:szCs w:val="20"/>
                <w:color w:val="auto"/>
              </w:rPr>
            </w:pPr>
            <w:r>
              <w:rPr>
                <w:rFonts w:ascii="Arial" w:cs="Arial" w:eastAsia="Arial" w:hAnsi="Arial"/>
                <w:sz w:val="18"/>
                <w:szCs w:val="18"/>
                <w:color w:val="auto"/>
              </w:rPr>
              <w:t>64</w:t>
            </w: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Indefinite term: Employees</w:t>
            </w:r>
          </w:p>
        </w:tc>
        <w:tc>
          <w:tcPr>
            <w:tcW w:w="4720" w:type="dxa"/>
            <w:vAlign w:val="bottom"/>
          </w:tcPr>
          <w:p>
            <w:pPr>
              <w:jc w:val="right"/>
              <w:ind w:right="552"/>
              <w:spacing w:after="0"/>
              <w:rPr>
                <w:sz w:val="20"/>
                <w:szCs w:val="20"/>
                <w:color w:val="auto"/>
              </w:rPr>
            </w:pPr>
            <w:r>
              <w:rPr>
                <w:rFonts w:ascii="Arial" w:cs="Arial" w:eastAsia="Arial" w:hAnsi="Arial"/>
                <w:sz w:val="18"/>
                <w:szCs w:val="18"/>
                <w:color w:val="auto"/>
              </w:rPr>
              <w:t>5,243</w:t>
            </w:r>
          </w:p>
        </w:tc>
        <w:tc>
          <w:tcPr>
            <w:tcW w:w="1060" w:type="dxa"/>
            <w:vAlign w:val="bottom"/>
          </w:tcPr>
          <w:p>
            <w:pPr>
              <w:jc w:val="right"/>
              <w:spacing w:after="0"/>
              <w:rPr>
                <w:sz w:val="20"/>
                <w:szCs w:val="20"/>
                <w:color w:val="auto"/>
              </w:rPr>
            </w:pPr>
            <w:r>
              <w:rPr>
                <w:rFonts w:ascii="Arial" w:cs="Arial" w:eastAsia="Arial" w:hAnsi="Arial"/>
                <w:sz w:val="18"/>
                <w:szCs w:val="18"/>
                <w:color w:val="auto"/>
              </w:rPr>
              <w:t>5,353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Fixed term: Employees</w:t>
            </w:r>
          </w:p>
        </w:tc>
        <w:tc>
          <w:tcPr>
            <w:tcW w:w="4720" w:type="dxa"/>
            <w:vAlign w:val="bottom"/>
          </w:tcPr>
          <w:p>
            <w:pPr>
              <w:jc w:val="right"/>
              <w:ind w:right="552"/>
              <w:spacing w:after="0"/>
              <w:rPr>
                <w:sz w:val="20"/>
                <w:szCs w:val="20"/>
                <w:color w:val="auto"/>
              </w:rPr>
            </w:pPr>
            <w:r>
              <w:rPr>
                <w:rFonts w:ascii="Arial" w:cs="Arial" w:eastAsia="Arial" w:hAnsi="Arial"/>
                <w:sz w:val="18"/>
                <w:szCs w:val="18"/>
                <w:color w:val="auto"/>
              </w:rPr>
              <w:t>4,020</w:t>
            </w:r>
          </w:p>
        </w:tc>
        <w:tc>
          <w:tcPr>
            <w:tcW w:w="1060" w:type="dxa"/>
            <w:vAlign w:val="bottom"/>
          </w:tcPr>
          <w:p>
            <w:pPr>
              <w:jc w:val="right"/>
              <w:spacing w:after="0"/>
              <w:rPr>
                <w:sz w:val="20"/>
                <w:szCs w:val="20"/>
                <w:color w:val="auto"/>
              </w:rPr>
            </w:pPr>
            <w:r>
              <w:rPr>
                <w:rFonts w:ascii="Arial" w:cs="Arial" w:eastAsia="Arial" w:hAnsi="Arial"/>
                <w:sz w:val="18"/>
                <w:szCs w:val="18"/>
                <w:color w:val="auto"/>
              </w:rPr>
              <w:t>4,119</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4720" w:type="dxa"/>
            <w:vAlign w:val="bottom"/>
          </w:tcPr>
          <w:p>
            <w:pPr>
              <w:jc w:val="right"/>
              <w:ind w:right="552"/>
              <w:spacing w:after="0"/>
              <w:rPr>
                <w:sz w:val="20"/>
                <w:szCs w:val="20"/>
                <w:color w:val="auto"/>
              </w:rPr>
            </w:pPr>
            <w:r>
              <w:rPr>
                <w:rFonts w:ascii="Arial" w:cs="Arial" w:eastAsia="Arial" w:hAnsi="Arial"/>
                <w:sz w:val="18"/>
                <w:szCs w:val="18"/>
                <w:color w:val="auto"/>
              </w:rPr>
              <w:t>9,324</w:t>
            </w:r>
          </w:p>
        </w:tc>
        <w:tc>
          <w:tcPr>
            <w:tcW w:w="1060" w:type="dxa"/>
            <w:vAlign w:val="bottom"/>
          </w:tcPr>
          <w:p>
            <w:pPr>
              <w:jc w:val="right"/>
              <w:spacing w:after="0"/>
              <w:rPr>
                <w:sz w:val="20"/>
                <w:szCs w:val="20"/>
                <w:color w:val="auto"/>
              </w:rPr>
            </w:pPr>
            <w:r>
              <w:rPr>
                <w:rFonts w:ascii="Arial" w:cs="Arial" w:eastAsia="Arial" w:hAnsi="Arial"/>
                <w:sz w:val="18"/>
                <w:szCs w:val="18"/>
                <w:color w:val="auto"/>
              </w:rPr>
              <w:t>9,536</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Business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Credicorp is the largest financial services holding company in Peru. Credicorp is engaged principally in commercial banking (including trade finance and leasing), capital market activities (including corporate finance, brokerage services, asset management, trust, custody and proprietary trading and investment) and insurance (including commercial property, transportation, marine hull, automobile, life, health and pension fund underwriting insurance).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Credicorp and its subsidiaries are involved in certain legal proceedings incidental to the normal conduct of their business. In addition, Credicorp is involved in certain legal proceedings in connection with its acquisition of Banco Tequendama, where the Judge in the Court of first instance in Aruba dismissed the claim and the plaintiff appealed. The case is now in the Superior Court of Aruba and a final decision is expected soon. Credicorp does not believe that any potential liability resulting from such proceedings would have a material adverse effect on the financial condition or results of operations of Credicorp or any of its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Control of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current Directors of Credicorp.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w w:val="95"/>
              </w:rPr>
              <w:t>Years as</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1040"/>
              <w:spacing w:after="0"/>
              <w:rPr>
                <w:sz w:val="20"/>
                <w:szCs w:val="20"/>
                <w:color w:val="auto"/>
              </w:rPr>
            </w:pPr>
            <w:r>
              <w:rPr>
                <w:rFonts w:ascii="Arial" w:cs="Arial" w:eastAsia="Arial" w:hAnsi="Arial"/>
                <w:sz w:val="18"/>
                <w:szCs w:val="18"/>
                <w:color w:val="auto"/>
              </w:rPr>
              <w:t>Position</w:t>
            </w:r>
          </w:p>
        </w:tc>
        <w:tc>
          <w:tcPr>
            <w:tcW w:w="2820" w:type="dxa"/>
            <w:vAlign w:val="bottom"/>
          </w:tcPr>
          <w:p>
            <w:pPr>
              <w:jc w:val="center"/>
              <w:ind w:left="1932"/>
              <w:spacing w:after="0"/>
              <w:rPr>
                <w:sz w:val="20"/>
                <w:szCs w:val="20"/>
                <w:color w:val="auto"/>
              </w:rPr>
            </w:pPr>
            <w:r>
              <w:rPr>
                <w:rFonts w:ascii="Arial" w:cs="Arial" w:eastAsia="Arial" w:hAnsi="Arial"/>
                <w:sz w:val="18"/>
                <w:szCs w:val="18"/>
                <w:color w:val="auto"/>
                <w:w w:val="94"/>
              </w:rPr>
              <w:t>Director(1)</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Dionisio Romero</w:t>
            </w:r>
          </w:p>
        </w:tc>
        <w:tc>
          <w:tcPr>
            <w:tcW w:w="4320" w:type="dxa"/>
            <w:vAlign w:val="bottom"/>
          </w:tcPr>
          <w:p>
            <w:pPr>
              <w:ind w:left="1040"/>
              <w:spacing w:after="0"/>
              <w:rPr>
                <w:sz w:val="20"/>
                <w:szCs w:val="20"/>
                <w:color w:val="auto"/>
              </w:rPr>
            </w:pPr>
            <w:r>
              <w:rPr>
                <w:rFonts w:ascii="Arial" w:cs="Arial" w:eastAsia="Arial" w:hAnsi="Arial"/>
                <w:sz w:val="18"/>
                <w:szCs w:val="18"/>
                <w:color w:val="auto"/>
              </w:rPr>
              <w:t>Chairman</w:t>
            </w:r>
          </w:p>
        </w:tc>
        <w:tc>
          <w:tcPr>
            <w:tcW w:w="2820" w:type="dxa"/>
            <w:vAlign w:val="bottom"/>
          </w:tcPr>
          <w:p>
            <w:pPr>
              <w:jc w:val="center"/>
              <w:ind w:left="1912"/>
              <w:spacing w:after="0"/>
              <w:rPr>
                <w:sz w:val="20"/>
                <w:szCs w:val="20"/>
                <w:color w:val="auto"/>
              </w:rPr>
            </w:pPr>
            <w:r>
              <w:rPr>
                <w:rFonts w:ascii="Arial" w:cs="Arial" w:eastAsia="Arial" w:hAnsi="Arial"/>
                <w:sz w:val="18"/>
                <w:szCs w:val="18"/>
                <w:color w:val="auto"/>
                <w:w w:val="89"/>
              </w:rPr>
              <w:t>34</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Luis Nicolini</w:t>
            </w:r>
          </w:p>
        </w:tc>
        <w:tc>
          <w:tcPr>
            <w:tcW w:w="4320" w:type="dxa"/>
            <w:vAlign w:val="bottom"/>
          </w:tcPr>
          <w:p>
            <w:pPr>
              <w:ind w:left="1040"/>
              <w:spacing w:after="0"/>
              <w:rPr>
                <w:sz w:val="20"/>
                <w:szCs w:val="20"/>
                <w:color w:val="auto"/>
              </w:rPr>
            </w:pPr>
            <w:r>
              <w:rPr>
                <w:rFonts w:ascii="Arial" w:cs="Arial" w:eastAsia="Arial" w:hAnsi="Arial"/>
                <w:sz w:val="18"/>
                <w:szCs w:val="18"/>
                <w:color w:val="auto"/>
              </w:rPr>
              <w:t>Deputy Chairman</w:t>
            </w:r>
          </w:p>
        </w:tc>
        <w:tc>
          <w:tcPr>
            <w:tcW w:w="2820" w:type="dxa"/>
            <w:vAlign w:val="bottom"/>
          </w:tcPr>
          <w:p>
            <w:pPr>
              <w:jc w:val="center"/>
              <w:ind w:left="1912"/>
              <w:spacing w:after="0"/>
              <w:rPr>
                <w:sz w:val="20"/>
                <w:szCs w:val="20"/>
                <w:color w:val="auto"/>
              </w:rPr>
            </w:pPr>
            <w:r>
              <w:rPr>
                <w:rFonts w:ascii="Arial" w:cs="Arial" w:eastAsia="Arial" w:hAnsi="Arial"/>
                <w:sz w:val="18"/>
                <w:szCs w:val="18"/>
                <w:color w:val="auto"/>
                <w:w w:val="89"/>
              </w:rPr>
              <w:t>23</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Fernando Fort</w:t>
            </w:r>
          </w:p>
        </w:tc>
        <w:tc>
          <w:tcPr>
            <w:tcW w:w="432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ind w:left="1912"/>
              <w:spacing w:after="0"/>
              <w:rPr>
                <w:sz w:val="20"/>
                <w:szCs w:val="20"/>
                <w:color w:val="auto"/>
              </w:rPr>
            </w:pPr>
            <w:r>
              <w:rPr>
                <w:rFonts w:ascii="Arial" w:cs="Arial" w:eastAsia="Arial" w:hAnsi="Arial"/>
                <w:sz w:val="18"/>
                <w:szCs w:val="18"/>
                <w:color w:val="auto"/>
                <w:w w:val="89"/>
              </w:rPr>
              <w:t>22</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Reynaldo Llosa</w:t>
            </w:r>
          </w:p>
        </w:tc>
        <w:tc>
          <w:tcPr>
            <w:tcW w:w="432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ind w:left="1912"/>
              <w:spacing w:after="0"/>
              <w:rPr>
                <w:sz w:val="20"/>
                <w:szCs w:val="20"/>
                <w:color w:val="auto"/>
              </w:rPr>
            </w:pPr>
            <w:r>
              <w:rPr>
                <w:rFonts w:ascii="Arial" w:cs="Arial" w:eastAsia="Arial" w:hAnsi="Arial"/>
                <w:sz w:val="18"/>
                <w:szCs w:val="18"/>
                <w:color w:val="auto"/>
                <w:w w:val="89"/>
              </w:rPr>
              <w:t>21</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Juan Carlos Verme</w:t>
            </w:r>
          </w:p>
        </w:tc>
        <w:tc>
          <w:tcPr>
            <w:tcW w:w="432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ind w:left="1912"/>
              <w:spacing w:after="0"/>
              <w:rPr>
                <w:sz w:val="20"/>
                <w:szCs w:val="20"/>
                <w:color w:val="auto"/>
              </w:rPr>
            </w:pPr>
            <w:r>
              <w:rPr>
                <w:rFonts w:ascii="Arial" w:cs="Arial" w:eastAsia="Arial" w:hAnsi="Arial"/>
                <w:sz w:val="18"/>
                <w:szCs w:val="18"/>
                <w:color w:val="auto"/>
                <w:w w:val="89"/>
              </w:rPr>
              <w:t>14</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Luis Enrique Yarur</w:t>
            </w:r>
          </w:p>
        </w:tc>
        <w:tc>
          <w:tcPr>
            <w:tcW w:w="4320" w:type="dxa"/>
            <w:vAlign w:val="bottom"/>
          </w:tcPr>
          <w:p>
            <w:pPr>
              <w:ind w:left="1040"/>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ind w:left="1932"/>
              <w:spacing w:after="0"/>
              <w:rPr>
                <w:sz w:val="20"/>
                <w:szCs w:val="20"/>
                <w:color w:val="auto"/>
              </w:rPr>
            </w:pPr>
            <w:r>
              <w:rPr>
                <w:rFonts w:ascii="Arial" w:cs="Arial" w:eastAsia="Arial" w:hAnsi="Arial"/>
                <w:sz w:val="18"/>
                <w:szCs w:val="18"/>
                <w:color w:val="auto"/>
                <w:w w:val="79"/>
              </w:rPr>
              <w:t>9</w:t>
            </w: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_____________</w:t>
            </w:r>
          </w:p>
        </w:tc>
        <w:tc>
          <w:tcPr>
            <w:tcW w:w="4320" w:type="dxa"/>
            <w:vAlign w:val="bottom"/>
          </w:tcPr>
          <w:p>
            <w:pPr>
              <w:spacing w:after="0"/>
              <w:rPr>
                <w:sz w:val="19"/>
                <w:szCs w:val="19"/>
                <w:color w:val="auto"/>
              </w:rPr>
            </w:pPr>
          </w:p>
        </w:tc>
        <w:tc>
          <w:tcPr>
            <w:tcW w:w="282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(1) Of Credicorp, its subsidiaries and their predecessors as of December 31,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Secretary of the Board of Directors is Dawna L. Ferguson. The Assistant Secretary of the Board of Directors is Fernando Palao.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 is composed of the following independent Board members:</w:t>
      </w:r>
    </w:p>
    <w:p>
      <w:pPr>
        <w:spacing w:after="0" w:line="22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Luis Enrique Yarur, President</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Luis Nicolini</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Reynaldo Llosa</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Juan Carlos Verme</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Dionisio Romero, is an economist with a Masters degree in Business Administration from Stanford University in the United States of America. Mr. Romero was the Chairman of Banco de Crédito del Perú from 1966 to 1987 and has served as a Board Member from December 1990 to the present. He is the Chairman of Credicorp and has held this position since August 1995. Additionally he serves as a Director on the Boards of various other companies.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Luis Nicolini, an industrial banker by profession, has served as Vice Chairman of Banco de Crédito del Perú since August 1995, is also a Director on the Boards of Inversiones Centenario, Alicorp, and is Chairman of the textile company Fábrica de Tejidos La Bellota. He has been Deputy Chairman of Credicorp since August 1995. Independent board member.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Fernando Fort, is a lawyer and Partner at the law firm of Fort, Bertorini y Godoy. Mr. Fort has served as a Director of Banco de Crédito del Perú from 1979 to 1987 and from March 1990 to the present. He has served as a Director of Credicorp since March 1999. Additionally, Mr. Fort serves as a Director on the Board of Inversiones Centenario and the Boards of various other companies.</w:t>
      </w:r>
    </w:p>
    <w:p>
      <w:pPr>
        <w:sectPr>
          <w:pgSz w:w="11900" w:h="16838" w:orient="portrait"/>
          <w:cols w:equalWidth="0" w:num="1">
            <w:col w:w="11420"/>
          </w:cols>
          <w:pgMar w:left="240" w:top="131" w:right="239" w:bottom="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Reynaldo Llosa, is a business manager and has served as a Director of Banco de Crédito del Perú’s from 1980 to October 1987 and from March 1990 to the present. He has been a Director of Credicorp since August 1995. Mr. Llosa is also the main partner and general manager of the company F.N. Jones S.R. Ltda., and serves as a Director on the Boards of various other companies. Independent board member.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Luis Enrique Yarur, is a businessman with an undergraduate degree in law and graduate degrees in economics and management. He became a Director of Credicorp on October 31, 2002. Mr. Yarur is Chairman of the Board of Banco de Crédito e Inversiones, of Chile, and member of the Boards of various other Chilean companies. Independent board member.</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Juan Carlos Verme, is a businessman and has served as Director of Banco de Crédito del Perú since March 1990 and as a Director of Credicorp since August 1995. Mr. Verme also serves as a Director on the Boards of various other companies. Independent board member.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By-Laws,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Years as</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Name</w:t>
            </w:r>
          </w:p>
        </w:tc>
        <w:tc>
          <w:tcPr>
            <w:tcW w:w="6180" w:type="dxa"/>
            <w:vAlign w:val="bottom"/>
          </w:tcPr>
          <w:p>
            <w:pPr>
              <w:ind w:left="1320"/>
              <w:spacing w:after="0"/>
              <w:rPr>
                <w:sz w:val="20"/>
                <w:szCs w:val="20"/>
                <w:color w:val="auto"/>
              </w:rPr>
            </w:pPr>
            <w:r>
              <w:rPr>
                <w:rFonts w:ascii="Arial" w:cs="Arial" w:eastAsia="Arial" w:hAnsi="Arial"/>
                <w:sz w:val="18"/>
                <w:szCs w:val="18"/>
                <w:color w:val="auto"/>
              </w:rPr>
              <w:t>Position</w:t>
            </w:r>
          </w:p>
        </w:tc>
        <w:tc>
          <w:tcPr>
            <w:tcW w:w="1200" w:type="dxa"/>
            <w:vAlign w:val="bottom"/>
          </w:tcPr>
          <w:p>
            <w:pPr>
              <w:jc w:val="center"/>
              <w:ind w:left="392"/>
              <w:spacing w:after="0"/>
              <w:rPr>
                <w:sz w:val="20"/>
                <w:szCs w:val="20"/>
                <w:color w:val="auto"/>
              </w:rPr>
            </w:pPr>
            <w:r>
              <w:rPr>
                <w:rFonts w:ascii="Arial" w:cs="Arial" w:eastAsia="Arial" w:hAnsi="Arial"/>
                <w:sz w:val="18"/>
                <w:szCs w:val="18"/>
                <w:color w:val="auto"/>
                <w:w w:val="95"/>
              </w:rPr>
              <w:t>Officer(1)</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Dionisio Romero</w:t>
            </w:r>
          </w:p>
        </w:tc>
        <w:tc>
          <w:tcPr>
            <w:tcW w:w="6180" w:type="dxa"/>
            <w:vAlign w:val="bottom"/>
          </w:tcPr>
          <w:p>
            <w:pPr>
              <w:ind w:left="1320"/>
              <w:spacing w:after="0"/>
              <w:rPr>
                <w:sz w:val="20"/>
                <w:szCs w:val="20"/>
                <w:color w:val="auto"/>
              </w:rPr>
            </w:pPr>
            <w:r>
              <w:rPr>
                <w:rFonts w:ascii="Arial" w:cs="Arial" w:eastAsia="Arial" w:hAnsi="Arial"/>
                <w:sz w:val="18"/>
                <w:szCs w:val="18"/>
                <w:color w:val="auto"/>
              </w:rPr>
              <w:t>Chief Executive Officer</w:t>
            </w:r>
          </w:p>
        </w:tc>
        <w:tc>
          <w:tcPr>
            <w:tcW w:w="1200" w:type="dxa"/>
            <w:vAlign w:val="bottom"/>
          </w:tcPr>
          <w:p>
            <w:pPr>
              <w:jc w:val="center"/>
              <w:ind w:left="372"/>
              <w:spacing w:after="0"/>
              <w:rPr>
                <w:sz w:val="20"/>
                <w:szCs w:val="20"/>
                <w:color w:val="auto"/>
              </w:rPr>
            </w:pPr>
            <w:r>
              <w:rPr>
                <w:rFonts w:ascii="Arial" w:cs="Arial" w:eastAsia="Arial" w:hAnsi="Arial"/>
                <w:sz w:val="18"/>
                <w:szCs w:val="18"/>
                <w:color w:val="auto"/>
                <w:w w:val="90"/>
              </w:rPr>
              <w:t>34(2)</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Raimundo Morales</w:t>
            </w:r>
          </w:p>
        </w:tc>
        <w:tc>
          <w:tcPr>
            <w:tcW w:w="6180" w:type="dxa"/>
            <w:vAlign w:val="bottom"/>
          </w:tcPr>
          <w:p>
            <w:pPr>
              <w:ind w:left="1320"/>
              <w:spacing w:after="0"/>
              <w:rPr>
                <w:sz w:val="20"/>
                <w:szCs w:val="20"/>
                <w:color w:val="auto"/>
              </w:rPr>
            </w:pPr>
            <w:r>
              <w:rPr>
                <w:rFonts w:ascii="Arial" w:cs="Arial" w:eastAsia="Arial" w:hAnsi="Arial"/>
                <w:sz w:val="18"/>
                <w:szCs w:val="18"/>
                <w:color w:val="auto"/>
              </w:rPr>
              <w:t>Chief Operating Officer</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25</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Carlos Muñoz</w:t>
            </w:r>
          </w:p>
        </w:tc>
        <w:tc>
          <w:tcPr>
            <w:tcW w:w="6180" w:type="dxa"/>
            <w:vAlign w:val="bottom"/>
          </w:tcPr>
          <w:p>
            <w:pPr>
              <w:ind w:left="1320"/>
              <w:spacing w:after="0"/>
              <w:rPr>
                <w:sz w:val="20"/>
                <w:szCs w:val="20"/>
                <w:color w:val="auto"/>
              </w:rPr>
            </w:pPr>
            <w:r>
              <w:rPr>
                <w:rFonts w:ascii="Arial" w:cs="Arial" w:eastAsia="Arial" w:hAnsi="Arial"/>
                <w:sz w:val="18"/>
                <w:szCs w:val="18"/>
                <w:color w:val="auto"/>
              </w:rPr>
              <w:t>Executive Vice President</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24</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Walter Bayly</w:t>
            </w:r>
          </w:p>
        </w:tc>
        <w:tc>
          <w:tcPr>
            <w:tcW w:w="6180" w:type="dxa"/>
            <w:vAlign w:val="bottom"/>
          </w:tcPr>
          <w:p>
            <w:pPr>
              <w:ind w:left="1320"/>
              <w:spacing w:after="0"/>
              <w:rPr>
                <w:sz w:val="20"/>
                <w:szCs w:val="20"/>
                <w:color w:val="auto"/>
              </w:rPr>
            </w:pPr>
            <w:r>
              <w:rPr>
                <w:rFonts w:ascii="Arial" w:cs="Arial" w:eastAsia="Arial" w:hAnsi="Arial"/>
                <w:sz w:val="18"/>
                <w:szCs w:val="18"/>
                <w:color w:val="auto"/>
              </w:rPr>
              <w:t>Chief Financial and Accounting Officer</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11</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José Luis Gagliardi</w:t>
            </w:r>
          </w:p>
        </w:tc>
        <w:tc>
          <w:tcPr>
            <w:tcW w:w="6180" w:type="dxa"/>
            <w:vAlign w:val="bottom"/>
          </w:tcPr>
          <w:p>
            <w:pPr>
              <w:ind w:left="1320"/>
              <w:spacing w:after="0"/>
              <w:rPr>
                <w:sz w:val="20"/>
                <w:szCs w:val="20"/>
                <w:color w:val="auto"/>
              </w:rPr>
            </w:pPr>
            <w:r>
              <w:rPr>
                <w:rFonts w:ascii="Arial" w:cs="Arial" w:eastAsia="Arial" w:hAnsi="Arial"/>
                <w:sz w:val="18"/>
                <w:szCs w:val="18"/>
                <w:color w:val="auto"/>
                <w:w w:val="97"/>
              </w:rPr>
              <w:t>Senior Vice President—Administration and Human Resources</w:t>
            </w:r>
          </w:p>
        </w:tc>
        <w:tc>
          <w:tcPr>
            <w:tcW w:w="1200" w:type="dxa"/>
            <w:vAlign w:val="bottom"/>
          </w:tcPr>
          <w:p>
            <w:pPr>
              <w:jc w:val="center"/>
              <w:ind w:left="372"/>
              <w:spacing w:after="0"/>
              <w:rPr>
                <w:sz w:val="20"/>
                <w:szCs w:val="20"/>
                <w:color w:val="auto"/>
              </w:rPr>
            </w:pPr>
            <w:r>
              <w:rPr>
                <w:rFonts w:ascii="Arial" w:cs="Arial" w:eastAsia="Arial" w:hAnsi="Arial"/>
                <w:sz w:val="18"/>
                <w:szCs w:val="18"/>
                <w:color w:val="auto"/>
                <w:w w:val="90"/>
              </w:rPr>
              <w:t>24(3)</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Arturo Rodrigo</w:t>
            </w:r>
          </w:p>
        </w:tc>
        <w:tc>
          <w:tcPr>
            <w:tcW w:w="6180" w:type="dxa"/>
            <w:vAlign w:val="bottom"/>
          </w:tcPr>
          <w:p>
            <w:pPr>
              <w:ind w:left="1320"/>
              <w:spacing w:after="0"/>
              <w:rPr>
                <w:sz w:val="20"/>
                <w:szCs w:val="20"/>
                <w:color w:val="auto"/>
              </w:rPr>
            </w:pPr>
            <w:r>
              <w:rPr>
                <w:rFonts w:ascii="Arial" w:cs="Arial" w:eastAsia="Arial" w:hAnsi="Arial"/>
                <w:sz w:val="18"/>
                <w:szCs w:val="18"/>
                <w:color w:val="auto"/>
              </w:rPr>
              <w:t>Senior Vice President—Insurance</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29</w:t>
            </w: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______________________</w:t>
            </w:r>
          </w:p>
        </w:tc>
        <w:tc>
          <w:tcPr>
            <w:tcW w:w="61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Credicorp, its subsidiaries and their predecessors, as of December 31, 2004.</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Romero served as an officer of BCP from 1966 through 1987 and from 1990 to the present. Mr. Romero has been an officer of PPS since 1972.</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Gagliardi served as an officer of BCP from 1981 through 1988.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paid to all Directors and executive officers was 1.1% of the total of net interest margin and non-financial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Dionisio Romero, detailed in the preceding section.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Raimundo Morales, the Chief Operating Officer of Credicorp, is also the General Manager of BCP,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Carlos Muñoz, the Executive Vice President of Credicorp and, the Deputy General Manager of BCP, is also the President of ASB. He previously served as Senior Vice President and Manager of BCP’s Metropolitan Division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José Luis Gagliardi, the Senior Vice President, Administration and Human Resources of Credicorp and Executive Vice President of Administration of BCP, first joined BCP in 1981. From March 1981 until December 1988 he served as the Manager of Human Resources and Central Manager of Resources and Administration. In 1988, Mr. Gagliardi left BCP to manage Human Resources for Bank of America’s Latin American Division. He rejoined BCP in November 1990.</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Walter Bayly, was appointed Chief Financial and Accounting Officer of Credicorp and Executive Vice President of Planning and Finance of BCP in April 2004. Previously, Mr. Bayly held various other management positions within BCP, having managed the Wholesale Banking, Middle Market Banking, Systems and Organization, and Investment Banking groups.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Arturo Rodrigo, is the Senior Vice President, Insurance for Credicorp and is the General Manager of PPS. Prior to joining PPS in 1976, Mr. Rodrigo worked at La Vitalicia Compañía de Seguros. Before becoming General Manager of PPS, Mr. Rodrigo held various management positions at PPS, managing both the technical area and the commercial property line.</w:t>
      </w:r>
    </w:p>
    <w:p>
      <w:pPr>
        <w:sectPr>
          <w:pgSz w:w="11900" w:h="16838" w:orient="portrait"/>
          <w:cols w:equalWidth="0" w:num="1">
            <w:col w:w="11420"/>
          </w:cols>
          <w:pgMar w:left="240" w:top="1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Section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CREDICORP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Credicorp reported a consolidated net income for the year ended December 31, 2004 of US$130.7 million, or US$1.64 per share, 62.2% above net income of US$80.6 million, or US$1.01 per share, in 2003.</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Cumulative results for total year 2004 improve with respect to 2003, partly due to decreased loan loss provisions and lower merger costs, while fees on services increased. Loan loss provision expense in total 2004 was US$48.4 million, lower than US$93.9 million in 2003 due to improved loan portfolio quality. Loan quality improvement is noted through a lower past-due loan ratio, that decreased from 5.7% at December 2003, to 3.5% at the end of December 2004, and by the improved coverage of bad loans by provisions which increased from 119.6% to 158.1%,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19"/>
                <w:szCs w:val="19"/>
                <w:color w:val="auto"/>
              </w:rPr>
            </w:pPr>
          </w:p>
        </w:tc>
        <w:tc>
          <w:tcPr>
            <w:tcW w:w="3800" w:type="dxa"/>
            <w:vAlign w:val="bottom"/>
            <w:gridSpan w:val="3"/>
          </w:tcPr>
          <w:p>
            <w:pPr>
              <w:ind w:left="960"/>
              <w:spacing w:after="0"/>
              <w:rPr>
                <w:sz w:val="20"/>
                <w:szCs w:val="20"/>
                <w:color w:val="auto"/>
              </w:rPr>
            </w:pPr>
            <w:r>
              <w:rPr>
                <w:rFonts w:ascii="Arial" w:cs="Arial" w:eastAsia="Arial" w:hAnsi="Arial"/>
                <w:sz w:val="18"/>
                <w:szCs w:val="18"/>
                <w:color w:val="auto"/>
              </w:rPr>
              <w:t>Twelve months ended</w:t>
            </w:r>
          </w:p>
        </w:tc>
        <w:tc>
          <w:tcPr>
            <w:tcW w:w="1340" w:type="dxa"/>
            <w:vAlign w:val="bottom"/>
          </w:tcPr>
          <w:p>
            <w:pPr>
              <w:spacing w:after="0"/>
              <w:rPr>
                <w:sz w:val="19"/>
                <w:szCs w:val="19"/>
                <w:color w:val="auto"/>
              </w:rPr>
            </w:pPr>
          </w:p>
        </w:tc>
      </w:tr>
      <w:tr>
        <w:trPr>
          <w:trHeight w:val="124"/>
        </w:trPr>
        <w:tc>
          <w:tcPr>
            <w:tcW w:w="6280" w:type="dxa"/>
            <w:vAlign w:val="bottom"/>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316"/>
        </w:trPr>
        <w:tc>
          <w:tcPr>
            <w:tcW w:w="6280" w:type="dxa"/>
            <w:vAlign w:val="bottom"/>
          </w:tcPr>
          <w:p>
            <w:pPr>
              <w:spacing w:after="0"/>
              <w:rPr>
                <w:sz w:val="24"/>
                <w:szCs w:val="24"/>
                <w:color w:val="auto"/>
              </w:rPr>
            </w:pPr>
          </w:p>
        </w:tc>
        <w:tc>
          <w:tcPr>
            <w:tcW w:w="1980" w:type="dxa"/>
            <w:vAlign w:val="bottom"/>
          </w:tcPr>
          <w:p>
            <w:pPr>
              <w:jc w:val="right"/>
              <w:ind w:right="732"/>
              <w:spacing w:after="0"/>
              <w:rPr>
                <w:sz w:val="20"/>
                <w:szCs w:val="20"/>
                <w:color w:val="auto"/>
              </w:rPr>
            </w:pPr>
            <w:r>
              <w:rPr>
                <w:rFonts w:ascii="Arial" w:cs="Arial" w:eastAsia="Arial" w:hAnsi="Arial"/>
                <w:sz w:val="18"/>
                <w:szCs w:val="18"/>
                <w:color w:val="auto"/>
              </w:rPr>
              <w:t>31.12.03</w:t>
            </w:r>
          </w:p>
        </w:tc>
        <w:tc>
          <w:tcPr>
            <w:tcW w:w="1460" w:type="dxa"/>
            <w:vAlign w:val="bottom"/>
          </w:tcPr>
          <w:p>
            <w:pPr>
              <w:jc w:val="right"/>
              <w:ind w:right="492"/>
              <w:spacing w:after="0"/>
              <w:rPr>
                <w:sz w:val="20"/>
                <w:szCs w:val="20"/>
                <w:color w:val="auto"/>
              </w:rPr>
            </w:pPr>
            <w:r>
              <w:rPr>
                <w:rFonts w:ascii="Arial" w:cs="Arial" w:eastAsia="Arial" w:hAnsi="Arial"/>
                <w:sz w:val="18"/>
                <w:szCs w:val="18"/>
                <w:color w:val="auto"/>
              </w:rPr>
              <w:t>31.12.04</w:t>
            </w:r>
          </w:p>
        </w:tc>
        <w:tc>
          <w:tcPr>
            <w:tcW w:w="360" w:type="dxa"/>
            <w:vAlign w:val="bottom"/>
          </w:tcPr>
          <w:p>
            <w:pPr>
              <w:spacing w:after="0"/>
              <w:rPr>
                <w:sz w:val="24"/>
                <w:szCs w:val="24"/>
                <w:color w:val="auto"/>
              </w:rPr>
            </w:pP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Var</w:t>
            </w:r>
          </w:p>
        </w:tc>
      </w:tr>
      <w:tr>
        <w:trPr>
          <w:trHeight w:val="110"/>
        </w:trPr>
        <w:tc>
          <w:tcPr>
            <w:tcW w:w="6280" w:type="dxa"/>
            <w:vAlign w:val="bottom"/>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309"/>
        </w:trPr>
        <w:tc>
          <w:tcPr>
            <w:tcW w:w="6280" w:type="dxa"/>
            <w:vAlign w:val="bottom"/>
          </w:tcPr>
          <w:p>
            <w:pPr>
              <w:spacing w:after="0"/>
              <w:rPr>
                <w:sz w:val="20"/>
                <w:szCs w:val="20"/>
                <w:color w:val="auto"/>
              </w:rPr>
            </w:pPr>
            <w:r>
              <w:rPr>
                <w:rFonts w:ascii="Arial" w:cs="Arial" w:eastAsia="Arial" w:hAnsi="Arial"/>
                <w:sz w:val="18"/>
                <w:szCs w:val="18"/>
                <w:color w:val="auto"/>
              </w:rPr>
              <w:t>Interest Income</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547,965</w:t>
            </w:r>
          </w:p>
        </w:tc>
        <w:tc>
          <w:tcPr>
            <w:tcW w:w="1460" w:type="dxa"/>
            <w:vAlign w:val="bottom"/>
          </w:tcPr>
          <w:p>
            <w:pPr>
              <w:jc w:val="right"/>
              <w:spacing w:after="0"/>
              <w:rPr>
                <w:sz w:val="20"/>
                <w:szCs w:val="20"/>
                <w:color w:val="auto"/>
              </w:rPr>
            </w:pPr>
            <w:r>
              <w:rPr>
                <w:rFonts w:ascii="Arial" w:cs="Arial" w:eastAsia="Arial" w:hAnsi="Arial"/>
                <w:sz w:val="18"/>
                <w:szCs w:val="18"/>
                <w:color w:val="auto"/>
              </w:rPr>
              <w:t>542,407</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Less: Interest Expense</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162,314</w:t>
            </w:r>
          </w:p>
        </w:tc>
        <w:tc>
          <w:tcPr>
            <w:tcW w:w="1460" w:type="dxa"/>
            <w:vAlign w:val="bottom"/>
          </w:tcPr>
          <w:p>
            <w:pPr>
              <w:jc w:val="right"/>
              <w:spacing w:after="0"/>
              <w:rPr>
                <w:sz w:val="20"/>
                <w:szCs w:val="20"/>
                <w:color w:val="auto"/>
              </w:rPr>
            </w:pPr>
            <w:r>
              <w:rPr>
                <w:rFonts w:ascii="Arial" w:cs="Arial" w:eastAsia="Arial" w:hAnsi="Arial"/>
                <w:sz w:val="18"/>
                <w:szCs w:val="18"/>
                <w:color w:val="auto"/>
              </w:rPr>
              <w:t>159,902</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Net Interest Income</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385,651</w:t>
            </w:r>
          </w:p>
        </w:tc>
        <w:tc>
          <w:tcPr>
            <w:tcW w:w="1460" w:type="dxa"/>
            <w:vAlign w:val="bottom"/>
          </w:tcPr>
          <w:p>
            <w:pPr>
              <w:jc w:val="right"/>
              <w:spacing w:after="0"/>
              <w:rPr>
                <w:sz w:val="20"/>
                <w:szCs w:val="20"/>
                <w:color w:val="auto"/>
              </w:rPr>
            </w:pPr>
            <w:r>
              <w:rPr>
                <w:rFonts w:ascii="Arial" w:cs="Arial" w:eastAsia="Arial" w:hAnsi="Arial"/>
                <w:sz w:val="18"/>
                <w:szCs w:val="18"/>
                <w:color w:val="auto"/>
              </w:rPr>
              <w:t>382,505</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Provision for possible loan losses, net</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93,949</w:t>
            </w:r>
          </w:p>
        </w:tc>
        <w:tc>
          <w:tcPr>
            <w:tcW w:w="1460" w:type="dxa"/>
            <w:vAlign w:val="bottom"/>
          </w:tcPr>
          <w:p>
            <w:pPr>
              <w:jc w:val="right"/>
              <w:spacing w:after="0"/>
              <w:rPr>
                <w:sz w:val="20"/>
                <w:szCs w:val="20"/>
                <w:color w:val="auto"/>
              </w:rPr>
            </w:pPr>
            <w:r>
              <w:rPr>
                <w:rFonts w:ascii="Arial" w:cs="Arial" w:eastAsia="Arial" w:hAnsi="Arial"/>
                <w:sz w:val="18"/>
                <w:szCs w:val="18"/>
                <w:color w:val="auto"/>
              </w:rPr>
              <w:t>48,418</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426"/>
        </w:trPr>
        <w:tc>
          <w:tcPr>
            <w:tcW w:w="6280" w:type="dxa"/>
            <w:vAlign w:val="bottom"/>
          </w:tcPr>
          <w:p>
            <w:pPr>
              <w:spacing w:after="0"/>
              <w:rPr>
                <w:sz w:val="20"/>
                <w:szCs w:val="20"/>
                <w:color w:val="auto"/>
              </w:rPr>
            </w:pPr>
            <w:r>
              <w:rPr>
                <w:rFonts w:ascii="Arial" w:cs="Arial" w:eastAsia="Arial" w:hAnsi="Arial"/>
                <w:sz w:val="18"/>
                <w:szCs w:val="18"/>
                <w:color w:val="auto"/>
              </w:rPr>
              <w:t>OTHER INCOME</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398,010</w:t>
            </w:r>
          </w:p>
        </w:tc>
        <w:tc>
          <w:tcPr>
            <w:tcW w:w="1460" w:type="dxa"/>
            <w:vAlign w:val="bottom"/>
          </w:tcPr>
          <w:p>
            <w:pPr>
              <w:jc w:val="right"/>
              <w:spacing w:after="0"/>
              <w:rPr>
                <w:sz w:val="20"/>
                <w:szCs w:val="20"/>
                <w:color w:val="auto"/>
              </w:rPr>
            </w:pPr>
            <w:r>
              <w:rPr>
                <w:rFonts w:ascii="Arial" w:cs="Arial" w:eastAsia="Arial" w:hAnsi="Arial"/>
                <w:sz w:val="18"/>
                <w:szCs w:val="18"/>
                <w:color w:val="auto"/>
              </w:rPr>
              <w:t>473,474</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Fees and commissions from banking services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189,472</w:t>
            </w:r>
          </w:p>
        </w:tc>
        <w:tc>
          <w:tcPr>
            <w:tcW w:w="1460" w:type="dxa"/>
            <w:vAlign w:val="bottom"/>
          </w:tcPr>
          <w:p>
            <w:pPr>
              <w:jc w:val="right"/>
              <w:spacing w:after="0"/>
              <w:rPr>
                <w:sz w:val="20"/>
                <w:szCs w:val="20"/>
                <w:color w:val="auto"/>
              </w:rPr>
            </w:pPr>
            <w:r>
              <w:rPr>
                <w:rFonts w:ascii="Arial" w:cs="Arial" w:eastAsia="Arial" w:hAnsi="Arial"/>
                <w:sz w:val="18"/>
                <w:szCs w:val="18"/>
                <w:color w:val="auto"/>
              </w:rPr>
              <w:t>201,474</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1,969</w:t>
            </w:r>
          </w:p>
        </w:tc>
        <w:tc>
          <w:tcPr>
            <w:tcW w:w="1460" w:type="dxa"/>
            <w:vAlign w:val="bottom"/>
          </w:tcPr>
          <w:p>
            <w:pPr>
              <w:jc w:val="right"/>
              <w:spacing w:after="0"/>
              <w:rPr>
                <w:sz w:val="20"/>
                <w:szCs w:val="20"/>
                <w:color w:val="auto"/>
              </w:rPr>
            </w:pPr>
            <w:r>
              <w:rPr>
                <w:rFonts w:ascii="Arial" w:cs="Arial" w:eastAsia="Arial" w:hAnsi="Arial"/>
                <w:sz w:val="18"/>
                <w:szCs w:val="18"/>
                <w:color w:val="auto"/>
              </w:rPr>
              <w:t>10,135</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23,681</w:t>
            </w:r>
          </w:p>
        </w:tc>
        <w:tc>
          <w:tcPr>
            <w:tcW w:w="1460" w:type="dxa"/>
            <w:vAlign w:val="bottom"/>
          </w:tcPr>
          <w:p>
            <w:pPr>
              <w:jc w:val="right"/>
              <w:spacing w:after="0"/>
              <w:rPr>
                <w:sz w:val="20"/>
                <w:szCs w:val="20"/>
                <w:color w:val="auto"/>
              </w:rPr>
            </w:pPr>
            <w:r>
              <w:rPr>
                <w:rFonts w:ascii="Arial" w:cs="Arial" w:eastAsia="Arial" w:hAnsi="Arial"/>
                <w:sz w:val="18"/>
                <w:szCs w:val="18"/>
                <w:color w:val="auto"/>
              </w:rPr>
              <w:t>24,165</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premiums earned</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125,115</w:t>
            </w:r>
          </w:p>
        </w:tc>
        <w:tc>
          <w:tcPr>
            <w:tcW w:w="1460" w:type="dxa"/>
            <w:vAlign w:val="bottom"/>
          </w:tcPr>
          <w:p>
            <w:pPr>
              <w:jc w:val="right"/>
              <w:spacing w:after="0"/>
              <w:rPr>
                <w:sz w:val="20"/>
                <w:szCs w:val="20"/>
                <w:color w:val="auto"/>
              </w:rPr>
            </w:pPr>
            <w:r>
              <w:rPr>
                <w:rFonts w:ascii="Arial" w:cs="Arial" w:eastAsia="Arial" w:hAnsi="Arial"/>
                <w:sz w:val="18"/>
                <w:szCs w:val="18"/>
                <w:color w:val="auto"/>
              </w:rPr>
              <w:t>192,672</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Other income</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57,773</w:t>
            </w:r>
          </w:p>
        </w:tc>
        <w:tc>
          <w:tcPr>
            <w:tcW w:w="1460" w:type="dxa"/>
            <w:vAlign w:val="bottom"/>
          </w:tcPr>
          <w:p>
            <w:pPr>
              <w:jc w:val="right"/>
              <w:spacing w:after="0"/>
              <w:rPr>
                <w:sz w:val="20"/>
                <w:szCs w:val="20"/>
                <w:color w:val="auto"/>
              </w:rPr>
            </w:pPr>
            <w:r>
              <w:rPr>
                <w:rFonts w:ascii="Arial" w:cs="Arial" w:eastAsia="Arial" w:hAnsi="Arial"/>
                <w:sz w:val="18"/>
                <w:szCs w:val="18"/>
                <w:color w:val="auto"/>
              </w:rPr>
              <w:t>45,028</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CLAIMS ON INSURANCE ACTIVITIES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99,774</w:t>
            </w:r>
          </w:p>
        </w:tc>
        <w:tc>
          <w:tcPr>
            <w:tcW w:w="1460" w:type="dxa"/>
            <w:vAlign w:val="bottom"/>
          </w:tcPr>
          <w:p>
            <w:pPr>
              <w:jc w:val="right"/>
              <w:spacing w:after="0"/>
              <w:rPr>
                <w:sz w:val="20"/>
                <w:szCs w:val="20"/>
                <w:color w:val="auto"/>
              </w:rPr>
            </w:pPr>
            <w:r>
              <w:rPr>
                <w:rFonts w:ascii="Arial" w:cs="Arial" w:eastAsia="Arial" w:hAnsi="Arial"/>
                <w:sz w:val="18"/>
                <w:szCs w:val="18"/>
                <w:color w:val="auto"/>
              </w:rPr>
              <w:t>148,395</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426"/>
        </w:trPr>
        <w:tc>
          <w:tcPr>
            <w:tcW w:w="6280" w:type="dxa"/>
            <w:vAlign w:val="bottom"/>
          </w:tcPr>
          <w:p>
            <w:pPr>
              <w:spacing w:after="0"/>
              <w:rPr>
                <w:sz w:val="20"/>
                <w:szCs w:val="20"/>
                <w:color w:val="auto"/>
              </w:rPr>
            </w:pPr>
            <w:r>
              <w:rPr>
                <w:rFonts w:ascii="Arial" w:cs="Arial" w:eastAsia="Arial" w:hAnsi="Arial"/>
                <w:sz w:val="18"/>
                <w:szCs w:val="18"/>
                <w:color w:val="auto"/>
              </w:rPr>
              <w:t>OTHER EXPENSES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456,639</w:t>
            </w:r>
          </w:p>
        </w:tc>
        <w:tc>
          <w:tcPr>
            <w:tcW w:w="1460" w:type="dxa"/>
            <w:vAlign w:val="bottom"/>
          </w:tcPr>
          <w:p>
            <w:pPr>
              <w:jc w:val="right"/>
              <w:spacing w:after="0"/>
              <w:rPr>
                <w:sz w:val="20"/>
                <w:szCs w:val="20"/>
                <w:color w:val="auto"/>
              </w:rPr>
            </w:pPr>
            <w:r>
              <w:rPr>
                <w:rFonts w:ascii="Arial" w:cs="Arial" w:eastAsia="Arial" w:hAnsi="Arial"/>
                <w:sz w:val="18"/>
                <w:szCs w:val="18"/>
                <w:color w:val="auto"/>
              </w:rPr>
              <w:t>478,474</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184,737</w:t>
            </w:r>
          </w:p>
        </w:tc>
        <w:tc>
          <w:tcPr>
            <w:tcW w:w="1460" w:type="dxa"/>
            <w:vAlign w:val="bottom"/>
          </w:tcPr>
          <w:p>
            <w:pPr>
              <w:jc w:val="right"/>
              <w:spacing w:after="0"/>
              <w:rPr>
                <w:sz w:val="20"/>
                <w:szCs w:val="20"/>
                <w:color w:val="auto"/>
              </w:rPr>
            </w:pPr>
            <w:r>
              <w:rPr>
                <w:rFonts w:ascii="Arial" w:cs="Arial" w:eastAsia="Arial" w:hAnsi="Arial"/>
                <w:sz w:val="18"/>
                <w:szCs w:val="18"/>
                <w:color w:val="auto"/>
              </w:rPr>
              <w:t>195,607</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General, administrative, and other taxes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147,593</w:t>
            </w:r>
          </w:p>
        </w:tc>
        <w:tc>
          <w:tcPr>
            <w:tcW w:w="1460" w:type="dxa"/>
            <w:vAlign w:val="bottom"/>
          </w:tcPr>
          <w:p>
            <w:pPr>
              <w:jc w:val="right"/>
              <w:spacing w:after="0"/>
              <w:rPr>
                <w:sz w:val="20"/>
                <w:szCs w:val="20"/>
                <w:color w:val="auto"/>
              </w:rPr>
            </w:pPr>
            <w:r>
              <w:rPr>
                <w:rFonts w:ascii="Arial" w:cs="Arial" w:eastAsia="Arial" w:hAnsi="Arial"/>
                <w:sz w:val="18"/>
                <w:szCs w:val="18"/>
                <w:color w:val="auto"/>
              </w:rPr>
              <w:t>153,710</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47,883</w:t>
            </w:r>
          </w:p>
        </w:tc>
        <w:tc>
          <w:tcPr>
            <w:tcW w:w="1460" w:type="dxa"/>
            <w:vAlign w:val="bottom"/>
          </w:tcPr>
          <w:p>
            <w:pPr>
              <w:jc w:val="right"/>
              <w:spacing w:after="0"/>
              <w:rPr>
                <w:sz w:val="20"/>
                <w:szCs w:val="20"/>
                <w:color w:val="auto"/>
              </w:rPr>
            </w:pPr>
            <w:r>
              <w:rPr>
                <w:rFonts w:ascii="Arial" w:cs="Arial" w:eastAsia="Arial" w:hAnsi="Arial"/>
                <w:sz w:val="18"/>
                <w:szCs w:val="18"/>
                <w:color w:val="auto"/>
              </w:rPr>
              <w:t>46,595</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57,839</w:t>
            </w:r>
          </w:p>
        </w:tc>
        <w:tc>
          <w:tcPr>
            <w:tcW w:w="1460" w:type="dxa"/>
            <w:vAlign w:val="bottom"/>
          </w:tcPr>
          <w:p>
            <w:pPr>
              <w:jc w:val="right"/>
              <w:spacing w:after="0"/>
              <w:rPr>
                <w:sz w:val="20"/>
                <w:szCs w:val="20"/>
                <w:color w:val="auto"/>
              </w:rPr>
            </w:pPr>
            <w:r>
              <w:rPr>
                <w:rFonts w:ascii="Arial" w:cs="Arial" w:eastAsia="Arial" w:hAnsi="Arial"/>
                <w:sz w:val="18"/>
                <w:szCs w:val="18"/>
                <w:color w:val="auto"/>
              </w:rPr>
              <w:t>78,820</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Merger costs</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18,587</w:t>
            </w:r>
          </w:p>
        </w:tc>
        <w:tc>
          <w:tcPr>
            <w:tcW w:w="1460" w:type="dxa"/>
            <w:vAlign w:val="bottom"/>
          </w:tcPr>
          <w:p>
            <w:pPr>
              <w:jc w:val="right"/>
              <w:spacing w:after="0"/>
              <w:rPr>
                <w:sz w:val="20"/>
                <w:szCs w:val="20"/>
                <w:color w:val="auto"/>
              </w:rPr>
            </w:pPr>
            <w:r>
              <w:rPr>
                <w:rFonts w:ascii="Arial" w:cs="Arial" w:eastAsia="Arial" w:hAnsi="Arial"/>
                <w:sz w:val="18"/>
                <w:szCs w:val="18"/>
                <w:color w:val="auto"/>
              </w:rPr>
              <w:t>3,742</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Translation result</w:t>
            </w:r>
          </w:p>
        </w:tc>
        <w:tc>
          <w:tcPr>
            <w:tcW w:w="1980" w:type="dxa"/>
            <w:vAlign w:val="bottom"/>
          </w:tcPr>
          <w:p>
            <w:pPr>
              <w:jc w:val="right"/>
              <w:ind w:right="172"/>
              <w:spacing w:after="0"/>
              <w:rPr>
                <w:sz w:val="20"/>
                <w:szCs w:val="20"/>
                <w:color w:val="auto"/>
              </w:rPr>
            </w:pPr>
            <w:r>
              <w:rPr>
                <w:rFonts w:ascii="Arial" w:cs="Arial" w:eastAsia="Arial" w:hAnsi="Arial"/>
                <w:sz w:val="18"/>
                <w:szCs w:val="18"/>
                <w:color w:val="auto"/>
              </w:rPr>
              <w:t>(2,693)</w:t>
            </w:r>
          </w:p>
        </w:tc>
        <w:tc>
          <w:tcPr>
            <w:tcW w:w="1460" w:type="dxa"/>
            <w:vAlign w:val="bottom"/>
          </w:tcPr>
          <w:p>
            <w:pPr>
              <w:jc w:val="right"/>
              <w:spacing w:after="0"/>
              <w:rPr>
                <w:sz w:val="20"/>
                <w:szCs w:val="20"/>
                <w:color w:val="auto"/>
              </w:rPr>
            </w:pPr>
            <w:r>
              <w:rPr>
                <w:rFonts w:ascii="Arial" w:cs="Arial" w:eastAsia="Arial" w:hAnsi="Arial"/>
                <w:sz w:val="18"/>
                <w:szCs w:val="18"/>
                <w:color w:val="auto"/>
              </w:rPr>
              <w:t>6,316</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-334.5%</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Income before income tax, and minority interest</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130,606</w:t>
            </w:r>
          </w:p>
        </w:tc>
        <w:tc>
          <w:tcPr>
            <w:tcW w:w="1460" w:type="dxa"/>
            <w:vAlign w:val="bottom"/>
          </w:tcPr>
          <w:p>
            <w:pPr>
              <w:jc w:val="right"/>
              <w:spacing w:after="0"/>
              <w:rPr>
                <w:sz w:val="20"/>
                <w:szCs w:val="20"/>
                <w:color w:val="auto"/>
              </w:rPr>
            </w:pPr>
            <w:r>
              <w:rPr>
                <w:rFonts w:ascii="Arial" w:cs="Arial" w:eastAsia="Arial" w:hAnsi="Arial"/>
                <w:sz w:val="18"/>
                <w:szCs w:val="18"/>
                <w:color w:val="auto"/>
              </w:rPr>
              <w:t>187,008</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426"/>
        </w:trPr>
        <w:tc>
          <w:tcPr>
            <w:tcW w:w="6280" w:type="dxa"/>
            <w:vAlign w:val="bottom"/>
          </w:tcPr>
          <w:p>
            <w:pPr>
              <w:spacing w:after="0"/>
              <w:rPr>
                <w:sz w:val="20"/>
                <w:szCs w:val="20"/>
                <w:color w:val="auto"/>
              </w:rPr>
            </w:pPr>
            <w:r>
              <w:rPr>
                <w:rFonts w:ascii="Arial" w:cs="Arial" w:eastAsia="Arial" w:hAnsi="Arial"/>
                <w:sz w:val="18"/>
                <w:szCs w:val="18"/>
                <w:color w:val="auto"/>
              </w:rPr>
              <w:t>Income Tax</w:t>
            </w:r>
          </w:p>
        </w:tc>
        <w:tc>
          <w:tcPr>
            <w:tcW w:w="1980" w:type="dxa"/>
            <w:vAlign w:val="bottom"/>
          </w:tcPr>
          <w:p>
            <w:pPr>
              <w:jc w:val="right"/>
              <w:ind w:right="172"/>
              <w:spacing w:after="0"/>
              <w:rPr>
                <w:sz w:val="20"/>
                <w:szCs w:val="20"/>
                <w:color w:val="auto"/>
              </w:rPr>
            </w:pPr>
            <w:r>
              <w:rPr>
                <w:rFonts w:ascii="Arial" w:cs="Arial" w:eastAsia="Arial" w:hAnsi="Arial"/>
                <w:sz w:val="18"/>
                <w:szCs w:val="18"/>
                <w:color w:val="auto"/>
              </w:rPr>
              <w:t>(39,695)</w:t>
            </w: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(45,497)</w:t>
            </w:r>
          </w:p>
        </w:tc>
        <w:tc>
          <w:tcPr>
            <w:tcW w:w="13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Minority Interest</w:t>
            </w:r>
          </w:p>
        </w:tc>
        <w:tc>
          <w:tcPr>
            <w:tcW w:w="1980" w:type="dxa"/>
            <w:vAlign w:val="bottom"/>
          </w:tcPr>
          <w:p>
            <w:pPr>
              <w:jc w:val="right"/>
              <w:ind w:right="172"/>
              <w:spacing w:after="0"/>
              <w:rPr>
                <w:sz w:val="20"/>
                <w:szCs w:val="20"/>
                <w:color w:val="auto"/>
              </w:rPr>
            </w:pPr>
            <w:r>
              <w:rPr>
                <w:rFonts w:ascii="Arial" w:cs="Arial" w:eastAsia="Arial" w:hAnsi="Arial"/>
                <w:sz w:val="18"/>
                <w:szCs w:val="18"/>
                <w:color w:val="auto"/>
              </w:rPr>
              <w:t>(10,304)</w:t>
            </w: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(10,764)</w:t>
            </w: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26"/>
        </w:trPr>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80,607</w:t>
            </w:r>
          </w:p>
        </w:tc>
        <w:tc>
          <w:tcPr>
            <w:tcW w:w="1460" w:type="dxa"/>
            <w:vAlign w:val="bottom"/>
          </w:tcPr>
          <w:p>
            <w:pPr>
              <w:jc w:val="right"/>
              <w:spacing w:after="0"/>
              <w:rPr>
                <w:sz w:val="20"/>
                <w:szCs w:val="20"/>
                <w:color w:val="auto"/>
              </w:rPr>
            </w:pPr>
            <w:r>
              <w:rPr>
                <w:rFonts w:ascii="Arial" w:cs="Arial" w:eastAsia="Arial" w:hAnsi="Arial"/>
                <w:sz w:val="18"/>
                <w:szCs w:val="18"/>
                <w:color w:val="auto"/>
              </w:rPr>
              <w:t>130,747</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Net income per share (US$)(1)</w:t>
            </w:r>
          </w:p>
        </w:tc>
        <w:tc>
          <w:tcPr>
            <w:tcW w:w="1980" w:type="dxa"/>
            <w:vAlign w:val="bottom"/>
          </w:tcPr>
          <w:p>
            <w:pPr>
              <w:jc w:val="right"/>
              <w:ind w:right="212"/>
              <w:spacing w:after="0"/>
              <w:rPr>
                <w:sz w:val="20"/>
                <w:szCs w:val="20"/>
                <w:color w:val="auto"/>
              </w:rPr>
            </w:pPr>
            <w:r>
              <w:rPr>
                <w:rFonts w:ascii="Arial" w:cs="Arial" w:eastAsia="Arial" w:hAnsi="Arial"/>
                <w:sz w:val="18"/>
                <w:szCs w:val="18"/>
                <w:color w:val="auto"/>
              </w:rPr>
              <w:t>1.01</w:t>
            </w:r>
          </w:p>
        </w:tc>
        <w:tc>
          <w:tcPr>
            <w:tcW w:w="1460" w:type="dxa"/>
            <w:vAlign w:val="bottom"/>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-4624705</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-4341495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-4341495</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-4341495</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right="8060" w:firstLine="8"/>
        <w:spacing w:after="0" w:line="497"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79.8 million shares are used in both periods. Net Income from Subsidiaries</w:t>
      </w:r>
    </w:p>
    <w:p>
      <w:pPr>
        <w:spacing w:after="0"/>
        <w:rPr>
          <w:rFonts w:ascii="Arial" w:cs="Arial" w:eastAsia="Arial" w:hAnsi="Arial"/>
          <w:sz w:val="18"/>
          <w:szCs w:val="18"/>
          <w:color w:val="auto"/>
        </w:rPr>
      </w:pPr>
      <w:r>
        <w:rPr>
          <w:rFonts w:ascii="Arial" w:cs="Arial" w:eastAsia="Arial" w:hAnsi="Arial"/>
          <w:sz w:val="18"/>
          <w:szCs w:val="18"/>
          <w:color w:val="auto"/>
        </w:rPr>
        <w:t>Credicorp’s principal subsidiaries contributed to consolidated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(US$Mn)</w:t>
            </w:r>
          </w:p>
        </w:tc>
        <w:tc>
          <w:tcPr>
            <w:tcW w:w="4760" w:type="dxa"/>
            <w:vAlign w:val="bottom"/>
          </w:tcPr>
          <w:p>
            <w:pPr>
              <w:jc w:val="right"/>
              <w:ind w:right="452"/>
              <w:spacing w:after="0"/>
              <w:rPr>
                <w:sz w:val="20"/>
                <w:szCs w:val="20"/>
                <w:color w:val="auto"/>
              </w:rPr>
            </w:pPr>
            <w:r>
              <w:rPr>
                <w:rFonts w:ascii="Arial" w:cs="Arial" w:eastAsia="Arial" w:hAnsi="Arial"/>
                <w:sz w:val="18"/>
                <w:szCs w:val="18"/>
                <w:color w:val="auto"/>
              </w:rPr>
              <w:t>12m03</w:t>
            </w:r>
          </w:p>
        </w:tc>
        <w:tc>
          <w:tcPr>
            <w:tcW w:w="1200" w:type="dxa"/>
            <w:vAlign w:val="bottom"/>
          </w:tcPr>
          <w:p>
            <w:pPr>
              <w:jc w:val="right"/>
              <w:spacing w:after="0"/>
              <w:rPr>
                <w:sz w:val="20"/>
                <w:szCs w:val="20"/>
                <w:color w:val="auto"/>
              </w:rPr>
            </w:pPr>
            <w:r>
              <w:rPr>
                <w:rFonts w:ascii="Arial" w:cs="Arial" w:eastAsia="Arial" w:hAnsi="Arial"/>
                <w:sz w:val="18"/>
                <w:szCs w:val="18"/>
                <w:color w:val="auto"/>
              </w:rPr>
              <w:t>12m04</w:t>
            </w:r>
          </w:p>
        </w:tc>
      </w:tr>
      <w:tr>
        <w:trPr>
          <w:trHeight w:val="110"/>
        </w:trPr>
        <w:tc>
          <w:tcPr>
            <w:tcW w:w="546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r>
        <w:trPr>
          <w:trHeight w:val="309"/>
        </w:trPr>
        <w:tc>
          <w:tcPr>
            <w:tcW w:w="5460" w:type="dxa"/>
            <w:vAlign w:val="bottom"/>
          </w:tcPr>
          <w:p>
            <w:pPr>
              <w:spacing w:after="0"/>
              <w:rPr>
                <w:sz w:val="20"/>
                <w:szCs w:val="20"/>
                <w:color w:val="auto"/>
              </w:rPr>
            </w:pPr>
            <w:r>
              <w:rPr>
                <w:rFonts w:ascii="Arial" w:cs="Arial" w:eastAsia="Arial" w:hAnsi="Arial"/>
                <w:sz w:val="18"/>
                <w:szCs w:val="18"/>
                <w:color w:val="auto"/>
              </w:rPr>
              <w:t>Banco de Crédito BCP(1)</w:t>
            </w:r>
          </w:p>
        </w:tc>
        <w:tc>
          <w:tcPr>
            <w:tcW w:w="4760" w:type="dxa"/>
            <w:vAlign w:val="bottom"/>
          </w:tcPr>
          <w:p>
            <w:pPr>
              <w:jc w:val="right"/>
              <w:ind w:right="412"/>
              <w:spacing w:after="0"/>
              <w:rPr>
                <w:sz w:val="20"/>
                <w:szCs w:val="20"/>
                <w:color w:val="auto"/>
              </w:rPr>
            </w:pPr>
            <w:r>
              <w:rPr>
                <w:rFonts w:ascii="Arial" w:cs="Arial" w:eastAsia="Arial" w:hAnsi="Arial"/>
                <w:sz w:val="18"/>
                <w:szCs w:val="18"/>
                <w:color w:val="auto"/>
              </w:rPr>
              <w:t>US$91.3</w:t>
            </w:r>
          </w:p>
        </w:tc>
        <w:tc>
          <w:tcPr>
            <w:tcW w:w="1200" w:type="dxa"/>
            <w:vAlign w:val="bottom"/>
          </w:tcPr>
          <w:p>
            <w:pPr>
              <w:jc w:val="right"/>
              <w:spacing w:after="0"/>
              <w:rPr>
                <w:sz w:val="20"/>
                <w:szCs w:val="20"/>
                <w:color w:val="auto"/>
              </w:rPr>
            </w:pPr>
            <w:r>
              <w:rPr>
                <w:rFonts w:ascii="Arial" w:cs="Arial" w:eastAsia="Arial" w:hAnsi="Arial"/>
                <w:sz w:val="18"/>
                <w:szCs w:val="18"/>
                <w:color w:val="auto"/>
              </w:rPr>
              <w:t>US$111.4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Atlantic</w:t>
            </w:r>
          </w:p>
        </w:tc>
        <w:tc>
          <w:tcPr>
            <w:tcW w:w="4760" w:type="dxa"/>
            <w:vAlign w:val="bottom"/>
          </w:tcPr>
          <w:p>
            <w:pPr>
              <w:jc w:val="right"/>
              <w:ind w:right="412"/>
              <w:spacing w:after="0"/>
              <w:rPr>
                <w:sz w:val="20"/>
                <w:szCs w:val="20"/>
                <w:color w:val="auto"/>
              </w:rPr>
            </w:pPr>
            <w:r>
              <w:rPr>
                <w:rFonts w:ascii="Arial" w:cs="Arial" w:eastAsia="Arial" w:hAnsi="Arial"/>
                <w:sz w:val="18"/>
                <w:szCs w:val="18"/>
                <w:color w:val="auto"/>
              </w:rPr>
              <w:t>7.8</w:t>
            </w: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PPS</w:t>
            </w:r>
          </w:p>
        </w:tc>
        <w:tc>
          <w:tcPr>
            <w:tcW w:w="4760" w:type="dxa"/>
            <w:vAlign w:val="bottom"/>
          </w:tcPr>
          <w:p>
            <w:pPr>
              <w:jc w:val="right"/>
              <w:ind w:right="412"/>
              <w:spacing w:after="0"/>
              <w:rPr>
                <w:sz w:val="20"/>
                <w:szCs w:val="20"/>
                <w:color w:val="auto"/>
              </w:rPr>
            </w:pPr>
            <w:r>
              <w:rPr>
                <w:rFonts w:ascii="Arial" w:cs="Arial" w:eastAsia="Arial" w:hAnsi="Arial"/>
                <w:sz w:val="18"/>
                <w:szCs w:val="18"/>
                <w:color w:val="auto"/>
              </w:rPr>
              <w:t>3.3</w:t>
            </w: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Banco Tequendama</w:t>
            </w:r>
          </w:p>
        </w:tc>
        <w:tc>
          <w:tcPr>
            <w:tcW w:w="4760" w:type="dxa"/>
            <w:vAlign w:val="bottom"/>
          </w:tcPr>
          <w:p>
            <w:pPr>
              <w:jc w:val="right"/>
              <w:ind w:right="412"/>
              <w:spacing w:after="0"/>
              <w:rPr>
                <w:sz w:val="20"/>
                <w:szCs w:val="20"/>
                <w:color w:val="auto"/>
              </w:rPr>
            </w:pPr>
            <w:r>
              <w:rPr>
                <w:rFonts w:ascii="Arial" w:cs="Arial" w:eastAsia="Arial" w:hAnsi="Arial"/>
                <w:sz w:val="18"/>
                <w:szCs w:val="18"/>
                <w:color w:val="auto"/>
              </w:rPr>
              <w:t>0.1</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Credicorp and others(2)</w:t>
            </w:r>
          </w:p>
        </w:tc>
        <w:tc>
          <w:tcPr>
            <w:tcW w:w="4760" w:type="dxa"/>
            <w:vAlign w:val="bottom"/>
          </w:tcPr>
          <w:p>
            <w:pPr>
              <w:jc w:val="right"/>
              <w:ind w:right="452"/>
              <w:spacing w:after="0"/>
              <w:rPr>
                <w:sz w:val="20"/>
                <w:szCs w:val="20"/>
                <w:color w:val="auto"/>
              </w:rPr>
            </w:pPr>
            <w:r>
              <w:rPr>
                <w:rFonts w:ascii="Arial" w:cs="Arial" w:eastAsia="Arial" w:hAnsi="Arial"/>
                <w:sz w:val="18"/>
                <w:szCs w:val="18"/>
                <w:color w:val="auto"/>
              </w:rPr>
              <w:t>-21.9</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Utilidad Neta</w:t>
            </w:r>
          </w:p>
        </w:tc>
        <w:tc>
          <w:tcPr>
            <w:tcW w:w="4760" w:type="dxa"/>
            <w:vAlign w:val="bottom"/>
          </w:tcPr>
          <w:p>
            <w:pPr>
              <w:jc w:val="right"/>
              <w:ind w:right="412"/>
              <w:spacing w:after="0"/>
              <w:rPr>
                <w:sz w:val="20"/>
                <w:szCs w:val="20"/>
                <w:color w:val="auto"/>
              </w:rPr>
            </w:pPr>
            <w:r>
              <w:rPr>
                <w:rFonts w:ascii="Arial" w:cs="Arial" w:eastAsia="Arial" w:hAnsi="Arial"/>
                <w:sz w:val="18"/>
                <w:szCs w:val="18"/>
                <w:color w:val="auto"/>
              </w:rPr>
              <w:t>US$80.6</w:t>
            </w:r>
          </w:p>
        </w:tc>
        <w:tc>
          <w:tcPr>
            <w:tcW w:w="1200" w:type="dxa"/>
            <w:vAlign w:val="bottom"/>
          </w:tcPr>
          <w:p>
            <w:pPr>
              <w:jc w:val="right"/>
              <w:spacing w:after="0"/>
              <w:rPr>
                <w:sz w:val="20"/>
                <w:szCs w:val="20"/>
                <w:color w:val="auto"/>
              </w:rPr>
            </w:pPr>
            <w:r>
              <w:rPr>
                <w:rFonts w:ascii="Arial" w:cs="Arial" w:eastAsia="Arial" w:hAnsi="Arial"/>
                <w:sz w:val="18"/>
                <w:szCs w:val="18"/>
                <w:color w:val="auto"/>
              </w:rPr>
              <w:t>US$130.7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-1048385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Inversiones Crédito, Credicorp Securities and others.</w:t>
      </w:r>
    </w:p>
    <w:p>
      <w:pPr>
        <w:sectPr>
          <w:pgSz w:w="11900" w:h="16838" w:orient="portrait"/>
          <w:cols w:equalWidth="0" w:num="1">
            <w:col w:w="11420"/>
          </w:cols>
          <w:pgMar w:left="240" w:top="347" w:right="239" w:bottom="47" w:gutter="0" w:footer="0" w:header="0"/>
        </w:sectPr>
      </w:pPr>
    </w:p>
    <w:bookmarkStart w:id="14" w:name="page15"/>
    <w:bookmarkEnd w:id="14"/>
    <w:p>
      <w:pPr>
        <w:jc w:val="both"/>
        <w:spacing w:after="0" w:line="332" w:lineRule="auto"/>
        <w:rPr>
          <w:sz w:val="20"/>
          <w:szCs w:val="20"/>
          <w:color w:val="auto"/>
        </w:rPr>
      </w:pPr>
      <w:r>
        <w:rPr>
          <w:rFonts w:ascii="Arial" w:cs="Arial" w:eastAsia="Arial" w:hAnsi="Arial"/>
          <w:sz w:val="16"/>
          <w:szCs w:val="16"/>
          <w:color w:val="auto"/>
        </w:rPr>
        <w:t>In total year 2004, the Credicorp and others concept contributed a loss of US$5.5 million, lower than the loss of US$21.9 million in 2003, which included US$5.6 million in provisions assumed in favor of Banco Tequendama and a US$8.7 million provision for investments and contingencies.</w:t>
      </w:r>
    </w:p>
    <w:p>
      <w:pPr>
        <w:spacing w:after="0" w:line="1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present year, Banco de Crédito BCP contributed US$111.4 million to Credicorp’s net income, greater than its results according to Peruvian accounting principles reported in Section B, which amounted to US$97.3 million. The difference is mainly due to lower translation losses registered by Credicorp. Credicorp’s Dollar-based accounting showed a US$0.7 million translation gain in this year, compared to a US$40.1 million loss in BCP’s records, which takes into account inflation adjustment losses and losses on foreign currency positions caused by the Nuevo Sol appreciation against the Dollar, which is partly offset by additional provisions required by Credicorp’s IFRS accounting principles (US$11.7 million) and minority interest eliminations (US$4.8 million).</w:t>
      </w:r>
    </w:p>
    <w:p>
      <w:pPr>
        <w:spacing w:after="0" w:line="17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contribution of Atlantic Security Holding Corporation of US$13.3 million for full year 2004 is below US$19.1 million net income shown in its books, due to the elimination for consolidation purposes of US$5.8 million of dividends received from Credicorp, which ASB registered as income during 2004.</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2004, Credicorp received a contribution from PPS of US$9.6 million, lower than the net income of US$26.9 million in its local Peruvian GAAP books, mainly due to the elimination of US$21.7 million gain on the sale of Credicorp shares and to minority interest provisions, US$3.1 million.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 was still consolidated in Credicorp’s books at year-end 2004, but do not contribute to net income beginning in the fourth quarter of 2004, since its results are provisioned given its fixed sale price.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OTHER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in 2004 was US$382.5 million, 0.8% under income earned in 2003, mostly due to higher interest earning assets, which grew 3.9%, that offset a decrease in interest margins. The volume of interest earning assets, as an average between quarterly ending balances., reached US$7.1 billion in this year, compared to US$6.9 billion at year-end 2003.</w:t>
      </w:r>
    </w:p>
    <w:p>
      <w:pPr>
        <w:spacing w:after="0" w:line="194"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net interest margin (net interest income over average interest earning assets), was 5.37% during 2004, lower than 5.62% in the prior year. During the year net interest margins decreased mostly due to lower loan rates, which were not fully offset by lower funding costs, within a continuing overall excess of liquid funds.</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Non-interest income was US$473.5 million in 2004, 19.0% above US$398.0 million in 2003. Fee revenue from banking services were US$201.5 million in 2004, higher by 6.3% compared to fees in 2003, lower than prior years rates due to the application of the financial transactions tax. Nevertheless, growth is noted on credit card fees, fund transfers and collections. Non-interest income components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59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2004 vs</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(In US$Mn)</w:t>
            </w:r>
          </w:p>
        </w:tc>
        <w:tc>
          <w:tcPr>
            <w:tcW w:w="3980" w:type="dxa"/>
            <w:vAlign w:val="bottom"/>
          </w:tcPr>
          <w:p>
            <w:pPr>
              <w:jc w:val="right"/>
              <w:ind w:right="692"/>
              <w:spacing w:after="0"/>
              <w:rPr>
                <w:sz w:val="20"/>
                <w:szCs w:val="20"/>
                <w:color w:val="auto"/>
              </w:rPr>
            </w:pPr>
            <w:r>
              <w:rPr>
                <w:rFonts w:ascii="Arial" w:cs="Arial" w:eastAsia="Arial" w:hAnsi="Arial"/>
                <w:sz w:val="18"/>
                <w:szCs w:val="18"/>
                <w:color w:val="auto"/>
              </w:rPr>
              <w:t>2003</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2004</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2003</w:t>
            </w:r>
          </w:p>
        </w:tc>
      </w:tr>
      <w:tr>
        <w:trPr>
          <w:trHeight w:val="110"/>
        </w:trPr>
        <w:tc>
          <w:tcPr>
            <w:tcW w:w="496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309"/>
        </w:trPr>
        <w:tc>
          <w:tcPr>
            <w:tcW w:w="4960" w:type="dxa"/>
            <w:vAlign w:val="bottom"/>
          </w:tcPr>
          <w:p>
            <w:pPr>
              <w:spacing w:after="0"/>
              <w:rPr>
                <w:sz w:val="20"/>
                <w:szCs w:val="20"/>
                <w:color w:val="auto"/>
              </w:rPr>
            </w:pPr>
            <w:r>
              <w:rPr>
                <w:rFonts w:ascii="Arial" w:cs="Arial" w:eastAsia="Arial" w:hAnsi="Arial"/>
                <w:sz w:val="18"/>
                <w:szCs w:val="18"/>
                <w:color w:val="auto"/>
              </w:rPr>
              <w:t>Fees from banking services</w:t>
            </w:r>
          </w:p>
        </w:tc>
        <w:tc>
          <w:tcPr>
            <w:tcW w:w="3980" w:type="dxa"/>
            <w:vAlign w:val="bottom"/>
          </w:tcPr>
          <w:p>
            <w:pPr>
              <w:jc w:val="right"/>
              <w:ind w:right="152"/>
              <w:spacing w:after="0"/>
              <w:rPr>
                <w:sz w:val="20"/>
                <w:szCs w:val="20"/>
                <w:color w:val="auto"/>
              </w:rPr>
            </w:pPr>
            <w:r>
              <w:rPr>
                <w:rFonts w:ascii="Arial" w:cs="Arial" w:eastAsia="Arial" w:hAnsi="Arial"/>
                <w:sz w:val="18"/>
                <w:szCs w:val="18"/>
                <w:color w:val="auto"/>
              </w:rPr>
              <w:t>189.5</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201.5</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premiums and health fees</w:t>
            </w:r>
          </w:p>
        </w:tc>
        <w:tc>
          <w:tcPr>
            <w:tcW w:w="3980" w:type="dxa"/>
            <w:vAlign w:val="bottom"/>
          </w:tcPr>
          <w:p>
            <w:pPr>
              <w:jc w:val="right"/>
              <w:ind w:right="152"/>
              <w:spacing w:after="0"/>
              <w:rPr>
                <w:sz w:val="20"/>
                <w:szCs w:val="20"/>
                <w:color w:val="auto"/>
              </w:rPr>
            </w:pPr>
            <w:r>
              <w:rPr>
                <w:rFonts w:ascii="Arial" w:cs="Arial" w:eastAsia="Arial" w:hAnsi="Arial"/>
                <w:sz w:val="18"/>
                <w:szCs w:val="18"/>
                <w:color w:val="auto"/>
              </w:rPr>
              <w:t>125.1</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192.7</w:t>
            </w:r>
          </w:p>
        </w:tc>
        <w:tc>
          <w:tcPr>
            <w:tcW w:w="1160" w:type="dxa"/>
            <w:vAlign w:val="bottom"/>
          </w:tcPr>
          <w:p>
            <w:pPr>
              <w:jc w:val="right"/>
              <w:spacing w:after="0"/>
              <w:rPr>
                <w:sz w:val="20"/>
                <w:szCs w:val="20"/>
                <w:color w:val="auto"/>
              </w:rPr>
            </w:pPr>
            <w:r>
              <w:rPr>
                <w:rFonts w:ascii="Arial" w:cs="Arial" w:eastAsia="Arial" w:hAnsi="Arial"/>
                <w:sz w:val="18"/>
                <w:szCs w:val="18"/>
                <w:color w:val="auto"/>
              </w:rPr>
              <w:t>414.7%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398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3980" w:type="dxa"/>
            <w:vAlign w:val="bottom"/>
          </w:tcPr>
          <w:p>
            <w:pPr>
              <w:jc w:val="right"/>
              <w:ind w:right="152"/>
              <w:spacing w:after="0"/>
              <w:rPr>
                <w:sz w:val="20"/>
                <w:szCs w:val="20"/>
                <w:color w:val="auto"/>
              </w:rPr>
            </w:pPr>
            <w:r>
              <w:rPr>
                <w:rFonts w:ascii="Arial" w:cs="Arial" w:eastAsia="Arial" w:hAnsi="Arial"/>
                <w:sz w:val="18"/>
                <w:szCs w:val="18"/>
                <w:color w:val="auto"/>
              </w:rPr>
              <w:t>23.7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24.2</w:t>
            </w:r>
          </w:p>
        </w:tc>
        <w:tc>
          <w:tcPr>
            <w:tcW w:w="116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3980" w:type="dxa"/>
            <w:vAlign w:val="bottom"/>
          </w:tcPr>
          <w:p>
            <w:pPr>
              <w:jc w:val="right"/>
              <w:ind w:right="152"/>
              <w:spacing w:after="0"/>
              <w:rPr>
                <w:sz w:val="20"/>
                <w:szCs w:val="20"/>
                <w:color w:val="auto"/>
              </w:rPr>
            </w:pPr>
            <w:r>
              <w:rPr>
                <w:rFonts w:ascii="Arial" w:cs="Arial" w:eastAsia="Arial" w:hAnsi="Arial"/>
                <w:sz w:val="18"/>
                <w:szCs w:val="18"/>
                <w:color w:val="auto"/>
              </w:rPr>
              <w:t>57.8</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45.0</w:t>
            </w: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3980" w:type="dxa"/>
            <w:vAlign w:val="bottom"/>
          </w:tcPr>
          <w:p>
            <w:pPr>
              <w:jc w:val="right"/>
              <w:ind w:right="152"/>
              <w:spacing w:after="0"/>
              <w:rPr>
                <w:sz w:val="20"/>
                <w:szCs w:val="20"/>
                <w:color w:val="auto"/>
              </w:rPr>
            </w:pPr>
            <w:r>
              <w:rPr>
                <w:rFonts w:ascii="Arial" w:cs="Arial" w:eastAsia="Arial" w:hAnsi="Arial"/>
                <w:sz w:val="18"/>
                <w:szCs w:val="18"/>
                <w:color w:val="auto"/>
              </w:rPr>
              <w:t>398.0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473.5</w:t>
            </w: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Claims and health costs</w:t>
            </w:r>
          </w:p>
        </w:tc>
        <w:tc>
          <w:tcPr>
            <w:tcW w:w="3980" w:type="dxa"/>
            <w:vAlign w:val="bottom"/>
          </w:tcPr>
          <w:p>
            <w:pPr>
              <w:jc w:val="right"/>
              <w:ind w:right="152"/>
              <w:spacing w:after="0"/>
              <w:rPr>
                <w:sz w:val="20"/>
                <w:szCs w:val="20"/>
                <w:color w:val="auto"/>
              </w:rPr>
            </w:pPr>
            <w:r>
              <w:rPr>
                <w:rFonts w:ascii="Arial" w:cs="Arial" w:eastAsia="Arial" w:hAnsi="Arial"/>
                <w:sz w:val="18"/>
                <w:szCs w:val="18"/>
                <w:color w:val="auto"/>
              </w:rPr>
              <w:t>99.8</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148.4</w:t>
            </w:r>
          </w:p>
        </w:tc>
        <w:tc>
          <w:tcPr>
            <w:tcW w:w="116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110"/>
        </w:trPr>
        <w:tc>
          <w:tcPr>
            <w:tcW w:w="496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-1264285</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OTHER NON-INTEREST EXPENSES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non-interest expenses, which include provisions for foreclosed assets and profit sharing, in 2004 amounted to US$478.5 million, 4.8% above expenses in the previous year. The increase is mainly due to higher contingencies provisions, provisions for foreclosed assets and for Banco Tequendama’s results in fourth quarter 2004, partly offset by lower merger costs.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59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2004 vs</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 change and US$Mn)</w:t>
            </w:r>
          </w:p>
        </w:tc>
        <w:tc>
          <w:tcPr>
            <w:tcW w:w="3840" w:type="dxa"/>
            <w:vAlign w:val="bottom"/>
          </w:tcPr>
          <w:p>
            <w:pPr>
              <w:jc w:val="right"/>
              <w:ind w:right="692"/>
              <w:spacing w:after="0"/>
              <w:rPr>
                <w:sz w:val="20"/>
                <w:szCs w:val="20"/>
                <w:color w:val="auto"/>
              </w:rPr>
            </w:pPr>
            <w:r>
              <w:rPr>
                <w:rFonts w:ascii="Arial" w:cs="Arial" w:eastAsia="Arial" w:hAnsi="Arial"/>
                <w:sz w:val="18"/>
                <w:szCs w:val="18"/>
                <w:color w:val="auto"/>
              </w:rPr>
              <w:t>2003</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2004</w:t>
            </w:r>
          </w:p>
        </w:tc>
        <w:tc>
          <w:tcPr>
            <w:tcW w:w="1160" w:type="dxa"/>
            <w:vAlign w:val="bottom"/>
          </w:tcPr>
          <w:p>
            <w:pPr>
              <w:jc w:val="right"/>
              <w:ind w:right="432"/>
              <w:spacing w:after="0"/>
              <w:rPr>
                <w:sz w:val="20"/>
                <w:szCs w:val="20"/>
                <w:color w:val="auto"/>
              </w:rPr>
            </w:pPr>
            <w:r>
              <w:rPr>
                <w:rFonts w:ascii="Arial" w:cs="Arial" w:eastAsia="Arial" w:hAnsi="Arial"/>
                <w:sz w:val="18"/>
                <w:szCs w:val="18"/>
                <w:color w:val="auto"/>
              </w:rPr>
              <w:t>2003</w:t>
            </w:r>
          </w:p>
        </w:tc>
      </w:tr>
      <w:tr>
        <w:trPr>
          <w:trHeight w:val="110"/>
        </w:trPr>
        <w:tc>
          <w:tcPr>
            <w:tcW w:w="510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309"/>
        </w:trPr>
        <w:tc>
          <w:tcPr>
            <w:tcW w:w="510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3840" w:type="dxa"/>
            <w:vAlign w:val="bottom"/>
          </w:tcPr>
          <w:p>
            <w:pPr>
              <w:jc w:val="right"/>
              <w:ind w:right="152"/>
              <w:spacing w:after="0"/>
              <w:rPr>
                <w:sz w:val="20"/>
                <w:szCs w:val="20"/>
                <w:color w:val="auto"/>
              </w:rPr>
            </w:pPr>
            <w:r>
              <w:rPr>
                <w:rFonts w:ascii="Arial" w:cs="Arial" w:eastAsia="Arial" w:hAnsi="Arial"/>
                <w:sz w:val="18"/>
                <w:szCs w:val="18"/>
                <w:color w:val="auto"/>
              </w:rPr>
              <w:t>184.7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195.6</w:t>
            </w: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3840" w:type="dxa"/>
            <w:vAlign w:val="bottom"/>
          </w:tcPr>
          <w:p>
            <w:pPr>
              <w:jc w:val="right"/>
              <w:ind w:right="152"/>
              <w:spacing w:after="0"/>
              <w:rPr>
                <w:sz w:val="20"/>
                <w:szCs w:val="20"/>
                <w:color w:val="auto"/>
              </w:rPr>
            </w:pPr>
            <w:r>
              <w:rPr>
                <w:rFonts w:ascii="Arial" w:cs="Arial" w:eastAsia="Arial" w:hAnsi="Arial"/>
                <w:sz w:val="18"/>
                <w:szCs w:val="18"/>
                <w:color w:val="auto"/>
              </w:rPr>
              <w:t>147.6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153.7</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40" w:type="dxa"/>
            <w:vAlign w:val="bottom"/>
          </w:tcPr>
          <w:p>
            <w:pPr>
              <w:jc w:val="right"/>
              <w:ind w:right="152"/>
              <w:spacing w:after="0"/>
              <w:rPr>
                <w:sz w:val="20"/>
                <w:szCs w:val="20"/>
                <w:color w:val="auto"/>
              </w:rPr>
            </w:pPr>
            <w:r>
              <w:rPr>
                <w:rFonts w:ascii="Arial" w:cs="Arial" w:eastAsia="Arial" w:hAnsi="Arial"/>
                <w:sz w:val="18"/>
                <w:szCs w:val="18"/>
                <w:color w:val="auto"/>
              </w:rPr>
              <w:t>47.9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46.6</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3840" w:type="dxa"/>
            <w:vAlign w:val="bottom"/>
          </w:tcPr>
          <w:p>
            <w:pPr>
              <w:jc w:val="right"/>
              <w:ind w:right="152"/>
              <w:spacing w:after="0"/>
              <w:rPr>
                <w:sz w:val="20"/>
                <w:szCs w:val="20"/>
                <w:color w:val="auto"/>
              </w:rPr>
            </w:pPr>
            <w:r>
              <w:rPr>
                <w:rFonts w:ascii="Arial" w:cs="Arial" w:eastAsia="Arial" w:hAnsi="Arial"/>
                <w:sz w:val="18"/>
                <w:szCs w:val="18"/>
                <w:color w:val="auto"/>
              </w:rPr>
              <w:t>57.8</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78.8</w:t>
            </w:r>
          </w:p>
        </w:tc>
        <w:tc>
          <w:tcPr>
            <w:tcW w:w="116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Merger costs</w:t>
            </w:r>
          </w:p>
        </w:tc>
        <w:tc>
          <w:tcPr>
            <w:tcW w:w="3840" w:type="dxa"/>
            <w:vAlign w:val="bottom"/>
          </w:tcPr>
          <w:p>
            <w:pPr>
              <w:jc w:val="right"/>
              <w:ind w:right="152"/>
              <w:spacing w:after="0"/>
              <w:rPr>
                <w:sz w:val="20"/>
                <w:szCs w:val="20"/>
                <w:color w:val="auto"/>
              </w:rPr>
            </w:pPr>
            <w:r>
              <w:rPr>
                <w:rFonts w:ascii="Arial" w:cs="Arial" w:eastAsia="Arial" w:hAnsi="Arial"/>
                <w:sz w:val="18"/>
                <w:szCs w:val="18"/>
                <w:color w:val="auto"/>
              </w:rPr>
              <w:t>18.6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3.7</w:t>
            </w:r>
          </w:p>
        </w:tc>
        <w:tc>
          <w:tcPr>
            <w:tcW w:w="116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Total Other Expenses</w:t>
            </w:r>
          </w:p>
        </w:tc>
        <w:tc>
          <w:tcPr>
            <w:tcW w:w="3840" w:type="dxa"/>
            <w:vAlign w:val="bottom"/>
          </w:tcPr>
          <w:p>
            <w:pPr>
              <w:jc w:val="right"/>
              <w:ind w:right="152"/>
              <w:spacing w:after="0"/>
              <w:rPr>
                <w:sz w:val="20"/>
                <w:szCs w:val="20"/>
                <w:color w:val="auto"/>
              </w:rPr>
            </w:pPr>
            <w:r>
              <w:rPr>
                <w:rFonts w:ascii="Arial" w:cs="Arial" w:eastAsia="Arial" w:hAnsi="Arial"/>
                <w:sz w:val="18"/>
                <w:szCs w:val="18"/>
                <w:color w:val="auto"/>
              </w:rPr>
              <w:t>456.6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478.5</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10"/>
        </w:trPr>
        <w:tc>
          <w:tcPr>
            <w:tcW w:w="510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efficiency ratio, “adjusted” operating expenses (determined by netting provisions for assets received in lieu of loan repayment, employee profit sharing expenses and non-recurrent expenses) as a percentage of total income, without extraordinary concepts, was 50.5% in 2004 remaining similar to 50.6% in the prior year. “Adjusted” operating expenses as a percentage of average total assets increased from 4.6% in 2003 to 5.0% in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totals assets were US$9.1 billion at December 31, 2004, increasing 9.6% compared to the balance as of December 2003. The loan portfolio as of December 31, 2004 reached US$4.6 billion, growing 2.4% during the current year. Investments on trading securities and on available for sale securities, increased 26.5% in the year, to US$2.2 billion.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Deposits and other obligations reached US$6.4 billion at December 31, 2004 and are 6.8% over deposits at December 2002. Due to banks and correspondents, which closed at US$392.5 million, increased 43.7%, from US$273.3 million, in the year.</w:t>
      </w:r>
    </w:p>
    <w:p>
      <w:pPr>
        <w:sectPr>
          <w:pgSz w:w="11900" w:h="16838" w:orient="portrait"/>
          <w:cols w:equalWidth="0" w:num="1">
            <w:col w:w="11420"/>
          </w:cols>
          <w:pgMar w:left="240" w:top="131" w:right="239" w:bottom="0" w:gutter="0" w:footer="0" w:header="0"/>
        </w:sectPr>
      </w:pPr>
    </w:p>
    <w:bookmarkStart w:id="15" w:name="page16"/>
    <w:bookmarkEnd w:id="15"/>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tcPr>
          <w:p>
            <w:pPr>
              <w:spacing w:after="0"/>
              <w:rPr>
                <w:sz w:val="19"/>
                <w:szCs w:val="19"/>
                <w:color w:val="auto"/>
              </w:rPr>
            </w:pPr>
          </w:p>
        </w:tc>
        <w:tc>
          <w:tcPr>
            <w:tcW w:w="3660" w:type="dxa"/>
            <w:vAlign w:val="bottom"/>
            <w:gridSpan w:val="2"/>
          </w:tcPr>
          <w:p>
            <w:pPr>
              <w:jc w:val="right"/>
              <w:ind w:right="1412"/>
              <w:spacing w:after="0"/>
              <w:rPr>
                <w:sz w:val="20"/>
                <w:szCs w:val="20"/>
                <w:color w:val="auto"/>
              </w:rPr>
            </w:pPr>
            <w:r>
              <w:rPr>
                <w:rFonts w:ascii="Arial" w:cs="Arial" w:eastAsia="Arial" w:hAnsi="Arial"/>
                <w:sz w:val="18"/>
                <w:szCs w:val="18"/>
                <w:color w:val="auto"/>
                <w:w w:val="90"/>
              </w:rPr>
              <w:t>(In thousands of U.S. Dollars)</w:t>
            </w: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9"/>
        </w:trPr>
        <w:tc>
          <w:tcPr>
            <w:tcW w:w="4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As of</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24"/>
        </w:trPr>
        <w:tc>
          <w:tcPr>
            <w:tcW w:w="4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316"/>
        </w:trPr>
        <w:tc>
          <w:tcPr>
            <w:tcW w:w="4620" w:type="dxa"/>
            <w:vAlign w:val="bottom"/>
          </w:tcPr>
          <w:p>
            <w:pPr>
              <w:spacing w:after="0"/>
              <w:rPr>
                <w:sz w:val="20"/>
                <w:szCs w:val="20"/>
                <w:color w:val="auto"/>
              </w:rPr>
            </w:pPr>
            <w:r>
              <w:rPr>
                <w:rFonts w:ascii="Arial" w:cs="Arial" w:eastAsia="Arial" w:hAnsi="Arial"/>
                <w:sz w:val="18"/>
                <w:szCs w:val="18"/>
                <w:color w:val="auto"/>
              </w:rPr>
              <w:t>ASSETS</w:t>
            </w:r>
          </w:p>
        </w:tc>
        <w:tc>
          <w:tcPr>
            <w:tcW w:w="1660" w:type="dxa"/>
            <w:vAlign w:val="bottom"/>
          </w:tcPr>
          <w:p>
            <w:pPr>
              <w:spacing w:after="0"/>
              <w:rPr>
                <w:sz w:val="24"/>
                <w:szCs w:val="24"/>
                <w:color w:val="auto"/>
              </w:rPr>
            </w:pPr>
          </w:p>
        </w:tc>
        <w:tc>
          <w:tcPr>
            <w:tcW w:w="2000" w:type="dxa"/>
            <w:vAlign w:val="bottom"/>
          </w:tcPr>
          <w:p>
            <w:pPr>
              <w:jc w:val="right"/>
              <w:ind w:right="572"/>
              <w:spacing w:after="0"/>
              <w:rPr>
                <w:sz w:val="20"/>
                <w:szCs w:val="20"/>
                <w:color w:val="auto"/>
              </w:rPr>
            </w:pPr>
            <w:r>
              <w:rPr>
                <w:rFonts w:ascii="Arial" w:cs="Arial" w:eastAsia="Arial" w:hAnsi="Arial"/>
                <w:sz w:val="18"/>
                <w:szCs w:val="18"/>
                <w:color w:val="auto"/>
              </w:rPr>
              <w:t>Dec. 31, 2003</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 31, 2004</w:t>
            </w: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Var</w:t>
            </w:r>
          </w:p>
        </w:tc>
      </w:tr>
      <w:tr>
        <w:trPr>
          <w:trHeight w:val="110"/>
        </w:trPr>
        <w:tc>
          <w:tcPr>
            <w:tcW w:w="46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309"/>
        </w:trPr>
        <w:tc>
          <w:tcPr>
            <w:tcW w:w="46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1,612,730</w:t>
            </w:r>
          </w:p>
        </w:tc>
        <w:tc>
          <w:tcPr>
            <w:tcW w:w="1440" w:type="dxa"/>
            <w:vAlign w:val="bottom"/>
          </w:tcPr>
          <w:p>
            <w:pPr>
              <w:jc w:val="right"/>
              <w:spacing w:after="0"/>
              <w:rPr>
                <w:sz w:val="20"/>
                <w:szCs w:val="20"/>
                <w:color w:val="auto"/>
              </w:rPr>
            </w:pPr>
            <w:r>
              <w:rPr>
                <w:rFonts w:ascii="Arial" w:cs="Arial" w:eastAsia="Arial" w:hAnsi="Arial"/>
                <w:sz w:val="18"/>
                <w:szCs w:val="18"/>
                <w:color w:val="auto"/>
              </w:rPr>
              <w:t>1,839,459</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and non interest bearing deposits in banks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240,294</w:t>
            </w:r>
          </w:p>
        </w:tc>
        <w:tc>
          <w:tcPr>
            <w:tcW w:w="1440" w:type="dxa"/>
            <w:vAlign w:val="bottom"/>
          </w:tcPr>
          <w:p>
            <w:pPr>
              <w:jc w:val="right"/>
              <w:spacing w:after="0"/>
              <w:rPr>
                <w:sz w:val="20"/>
                <w:szCs w:val="20"/>
                <w:color w:val="auto"/>
              </w:rPr>
            </w:pPr>
            <w:r>
              <w:rPr>
                <w:rFonts w:ascii="Arial" w:cs="Arial" w:eastAsia="Arial" w:hAnsi="Arial"/>
                <w:sz w:val="18"/>
                <w:szCs w:val="18"/>
                <w:color w:val="auto"/>
              </w:rPr>
              <w:t>264,218</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Interest bearing deposits in banks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1,372,436</w:t>
            </w:r>
          </w:p>
        </w:tc>
        <w:tc>
          <w:tcPr>
            <w:tcW w:w="1440" w:type="dxa"/>
            <w:vAlign w:val="bottom"/>
          </w:tcPr>
          <w:p>
            <w:pPr>
              <w:jc w:val="right"/>
              <w:spacing w:after="0"/>
              <w:rPr>
                <w:sz w:val="20"/>
                <w:szCs w:val="20"/>
                <w:color w:val="auto"/>
              </w:rPr>
            </w:pPr>
            <w:r>
              <w:rPr>
                <w:rFonts w:ascii="Arial" w:cs="Arial" w:eastAsia="Arial" w:hAnsi="Arial"/>
                <w:sz w:val="18"/>
                <w:szCs w:val="18"/>
                <w:color w:val="auto"/>
              </w:rPr>
              <w:t>1,575,241</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MARKETABLE SECURITIES, net</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127,365</w:t>
            </w:r>
          </w:p>
        </w:tc>
        <w:tc>
          <w:tcPr>
            <w:tcW w:w="1440" w:type="dxa"/>
            <w:vAlign w:val="bottom"/>
          </w:tcPr>
          <w:p>
            <w:pPr>
              <w:jc w:val="right"/>
              <w:spacing w:after="0"/>
              <w:rPr>
                <w:sz w:val="20"/>
                <w:szCs w:val="20"/>
                <w:color w:val="auto"/>
              </w:rPr>
            </w:pPr>
            <w:r>
              <w:rPr>
                <w:rFonts w:ascii="Arial" w:cs="Arial" w:eastAsia="Arial" w:hAnsi="Arial"/>
                <w:sz w:val="18"/>
                <w:szCs w:val="18"/>
                <w:color w:val="auto"/>
              </w:rPr>
              <w:t>82,513</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426"/>
        </w:trPr>
        <w:tc>
          <w:tcPr>
            <w:tcW w:w="4620" w:type="dxa"/>
            <w:vAlign w:val="bottom"/>
          </w:tcPr>
          <w:p>
            <w:pPr>
              <w:spacing w:after="0"/>
              <w:rPr>
                <w:sz w:val="20"/>
                <w:szCs w:val="20"/>
                <w:color w:val="auto"/>
              </w:rPr>
            </w:pPr>
            <w:r>
              <w:rPr>
                <w:rFonts w:ascii="Arial" w:cs="Arial" w:eastAsia="Arial" w:hAnsi="Arial"/>
                <w:sz w:val="18"/>
                <w:szCs w:val="18"/>
                <w:color w:val="auto"/>
              </w:rPr>
              <w:t>LOANS NET</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4,174,738</w:t>
            </w:r>
          </w:p>
        </w:tc>
        <w:tc>
          <w:tcPr>
            <w:tcW w:w="1440" w:type="dxa"/>
            <w:vAlign w:val="bottom"/>
          </w:tcPr>
          <w:p>
            <w:pPr>
              <w:jc w:val="right"/>
              <w:spacing w:after="0"/>
              <w:rPr>
                <w:sz w:val="20"/>
                <w:szCs w:val="20"/>
                <w:color w:val="auto"/>
              </w:rPr>
            </w:pPr>
            <w:r>
              <w:rPr>
                <w:rFonts w:ascii="Arial" w:cs="Arial" w:eastAsia="Arial" w:hAnsi="Arial"/>
                <w:sz w:val="18"/>
                <w:szCs w:val="18"/>
                <w:color w:val="auto"/>
              </w:rPr>
              <w:t>4,334,589</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Current</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4,225,001</w:t>
            </w:r>
          </w:p>
        </w:tc>
        <w:tc>
          <w:tcPr>
            <w:tcW w:w="1440" w:type="dxa"/>
            <w:vAlign w:val="bottom"/>
          </w:tcPr>
          <w:p>
            <w:pPr>
              <w:jc w:val="right"/>
              <w:spacing w:after="0"/>
              <w:rPr>
                <w:sz w:val="20"/>
                <w:szCs w:val="20"/>
                <w:color w:val="auto"/>
              </w:rPr>
            </w:pPr>
            <w:r>
              <w:rPr>
                <w:rFonts w:ascii="Arial" w:cs="Arial" w:eastAsia="Arial" w:hAnsi="Arial"/>
                <w:sz w:val="18"/>
                <w:szCs w:val="18"/>
                <w:color w:val="auto"/>
              </w:rPr>
              <w:t>4,427,626</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Past Due</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256,495</w:t>
            </w:r>
          </w:p>
        </w:tc>
        <w:tc>
          <w:tcPr>
            <w:tcW w:w="1440" w:type="dxa"/>
            <w:vAlign w:val="bottom"/>
          </w:tcPr>
          <w:p>
            <w:pPr>
              <w:jc w:val="right"/>
              <w:spacing w:after="0"/>
              <w:rPr>
                <w:sz w:val="20"/>
                <w:szCs w:val="20"/>
                <w:color w:val="auto"/>
              </w:rPr>
            </w:pPr>
            <w:r>
              <w:rPr>
                <w:rFonts w:ascii="Arial" w:cs="Arial" w:eastAsia="Arial" w:hAnsi="Arial"/>
                <w:sz w:val="18"/>
                <w:szCs w:val="18"/>
                <w:color w:val="auto"/>
              </w:rPr>
              <w:t>160,371</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Less - Reserve for possible loan losses</w:t>
            </w:r>
          </w:p>
        </w:tc>
        <w:tc>
          <w:tcPr>
            <w:tcW w:w="3660" w:type="dxa"/>
            <w:vAlign w:val="bottom"/>
            <w:gridSpan w:val="2"/>
          </w:tcPr>
          <w:p>
            <w:pPr>
              <w:jc w:val="right"/>
              <w:ind w:right="192"/>
              <w:spacing w:after="0"/>
              <w:rPr>
                <w:sz w:val="20"/>
                <w:szCs w:val="20"/>
                <w:color w:val="auto"/>
              </w:rPr>
            </w:pPr>
            <w:r>
              <w:rPr>
                <w:rFonts w:ascii="Arial" w:cs="Arial" w:eastAsia="Arial" w:hAnsi="Arial"/>
                <w:sz w:val="18"/>
                <w:szCs w:val="18"/>
                <w:color w:val="auto"/>
              </w:rPr>
              <w:t>(306,758)</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(253,408)</w:t>
            </w:r>
          </w:p>
        </w:tc>
        <w:tc>
          <w:tcPr>
            <w:tcW w:w="13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426"/>
        </w:trPr>
        <w:tc>
          <w:tcPr>
            <w:tcW w:w="46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1,612,887</w:t>
            </w:r>
          </w:p>
        </w:tc>
        <w:tc>
          <w:tcPr>
            <w:tcW w:w="1440" w:type="dxa"/>
            <w:vAlign w:val="bottom"/>
          </w:tcPr>
          <w:p>
            <w:pPr>
              <w:jc w:val="right"/>
              <w:spacing w:after="0"/>
              <w:rPr>
                <w:sz w:val="20"/>
                <w:szCs w:val="20"/>
                <w:color w:val="auto"/>
              </w:rPr>
            </w:pPr>
            <w:r>
              <w:rPr>
                <w:rFonts w:ascii="Arial" w:cs="Arial" w:eastAsia="Arial" w:hAnsi="Arial"/>
                <w:sz w:val="18"/>
                <w:szCs w:val="18"/>
                <w:color w:val="auto"/>
              </w:rPr>
              <w:t>2,118,690</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REINSURANCE ASSETS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45,904</w:t>
            </w:r>
          </w:p>
        </w:tc>
        <w:tc>
          <w:tcPr>
            <w:tcW w:w="1440" w:type="dxa"/>
            <w:vAlign w:val="bottom"/>
          </w:tcPr>
          <w:p>
            <w:pPr>
              <w:jc w:val="right"/>
              <w:spacing w:after="0"/>
              <w:rPr>
                <w:sz w:val="20"/>
                <w:szCs w:val="20"/>
                <w:color w:val="auto"/>
              </w:rPr>
            </w:pPr>
            <w:r>
              <w:rPr>
                <w:rFonts w:ascii="Arial" w:cs="Arial" w:eastAsia="Arial" w:hAnsi="Arial"/>
                <w:sz w:val="18"/>
                <w:szCs w:val="18"/>
                <w:color w:val="auto"/>
              </w:rPr>
              <w:t>35,453</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5"/>
              </w:rPr>
              <w:t>PREMIUMS AND OTHER POLICYHOLDER RECEIVABLES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60,057</w:t>
            </w:r>
          </w:p>
        </w:tc>
        <w:tc>
          <w:tcPr>
            <w:tcW w:w="1440" w:type="dxa"/>
            <w:vAlign w:val="bottom"/>
          </w:tcPr>
          <w:p>
            <w:pPr>
              <w:jc w:val="right"/>
              <w:spacing w:after="0"/>
              <w:rPr>
                <w:sz w:val="20"/>
                <w:szCs w:val="20"/>
                <w:color w:val="auto"/>
              </w:rPr>
            </w:pPr>
            <w:r>
              <w:rPr>
                <w:rFonts w:ascii="Arial" w:cs="Arial" w:eastAsia="Arial" w:hAnsi="Arial"/>
                <w:sz w:val="18"/>
                <w:szCs w:val="18"/>
                <w:color w:val="auto"/>
              </w:rPr>
              <w:t>60,665</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264,533</w:t>
            </w:r>
          </w:p>
        </w:tc>
        <w:tc>
          <w:tcPr>
            <w:tcW w:w="1440" w:type="dxa"/>
            <w:vAlign w:val="bottom"/>
          </w:tcPr>
          <w:p>
            <w:pPr>
              <w:jc w:val="right"/>
              <w:spacing w:after="0"/>
              <w:rPr>
                <w:sz w:val="20"/>
                <w:szCs w:val="20"/>
                <w:color w:val="auto"/>
              </w:rPr>
            </w:pPr>
            <w:r>
              <w:rPr>
                <w:rFonts w:ascii="Arial" w:cs="Arial" w:eastAsia="Arial" w:hAnsi="Arial"/>
                <w:sz w:val="18"/>
                <w:szCs w:val="18"/>
                <w:color w:val="auto"/>
              </w:rPr>
              <w:t>249,083</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OTHER ASSETS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420,850</w:t>
            </w:r>
          </w:p>
        </w:tc>
        <w:tc>
          <w:tcPr>
            <w:tcW w:w="1440" w:type="dxa"/>
            <w:vAlign w:val="bottom"/>
          </w:tcPr>
          <w:p>
            <w:pPr>
              <w:jc w:val="right"/>
              <w:spacing w:after="0"/>
              <w:rPr>
                <w:sz w:val="20"/>
                <w:szCs w:val="20"/>
                <w:color w:val="auto"/>
              </w:rPr>
            </w:pPr>
            <w:r>
              <w:rPr>
                <w:rFonts w:ascii="Arial" w:cs="Arial" w:eastAsia="Arial" w:hAnsi="Arial"/>
                <w:sz w:val="18"/>
                <w:szCs w:val="18"/>
                <w:color w:val="auto"/>
              </w:rPr>
              <w:t>400,136</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8,319,064</w:t>
            </w:r>
          </w:p>
        </w:tc>
        <w:tc>
          <w:tcPr>
            <w:tcW w:w="1440" w:type="dxa"/>
            <w:vAlign w:val="bottom"/>
          </w:tcPr>
          <w:p>
            <w:pPr>
              <w:jc w:val="right"/>
              <w:spacing w:after="0"/>
              <w:rPr>
                <w:sz w:val="20"/>
                <w:szCs w:val="20"/>
                <w:color w:val="auto"/>
              </w:rPr>
            </w:pPr>
            <w:r>
              <w:rPr>
                <w:rFonts w:ascii="Arial" w:cs="Arial" w:eastAsia="Arial" w:hAnsi="Arial"/>
                <w:sz w:val="18"/>
                <w:szCs w:val="18"/>
                <w:color w:val="auto"/>
              </w:rPr>
              <w:t>9,120,588</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6"/>
        </w:trPr>
        <w:tc>
          <w:tcPr>
            <w:tcW w:w="462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5,986,230</w:t>
            </w:r>
          </w:p>
        </w:tc>
        <w:tc>
          <w:tcPr>
            <w:tcW w:w="1440" w:type="dxa"/>
            <w:vAlign w:val="bottom"/>
          </w:tcPr>
          <w:p>
            <w:pPr>
              <w:jc w:val="right"/>
              <w:spacing w:after="0"/>
              <w:rPr>
                <w:sz w:val="20"/>
                <w:szCs w:val="20"/>
                <w:color w:val="auto"/>
              </w:rPr>
            </w:pPr>
            <w:r>
              <w:rPr>
                <w:rFonts w:ascii="Arial" w:cs="Arial" w:eastAsia="Arial" w:hAnsi="Arial"/>
                <w:sz w:val="18"/>
                <w:szCs w:val="18"/>
                <w:color w:val="auto"/>
              </w:rPr>
              <w:t>6,390,729</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Non-interest bearing</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860,585</w:t>
            </w:r>
          </w:p>
        </w:tc>
        <w:tc>
          <w:tcPr>
            <w:tcW w:w="1440" w:type="dxa"/>
            <w:vAlign w:val="bottom"/>
          </w:tcPr>
          <w:p>
            <w:pPr>
              <w:jc w:val="right"/>
              <w:spacing w:after="0"/>
              <w:rPr>
                <w:sz w:val="20"/>
                <w:szCs w:val="20"/>
                <w:color w:val="auto"/>
              </w:rPr>
            </w:pPr>
            <w:r>
              <w:rPr>
                <w:rFonts w:ascii="Arial" w:cs="Arial" w:eastAsia="Arial" w:hAnsi="Arial"/>
                <w:sz w:val="18"/>
                <w:szCs w:val="18"/>
                <w:color w:val="auto"/>
              </w:rPr>
              <w:t>1,406,846</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Interest bearing</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5,125,645</w:t>
            </w:r>
          </w:p>
        </w:tc>
        <w:tc>
          <w:tcPr>
            <w:tcW w:w="1440" w:type="dxa"/>
            <w:vAlign w:val="bottom"/>
          </w:tcPr>
          <w:p>
            <w:pPr>
              <w:jc w:val="right"/>
              <w:spacing w:after="0"/>
              <w:rPr>
                <w:sz w:val="20"/>
                <w:szCs w:val="20"/>
                <w:color w:val="auto"/>
              </w:rPr>
            </w:pPr>
            <w:r>
              <w:rPr>
                <w:rFonts w:ascii="Arial" w:cs="Arial" w:eastAsia="Arial" w:hAnsi="Arial"/>
                <w:sz w:val="18"/>
                <w:szCs w:val="18"/>
                <w:color w:val="auto"/>
              </w:rPr>
              <w:t>4,983,883</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26"/>
        </w:trPr>
        <w:tc>
          <w:tcPr>
            <w:tcW w:w="462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273,234</w:t>
            </w:r>
          </w:p>
        </w:tc>
        <w:tc>
          <w:tcPr>
            <w:tcW w:w="1440" w:type="dxa"/>
            <w:vAlign w:val="bottom"/>
          </w:tcPr>
          <w:p>
            <w:pPr>
              <w:jc w:val="right"/>
              <w:spacing w:after="0"/>
              <w:rPr>
                <w:sz w:val="20"/>
                <w:szCs w:val="20"/>
                <w:color w:val="auto"/>
              </w:rPr>
            </w:pPr>
            <w:r>
              <w:rPr>
                <w:rFonts w:ascii="Arial" w:cs="Arial" w:eastAsia="Arial" w:hAnsi="Arial"/>
                <w:sz w:val="18"/>
                <w:szCs w:val="18"/>
                <w:color w:val="auto"/>
              </w:rPr>
              <w:t>392,511</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RESERVE FOR PROPERTY AND CASUALTY CLAIMS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303,587</w:t>
            </w:r>
          </w:p>
        </w:tc>
        <w:tc>
          <w:tcPr>
            <w:tcW w:w="1440" w:type="dxa"/>
            <w:vAlign w:val="bottom"/>
          </w:tcPr>
          <w:p>
            <w:pPr>
              <w:jc w:val="right"/>
              <w:spacing w:after="0"/>
              <w:rPr>
                <w:sz w:val="20"/>
                <w:szCs w:val="20"/>
                <w:color w:val="auto"/>
              </w:rPr>
            </w:pPr>
            <w:r>
              <w:rPr>
                <w:rFonts w:ascii="Arial" w:cs="Arial" w:eastAsia="Arial" w:hAnsi="Arial"/>
                <w:sz w:val="18"/>
                <w:szCs w:val="18"/>
                <w:color w:val="auto"/>
              </w:rPr>
              <w:t>398,439</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RESERVE FOR UNEARNED PREMIUMS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66,084</w:t>
            </w:r>
          </w:p>
        </w:tc>
        <w:tc>
          <w:tcPr>
            <w:tcW w:w="1440" w:type="dxa"/>
            <w:vAlign w:val="bottom"/>
          </w:tcPr>
          <w:p>
            <w:pPr>
              <w:jc w:val="right"/>
              <w:spacing w:after="0"/>
              <w:rPr>
                <w:sz w:val="20"/>
                <w:szCs w:val="20"/>
                <w:color w:val="auto"/>
              </w:rPr>
            </w:pPr>
            <w:r>
              <w:rPr>
                <w:rFonts w:ascii="Arial" w:cs="Arial" w:eastAsia="Arial" w:hAnsi="Arial"/>
                <w:sz w:val="18"/>
                <w:szCs w:val="18"/>
                <w:color w:val="auto"/>
              </w:rPr>
              <w:t>66,678</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BONDS AND SUBORDINATED DEBT</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419,461</w:t>
            </w:r>
          </w:p>
        </w:tc>
        <w:tc>
          <w:tcPr>
            <w:tcW w:w="1440" w:type="dxa"/>
            <w:vAlign w:val="bottom"/>
          </w:tcPr>
          <w:p>
            <w:pPr>
              <w:jc w:val="right"/>
              <w:spacing w:after="0"/>
              <w:rPr>
                <w:sz w:val="20"/>
                <w:szCs w:val="20"/>
                <w:color w:val="auto"/>
              </w:rPr>
            </w:pPr>
            <w:r>
              <w:rPr>
                <w:rFonts w:ascii="Arial" w:cs="Arial" w:eastAsia="Arial" w:hAnsi="Arial"/>
                <w:sz w:val="18"/>
                <w:szCs w:val="18"/>
                <w:color w:val="auto"/>
              </w:rPr>
              <w:t>424,227</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LIABILITIES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286,894</w:t>
            </w:r>
          </w:p>
        </w:tc>
        <w:tc>
          <w:tcPr>
            <w:tcW w:w="1440" w:type="dxa"/>
            <w:vAlign w:val="bottom"/>
          </w:tcPr>
          <w:p>
            <w:pPr>
              <w:jc w:val="right"/>
              <w:spacing w:after="0"/>
              <w:rPr>
                <w:sz w:val="20"/>
                <w:szCs w:val="20"/>
                <w:color w:val="auto"/>
              </w:rPr>
            </w:pPr>
            <w:r>
              <w:rPr>
                <w:rFonts w:ascii="Arial" w:cs="Arial" w:eastAsia="Arial" w:hAnsi="Arial"/>
                <w:sz w:val="18"/>
                <w:szCs w:val="18"/>
                <w:color w:val="auto"/>
              </w:rPr>
              <w:t>297,554</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MINORITY INTEREST</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72,841</w:t>
            </w:r>
          </w:p>
        </w:tc>
        <w:tc>
          <w:tcPr>
            <w:tcW w:w="1440" w:type="dxa"/>
            <w:vAlign w:val="bottom"/>
          </w:tcPr>
          <w:p>
            <w:pPr>
              <w:jc w:val="right"/>
              <w:spacing w:after="0"/>
              <w:rPr>
                <w:sz w:val="20"/>
                <w:szCs w:val="20"/>
                <w:color w:val="auto"/>
              </w:rPr>
            </w:pPr>
            <w:r>
              <w:rPr>
                <w:rFonts w:ascii="Arial" w:cs="Arial" w:eastAsia="Arial" w:hAnsi="Arial"/>
                <w:sz w:val="18"/>
                <w:szCs w:val="18"/>
                <w:color w:val="auto"/>
              </w:rPr>
              <w:t>85,253</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TOTAL LIABILITIES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7,408,331</w:t>
            </w:r>
          </w:p>
        </w:tc>
        <w:tc>
          <w:tcPr>
            <w:tcW w:w="1440" w:type="dxa"/>
            <w:vAlign w:val="bottom"/>
          </w:tcPr>
          <w:p>
            <w:pPr>
              <w:jc w:val="right"/>
              <w:spacing w:after="0"/>
              <w:rPr>
                <w:sz w:val="20"/>
                <w:szCs w:val="20"/>
                <w:color w:val="auto"/>
              </w:rPr>
            </w:pPr>
            <w:r>
              <w:rPr>
                <w:rFonts w:ascii="Arial" w:cs="Arial" w:eastAsia="Arial" w:hAnsi="Arial"/>
                <w:sz w:val="18"/>
                <w:szCs w:val="18"/>
                <w:color w:val="auto"/>
              </w:rPr>
              <w:t>8,055,391</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910,733</w:t>
            </w:r>
          </w:p>
        </w:tc>
        <w:tc>
          <w:tcPr>
            <w:tcW w:w="1440" w:type="dxa"/>
            <w:vAlign w:val="bottom"/>
          </w:tcPr>
          <w:p>
            <w:pPr>
              <w:jc w:val="right"/>
              <w:spacing w:after="0"/>
              <w:rPr>
                <w:sz w:val="20"/>
                <w:szCs w:val="20"/>
                <w:color w:val="auto"/>
              </w:rPr>
            </w:pPr>
            <w:r>
              <w:rPr>
                <w:rFonts w:ascii="Arial" w:cs="Arial" w:eastAsia="Arial" w:hAnsi="Arial"/>
                <w:sz w:val="18"/>
                <w:szCs w:val="18"/>
                <w:color w:val="auto"/>
              </w:rPr>
              <w:t>1,065,197</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w w:val="98"/>
              </w:rPr>
              <w:t>TOTAL LIABILITIES and NET SHAREHOLDERS' EQUITY</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8,319,064</w:t>
            </w:r>
          </w:p>
        </w:tc>
        <w:tc>
          <w:tcPr>
            <w:tcW w:w="1440" w:type="dxa"/>
            <w:vAlign w:val="bottom"/>
          </w:tcPr>
          <w:p>
            <w:pPr>
              <w:jc w:val="right"/>
              <w:spacing w:after="0"/>
              <w:rPr>
                <w:sz w:val="20"/>
                <w:szCs w:val="20"/>
                <w:color w:val="auto"/>
              </w:rPr>
            </w:pPr>
            <w:r>
              <w:rPr>
                <w:rFonts w:ascii="Arial" w:cs="Arial" w:eastAsia="Arial" w:hAnsi="Arial"/>
                <w:sz w:val="18"/>
                <w:szCs w:val="18"/>
                <w:color w:val="auto"/>
              </w:rPr>
              <w:t>9,120,588</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26"/>
        </w:trPr>
        <w:tc>
          <w:tcPr>
            <w:tcW w:w="4620" w:type="dxa"/>
            <w:vAlign w:val="bottom"/>
          </w:tcPr>
          <w:p>
            <w:pPr>
              <w:spacing w:after="0"/>
              <w:rPr>
                <w:sz w:val="20"/>
                <w:szCs w:val="20"/>
                <w:color w:val="auto"/>
              </w:rPr>
            </w:pPr>
            <w:r>
              <w:rPr>
                <w:rFonts w:ascii="Arial" w:cs="Arial" w:eastAsia="Arial" w:hAnsi="Arial"/>
                <w:sz w:val="18"/>
                <w:szCs w:val="18"/>
                <w:color w:val="auto"/>
              </w:rPr>
              <w:t>CONTINGENT CREDITS</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1,768,605</w:t>
            </w:r>
          </w:p>
        </w:tc>
        <w:tc>
          <w:tcPr>
            <w:tcW w:w="1440" w:type="dxa"/>
            <w:vAlign w:val="bottom"/>
          </w:tcPr>
          <w:p>
            <w:pPr>
              <w:jc w:val="right"/>
              <w:spacing w:after="0"/>
              <w:rPr>
                <w:sz w:val="20"/>
                <w:szCs w:val="20"/>
                <w:color w:val="auto"/>
              </w:rPr>
            </w:pPr>
            <w:r>
              <w:rPr>
                <w:rFonts w:ascii="Arial" w:cs="Arial" w:eastAsia="Arial" w:hAnsi="Arial"/>
                <w:sz w:val="18"/>
                <w:szCs w:val="18"/>
                <w:color w:val="auto"/>
              </w:rPr>
              <w:t>2,017,731</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FUNDS UNDER MANAGEMENT</w:t>
            </w:r>
          </w:p>
        </w:tc>
        <w:tc>
          <w:tcPr>
            <w:tcW w:w="3660" w:type="dxa"/>
            <w:vAlign w:val="bottom"/>
            <w:gridSpan w:val="2"/>
          </w:tcPr>
          <w:p>
            <w:pPr>
              <w:jc w:val="right"/>
              <w:ind w:right="232"/>
              <w:spacing w:after="0"/>
              <w:rPr>
                <w:sz w:val="20"/>
                <w:szCs w:val="20"/>
                <w:color w:val="auto"/>
              </w:rPr>
            </w:pPr>
            <w:r>
              <w:rPr>
                <w:rFonts w:ascii="Arial" w:cs="Arial" w:eastAsia="Arial" w:hAnsi="Arial"/>
                <w:sz w:val="18"/>
                <w:szCs w:val="18"/>
                <w:color w:val="auto"/>
              </w:rPr>
              <w:t>1,724,130</w:t>
            </w:r>
          </w:p>
        </w:tc>
        <w:tc>
          <w:tcPr>
            <w:tcW w:w="1440" w:type="dxa"/>
            <w:vAlign w:val="bottom"/>
          </w:tcPr>
          <w:p>
            <w:pPr>
              <w:jc w:val="right"/>
              <w:spacing w:after="0"/>
              <w:rPr>
                <w:sz w:val="20"/>
                <w:szCs w:val="20"/>
                <w:color w:val="auto"/>
              </w:rPr>
            </w:pPr>
            <w:r>
              <w:rPr>
                <w:rFonts w:ascii="Arial" w:cs="Arial" w:eastAsia="Arial" w:hAnsi="Arial"/>
                <w:sz w:val="18"/>
                <w:szCs w:val="18"/>
                <w:color w:val="auto"/>
              </w:rPr>
              <w:t>1,796,126</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75"/>
        </w:trPr>
        <w:tc>
          <w:tcPr>
            <w:tcW w:w="4620" w:type="dxa"/>
            <w:vAlign w:val="bottom"/>
          </w:tcPr>
          <w:p>
            <w:pPr>
              <w:spacing w:after="0"/>
              <w:rPr>
                <w:sz w:val="20"/>
                <w:szCs w:val="20"/>
                <w:color w:val="auto"/>
              </w:rPr>
            </w:pPr>
            <w:r>
              <w:rPr>
                <w:rFonts w:ascii="Arial" w:cs="Arial" w:eastAsia="Arial" w:hAnsi="Arial"/>
                <w:sz w:val="18"/>
                <w:szCs w:val="18"/>
                <w:color w:val="auto"/>
              </w:rPr>
              <w:t>Loan quality indicators are shown in the following table:</w:t>
            </w:r>
          </w:p>
        </w:tc>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6"/>
        </w:trPr>
        <w:tc>
          <w:tcPr>
            <w:tcW w:w="46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r>
        <w:trPr>
          <w:trHeight w:val="316"/>
        </w:trPr>
        <w:tc>
          <w:tcPr>
            <w:tcW w:w="4620" w:type="dxa"/>
            <w:vAlign w:val="bottom"/>
          </w:tcPr>
          <w:p>
            <w:pPr>
              <w:spacing w:after="0"/>
              <w:rPr>
                <w:sz w:val="20"/>
                <w:szCs w:val="20"/>
                <w:color w:val="auto"/>
              </w:rPr>
            </w:pPr>
            <w:r>
              <w:rPr>
                <w:rFonts w:ascii="Arial" w:cs="Arial" w:eastAsia="Arial" w:hAnsi="Arial"/>
                <w:sz w:val="18"/>
                <w:szCs w:val="18"/>
                <w:color w:val="auto"/>
              </w:rPr>
              <w:t>(In US$Mn)</w:t>
            </w:r>
          </w:p>
        </w:tc>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31.12.03</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31.12.04</w:t>
            </w:r>
          </w:p>
        </w:tc>
      </w:tr>
      <w:tr>
        <w:trPr>
          <w:trHeight w:val="110"/>
        </w:trPr>
        <w:tc>
          <w:tcPr>
            <w:tcW w:w="46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r>
        <w:trPr>
          <w:trHeight w:val="309"/>
        </w:trPr>
        <w:tc>
          <w:tcPr>
            <w:tcW w:w="4620" w:type="dxa"/>
            <w:vAlign w:val="bottom"/>
          </w:tcPr>
          <w:p>
            <w:pPr>
              <w:spacing w:after="0"/>
              <w:rPr>
                <w:sz w:val="20"/>
                <w:szCs w:val="20"/>
                <w:color w:val="auto"/>
              </w:rPr>
            </w:pPr>
            <w:r>
              <w:rPr>
                <w:rFonts w:ascii="Arial" w:cs="Arial" w:eastAsia="Arial" w:hAnsi="Arial"/>
                <w:sz w:val="18"/>
                <w:szCs w:val="18"/>
                <w:color w:val="auto"/>
              </w:rPr>
              <w:t>Total loans</w:t>
            </w:r>
          </w:p>
        </w:tc>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4,481.5</w:t>
            </w: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4,588.0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Past due loans</w:t>
            </w:r>
          </w:p>
        </w:tc>
        <w:tc>
          <w:tcPr>
            <w:tcW w:w="1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256.5</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160.4</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Loan loss reserves</w:t>
            </w:r>
          </w:p>
        </w:tc>
        <w:tc>
          <w:tcPr>
            <w:tcW w:w="16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306.8</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253.4</w:t>
            </w:r>
          </w:p>
        </w:tc>
      </w:tr>
      <w:tr>
        <w:trPr>
          <w:trHeight w:val="426"/>
        </w:trPr>
        <w:tc>
          <w:tcPr>
            <w:tcW w:w="4620" w:type="dxa"/>
            <w:vAlign w:val="bottom"/>
          </w:tcPr>
          <w:p>
            <w:pPr>
              <w:spacing w:after="0"/>
              <w:rPr>
                <w:sz w:val="20"/>
                <w:szCs w:val="20"/>
                <w:color w:val="auto"/>
              </w:rPr>
            </w:pPr>
            <w:r>
              <w:rPr>
                <w:rFonts w:ascii="Arial" w:cs="Arial" w:eastAsia="Arial" w:hAnsi="Arial"/>
                <w:sz w:val="18"/>
                <w:szCs w:val="18"/>
                <w:color w:val="auto"/>
              </w:rPr>
              <w:t>Past due / Total loans</w:t>
            </w:r>
          </w:p>
        </w:tc>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Reserves / Past due</w:t>
            </w:r>
          </w:p>
        </w:tc>
        <w:tc>
          <w:tcPr>
            <w:tcW w:w="16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119.6%</w:t>
            </w:r>
          </w:p>
        </w:tc>
        <w:tc>
          <w:tcPr>
            <w:tcW w:w="134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110"/>
        </w:trPr>
        <w:tc>
          <w:tcPr>
            <w:tcW w:w="46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6149975</wp:posOffset>
            </wp:positionH>
            <wp:positionV relativeFrom="paragraph">
              <wp:posOffset>-7755890</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-7473315</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-7473315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-7473315</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-1272540</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loan loss reserves for contingent credits are registered in other liabilities accounts, amounting to US$18.5 million at year-end 2004, compared to US$19.9 million at the close of 2003. Including both reserves, the coverage of past due loans with loan reserves would increase from 158.1%, in the above chart, to 169.5%, as of December 2004.</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balance of past due loans decreased from US$256.5 million to US$160.4 million during the current year partly due to charge-offs amounting to US$100.9 million.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Deposits and other obligations reached US$6.4 billion at December 31, 2004, increasing 6.8% over the December 2003 balance. Due to banks and correspondents grew 12.4% in this quarter, closing at US$392.5 million, and are 43.7% higher than the balance at December 2003.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Credicorp’s net equity amounted to US$1.1 billion at December 31, 2004, increasing 17.0% over equity at December 2003, due to earnings generated during the year and to higher valuation of investments that increased equity reserves for unrealized earnings.</w:t>
      </w:r>
    </w:p>
    <w:p>
      <w:pPr>
        <w:sectPr>
          <w:pgSz w:w="11900" w:h="16919" w:orient="portrait"/>
          <w:cols w:equalWidth="0" w:num="1">
            <w:col w:w="11420"/>
          </w:cols>
          <w:pgMar w:left="240" w:top="131" w:right="239" w:bottom="0" w:gutter="0" w:footer="0" w:header="0"/>
        </w:sectPr>
      </w:pPr>
    </w:p>
    <w:bookmarkStart w:id="16" w:name="page17"/>
    <w:bookmarkEnd w:id="16"/>
    <w:p>
      <w:pPr>
        <w:jc w:val="both"/>
        <w:spacing w:after="0" w:line="268" w:lineRule="auto"/>
        <w:rPr>
          <w:sz w:val="20"/>
          <w:szCs w:val="20"/>
          <w:color w:val="auto"/>
        </w:rPr>
      </w:pPr>
      <w:r>
        <w:rPr>
          <w:rFonts w:ascii="Arial" w:cs="Arial" w:eastAsia="Arial" w:hAnsi="Arial"/>
          <w:sz w:val="18"/>
          <w:szCs w:val="18"/>
          <w:color w:val="auto"/>
        </w:rPr>
        <w:t>Third party funds under management, which amounted to US$1.8 billion at the end of December 2004, grew 5.3% during the last quarter 2004, and are 4.2% higher than funds at December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some of the subsidiaries not discussed in the following section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Atlantic Security Holding Corporation and Subsidiaries (“ASHC”), 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Consolidated net income in the year ended December 31, 2004 reached US$19.1 million, 75.2% over net income of US$10.9 million in 2003. Net income in full-year 2004, increase compared to 2003, mainly due to lower market risk and loan loss provisions.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mentioned above, ASHC’s contribution to Credicorp’s profits, of US$13.3 million in 2004, is below US$19.1 million net income shown in its books, due to the elimination for consolidation purposes of US$5.8 million of dividends received from Credicorp, which ASHC registered as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Financial and non-financial income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interest income, before risk provisions and not including dividend income, was US$13.8 million in 2004, slightly below US$14.6 million in 2003. Net interest margin as a percentage of interest earning assets, without considering dividends, was 1.9% during 2004, lower than the 2.3% margin in 2003. The margin decreased mainly because in 2004 the investment portfolio grew its lower risk and lower return segments, with the aim of reducing net income volatility.</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current year, market risk provisions amounted to US$0.5 million, while in 2003 provision charges reached US$9.4 million. In 2004 charges against income made for credit risk provisions amounted to US$1.2 million, compared to US$2.9 million in 2003.</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Non-interest income, which includes fee income, realized gains on securities transactions before risk provisions and others, amounted to US$9.0 million in full-year 2004, lower than US$11.7 million in 2003, mainly due to decreased realized gains on securities that drop from gains of US$7.3 million in 2003 to US$3.5 million in 2004. The decline is partly offset by higher fee income of US$4.4 million in 2004, increasing from US$3.5 million in 2003.</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ratio of operating expenses over average assets was 1.0%, annualized, in 2004, compared to 0.9% during 2003. This ratio declines to 0.5% in 2004, when funds under management are included within total assets, remaining almost unchanged compared to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portfolio, net of provisions, was US$149.1 million as of December 31, 2004, decreasing when compared to loan balances of US$152.2 million at December 2003. As of December 31, 2004, the loan portfolio had 0.2% past dues, improving from 2.4% at December 2003, while the coverage ratio increased to 200.0% from 131.0%, at the same dates.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securities portfolio grew to US$518.7 million at December 2004, increasing over US$430.1 million at the end of December 2003, following the increase of available funds and the additional Credicorp shares purchased in second quarter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Deposits amounted to US$686.1 million at December 31, 2004, growing compared to US$629.4 million at the end of December 2003.</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Funds under management were US$746.6 million at December 31, 2004, 14.7% higher than US$650.7 million at December 2003, growth mainly due to a combination of increased managed funds and higher market prices of the securities held.</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equity reached US$151.0 million at the end of December 2004, increasing over US$112.9 million at December 2003, due to higher retained earnings and higher capital needed for the increased investment in Credicorp shares. The equity account of reserves for market value of investments, decreased from a balance of unrealized gains of US$11.0 million at the end of December 2003, to unrealized gains of US$9.9 million at December 31,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El Pacifico-Peruano Suiza and Subsidiaries (“PPS”), Perú</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According to local books, PPS obtained in full-year 2004 a consolidated net income of S/.88.4 million (US$26.9 million), 119.6% higher than S/.40.3 million (US$12.3 million) in 2003.</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Cumulative net income through December 2004 increased over the prior year mainly because of gains from the sale to ASHC of Credicorp equity shares, which were kept by PPS as part of its investment portfolio. The sale, made in second quarter 2004, resulted in a net gain of S/.75.6 million (US$23.0 million), not subject to income taxes, in PPS’s local records. In Credicorp’s consolidated financial statements, all the effects of the transfer of these shares, including the gains, are eliminated in the consolidation process. This elimination explains most of the lower US$9.6 million contribution to Credicorp’s profits.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Novasalud, which was acquired in March 2004, merged with Pacífico Salud in August 2004. This explains the substantial increases seen specially in Premiums and health fees, Claims and health costs, and Operating expenses. Higher operating expenses include extraordinary merger costs amounting to S/.5.4 million (US$1.6 million), mainly related to headcount reductions.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expense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premiums and Pacífico Salud health fees in full-year 2004 were S/.1.2 billion (US$361.7 million), 13.0% higher than premiums of S/.1.1 billion (US$320.2 million) in 2003, due mainly to growth in Pacífico Salud after the Novasalud acquisition.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Retained premiums increase 31.4% to S/.978.1 million (US$298.0 million) in this year. Net premiums earned and health fees, net of reinsured premiums and reserves, were S/.706.0 million (US$215.1 million) in 2004, 39.4% above premiums in the prior year. These increases are mostly due to transactions registered with the above mentioned merger.</w:t>
      </w:r>
    </w:p>
    <w:p>
      <w:pPr>
        <w:sectPr>
          <w:pgSz w:w="11900" w:h="16838" w:orient="portrait"/>
          <w:cols w:equalWidth="0" w:num="1">
            <w:col w:w="11420"/>
          </w:cols>
          <w:pgMar w:left="240" w:top="131" w:right="239" w:bottom="0" w:gutter="0" w:footer="0" w:header="0"/>
        </w:sectPr>
      </w:pPr>
    </w:p>
    <w:bookmarkStart w:id="17" w:name="page18"/>
    <w:bookmarkEnd w:id="17"/>
    <w:p>
      <w:pPr>
        <w:spacing w:after="0" w:line="268" w:lineRule="auto"/>
        <w:rPr>
          <w:sz w:val="20"/>
          <w:szCs w:val="20"/>
          <w:color w:val="auto"/>
        </w:rPr>
      </w:pPr>
      <w:r>
        <w:rPr>
          <w:rFonts w:ascii="Arial" w:cs="Arial" w:eastAsia="Arial" w:hAnsi="Arial"/>
          <w:sz w:val="18"/>
          <w:szCs w:val="18"/>
          <w:color w:val="auto"/>
        </w:rPr>
        <w:t>Additions to technical reserves for premiums grew by S/.272.1 million (US$82.9 million) in 2004, 14.4% higher than reserve additions of S/.237.9 million (US$72.5 million) in 2003. Most of reserves were established by Pacífico Vida, for its life annuities and life insurance lines.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Net consolidated underwriting results was S/.107.5 million (US$32.7 million) in 2004, increasing from S/.69.7 million (US$21.2 million) in the prior year.</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ratio of net underwriting results (net premiums and health fees less reserves and claims as a percentage of total premiums) was 9.1% in 2004, compared to 6.6% in 2003.</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results increase from S/.117.8 million (US$35.9 million) in 2003 to S/.198.6 million (US$60.5 million) in the current quarter, mainly due to the above mentioned sale of Credicorp shares.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Adjustments for exposure to inflation and exchange differences resulted in a loss of S/.32.7 million (US$10.0 million) in 2004, compared to a loss of S/.10.4 million (US$3.2 million) in the same period of 2003.</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expenses over net premiums earned, decreased from 24.3% to 21.7% comparing 2003 and 2004, respectively. The ratio of operating expenses over average assets increased from 7.3% to 7.8%, in these same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Business 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Comparing cumulative results for full-years 2004 and 2003, consolidated total premiums and fees consisted of:</w:t>
      </w:r>
    </w:p>
    <w:p>
      <w:pPr>
        <w:spacing w:after="0" w:line="22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insurance lines, that amounted to 46.6% of total premiums and decreased 8.3%;</w:t>
      </w:r>
    </w:p>
    <w:p>
      <w:pPr>
        <w:spacing w:after="0" w:line="15" w:lineRule="exact"/>
        <w:rPr>
          <w:rFonts w:ascii="Arial" w:cs="Arial" w:eastAsia="Arial" w:hAnsi="Arial"/>
          <w:sz w:val="18"/>
          <w:szCs w:val="18"/>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at Pacífico Salud, that were 21.8% of total premiums and increased 198.1%;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Pacífico Vida, which amounted to 31.5% of the total and increased 4.1%.</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December 31, 2004, growth of Pacífico Salud and the health and medical assistance insurance line (30.5% of total premiums) was 86.8%; fire insurance lines (16.0% of total premiums) decreased 23.1%; while the automobile insurance line (4.8% of total premiums) decreased 3.3% compared to the prior full-year period.</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December 2004, group life insurance and individual life insurance policies (10.0% of total premiums) grew 2.8%; life annuities (15.4% of total premiums) increased 12.2%; while pension fund benefits insurance (5.2% of total premiums) decreased 13.8%, compared to the prior year. Decreased pension fund insurance premiums is due to regulatory changes in procedures for the purchase of insurance coverage by Private Pension Funds (“AFPs”), after the end of the Transitory Arrangement, which caused increased competition and lower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Claims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insurance claims and health services costs incurred in 2004 were S/.508.9 million (US$155.1 million), increasing over claims of S/.362.4 million (US$110.4 million) in 2003, mainly due to increased operating volume at Pacífico Salud after the inclusion of Novasalud’s transactions.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net loss ratio (net claims to net premiums) increases to 52.0% in the current year from 48.7% in 2003. Cumulative through December 2004, the net loss ratio continues high in pension fund insurance (81.8%), marine hull (72.1%), dishonesty (101.1%), health (82.2%) and in Pacífico Salud (76.3%).</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combined ratio (the sum of net claims and health services, general expenses and commissions, as a percentage of net earned premiums and health fees, without including Pacifico Vida) improved from 100.0% in 2003 to 96.7% in the current quarter.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Assets and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real estate and financial assets were S/.1,575 million (US$479.8 million) at the end of 2004, increasing 14.0% from the year-ago balance.</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2004, total assets were S/.2,068 million (US$630.1 million) increasing 11.4% compared to the year-ago balance. At the end of the current period net equity amounted to S/.416.7 million (US$126.9 million), 5.7% above net equity at December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Peruvian insurance market through November 30, 2004, had total premiums of US$812.4 million, remaining similar to premiums in the same eleven month period in 2003. For the first eleven months of 2004, PPS's market share in total premiums was 30.4% (30.2% in the year-ago period), with the share in general risks and health lines being 33.4% (33.0% in the same period of 2003) and in life insurance and pension fund benefits lines of 26.7% (26.4% in the same period of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Banco de Crédito de Bolivia ("BCB"), Bolivia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Bolivian Economy</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Bolivian economic activity had a moderate recovery during 2004. GDP growth improved from 2.5% in 2003, to an expected 3.5% in 2004, and should continue its recovery during 2005. GDP grew 3.5% in third quarter 2004, after growing 3.3% and 3.8% in the second and first quarters, respectively.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Higher growth is mainly due to increased exports of minerals, oil and gas, and of agricultural products, while domestic demand and consumption remained stagnant. In total year 2004, exports amounted to approximately US$2.1 billion, growing 37%, after an already high growth of 20% in total 2003. The trade surplus is expected to reach US$400 million, compared to a US$34 million deficit in 2003.</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fourth quarter 2004 inflation was 2.0%, higher than 0.9% in the preceding third quarter. Cumulative inflation in year 2004 was 4.6%, higher than 3.9% in 2003. Nevertheless, devaluation continued at a slower pace with a 0.8% exchange rate increase in the current quarter and 3.1% in year 2004, reaching 8.05 Bolivianos per Dollar at December 31,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Bolivian Financial System</w:t>
      </w:r>
    </w:p>
    <w:p>
      <w:pPr>
        <w:sectPr>
          <w:pgSz w:w="11900" w:h="16838" w:orient="portrait"/>
          <w:cols w:equalWidth="0" w:num="1">
            <w:col w:w="11420"/>
          </w:cols>
          <w:pgMar w:left="240" w:top="131" w:right="239" w:bottom="0" w:gutter="0" w:footer="0" w:header="0"/>
        </w:sectPr>
      </w:pPr>
    </w:p>
    <w:bookmarkStart w:id="18" w:name="page19"/>
    <w:bookmarkEnd w:id="18"/>
    <w:p>
      <w:pPr>
        <w:spacing w:after="0" w:line="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deposits in the banking system grew to US$2,510 million at December 2004, from US$2,440 million in September 2004. Deposits still remain below balances of US$2,639 million at December 2003 mostly due to the application of the financial transactions tax since July.</w:t>
      </w:r>
    </w:p>
    <w:p>
      <w:pPr>
        <w:spacing w:after="0" w:line="18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Loan volume in the banking system declined slightly during the last quarter 2004 to US$2,398 million as of December 2004, and are 6.3% lower than loans of US$2,558 million at December 2003. The past due loan ratio was 14.0% in December 2004, improving from 16.9% in September 2004 and from 16.7% in December 2003. The coverage of past-due loans with provisions increased to 84.3% at year-end 2004, improving over coverage of 76.5% in the preceding third quarter, and also from 74.0% in December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BCB’s market share in deposits at December 2004 was 12.5%, increasing sligthly from 12.3% at the end of December 2003. In terms of loans, BCB had a 13.1% market share at December 2004, above 12.2% it had last December 2003. In this way, BCB remained in the fourth position in terms of loans, out of twelve banks in the system, and fifth in terms of deposits.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2004, BCB had total loans of US$320.8 million increasing from US$309.9 million at December 2003. Loan quality continued to improve. At the end of 2004, BCB’s past due loans reached US$35.4 million, or 11.0% of total loans, lower than 20.7% at December 2003. Coverage of past due loans with loan loss provisions was 100.6% as of December 2004, increasing from 76.7% in December 2003. Net equity at the Bolivian subsidiary amounted to US$59.8 million as of December 2004.</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total year 2004, loan loss provisions resulted in a US$3.1 million expense charge, compared to US$8.9 million charged against results during 2003. In BCB´s own records, cumulative net income in year 2004 was US$4.8 million, compared to US$1.5 million in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BCB’s main financial figures are shown in the following chart.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Banco de Crédito de Bolivia (“BCB”)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Key Financial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59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(In US$Mn)</w:t>
            </w:r>
          </w:p>
        </w:tc>
        <w:tc>
          <w:tcPr>
            <w:tcW w:w="398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30.09.04</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31.12.04</w:t>
            </w:r>
          </w:p>
        </w:tc>
      </w:tr>
      <w:tr>
        <w:trPr>
          <w:trHeight w:val="110"/>
        </w:trPr>
        <w:tc>
          <w:tcPr>
            <w:tcW w:w="490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4900" w:type="dxa"/>
            <w:vAlign w:val="bottom"/>
          </w:tcPr>
          <w:p>
            <w:pPr>
              <w:spacing w:after="0"/>
              <w:rPr>
                <w:sz w:val="20"/>
                <w:szCs w:val="20"/>
                <w:color w:val="auto"/>
              </w:rPr>
            </w:pPr>
            <w:r>
              <w:rPr>
                <w:rFonts w:ascii="Arial" w:cs="Arial" w:eastAsia="Arial" w:hAnsi="Arial"/>
                <w:sz w:val="18"/>
                <w:szCs w:val="18"/>
                <w:color w:val="auto"/>
              </w:rPr>
              <w:t>Total Loans</w:t>
            </w:r>
          </w:p>
        </w:tc>
        <w:tc>
          <w:tcPr>
            <w:tcW w:w="3980" w:type="dxa"/>
            <w:vAlign w:val="bottom"/>
          </w:tcPr>
          <w:p>
            <w:pPr>
              <w:jc w:val="right"/>
              <w:ind w:right="92"/>
              <w:spacing w:after="0"/>
              <w:rPr>
                <w:sz w:val="20"/>
                <w:szCs w:val="20"/>
                <w:color w:val="auto"/>
              </w:rPr>
            </w:pPr>
            <w:r>
              <w:rPr>
                <w:rFonts w:ascii="Arial" w:cs="Arial" w:eastAsia="Arial" w:hAnsi="Arial"/>
                <w:sz w:val="18"/>
                <w:szCs w:val="18"/>
                <w:color w:val="auto"/>
              </w:rPr>
              <w:t>309.9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301.9</w:t>
            </w:r>
          </w:p>
        </w:tc>
        <w:tc>
          <w:tcPr>
            <w:tcW w:w="1180" w:type="dxa"/>
            <w:vAlign w:val="bottom"/>
          </w:tcPr>
          <w:p>
            <w:pPr>
              <w:jc w:val="right"/>
              <w:spacing w:after="0"/>
              <w:rPr>
                <w:sz w:val="20"/>
                <w:szCs w:val="20"/>
                <w:color w:val="auto"/>
              </w:rPr>
            </w:pPr>
            <w:r>
              <w:rPr>
                <w:rFonts w:ascii="Arial" w:cs="Arial" w:eastAsia="Arial" w:hAnsi="Arial"/>
                <w:sz w:val="18"/>
                <w:szCs w:val="18"/>
                <w:color w:val="auto"/>
              </w:rPr>
              <w:t>320.8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Past-due loans</w:t>
            </w:r>
          </w:p>
        </w:tc>
        <w:tc>
          <w:tcPr>
            <w:tcW w:w="3980" w:type="dxa"/>
            <w:vAlign w:val="bottom"/>
          </w:tcPr>
          <w:p>
            <w:pPr>
              <w:jc w:val="right"/>
              <w:ind w:right="92"/>
              <w:spacing w:after="0"/>
              <w:rPr>
                <w:sz w:val="20"/>
                <w:szCs w:val="20"/>
                <w:color w:val="auto"/>
              </w:rPr>
            </w:pPr>
            <w:r>
              <w:rPr>
                <w:rFonts w:ascii="Arial" w:cs="Arial" w:eastAsia="Arial" w:hAnsi="Arial"/>
                <w:sz w:val="18"/>
                <w:szCs w:val="18"/>
                <w:color w:val="auto"/>
              </w:rPr>
              <w:t>64.2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42.9</w:t>
            </w:r>
          </w:p>
        </w:tc>
        <w:tc>
          <w:tcPr>
            <w:tcW w:w="118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Loan loss reserves</w:t>
            </w:r>
          </w:p>
        </w:tc>
        <w:tc>
          <w:tcPr>
            <w:tcW w:w="3980" w:type="dxa"/>
            <w:vAlign w:val="bottom"/>
          </w:tcPr>
          <w:p>
            <w:pPr>
              <w:jc w:val="right"/>
              <w:ind w:right="92"/>
              <w:spacing w:after="0"/>
              <w:rPr>
                <w:sz w:val="20"/>
                <w:szCs w:val="20"/>
                <w:color w:val="auto"/>
              </w:rPr>
            </w:pPr>
            <w:r>
              <w:rPr>
                <w:rFonts w:ascii="Arial" w:cs="Arial" w:eastAsia="Arial" w:hAnsi="Arial"/>
                <w:sz w:val="18"/>
                <w:szCs w:val="18"/>
                <w:color w:val="auto"/>
              </w:rPr>
              <w:t>49.3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35.7</w:t>
            </w: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3980" w:type="dxa"/>
            <w:vAlign w:val="bottom"/>
          </w:tcPr>
          <w:p>
            <w:pPr>
              <w:jc w:val="right"/>
              <w:ind w:right="92"/>
              <w:spacing w:after="0"/>
              <w:rPr>
                <w:sz w:val="20"/>
                <w:szCs w:val="20"/>
                <w:color w:val="auto"/>
              </w:rPr>
            </w:pPr>
            <w:r>
              <w:rPr>
                <w:rFonts w:ascii="Arial" w:cs="Arial" w:eastAsia="Arial" w:hAnsi="Arial"/>
                <w:sz w:val="18"/>
                <w:szCs w:val="18"/>
                <w:color w:val="auto"/>
              </w:rPr>
              <w:t>446.2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430.1</w:t>
            </w:r>
          </w:p>
        </w:tc>
        <w:tc>
          <w:tcPr>
            <w:tcW w:w="1180" w:type="dxa"/>
            <w:vAlign w:val="bottom"/>
          </w:tcPr>
          <w:p>
            <w:pPr>
              <w:jc w:val="right"/>
              <w:spacing w:after="0"/>
              <w:rPr>
                <w:sz w:val="20"/>
                <w:szCs w:val="20"/>
                <w:color w:val="auto"/>
              </w:rPr>
            </w:pPr>
            <w:r>
              <w:rPr>
                <w:rFonts w:ascii="Arial" w:cs="Arial" w:eastAsia="Arial" w:hAnsi="Arial"/>
                <w:sz w:val="18"/>
                <w:szCs w:val="18"/>
                <w:color w:val="auto"/>
              </w:rPr>
              <w:t>457.4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Deposits</w:t>
            </w:r>
          </w:p>
        </w:tc>
        <w:tc>
          <w:tcPr>
            <w:tcW w:w="3980" w:type="dxa"/>
            <w:vAlign w:val="bottom"/>
          </w:tcPr>
          <w:p>
            <w:pPr>
              <w:jc w:val="right"/>
              <w:ind w:right="92"/>
              <w:spacing w:after="0"/>
              <w:rPr>
                <w:sz w:val="20"/>
                <w:szCs w:val="20"/>
                <w:color w:val="auto"/>
              </w:rPr>
            </w:pPr>
            <w:r>
              <w:rPr>
                <w:rFonts w:ascii="Arial" w:cs="Arial" w:eastAsia="Arial" w:hAnsi="Arial"/>
                <w:sz w:val="18"/>
                <w:szCs w:val="18"/>
                <w:color w:val="auto"/>
              </w:rPr>
              <w:t>337.9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314.2</w:t>
            </w:r>
          </w:p>
        </w:tc>
        <w:tc>
          <w:tcPr>
            <w:tcW w:w="1180" w:type="dxa"/>
            <w:vAlign w:val="bottom"/>
          </w:tcPr>
          <w:p>
            <w:pPr>
              <w:jc w:val="right"/>
              <w:spacing w:after="0"/>
              <w:rPr>
                <w:sz w:val="20"/>
                <w:szCs w:val="20"/>
                <w:color w:val="auto"/>
              </w:rPr>
            </w:pPr>
            <w:r>
              <w:rPr>
                <w:rFonts w:ascii="Arial" w:cs="Arial" w:eastAsia="Arial" w:hAnsi="Arial"/>
                <w:sz w:val="18"/>
                <w:szCs w:val="18"/>
                <w:color w:val="auto"/>
              </w:rPr>
              <w:t>333.1</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Net equity</w:t>
            </w:r>
          </w:p>
        </w:tc>
        <w:tc>
          <w:tcPr>
            <w:tcW w:w="3980" w:type="dxa"/>
            <w:vAlign w:val="bottom"/>
          </w:tcPr>
          <w:p>
            <w:pPr>
              <w:jc w:val="right"/>
              <w:ind w:right="92"/>
              <w:spacing w:after="0"/>
              <w:rPr>
                <w:sz w:val="20"/>
                <w:szCs w:val="20"/>
                <w:color w:val="auto"/>
              </w:rPr>
            </w:pPr>
            <w:r>
              <w:rPr>
                <w:rFonts w:ascii="Arial" w:cs="Arial" w:eastAsia="Arial" w:hAnsi="Arial"/>
                <w:sz w:val="18"/>
                <w:szCs w:val="18"/>
                <w:color w:val="auto"/>
              </w:rPr>
              <w:t>56.3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57.5</w:t>
            </w:r>
          </w:p>
        </w:tc>
        <w:tc>
          <w:tcPr>
            <w:tcW w:w="118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432"/>
        </w:trPr>
        <w:tc>
          <w:tcPr>
            <w:tcW w:w="4900" w:type="dxa"/>
            <w:vAlign w:val="bottom"/>
          </w:tcPr>
          <w:p>
            <w:pPr>
              <w:spacing w:after="0"/>
              <w:rPr>
                <w:sz w:val="20"/>
                <w:szCs w:val="20"/>
                <w:color w:val="auto"/>
              </w:rPr>
            </w:pPr>
            <w:r>
              <w:rPr>
                <w:rFonts w:ascii="Arial" w:cs="Arial" w:eastAsia="Arial" w:hAnsi="Arial"/>
                <w:sz w:val="18"/>
                <w:szCs w:val="18"/>
                <w:color w:val="auto"/>
              </w:rPr>
              <w:t>Net income, cumulative</w:t>
            </w:r>
          </w:p>
        </w:tc>
        <w:tc>
          <w:tcPr>
            <w:tcW w:w="398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26"/>
        </w:trPr>
        <w:tc>
          <w:tcPr>
            <w:tcW w:w="4900" w:type="dxa"/>
            <w:vAlign w:val="bottom"/>
          </w:tcPr>
          <w:p>
            <w:pPr>
              <w:spacing w:after="0"/>
              <w:rPr>
                <w:sz w:val="20"/>
                <w:szCs w:val="20"/>
                <w:color w:val="auto"/>
              </w:rPr>
            </w:pPr>
            <w:r>
              <w:rPr>
                <w:rFonts w:ascii="Arial" w:cs="Arial" w:eastAsia="Arial" w:hAnsi="Arial"/>
                <w:sz w:val="18"/>
                <w:szCs w:val="18"/>
                <w:color w:val="auto"/>
              </w:rPr>
              <w:t>Past-due loans / Total loans</w:t>
            </w:r>
          </w:p>
        </w:tc>
        <w:tc>
          <w:tcPr>
            <w:tcW w:w="3980" w:type="dxa"/>
            <w:vAlign w:val="bottom"/>
          </w:tcPr>
          <w:p>
            <w:pPr>
              <w:jc w:val="right"/>
              <w:ind w:right="92"/>
              <w:spacing w:after="0"/>
              <w:rPr>
                <w:sz w:val="20"/>
                <w:szCs w:val="20"/>
                <w:color w:val="auto"/>
              </w:rPr>
            </w:pPr>
            <w:r>
              <w:rPr>
                <w:rFonts w:ascii="Arial" w:cs="Arial" w:eastAsia="Arial" w:hAnsi="Arial"/>
                <w:sz w:val="18"/>
                <w:szCs w:val="18"/>
                <w:color w:val="auto"/>
              </w:rPr>
              <w:t>20.7%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14.2%</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Loss reserves / Past-due loans</w:t>
            </w:r>
          </w:p>
        </w:tc>
        <w:tc>
          <w:tcPr>
            <w:tcW w:w="3980" w:type="dxa"/>
            <w:vAlign w:val="bottom"/>
          </w:tcPr>
          <w:p>
            <w:pPr>
              <w:jc w:val="right"/>
              <w:ind w:right="92"/>
              <w:spacing w:after="0"/>
              <w:rPr>
                <w:sz w:val="20"/>
                <w:szCs w:val="20"/>
                <w:color w:val="auto"/>
              </w:rPr>
            </w:pPr>
            <w:r>
              <w:rPr>
                <w:rFonts w:ascii="Arial" w:cs="Arial" w:eastAsia="Arial" w:hAnsi="Arial"/>
                <w:sz w:val="18"/>
                <w:szCs w:val="18"/>
                <w:color w:val="auto"/>
              </w:rPr>
              <w:t>76.7%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83.3%</w:t>
            </w:r>
          </w:p>
        </w:tc>
        <w:tc>
          <w:tcPr>
            <w:tcW w:w="118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110"/>
        </w:trPr>
        <w:tc>
          <w:tcPr>
            <w:tcW w:w="490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-1675765</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Banco Tequendama, Colombia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consolidated financial statements as of December 31, 2004 include Banco Tequendama, even though, as was mentioned above, since the sale price of this subsidiary has been fixed, it did not contribute to consolidated net income in fourth quarter 2004, for which a corresponding provision was registered in the Other expense caption.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2004, Credicorp’s balances include loans from Banco Tequendama amounting to US$306.7 million, which increased 32.1% from US$232.1 million in December 2004, and had a past due ratio of 1.9%. At the end of December 2004, Banco Tequendama’s deposits totaled US$290.5 million, 54.9% higher than US$187.5 million in December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net income in the year ended in December 31, 2004 reached S/.319.3 million (US$97.3 million), compared to net income of S/.323.9 million (US$98.7 million) in 2003, meaning S/.0.26 per share in both cases. Net income in 2004 decline slightly compared to net profit in 2003 mainly due to lower financial and non-financial income and to higher losses on inflation adjustment, which are partly offset with lower loan loss provisions and lower operating expenses.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on losses on inflation adjustment, to S/.131.6 million (US$40.1 million) for total year 2004, from S/.43.1 million (US$13.1 million) in 2003, is due to the negative effects of a higher wholesale price inflation and of the strenghtening of the Nuevo Sol exchange rate.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INCOME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(Constant Nuevos Soles, as of December 31, 2004 and U.S. 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00" w:type="dxa"/>
            <w:vAlign w:val="bottom"/>
          </w:tcPr>
          <w:p>
            <w:pPr>
              <w:jc w:val="center"/>
              <w:ind w:right="152"/>
              <w:spacing w:after="0"/>
              <w:rPr>
                <w:sz w:val="20"/>
                <w:szCs w:val="20"/>
                <w:color w:val="auto"/>
              </w:rPr>
            </w:pPr>
            <w:r>
              <w:rPr>
                <w:rFonts w:ascii="Arial" w:cs="Arial" w:eastAsia="Arial" w:hAnsi="Arial"/>
                <w:sz w:val="18"/>
                <w:szCs w:val="18"/>
                <w:color w:val="auto"/>
                <w:w w:val="87"/>
              </w:rPr>
              <w:t>Twelve months ended</w:t>
            </w:r>
          </w:p>
        </w:tc>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124"/>
        </w:trPr>
        <w:tc>
          <w:tcPr>
            <w:tcW w:w="4580" w:type="dxa"/>
            <w:vAlign w:val="bottom"/>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700" w:type="dxa"/>
            <w:vAlign w:val="bottom"/>
          </w:tcPr>
          <w:p>
            <w:pPr>
              <w:spacing w:after="0"/>
              <w:rPr>
                <w:sz w:val="10"/>
                <w:szCs w:val="10"/>
                <w:color w:val="auto"/>
              </w:rPr>
            </w:pPr>
          </w:p>
        </w:tc>
      </w:tr>
      <w:tr>
        <w:trPr>
          <w:trHeight w:val="316"/>
        </w:trPr>
        <w:tc>
          <w:tcPr>
            <w:tcW w:w="4580" w:type="dxa"/>
            <w:vAlign w:val="bottom"/>
          </w:tcPr>
          <w:p>
            <w:pPr>
              <w:spacing w:after="0"/>
              <w:rPr>
                <w:sz w:val="24"/>
                <w:szCs w:val="24"/>
                <w:color w:val="auto"/>
              </w:rPr>
            </w:pP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31.12.03</w:t>
            </w:r>
          </w:p>
        </w:tc>
        <w:tc>
          <w:tcPr>
            <w:tcW w:w="1900" w:type="dxa"/>
            <w:vAlign w:val="bottom"/>
          </w:tcPr>
          <w:p>
            <w:pPr>
              <w:jc w:val="right"/>
              <w:ind w:right="692"/>
              <w:spacing w:after="0"/>
              <w:rPr>
                <w:sz w:val="20"/>
                <w:szCs w:val="20"/>
                <w:color w:val="auto"/>
              </w:rPr>
            </w:pPr>
            <w:r>
              <w:rPr>
                <w:rFonts w:ascii="Arial" w:cs="Arial" w:eastAsia="Arial" w:hAnsi="Arial"/>
                <w:sz w:val="18"/>
                <w:szCs w:val="18"/>
                <w:color w:val="auto"/>
              </w:rPr>
              <w:t>31.12.04</w:t>
            </w:r>
          </w:p>
        </w:tc>
        <w:tc>
          <w:tcPr>
            <w:tcW w:w="1500" w:type="dxa"/>
            <w:vAlign w:val="bottom"/>
          </w:tcPr>
          <w:p>
            <w:pPr>
              <w:jc w:val="right"/>
              <w:ind w:right="472"/>
              <w:spacing w:after="0"/>
              <w:rPr>
                <w:sz w:val="20"/>
                <w:szCs w:val="20"/>
                <w:color w:val="auto"/>
              </w:rPr>
            </w:pPr>
            <w:r>
              <w:rPr>
                <w:rFonts w:ascii="Arial" w:cs="Arial" w:eastAsia="Arial" w:hAnsi="Arial"/>
                <w:sz w:val="18"/>
                <w:szCs w:val="18"/>
                <w:color w:val="auto"/>
              </w:rPr>
              <w:t>31.12.04</w:t>
            </w:r>
          </w:p>
        </w:tc>
        <w:tc>
          <w:tcPr>
            <w:tcW w:w="1700" w:type="dxa"/>
            <w:vAlign w:val="bottom"/>
          </w:tcPr>
          <w:p>
            <w:pPr>
              <w:jc w:val="right"/>
              <w:ind w:right="672"/>
              <w:spacing w:after="0"/>
              <w:rPr>
                <w:sz w:val="20"/>
                <w:szCs w:val="20"/>
                <w:color w:val="auto"/>
              </w:rPr>
            </w:pPr>
            <w:r>
              <w:rPr>
                <w:rFonts w:ascii="Arial" w:cs="Arial" w:eastAsia="Arial" w:hAnsi="Arial"/>
                <w:sz w:val="18"/>
                <w:szCs w:val="18"/>
                <w:color w:val="auto"/>
              </w:rPr>
              <w:t>Var</w:t>
            </w:r>
          </w:p>
        </w:tc>
      </w:tr>
      <w:tr>
        <w:trPr>
          <w:trHeight w:val="110"/>
        </w:trPr>
        <w:tc>
          <w:tcPr>
            <w:tcW w:w="4580" w:type="dxa"/>
            <w:vAlign w:val="bottom"/>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Interest income and expense</w:t>
            </w:r>
          </w:p>
        </w:tc>
        <w:tc>
          <w:tcPr>
            <w:tcW w:w="1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Pr>
          <w:p>
            <w:pPr>
              <w:jc w:val="center"/>
              <w:ind w:right="112"/>
              <w:spacing w:after="0"/>
              <w:rPr>
                <w:sz w:val="20"/>
                <w:szCs w:val="20"/>
                <w:color w:val="auto"/>
              </w:rPr>
            </w:pPr>
            <w:r>
              <w:rPr>
                <w:rFonts w:ascii="Arial" w:cs="Arial" w:eastAsia="Arial" w:hAnsi="Arial"/>
                <w:sz w:val="18"/>
                <w:szCs w:val="18"/>
                <w:color w:val="auto"/>
                <w:w w:val="89"/>
              </w:rPr>
              <w:t>US$000(1)</w:t>
            </w:r>
          </w:p>
        </w:tc>
        <w:tc>
          <w:tcPr>
            <w:tcW w:w="1700" w:type="dxa"/>
            <w:vAlign w:val="bottom"/>
          </w:tcPr>
          <w:p>
            <w:pPr>
              <w:spacing w:after="0"/>
              <w:rPr>
                <w:sz w:val="24"/>
                <w:szCs w:val="24"/>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tcPr>
          <w:p>
            <w:pPr>
              <w:jc w:val="right"/>
              <w:spacing w:after="0"/>
              <w:rPr>
                <w:sz w:val="20"/>
                <w:szCs w:val="20"/>
                <w:color w:val="auto"/>
              </w:rPr>
            </w:pPr>
            <w:r>
              <w:rPr>
                <w:rFonts w:ascii="Arial" w:cs="Arial" w:eastAsia="Arial" w:hAnsi="Arial"/>
                <w:sz w:val="18"/>
                <w:szCs w:val="18"/>
                <w:color w:val="auto"/>
              </w:rPr>
              <w:t>1,694.835</w:t>
            </w: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1,509.833</w:t>
            </w:r>
          </w:p>
        </w:tc>
        <w:tc>
          <w:tcPr>
            <w:tcW w:w="1500" w:type="dxa"/>
            <w:vAlign w:val="bottom"/>
          </w:tcPr>
          <w:p>
            <w:pPr>
              <w:jc w:val="right"/>
              <w:spacing w:after="0"/>
              <w:rPr>
                <w:sz w:val="20"/>
                <w:szCs w:val="20"/>
                <w:color w:val="auto"/>
              </w:rPr>
            </w:pPr>
            <w:r>
              <w:rPr>
                <w:rFonts w:ascii="Arial" w:cs="Arial" w:eastAsia="Arial" w:hAnsi="Arial"/>
                <w:sz w:val="18"/>
                <w:szCs w:val="18"/>
                <w:color w:val="auto"/>
              </w:rPr>
              <w:t>$460.034</w:t>
            </w:r>
          </w:p>
        </w:tc>
        <w:tc>
          <w:tcPr>
            <w:tcW w:w="170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-645160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-645160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-362585</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-362585</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6149975</wp:posOffset>
            </wp:positionH>
            <wp:positionV relativeFrom="paragraph">
              <wp:posOffset>-362585</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-362585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68" w:orient="portrait"/>
          <w:cols w:equalWidth="0" w:num="1">
            <w:col w:w="11420"/>
          </w:cols>
          <w:pgMar w:left="240" w:top="131" w:right="2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 Interest expense</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481.281</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431.586</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$131.501</w:t>
            </w: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Net interest income</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1,213.554</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1,078.247</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$328.534</w:t>
            </w: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Provisions for possible loan losses, net</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325.394</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101.886</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$31.044</w:t>
            </w:r>
          </w:p>
        </w:tc>
        <w:tc>
          <w:tcPr>
            <w:tcW w:w="112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426"/>
        </w:trPr>
        <w:tc>
          <w:tcPr>
            <w:tcW w:w="4140" w:type="dxa"/>
            <w:vAlign w:val="bottom"/>
          </w:tcPr>
          <w:p>
            <w:pPr>
              <w:spacing w:after="0"/>
              <w:rPr>
                <w:sz w:val="20"/>
                <w:szCs w:val="20"/>
                <w:color w:val="auto"/>
              </w:rPr>
            </w:pPr>
            <w:r>
              <w:rPr>
                <w:rFonts w:ascii="Arial" w:cs="Arial" w:eastAsia="Arial" w:hAnsi="Arial"/>
                <w:sz w:val="18"/>
                <w:szCs w:val="18"/>
                <w:color w:val="auto"/>
              </w:rPr>
              <w:t>Other Income</w:t>
            </w:r>
          </w:p>
        </w:tc>
        <w:tc>
          <w:tcPr>
            <w:tcW w:w="2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Fees and commissions from services</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680.071</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649.549</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$197.913</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7.557</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13.292</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$4.050</w:t>
            </w:r>
          </w:p>
        </w:tc>
        <w:tc>
          <w:tcPr>
            <w:tcW w:w="112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gains on foreing exchg. transacts.</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81.579</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81.050</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$24.695</w:t>
            </w: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income</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193.686</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123.574</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$37.652</w:t>
            </w:r>
          </w:p>
        </w:tc>
        <w:tc>
          <w:tcPr>
            <w:tcW w:w="112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2"/>
        </w:trPr>
        <w:tc>
          <w:tcPr>
            <w:tcW w:w="4140" w:type="dxa"/>
            <w:vAlign w:val="bottom"/>
          </w:tcPr>
          <w:p>
            <w:pPr>
              <w:spacing w:after="0"/>
              <w:rPr>
                <w:sz w:val="19"/>
                <w:szCs w:val="19"/>
                <w:color w:val="auto"/>
              </w:rPr>
            </w:pP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962.893</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867.465</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$264.310</w:t>
            </w: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26"/>
        </w:trPr>
        <w:tc>
          <w:tcPr>
            <w:tcW w:w="4140" w:type="dxa"/>
            <w:vAlign w:val="bottom"/>
          </w:tcPr>
          <w:p>
            <w:pPr>
              <w:spacing w:after="0"/>
              <w:rPr>
                <w:sz w:val="20"/>
                <w:szCs w:val="20"/>
                <w:color w:val="auto"/>
              </w:rPr>
            </w:pPr>
            <w:r>
              <w:rPr>
                <w:rFonts w:ascii="Arial" w:cs="Arial" w:eastAsia="Arial" w:hAnsi="Arial"/>
                <w:sz w:val="18"/>
                <w:szCs w:val="18"/>
                <w:color w:val="auto"/>
              </w:rPr>
              <w:t>Other Expenses</w:t>
            </w:r>
          </w:p>
        </w:tc>
        <w:tc>
          <w:tcPr>
            <w:tcW w:w="2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550.754</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524.532</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$159.821</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429.910</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406.686</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$123.914</w:t>
            </w: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143.302</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137.977</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$42.041</w:t>
            </w: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Taxes other than income tax</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43.344</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44.466</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$13.548</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125.106</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125.893</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$38.359</w:t>
            </w: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Merger costs</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68.404</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13.204</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$4.023</w:t>
            </w:r>
          </w:p>
        </w:tc>
        <w:tc>
          <w:tcPr>
            <w:tcW w:w="112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22"/>
        </w:trPr>
        <w:tc>
          <w:tcPr>
            <w:tcW w:w="4140" w:type="dxa"/>
            <w:vAlign w:val="bottom"/>
          </w:tcPr>
          <w:p>
            <w:pPr>
              <w:spacing w:after="0"/>
              <w:rPr>
                <w:sz w:val="19"/>
                <w:szCs w:val="19"/>
                <w:color w:val="auto"/>
              </w:rPr>
            </w:pP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1,360.820</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1,252.758</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$381.706</w:t>
            </w: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2640" w:type="dxa"/>
            <w:vAlign w:val="bottom"/>
          </w:tcPr>
          <w:p>
            <w:pPr>
              <w:jc w:val="right"/>
              <w:ind w:right="392"/>
              <w:spacing w:after="0"/>
              <w:rPr>
                <w:sz w:val="20"/>
                <w:szCs w:val="20"/>
                <w:color w:val="auto"/>
              </w:rPr>
            </w:pPr>
            <w:r>
              <w:rPr>
                <w:rFonts w:ascii="Arial" w:cs="Arial" w:eastAsia="Arial" w:hAnsi="Arial"/>
                <w:sz w:val="18"/>
                <w:szCs w:val="18"/>
                <w:color w:val="auto"/>
              </w:rPr>
              <w:t>(43.107)</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(131.581)</w:t>
            </w:r>
          </w:p>
        </w:tc>
        <w:tc>
          <w:tcPr>
            <w:tcW w:w="1780" w:type="dxa"/>
            <w:vAlign w:val="bottom"/>
          </w:tcPr>
          <w:p>
            <w:pPr>
              <w:jc w:val="right"/>
              <w:ind w:right="492"/>
              <w:spacing w:after="0"/>
              <w:rPr>
                <w:sz w:val="20"/>
                <w:szCs w:val="20"/>
                <w:color w:val="auto"/>
              </w:rPr>
            </w:pPr>
            <w:r>
              <w:rPr>
                <w:rFonts w:ascii="Arial" w:cs="Arial" w:eastAsia="Arial" w:hAnsi="Arial"/>
                <w:sz w:val="18"/>
                <w:szCs w:val="18"/>
                <w:color w:val="auto"/>
              </w:rPr>
              <w:t>($40.092)</w:t>
            </w:r>
          </w:p>
        </w:tc>
        <w:tc>
          <w:tcPr>
            <w:tcW w:w="1120" w:type="dxa"/>
            <w:vAlign w:val="bottom"/>
          </w:tcPr>
          <w:p>
            <w:pPr>
              <w:jc w:val="right"/>
              <w:spacing w:after="0"/>
              <w:rPr>
                <w:sz w:val="20"/>
                <w:szCs w:val="20"/>
                <w:color w:val="auto"/>
              </w:rPr>
            </w:pPr>
            <w:r>
              <w:rPr>
                <w:rFonts w:ascii="Arial" w:cs="Arial" w:eastAsia="Arial" w:hAnsi="Arial"/>
                <w:sz w:val="18"/>
                <w:szCs w:val="18"/>
                <w:color w:val="auto"/>
              </w:rPr>
              <w:t>205.2%</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447.126</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459.487</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$140.002</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Income Tax</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123.209</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140.227</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$42.726</w:t>
            </w: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26"/>
        </w:trPr>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323.917</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319.260</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$97.276</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 per share (2)</w:t>
            </w:r>
          </w:p>
        </w:tc>
        <w:tc>
          <w:tcPr>
            <w:tcW w:w="2640" w:type="dxa"/>
            <w:vAlign w:val="bottom"/>
          </w:tcPr>
          <w:p>
            <w:pPr>
              <w:jc w:val="right"/>
              <w:ind w:right="432"/>
              <w:spacing w:after="0"/>
              <w:rPr>
                <w:sz w:val="20"/>
                <w:szCs w:val="20"/>
                <w:color w:val="auto"/>
              </w:rPr>
            </w:pPr>
            <w:r>
              <w:rPr>
                <w:rFonts w:ascii="Arial" w:cs="Arial" w:eastAsia="Arial" w:hAnsi="Arial"/>
                <w:sz w:val="18"/>
                <w:szCs w:val="18"/>
                <w:color w:val="auto"/>
              </w:rPr>
              <w:t>0.26</w:t>
            </w: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0.26</w:t>
            </w:r>
          </w:p>
        </w:tc>
        <w:tc>
          <w:tcPr>
            <w:tcW w:w="1780" w:type="dxa"/>
            <w:vAlign w:val="bottom"/>
          </w:tcPr>
          <w:p>
            <w:pPr>
              <w:jc w:val="right"/>
              <w:ind w:right="532"/>
              <w:spacing w:after="0"/>
              <w:rPr>
                <w:sz w:val="20"/>
                <w:szCs w:val="20"/>
                <w:color w:val="auto"/>
              </w:rPr>
            </w:pPr>
            <w:r>
              <w:rPr>
                <w:rFonts w:ascii="Arial" w:cs="Arial" w:eastAsia="Arial" w:hAnsi="Arial"/>
                <w:sz w:val="18"/>
                <w:szCs w:val="18"/>
                <w:color w:val="auto"/>
              </w:rPr>
              <w:t>$0.08</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(1)Translated at S/.3.282 per US$1.00.</w:t>
            </w:r>
          </w:p>
        </w:tc>
        <w:tc>
          <w:tcPr>
            <w:tcW w:w="2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Nuevos Soles and U.S. dólares. Uses 1,226 million shares in both periods.</w:t>
      </w:r>
    </w:p>
    <w:p>
      <w:pPr>
        <w:spacing w:after="0" w:line="2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NET INTEREST INCOME</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Interest income, net of interest payments, in 2004 reached S/.1.1 billion (US$328.5 million), decreasing 11.1% compared to net interest income in 2003. Net interest income declined mainly due to lower average interest earning assets and also decreased interest margins.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2004, the net interest margin was 5.19%, decreasing from 5.42% in 2003, mostly due to lower loan rates, in local and foreign currency, which could not be fully offset by lower funding costs, while a general excess of liquid funds continued.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including fee revenue and other non-interest items, in full-year 2004 amounted to S/.867.5 million (US$264.3 million), 9.9% lower than income of S/.962.9 million (US$293.4 million) in 2003, mostly due to lower fees on banking services and recoveries of charged-off accounts and of prior year provisions.</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2004, fees from banking services amounted to S/.649.5 million (US$197.9 million), 4.5% lower than in 2003, mostly due to decreases in services related to account movents, mainly due to the tax on financial transactions applied since 2004 in Peru and Bolivia.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the year, fees on the most important banking services had the following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(In constant S/. Mn.)</w:t>
            </w:r>
          </w:p>
        </w:tc>
        <w:tc>
          <w:tcPr>
            <w:tcW w:w="4020" w:type="dxa"/>
            <w:vAlign w:val="bottom"/>
          </w:tcPr>
          <w:p>
            <w:pPr>
              <w:jc w:val="right"/>
              <w:ind w:right="692"/>
              <w:spacing w:after="0"/>
              <w:rPr>
                <w:sz w:val="20"/>
                <w:szCs w:val="20"/>
                <w:color w:val="auto"/>
              </w:rPr>
            </w:pPr>
            <w:r>
              <w:rPr>
                <w:rFonts w:ascii="Arial" w:cs="Arial" w:eastAsia="Arial" w:hAnsi="Arial"/>
                <w:sz w:val="18"/>
                <w:szCs w:val="18"/>
                <w:color w:val="auto"/>
              </w:rPr>
              <w:t>2003</w:t>
            </w:r>
          </w:p>
        </w:tc>
        <w:tc>
          <w:tcPr>
            <w:tcW w:w="1320" w:type="dxa"/>
            <w:vAlign w:val="bottom"/>
          </w:tcPr>
          <w:p>
            <w:pPr>
              <w:jc w:val="right"/>
              <w:ind w:right="652"/>
              <w:spacing w:after="0"/>
              <w:rPr>
                <w:sz w:val="20"/>
                <w:szCs w:val="20"/>
                <w:color w:val="auto"/>
              </w:rPr>
            </w:pPr>
            <w:r>
              <w:rPr>
                <w:rFonts w:ascii="Arial" w:cs="Arial" w:eastAsia="Arial" w:hAnsi="Arial"/>
                <w:sz w:val="18"/>
                <w:szCs w:val="18"/>
                <w:color w:val="auto"/>
              </w:rPr>
              <w:t>2004</w:t>
            </w:r>
          </w:p>
        </w:tc>
        <w:tc>
          <w:tcPr>
            <w:tcW w:w="1160" w:type="dxa"/>
            <w:vAlign w:val="bottom"/>
          </w:tcPr>
          <w:p>
            <w:pPr>
              <w:jc w:val="right"/>
              <w:ind w:right="352"/>
              <w:spacing w:after="0"/>
              <w:rPr>
                <w:sz w:val="20"/>
                <w:szCs w:val="20"/>
                <w:color w:val="auto"/>
              </w:rPr>
            </w:pPr>
            <w:r>
              <w:rPr>
                <w:rFonts w:ascii="Arial" w:cs="Arial" w:eastAsia="Arial" w:hAnsi="Arial"/>
                <w:sz w:val="18"/>
                <w:szCs w:val="18"/>
                <w:color w:val="auto"/>
              </w:rPr>
              <w:t>Growth</w:t>
            </w:r>
          </w:p>
        </w:tc>
      </w:tr>
      <w:tr>
        <w:trPr>
          <w:trHeight w:val="110"/>
        </w:trPr>
        <w:tc>
          <w:tcPr>
            <w:tcW w:w="492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309"/>
        </w:trPr>
        <w:tc>
          <w:tcPr>
            <w:tcW w:w="4920" w:type="dxa"/>
            <w:vAlign w:val="bottom"/>
          </w:tcPr>
          <w:p>
            <w:pPr>
              <w:spacing w:after="0"/>
              <w:rPr>
                <w:sz w:val="20"/>
                <w:szCs w:val="20"/>
                <w:color w:val="auto"/>
              </w:rPr>
            </w:pPr>
            <w:r>
              <w:rPr>
                <w:rFonts w:ascii="Arial" w:cs="Arial" w:eastAsia="Arial" w:hAnsi="Arial"/>
                <w:sz w:val="18"/>
                <w:szCs w:val="18"/>
                <w:color w:val="auto"/>
              </w:rPr>
              <w:t>Savings accounts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89.3</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82.5</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Demand deposits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84.8</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85.6</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Credit cards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81.5</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80.5</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Fund transfer services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56.6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60.7</w:t>
            </w: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Collections fees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51.3</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50.0</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Billings and payments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56.7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52.5</w:t>
            </w: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Contingent and foreign trade</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31.3</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32.6</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Contingent credits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29.7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29.1</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Debit cards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34.4</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24.2</w:t>
            </w:r>
          </w:p>
        </w:tc>
        <w:tc>
          <w:tcPr>
            <w:tcW w:w="116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Corporate Finance</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26.6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26.1</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Brokerage</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39.6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40.9</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Commercial loans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22.0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17.7</w:t>
            </w: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Insurance</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21.2</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17.9</w:t>
            </w: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Mortgage loans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7.9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Channels and services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8.3</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Master account</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8.0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6.1</w:t>
            </w: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Personal loans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116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Micro-business credit</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7.5</w:t>
            </w:r>
          </w:p>
        </w:tc>
        <w:tc>
          <w:tcPr>
            <w:tcW w:w="1160" w:type="dxa"/>
            <w:vAlign w:val="bottom"/>
          </w:tcPr>
          <w:p>
            <w:pPr>
              <w:jc w:val="right"/>
              <w:spacing w:after="0"/>
              <w:rPr>
                <w:sz w:val="20"/>
                <w:szCs w:val="20"/>
                <w:color w:val="auto"/>
              </w:rPr>
            </w:pPr>
            <w:r>
              <w:rPr>
                <w:rFonts w:ascii="Arial" w:cs="Arial" w:eastAsia="Arial" w:hAnsi="Arial"/>
                <w:sz w:val="18"/>
                <w:szCs w:val="18"/>
                <w:color w:val="auto"/>
              </w:rPr>
              <w:t>398.9%</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26.0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11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680.1</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649.5</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10"/>
        </w:trPr>
        <w:tc>
          <w:tcPr>
            <w:tcW w:w="492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-2910840</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0" w:name="page21"/>
    <w:bookmarkEnd w:id="20"/>
    <w:p>
      <w:pPr>
        <w:spacing w:after="0" w:line="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2004, securities transactions resulted in a gain of S/.13.3 million (US$4.1 million), increasing 75.9% compared to the gain of S/.7.6 million (US$2.3 million) in the prior year. In year 2004 continuing gains were due to higher value of long term positions from the overall increase in stock quotes. The general index of the Lima Stock Exchange increased 52.4% in total 2004, compared to 74.9% in the prior year.</w:t>
      </w:r>
    </w:p>
    <w:p>
      <w:pPr>
        <w:spacing w:after="0" w:line="19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Gains from foreign exchange operations, which are the result of the foreign exchange buy-sell margin, was S/.81.1 million (US$24.7 million) in 2004, similar to revenue in 2003, mainly due to decreased traded volumes which was offset by higher margins due to increased volatility in the foreign exchange market.</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Other Income caption, that mainly registers reversals of prior year expenses and provisions and recoveries of certain operating costs, decreased from S/.193.7 million (US$59.0 million) in 2003 to S/.123.6 million (US$37.7 million) in the current year, mainly due to lower recovery of charged-off accounts.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NON-INTEREST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Non-interest expenses during 2004 were S/.1.3 biillion (US$381.7 million), 7.9% below those of 2003, mostly due lower merger costs which were incurred in 2003 for the BSCH-Perúmerger. Merger costs in 2004 are lower and correspond to the Solución Financiera de Crédito merger.</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Adjusted operating expenses, that exclude provisions for assets received in lieu of loan repayment, non-recurring expenses and employee profit sharing expenses, reached S/.1,094.4 million (US$333.4 million) in 2004, decreasing 1.6% from S/.1,112.7 million (US$339.0 million) in year 2003.</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2004, approximately 42% of non-interest expenses were attributable to employee salaries and other expenses related to personnel. This concept decreased 4.8% to S/.524.5 million (US$159.8 million) when compared to 2003. At the end of 2004 the number of employees stood at 7,694, increasing from 7,530 at December 2003, mainly due to sales personnel of the Bolivian subsidiary.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General and Administrative expenses, which represented 32% of non-interest expenses, reached S/.406.7 million (US$123.9 million) in 2004, decreasing 5.4% when compared to expenses in the prior year, mainly due to decreased third party fees and communication charges.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 the most significant general and administrative expenses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(In constant S/. Mn.)</w:t>
            </w:r>
          </w:p>
        </w:tc>
        <w:tc>
          <w:tcPr>
            <w:tcW w:w="3760" w:type="dxa"/>
            <w:vAlign w:val="bottom"/>
          </w:tcPr>
          <w:p>
            <w:pPr>
              <w:jc w:val="right"/>
              <w:ind w:right="692"/>
              <w:spacing w:after="0"/>
              <w:rPr>
                <w:sz w:val="20"/>
                <w:szCs w:val="20"/>
                <w:color w:val="auto"/>
              </w:rPr>
            </w:pPr>
            <w:r>
              <w:rPr>
                <w:rFonts w:ascii="Arial" w:cs="Arial" w:eastAsia="Arial" w:hAnsi="Arial"/>
                <w:sz w:val="18"/>
                <w:szCs w:val="18"/>
                <w:color w:val="auto"/>
              </w:rPr>
              <w:t>2003</w:t>
            </w: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2004</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Chnge.</w:t>
            </w:r>
          </w:p>
        </w:tc>
      </w:tr>
      <w:tr>
        <w:trPr>
          <w:trHeight w:val="110"/>
        </w:trPr>
        <w:tc>
          <w:tcPr>
            <w:tcW w:w="51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r>
        <w:trPr>
          <w:trHeight w:val="309"/>
        </w:trPr>
        <w:tc>
          <w:tcPr>
            <w:tcW w:w="518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55.9</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54.1</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Communications</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40.1</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32.5</w:t>
            </w: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Third party fees</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73.7</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56.2</w:t>
            </w: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Insurance and security</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33.3</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27.2</w:t>
            </w: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52.3</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49.8</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92.2</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88.3</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62.5</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63.9</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G&amp;A</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19.9</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34.8</w:t>
            </w:r>
          </w:p>
        </w:tc>
        <w:tc>
          <w:tcPr>
            <w:tcW w:w="114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Total G&amp;A</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429.9</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406.7</w:t>
            </w: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10"/>
        </w:trPr>
        <w:tc>
          <w:tcPr>
            <w:tcW w:w="51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-1401445</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The Other caption, within Other Non-Interest Expenses, reached S/.125.9 million (US$38.4 million) in 2004 and remained similar to the prior year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jc w:val="both"/>
        <w:ind w:left="540"/>
        <w:spacing w:after="0" w:line="332" w:lineRule="auto"/>
        <w:rPr>
          <w:sz w:val="20"/>
          <w:szCs w:val="20"/>
          <w:color w:val="auto"/>
        </w:rPr>
      </w:pPr>
      <w:r>
        <w:rPr>
          <w:rFonts w:ascii="Arial" w:cs="Arial" w:eastAsia="Arial" w:hAnsi="Arial"/>
          <w:sz w:val="16"/>
          <w:szCs w:val="16"/>
          <w:color w:val="auto"/>
        </w:rPr>
        <w:t>The ratio of adjusted operating expenses (determined by excluding provisions for assets received in lieu of loan repayment, employee profit sharing expense and non-recurring expenses) as a percentage of average total assets, grew from 4.3% in 2003 to 4.6%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-287020</wp:posOffset>
            </wp:positionV>
            <wp:extent cx="6858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Adjusted operating expenses, as a percentage of total income (excluding non-recurring income), also increased from 51.9% to 56.2% when comparing 2003 and 2004,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Note: For comparison purposes, on balance sheets reported in periods prior to December 31, 2004, loan loss provisions for contingent credits, previously reported as a negative concept within Reserves for loan losses, are now reported under the Other liabilities caption, with the effect of increasing net loans, total assets and 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Total assets of BCP reached S/.23.6 billion (US$7.2 billion) at the end of December 2004, growing 1.5% with respect to September 2004, but decreases by 3.2% compared to assets at year-end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jc w:val="both"/>
        <w:ind w:left="540"/>
        <w:spacing w:after="0" w:line="256" w:lineRule="auto"/>
        <w:rPr>
          <w:sz w:val="20"/>
          <w:szCs w:val="20"/>
          <w:color w:val="auto"/>
        </w:rPr>
      </w:pPr>
      <w:r>
        <w:rPr>
          <w:rFonts w:ascii="Arial" w:cs="Arial" w:eastAsia="Arial" w:hAnsi="Arial"/>
          <w:sz w:val="18"/>
          <w:szCs w:val="18"/>
          <w:color w:val="auto"/>
        </w:rPr>
        <w:t>Consolidated total loans were S/.13.5 billion (US$4.1 billion) at the end of December 2004, decreasing 9.7% compared to loans at December 2003. The annual decline, of almost 10%, is mostly due to the application of inflation adjustment accounting rules. Loan balances translated from the original Soles figures into U.S. Dollars at the exchange rates applicable in each date, result in loan balances almost unchanged of US$4.1 billion at both December 2004 and 2003. See below --Note on Inflation Adjusted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-524510</wp:posOffset>
            </wp:positionV>
            <wp:extent cx="6858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4"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At December 31, 2004, the loan portfolio, net of provisions, represented 53.6% of total assets, lower than 54.7% at the preceding quarter. At the end of the fourth quarter of 2004, the Nuevos Soles portion of the loan portfolio was 16.5%, lower than 16.9% in September 2004, but is below 17.7% at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As of December 31, 2004 total deposits were S/.19.4 billion (US$5.9 billion), increasing 0.6% compared to third quarter 2004 deposits, but are 5.4% lower than deposits in the year-ago quarter. Without applying inflation adjustment rules, deposits translated into U.S. Dollars increase 4.7% comparing 2004 and 2003 year-end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During 2004, demand deposits grew by 10.7%, while savings deposits decreased 11.3%, and time deposits decreased by 10.3%. Deposits denominated in Nuevos Soles were 25.2% of total deposits, increasing during the current quarter from 23.4% at September 2004, and also compared to 23.8% at the end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70" w:orient="portrait"/>
          <w:cols w:equalWidth="0" w:num="1">
            <w:col w:w="11420"/>
          </w:cols>
          <w:pgMar w:left="240" w:top="131" w:right="239" w:bottom="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(Constant Nuevos Soles, as of December 31, 2004,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tcPr>
          <w:p>
            <w:pPr>
              <w:ind w:left="2660"/>
              <w:spacing w:after="0"/>
              <w:rPr>
                <w:sz w:val="20"/>
                <w:szCs w:val="20"/>
                <w:color w:val="auto"/>
              </w:rPr>
            </w:pPr>
            <w:r>
              <w:rPr>
                <w:rFonts w:ascii="Arial" w:cs="Arial" w:eastAsia="Arial" w:hAnsi="Arial"/>
                <w:sz w:val="18"/>
                <w:szCs w:val="18"/>
                <w:color w:val="auto"/>
              </w:rPr>
              <w:t>ASSETS</w:t>
            </w:r>
          </w:p>
        </w:tc>
        <w:tc>
          <w:tcPr>
            <w:tcW w:w="2460" w:type="dxa"/>
            <w:vAlign w:val="bottom"/>
          </w:tcPr>
          <w:p>
            <w:pPr>
              <w:jc w:val="right"/>
              <w:ind w:right="492"/>
              <w:spacing w:after="0"/>
              <w:rPr>
                <w:sz w:val="20"/>
                <w:szCs w:val="20"/>
                <w:color w:val="auto"/>
              </w:rPr>
            </w:pPr>
            <w:r>
              <w:rPr>
                <w:rFonts w:ascii="Arial" w:cs="Arial" w:eastAsia="Arial" w:hAnsi="Arial"/>
                <w:sz w:val="18"/>
                <w:szCs w:val="18"/>
                <w:color w:val="auto"/>
              </w:rPr>
              <w:t>31.12.03</w:t>
            </w:r>
          </w:p>
        </w:tc>
        <w:tc>
          <w:tcPr>
            <w:tcW w:w="1340" w:type="dxa"/>
            <w:vAlign w:val="bottom"/>
          </w:tcPr>
          <w:p>
            <w:pPr>
              <w:jc w:val="right"/>
              <w:ind w:right="452"/>
              <w:spacing w:after="0"/>
              <w:rPr>
                <w:sz w:val="20"/>
                <w:szCs w:val="20"/>
                <w:color w:val="auto"/>
              </w:rPr>
            </w:pPr>
            <w:r>
              <w:rPr>
                <w:rFonts w:ascii="Arial" w:cs="Arial" w:eastAsia="Arial" w:hAnsi="Arial"/>
                <w:sz w:val="18"/>
                <w:szCs w:val="18"/>
                <w:color w:val="auto"/>
              </w:rPr>
              <w:t>31.12.04</w:t>
            </w:r>
          </w:p>
        </w:tc>
        <w:tc>
          <w:tcPr>
            <w:tcW w:w="1480" w:type="dxa"/>
            <w:vAlign w:val="bottom"/>
          </w:tcPr>
          <w:p>
            <w:pPr>
              <w:jc w:val="right"/>
              <w:ind w:right="572"/>
              <w:spacing w:after="0"/>
              <w:rPr>
                <w:sz w:val="20"/>
                <w:szCs w:val="20"/>
                <w:color w:val="auto"/>
              </w:rPr>
            </w:pPr>
            <w:r>
              <w:rPr>
                <w:rFonts w:ascii="Arial" w:cs="Arial" w:eastAsia="Arial" w:hAnsi="Arial"/>
                <w:sz w:val="18"/>
                <w:szCs w:val="18"/>
                <w:color w:val="auto"/>
              </w:rPr>
              <w:t>31.12.04</w:t>
            </w:r>
          </w:p>
        </w:tc>
        <w:tc>
          <w:tcPr>
            <w:tcW w:w="1100" w:type="dxa"/>
            <w:vAlign w:val="bottom"/>
          </w:tcPr>
          <w:p>
            <w:pPr>
              <w:jc w:val="right"/>
              <w:ind w:right="492"/>
              <w:spacing w:after="0"/>
              <w:rPr>
                <w:sz w:val="20"/>
                <w:szCs w:val="20"/>
                <w:color w:val="auto"/>
              </w:rPr>
            </w:pPr>
            <w:r>
              <w:rPr>
                <w:rFonts w:ascii="Arial" w:cs="Arial" w:eastAsia="Arial" w:hAnsi="Arial"/>
                <w:sz w:val="18"/>
                <w:szCs w:val="18"/>
                <w:color w:val="auto"/>
              </w:rPr>
              <w:t>Var</w:t>
            </w:r>
          </w:p>
        </w:tc>
      </w:tr>
      <w:tr>
        <w:trPr>
          <w:trHeight w:val="110"/>
        </w:trPr>
        <w:tc>
          <w:tcPr>
            <w:tcW w:w="50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r>
        <w:trPr>
          <w:trHeight w:val="309"/>
        </w:trPr>
        <w:tc>
          <w:tcPr>
            <w:tcW w:w="5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US$000(1)</w:t>
            </w:r>
          </w:p>
        </w:tc>
        <w:tc>
          <w:tcPr>
            <w:tcW w:w="1100" w:type="dxa"/>
            <w:vAlign w:val="bottom"/>
          </w:tcPr>
          <w:p>
            <w:pPr>
              <w:spacing w:after="0"/>
              <w:rPr>
                <w:sz w:val="24"/>
                <w:szCs w:val="24"/>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5,435.842</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5,615.337</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$1,710.950</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Cash and Checks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830.291</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828.264</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$252.366</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Deposits in Central Bank of Peru</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3,488.055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3,618.377</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$1,102.491</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Deposits with local and foreign banks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1,117.496</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1,168.696</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$356.093</w:t>
            </w: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TRADING and AVAIL. for SALE SECURITIES, net</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144.042</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154.137</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$46.964</w:t>
            </w: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LOANS NET</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13,772.631</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12,659.652</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$3,857.298</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Current</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13,996.097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12,955.976</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$3,947.586</w:t>
            </w: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Past Due</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903.839</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495.257</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$150.901</w:t>
            </w:r>
          </w:p>
        </w:tc>
        <w:tc>
          <w:tcPr>
            <w:tcW w:w="110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Less - Reserve for possible loan losses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(1,127.305)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(791.581)</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($241.189)</w:t>
            </w: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INVESTMENT SECURITIES, PERMANENT</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3,166.132</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3,553.037</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$1,082.583</w:t>
            </w: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767.529</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698.542</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$212.840</w:t>
            </w: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OTHER ASSETS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1,080.871</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896.687</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$273.214</w:t>
            </w: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TOTAL ASSETS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24,367.047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23,577.392</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$7,183.849</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20,517.718</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19,411.321</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$5,914.479</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Demand deposits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5,056.006</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5,597.258</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$1,705.441</w:t>
            </w: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Saving accounts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5,557.836</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4,931.819</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$1,502.687</w:t>
            </w: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Time deposits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9,903.876</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8,882.244</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$2,706.351</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372.122</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708.562</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$215.893</w:t>
            </w:r>
          </w:p>
        </w:tc>
        <w:tc>
          <w:tcPr>
            <w:tcW w:w="110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OTHER LIABILITIES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1,132.937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1,039.263</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$316.655</w:t>
            </w: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2,344.270</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2,418.246</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$736.821</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24,367.047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23,577.392</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$7,183.849</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26"/>
        </w:trPr>
        <w:tc>
          <w:tcPr>
            <w:tcW w:w="5040" w:type="dxa"/>
            <w:vAlign w:val="bottom"/>
          </w:tcPr>
          <w:p>
            <w:pPr>
              <w:spacing w:after="0"/>
              <w:rPr>
                <w:sz w:val="20"/>
                <w:szCs w:val="20"/>
                <w:color w:val="auto"/>
              </w:rPr>
            </w:pPr>
            <w:r>
              <w:rPr>
                <w:rFonts w:ascii="Arial" w:cs="Arial" w:eastAsia="Arial" w:hAnsi="Arial"/>
                <w:sz w:val="18"/>
                <w:szCs w:val="18"/>
                <w:color w:val="auto"/>
              </w:rPr>
              <w:t>Contingent Credits</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6,105.920</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6,016.122</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$1,833.066</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Funds under management</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3,938.220</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3,130.458</w:t>
            </w: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$953.826</w:t>
            </w: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-4752975</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(1)Translated at S/.3.282 per US$1.00.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on Inflation Adjusted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BCP’s financial statements, in Section II, show decreases in certain line items when compared to the year-ago amounts, which is partly due to:</w:t>
      </w:r>
    </w:p>
    <w:p>
      <w:pPr>
        <w:spacing w:after="0" w:line="15"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inflation adjustment according to Peruvian GAAP (this adjustment increases by 4.9% Soles amounts originally reported in December 2003), and</w:t>
      </w:r>
    </w:p>
    <w:p>
      <w:pPr>
        <w:spacing w:after="0" w:line="32" w:lineRule="exact"/>
        <w:rPr>
          <w:rFonts w:ascii="Arial" w:cs="Arial" w:eastAsia="Arial" w:hAnsi="Arial"/>
          <w:sz w:val="16"/>
          <w:szCs w:val="16"/>
          <w:color w:val="auto"/>
        </w:rPr>
      </w:pPr>
    </w:p>
    <w:p>
      <w:pPr>
        <w:ind w:firstLine="8"/>
        <w:spacing w:after="0" w:line="261" w:lineRule="auto"/>
        <w:tabs>
          <w:tab w:leader="none" w:pos="2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decline of the Nuevo Sol exchange rate, that decreases the amount registered in local books of U.S. Dollar denominated operations (the exchange rate declined 5.2% in year 2004).</w:t>
      </w:r>
    </w:p>
    <w:p>
      <w:pPr>
        <w:spacing w:after="0" w:line="19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U.S. Dollar denominated accounts suffer a 10% decline in Peruvian currency records due to the cumulative application of these points. This effect is important in case of BCP given its concentration in foreing currency operations (in December 2004, 83.5% of BCP’s loans were U.S. Dollar denominated).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Credicorp does not show this negative effect since it carries its books in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inflation adjustment index, based on the wholesale price inflation, and the exchange rate, are shown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tcPr>
          <w:p>
            <w:pPr>
              <w:spacing w:after="0"/>
              <w:rPr>
                <w:sz w:val="19"/>
                <w:szCs w:val="19"/>
                <w:color w:val="auto"/>
              </w:rPr>
            </w:pPr>
          </w:p>
        </w:tc>
        <w:tc>
          <w:tcPr>
            <w:tcW w:w="3900" w:type="dxa"/>
            <w:vAlign w:val="bottom"/>
          </w:tcPr>
          <w:p>
            <w:pPr>
              <w:jc w:val="right"/>
              <w:ind w:right="272"/>
              <w:spacing w:after="0"/>
              <w:rPr>
                <w:sz w:val="20"/>
                <w:szCs w:val="20"/>
                <w:color w:val="auto"/>
              </w:rPr>
            </w:pPr>
            <w:r>
              <w:rPr>
                <w:rFonts w:ascii="Arial" w:cs="Arial" w:eastAsia="Arial" w:hAnsi="Arial"/>
                <w:sz w:val="18"/>
                <w:szCs w:val="18"/>
                <w:color w:val="auto"/>
              </w:rPr>
              <w:t>31.12.03</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30.09.04</w:t>
            </w:r>
          </w:p>
        </w:tc>
        <w:tc>
          <w:tcPr>
            <w:tcW w:w="980" w:type="dxa"/>
            <w:vAlign w:val="bottom"/>
          </w:tcPr>
          <w:p>
            <w:pPr>
              <w:jc w:val="right"/>
              <w:spacing w:after="0"/>
              <w:rPr>
                <w:sz w:val="20"/>
                <w:szCs w:val="20"/>
                <w:color w:val="auto"/>
              </w:rPr>
            </w:pPr>
            <w:r>
              <w:rPr>
                <w:rFonts w:ascii="Arial" w:cs="Arial" w:eastAsia="Arial" w:hAnsi="Arial"/>
                <w:sz w:val="18"/>
                <w:szCs w:val="18"/>
                <w:color w:val="auto"/>
              </w:rPr>
              <w:t>31.12.04</w:t>
            </w:r>
          </w:p>
        </w:tc>
      </w:tr>
      <w:tr>
        <w:trPr>
          <w:trHeight w:val="110"/>
        </w:trPr>
        <w:tc>
          <w:tcPr>
            <w:tcW w:w="516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r>
        <w:trPr>
          <w:trHeight w:val="309"/>
        </w:trPr>
        <w:tc>
          <w:tcPr>
            <w:tcW w:w="5160" w:type="dxa"/>
            <w:vAlign w:val="bottom"/>
          </w:tcPr>
          <w:p>
            <w:pPr>
              <w:spacing w:after="0"/>
              <w:rPr>
                <w:sz w:val="20"/>
                <w:szCs w:val="20"/>
                <w:color w:val="auto"/>
              </w:rPr>
            </w:pPr>
            <w:r>
              <w:rPr>
                <w:rFonts w:ascii="Arial" w:cs="Arial" w:eastAsia="Arial" w:hAnsi="Arial"/>
                <w:sz w:val="18"/>
                <w:szCs w:val="18"/>
                <w:color w:val="auto"/>
              </w:rPr>
              <w:t>Inflation – wholesale prices</w:t>
            </w:r>
          </w:p>
        </w:tc>
        <w:tc>
          <w:tcPr>
            <w:tcW w:w="3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(last twelve months)</w:t>
            </w:r>
          </w:p>
        </w:tc>
        <w:tc>
          <w:tcPr>
            <w:tcW w:w="3900" w:type="dxa"/>
            <w:vAlign w:val="bottom"/>
          </w:tcPr>
          <w:p>
            <w:pPr>
              <w:jc w:val="right"/>
              <w:ind w:right="272"/>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6.0%</w:t>
            </w: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Inflation adjustment index</w:t>
            </w:r>
          </w:p>
        </w:tc>
        <w:tc>
          <w:tcPr>
            <w:tcW w:w="3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(at December 31, 2004)</w:t>
            </w:r>
          </w:p>
        </w:tc>
        <w:tc>
          <w:tcPr>
            <w:tcW w:w="3900" w:type="dxa"/>
            <w:vAlign w:val="bottom"/>
          </w:tcPr>
          <w:p>
            <w:pPr>
              <w:jc w:val="right"/>
              <w:ind w:right="272"/>
              <w:spacing w:after="0"/>
              <w:rPr>
                <w:sz w:val="20"/>
                <w:szCs w:val="20"/>
                <w:color w:val="auto"/>
              </w:rPr>
            </w:pPr>
            <w:r>
              <w:rPr>
                <w:rFonts w:ascii="Arial" w:cs="Arial" w:eastAsia="Arial" w:hAnsi="Arial"/>
                <w:sz w:val="18"/>
                <w:szCs w:val="18"/>
                <w:color w:val="auto"/>
              </w:rPr>
              <w:t>1.049</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1.000</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Exchange rate (Soles per US$1)</w:t>
            </w:r>
          </w:p>
        </w:tc>
        <w:tc>
          <w:tcPr>
            <w:tcW w:w="3900" w:type="dxa"/>
            <w:vAlign w:val="bottom"/>
          </w:tcPr>
          <w:p>
            <w:pPr>
              <w:jc w:val="right"/>
              <w:ind w:right="272"/>
              <w:spacing w:after="0"/>
              <w:rPr>
                <w:sz w:val="20"/>
                <w:szCs w:val="20"/>
                <w:color w:val="auto"/>
              </w:rPr>
            </w:pPr>
            <w:r>
              <w:rPr>
                <w:rFonts w:ascii="Arial" w:cs="Arial" w:eastAsia="Arial" w:hAnsi="Arial"/>
                <w:sz w:val="18"/>
                <w:szCs w:val="18"/>
                <w:color w:val="auto"/>
              </w:rPr>
              <w:t>S/.3.463</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S/.3.342</w:t>
            </w:r>
          </w:p>
        </w:tc>
        <w:tc>
          <w:tcPr>
            <w:tcW w:w="980" w:type="dxa"/>
            <w:vAlign w:val="bottom"/>
          </w:tcPr>
          <w:p>
            <w:pPr>
              <w:jc w:val="right"/>
              <w:spacing w:after="0"/>
              <w:rPr>
                <w:sz w:val="20"/>
                <w:szCs w:val="20"/>
                <w:color w:val="auto"/>
              </w:rPr>
            </w:pPr>
            <w:r>
              <w:rPr>
                <w:rFonts w:ascii="Arial" w:cs="Arial" w:eastAsia="Arial" w:hAnsi="Arial"/>
                <w:sz w:val="18"/>
                <w:szCs w:val="18"/>
                <w:color w:val="auto"/>
              </w:rPr>
              <w:t>S/.3.282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Devaluation / (revaluation)</w:t>
            </w:r>
          </w:p>
        </w:tc>
        <w:tc>
          <w:tcPr>
            <w:tcW w:w="3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(last twelve months)</w:t>
            </w:r>
          </w:p>
        </w:tc>
        <w:tc>
          <w:tcPr>
            <w:tcW w:w="3900" w:type="dxa"/>
            <w:vAlign w:val="bottom"/>
          </w:tcPr>
          <w:p>
            <w:pPr>
              <w:jc w:val="right"/>
              <w:ind w:right="272"/>
              <w:spacing w:after="0"/>
              <w:rPr>
                <w:sz w:val="20"/>
                <w:szCs w:val="20"/>
                <w:color w:val="auto"/>
              </w:rPr>
            </w:pPr>
            <w:r>
              <w:rPr>
                <w:rFonts w:ascii="Arial" w:cs="Arial" w:eastAsia="Arial" w:hAnsi="Arial"/>
                <w:sz w:val="18"/>
                <w:szCs w:val="18"/>
                <w:color w:val="auto"/>
              </w:rPr>
              <w:t>(1.45)%</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(4.02)%</w:t>
            </w:r>
          </w:p>
        </w:tc>
        <w:tc>
          <w:tcPr>
            <w:tcW w:w="9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110"/>
        </w:trPr>
        <w:tc>
          <w:tcPr>
            <w:tcW w:w="516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-1264285</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Inflation adjustment accounting rules are required by Peruvian GAAP until December 31, 2004. Starting January 1st, 2005, Peruvian authorities have decreed the suspension, with legal and tax effects, of further inflation adjustments, which is a consequence of international guidelines for low inflation countries as experienced recently in Perú.</w:t>
      </w:r>
    </w:p>
    <w:p>
      <w:pPr>
        <w:sectPr>
          <w:pgSz w:w="11900" w:h="16838" w:orient="portrait"/>
          <w:cols w:equalWidth="0" w:num="1">
            <w:col w:w="11420"/>
          </w:cols>
          <w:pgMar w:left="240" w:top="131" w:right="239" w:bottom="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8"/>
          <w:szCs w:val="18"/>
          <w:color w:val="auto"/>
        </w:rPr>
        <w:t>Following the elimination of inflation adjusted accounting, starting with first quarter 2005 Credicorp and its subsidiaries will begin reporting their financial statements prepared in accordance with IFRS and in U. S. Dollars.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Loans and Deposits contributions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BCP's subsidiaries had the following loan, net of provisions, and deposit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Loans, net</w:t>
            </w:r>
          </w:p>
        </w:tc>
        <w:tc>
          <w:tcPr>
            <w:tcW w:w="1160" w:type="dxa"/>
            <w:vAlign w:val="bottom"/>
          </w:tcPr>
          <w:p>
            <w:pPr>
              <w:spacing w:after="0"/>
              <w:rPr>
                <w:sz w:val="19"/>
                <w:szCs w:val="19"/>
                <w:color w:val="auto"/>
              </w:rPr>
            </w:pPr>
          </w:p>
        </w:tc>
        <w:tc>
          <w:tcPr>
            <w:tcW w:w="2560" w:type="dxa"/>
            <w:vAlign w:val="bottom"/>
            <w:gridSpan w:val="2"/>
          </w:tcPr>
          <w:p>
            <w:pPr>
              <w:jc w:val="right"/>
              <w:ind w:right="772"/>
              <w:spacing w:after="0"/>
              <w:rPr>
                <w:sz w:val="20"/>
                <w:szCs w:val="20"/>
                <w:color w:val="auto"/>
              </w:rPr>
            </w:pPr>
            <w:r>
              <w:rPr>
                <w:rFonts w:ascii="Arial" w:cs="Arial" w:eastAsia="Arial" w:hAnsi="Arial"/>
                <w:sz w:val="18"/>
                <w:szCs w:val="18"/>
                <w:color w:val="auto"/>
              </w:rPr>
              <w:t>Total Deposits</w:t>
            </w:r>
          </w:p>
        </w:tc>
      </w:tr>
      <w:tr>
        <w:trPr>
          <w:trHeight w:val="110"/>
        </w:trPr>
        <w:tc>
          <w:tcPr>
            <w:tcW w:w="56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16"/>
        </w:trPr>
        <w:tc>
          <w:tcPr>
            <w:tcW w:w="5660" w:type="dxa"/>
            <w:vAlign w:val="bottom"/>
          </w:tcPr>
          <w:p>
            <w:pPr>
              <w:spacing w:after="0"/>
              <w:rPr>
                <w:sz w:val="20"/>
                <w:szCs w:val="20"/>
                <w:color w:val="auto"/>
              </w:rPr>
            </w:pPr>
            <w:r>
              <w:rPr>
                <w:rFonts w:ascii="Arial" w:cs="Arial" w:eastAsia="Arial" w:hAnsi="Arial"/>
                <w:sz w:val="18"/>
                <w:szCs w:val="18"/>
                <w:color w:val="auto"/>
              </w:rPr>
              <w:t>(In % and constant S/.Mn)</w:t>
            </w:r>
          </w:p>
        </w:tc>
        <w:tc>
          <w:tcPr>
            <w:tcW w:w="2040" w:type="dxa"/>
            <w:vAlign w:val="bottom"/>
          </w:tcPr>
          <w:p>
            <w:pPr>
              <w:jc w:val="right"/>
              <w:ind w:right="672"/>
              <w:spacing w:after="0"/>
              <w:rPr>
                <w:sz w:val="20"/>
                <w:szCs w:val="20"/>
                <w:color w:val="auto"/>
              </w:rPr>
            </w:pPr>
            <w:r>
              <w:rPr>
                <w:rFonts w:ascii="Arial" w:cs="Arial" w:eastAsia="Arial" w:hAnsi="Arial"/>
                <w:sz w:val="18"/>
                <w:szCs w:val="18"/>
                <w:color w:val="auto"/>
              </w:rPr>
              <w:t>31.12.03</w:t>
            </w:r>
          </w:p>
        </w:tc>
        <w:tc>
          <w:tcPr>
            <w:tcW w:w="1160" w:type="dxa"/>
            <w:vAlign w:val="bottom"/>
          </w:tcPr>
          <w:p>
            <w:pPr>
              <w:jc w:val="right"/>
              <w:ind w:right="452"/>
              <w:spacing w:after="0"/>
              <w:rPr>
                <w:sz w:val="20"/>
                <w:szCs w:val="20"/>
                <w:color w:val="auto"/>
              </w:rPr>
            </w:pPr>
            <w:r>
              <w:rPr>
                <w:rFonts w:ascii="Arial" w:cs="Arial" w:eastAsia="Arial" w:hAnsi="Arial"/>
                <w:sz w:val="18"/>
                <w:szCs w:val="18"/>
                <w:color w:val="auto"/>
                <w:w w:val="85"/>
              </w:rPr>
              <w:t>31.12.04</w:t>
            </w: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31.12.04</w:t>
            </w:r>
          </w:p>
        </w:tc>
      </w:tr>
      <w:tr>
        <w:trPr>
          <w:trHeight w:val="110"/>
        </w:trPr>
        <w:tc>
          <w:tcPr>
            <w:tcW w:w="56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566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2040" w:type="dxa"/>
            <w:vAlign w:val="bottom"/>
          </w:tcPr>
          <w:p>
            <w:pPr>
              <w:jc w:val="right"/>
              <w:ind w:right="292"/>
              <w:spacing w:after="0"/>
              <w:rPr>
                <w:sz w:val="20"/>
                <w:szCs w:val="20"/>
                <w:color w:val="auto"/>
              </w:rPr>
            </w:pPr>
            <w:r>
              <w:rPr>
                <w:rFonts w:ascii="Arial" w:cs="Arial" w:eastAsia="Arial" w:hAnsi="Arial"/>
                <w:sz w:val="18"/>
                <w:szCs w:val="18"/>
                <w:color w:val="auto"/>
              </w:rPr>
              <w:t>85.3%</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87.7%</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89.6%</w:t>
            </w:r>
          </w:p>
        </w:tc>
        <w:tc>
          <w:tcPr>
            <w:tcW w:w="118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2040" w:type="dxa"/>
            <w:vAlign w:val="bottom"/>
          </w:tcPr>
          <w:p>
            <w:pPr>
              <w:jc w:val="right"/>
              <w:ind w:right="292"/>
              <w:spacing w:after="0"/>
              <w:rPr>
                <w:sz w:val="20"/>
                <w:szCs w:val="20"/>
                <w:color w:val="auto"/>
              </w:rPr>
            </w:pPr>
            <w:r>
              <w:rPr>
                <w:rFonts w:ascii="Arial" w:cs="Arial" w:eastAsia="Arial" w:hAnsi="Arial"/>
                <w:sz w:val="18"/>
                <w:szCs w:val="18"/>
                <w:color w:val="auto"/>
              </w:rPr>
              <w:t>6.9%</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7.4%</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6.3%</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Crédito Leasing</w:t>
            </w:r>
          </w:p>
        </w:tc>
        <w:tc>
          <w:tcPr>
            <w:tcW w:w="2040" w:type="dxa"/>
            <w:vAlign w:val="bottom"/>
          </w:tcPr>
          <w:p>
            <w:pPr>
              <w:jc w:val="right"/>
              <w:ind w:right="292"/>
              <w:spacing w:after="0"/>
              <w:rPr>
                <w:sz w:val="20"/>
                <w:szCs w:val="20"/>
                <w:color w:val="auto"/>
              </w:rPr>
            </w:pPr>
            <w:r>
              <w:rPr>
                <w:rFonts w:ascii="Arial" w:cs="Arial" w:eastAsia="Arial" w:hAnsi="Arial"/>
                <w:sz w:val="18"/>
                <w:szCs w:val="18"/>
                <w:color w:val="auto"/>
              </w:rPr>
              <w:t>5.5%</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5.0%</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Solución Financiera de Crédito</w:t>
            </w:r>
          </w:p>
        </w:tc>
        <w:tc>
          <w:tcPr>
            <w:tcW w:w="2040" w:type="dxa"/>
            <w:vAlign w:val="bottom"/>
          </w:tcPr>
          <w:p>
            <w:pPr>
              <w:jc w:val="right"/>
              <w:ind w:right="292"/>
              <w:spacing w:after="0"/>
              <w:rPr>
                <w:sz w:val="20"/>
                <w:szCs w:val="20"/>
                <w:color w:val="auto"/>
              </w:rPr>
            </w:pPr>
            <w:r>
              <w:rPr>
                <w:rFonts w:ascii="Arial" w:cs="Arial" w:eastAsia="Arial" w:hAnsi="Arial"/>
                <w:sz w:val="18"/>
                <w:szCs w:val="18"/>
                <w:color w:val="auto"/>
              </w:rPr>
              <w:t>2.3%</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jc w:val="right"/>
              <w:ind w:right="292"/>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Total BCP</w:t>
            </w:r>
          </w:p>
        </w:tc>
        <w:tc>
          <w:tcPr>
            <w:tcW w:w="2040" w:type="dxa"/>
            <w:vAlign w:val="bottom"/>
          </w:tcPr>
          <w:p>
            <w:pPr>
              <w:jc w:val="right"/>
              <w:ind w:right="292"/>
              <w:spacing w:after="0"/>
              <w:rPr>
                <w:sz w:val="20"/>
                <w:szCs w:val="20"/>
                <w:color w:val="auto"/>
              </w:rPr>
            </w:pPr>
            <w:r>
              <w:rPr>
                <w:rFonts w:ascii="Arial" w:cs="Arial" w:eastAsia="Arial" w:hAnsi="Arial"/>
                <w:sz w:val="18"/>
                <w:szCs w:val="18"/>
                <w:color w:val="auto"/>
              </w:rPr>
              <w:t>S/.13,773</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S/.12,660</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S/.20,518</w:t>
            </w:r>
          </w:p>
        </w:tc>
        <w:tc>
          <w:tcPr>
            <w:tcW w:w="1180" w:type="dxa"/>
            <w:vAlign w:val="bottom"/>
          </w:tcPr>
          <w:p>
            <w:pPr>
              <w:jc w:val="right"/>
              <w:spacing w:after="0"/>
              <w:rPr>
                <w:sz w:val="20"/>
                <w:szCs w:val="20"/>
                <w:color w:val="auto"/>
              </w:rPr>
            </w:pPr>
            <w:r>
              <w:rPr>
                <w:rFonts w:ascii="Arial" w:cs="Arial" w:eastAsia="Arial" w:hAnsi="Arial"/>
                <w:sz w:val="18"/>
                <w:szCs w:val="18"/>
                <w:color w:val="auto"/>
              </w:rPr>
              <w:t>S/.19,411</w:t>
            </w:r>
          </w:p>
        </w:tc>
      </w:tr>
      <w:tr>
        <w:trPr>
          <w:trHeight w:val="110"/>
        </w:trPr>
        <w:tc>
          <w:tcPr>
            <w:tcW w:w="56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532"/>
        </w:trPr>
        <w:tc>
          <w:tcPr>
            <w:tcW w:w="5660" w:type="dxa"/>
            <w:vAlign w:val="bottom"/>
          </w:tcPr>
          <w:p>
            <w:pPr>
              <w:spacing w:after="0"/>
              <w:rPr>
                <w:sz w:val="20"/>
                <w:szCs w:val="20"/>
                <w:color w:val="auto"/>
              </w:rPr>
            </w:pPr>
            <w:r>
              <w:rPr>
                <w:rFonts w:ascii="Arial" w:cs="Arial" w:eastAsia="Arial" w:hAnsi="Arial"/>
                <w:sz w:val="18"/>
                <w:szCs w:val="18"/>
                <w:color w:val="auto"/>
              </w:rPr>
              <w:t>Loan portfolio</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Loan portfolio composition by business segment developed as follows:</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6"/>
        </w:trPr>
        <w:tc>
          <w:tcPr>
            <w:tcW w:w="56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r>
        <w:trPr>
          <w:trHeight w:val="316"/>
        </w:trPr>
        <w:tc>
          <w:tcPr>
            <w:tcW w:w="5660" w:type="dxa"/>
            <w:vAlign w:val="bottom"/>
          </w:tcPr>
          <w:p>
            <w:pPr>
              <w:spacing w:after="0"/>
              <w:rPr>
                <w:sz w:val="20"/>
                <w:szCs w:val="20"/>
                <w:color w:val="auto"/>
              </w:rPr>
            </w:pPr>
            <w:r>
              <w:rPr>
                <w:rFonts w:ascii="Arial" w:cs="Arial" w:eastAsia="Arial" w:hAnsi="Arial"/>
                <w:sz w:val="18"/>
                <w:szCs w:val="18"/>
                <w:color w:val="auto"/>
              </w:rPr>
              <w:t>(In % of total and constant S/. Mn)</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31.12.03</w:t>
            </w:r>
          </w:p>
        </w:tc>
        <w:tc>
          <w:tcPr>
            <w:tcW w:w="1180" w:type="dxa"/>
            <w:vAlign w:val="bottom"/>
          </w:tcPr>
          <w:p>
            <w:pPr>
              <w:jc w:val="right"/>
              <w:spacing w:after="0"/>
              <w:rPr>
                <w:sz w:val="20"/>
                <w:szCs w:val="20"/>
                <w:color w:val="auto"/>
              </w:rPr>
            </w:pPr>
            <w:r>
              <w:rPr>
                <w:rFonts w:ascii="Arial" w:cs="Arial" w:eastAsia="Arial" w:hAnsi="Arial"/>
                <w:sz w:val="18"/>
                <w:szCs w:val="18"/>
                <w:color w:val="auto"/>
              </w:rPr>
              <w:t>31.12.04</w:t>
            </w:r>
          </w:p>
        </w:tc>
      </w:tr>
      <w:tr>
        <w:trPr>
          <w:trHeight w:val="110"/>
        </w:trPr>
        <w:tc>
          <w:tcPr>
            <w:tcW w:w="56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5660" w:type="dxa"/>
            <w:vAlign w:val="bottom"/>
          </w:tcPr>
          <w:p>
            <w:pPr>
              <w:spacing w:after="0"/>
              <w:rPr>
                <w:sz w:val="20"/>
                <w:szCs w:val="20"/>
                <w:color w:val="auto"/>
              </w:rPr>
            </w:pPr>
            <w:r>
              <w:rPr>
                <w:rFonts w:ascii="Arial" w:cs="Arial" w:eastAsia="Arial" w:hAnsi="Arial"/>
                <w:sz w:val="18"/>
                <w:szCs w:val="18"/>
                <w:color w:val="auto"/>
              </w:rPr>
              <w:t>Corporate</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42.7%</w:t>
            </w: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Middle market</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25.4%</w:t>
            </w: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Retail:</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32.0%</w:t>
            </w: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 small business</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9.2%</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 home mortgage</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14.3%</w:t>
            </w:r>
          </w:p>
        </w:tc>
        <w:tc>
          <w:tcPr>
            <w:tcW w:w="11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 consumer</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4.9%</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 credit cards</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3.6%</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100.0%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Total Loans</w:t>
            </w: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S/.14,899</w:t>
            </w:r>
          </w:p>
        </w:tc>
        <w:tc>
          <w:tcPr>
            <w:tcW w:w="1180" w:type="dxa"/>
            <w:vAlign w:val="bottom"/>
          </w:tcPr>
          <w:p>
            <w:pPr>
              <w:jc w:val="right"/>
              <w:spacing w:after="0"/>
              <w:rPr>
                <w:sz w:val="20"/>
                <w:szCs w:val="20"/>
                <w:color w:val="auto"/>
              </w:rPr>
            </w:pPr>
            <w:r>
              <w:rPr>
                <w:rFonts w:ascii="Arial" w:cs="Arial" w:eastAsia="Arial" w:hAnsi="Arial"/>
                <w:sz w:val="18"/>
                <w:szCs w:val="18"/>
                <w:color w:val="auto"/>
              </w:rPr>
              <w:t>S/.13,451</w:t>
            </w:r>
          </w:p>
        </w:tc>
      </w:tr>
      <w:tr>
        <w:trPr>
          <w:trHeight w:val="110"/>
        </w:trPr>
        <w:tc>
          <w:tcPr>
            <w:tcW w:w="56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-3768090</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-3485515</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-2516505</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-1684655</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-1401445</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current year, loan balances decreased 9.7%, with corporate loans lower by 16.7% to S/.5,307 million (US$1,617 million), middle market loans decreasing by 3.3% to S/.3,655 million (US$1,114 million), while retail loans dropped 5.7% to S/.4,490 million (US$1,368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31.12.04 vs</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 change and constant S/. Mn)</w:t>
            </w:r>
          </w:p>
        </w:tc>
        <w:tc>
          <w:tcPr>
            <w:tcW w:w="3880" w:type="dxa"/>
            <w:vAlign w:val="bottom"/>
          </w:tcPr>
          <w:p>
            <w:pPr>
              <w:jc w:val="right"/>
              <w:ind w:right="452"/>
              <w:spacing w:after="0"/>
              <w:rPr>
                <w:sz w:val="20"/>
                <w:szCs w:val="20"/>
                <w:color w:val="auto"/>
              </w:rPr>
            </w:pPr>
            <w:r>
              <w:rPr>
                <w:rFonts w:ascii="Arial" w:cs="Arial" w:eastAsia="Arial" w:hAnsi="Arial"/>
                <w:sz w:val="18"/>
                <w:szCs w:val="18"/>
                <w:color w:val="auto"/>
              </w:rPr>
              <w:t>31.12.03</w:t>
            </w: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31.12.04</w:t>
            </w:r>
          </w:p>
        </w:tc>
        <w:tc>
          <w:tcPr>
            <w:tcW w:w="1240" w:type="dxa"/>
            <w:vAlign w:val="bottom"/>
          </w:tcPr>
          <w:p>
            <w:pPr>
              <w:jc w:val="right"/>
              <w:ind w:right="312"/>
              <w:spacing w:after="0"/>
              <w:rPr>
                <w:sz w:val="20"/>
                <w:szCs w:val="20"/>
                <w:color w:val="auto"/>
              </w:rPr>
            </w:pPr>
            <w:r>
              <w:rPr>
                <w:rFonts w:ascii="Arial" w:cs="Arial" w:eastAsia="Arial" w:hAnsi="Arial"/>
                <w:sz w:val="18"/>
                <w:szCs w:val="18"/>
                <w:color w:val="auto"/>
              </w:rPr>
              <w:t>31.12.03</w:t>
            </w:r>
          </w:p>
        </w:tc>
      </w:tr>
      <w:tr>
        <w:trPr>
          <w:trHeight w:val="110"/>
        </w:trPr>
        <w:tc>
          <w:tcPr>
            <w:tcW w:w="498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309"/>
        </w:trPr>
        <w:tc>
          <w:tcPr>
            <w:tcW w:w="4980" w:type="dxa"/>
            <w:vAlign w:val="bottom"/>
          </w:tcPr>
          <w:p>
            <w:pPr>
              <w:spacing w:after="0"/>
              <w:rPr>
                <w:sz w:val="20"/>
                <w:szCs w:val="20"/>
                <w:color w:val="auto"/>
              </w:rPr>
            </w:pPr>
            <w:r>
              <w:rPr>
                <w:rFonts w:ascii="Arial" w:cs="Arial" w:eastAsia="Arial" w:hAnsi="Arial"/>
                <w:sz w:val="18"/>
                <w:szCs w:val="18"/>
                <w:color w:val="auto"/>
              </w:rPr>
              <w:t>Small business loans</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1,447</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1,204</w:t>
            </w:r>
          </w:p>
        </w:tc>
        <w:tc>
          <w:tcPr>
            <w:tcW w:w="12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Mortgage loans</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2,088</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2,284</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Consumer loans</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710</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477</w:t>
            </w:r>
          </w:p>
        </w:tc>
        <w:tc>
          <w:tcPr>
            <w:tcW w:w="12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Credit card loans</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515</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525</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Total Retail</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4,760</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4,490</w:t>
            </w: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10"/>
        </w:trPr>
        <w:tc>
          <w:tcPr>
            <w:tcW w:w="498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-852805</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Lower consumer loans in 2004, is mainly because approximately S/.240 million are reported beginning in March 2004 as micro-business loans, which are shown as part of the Small Business concept in the preceding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Contingent Credits and Managed Funds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December 31, 2004 contingent credits were S/.6,016 million (US$1,833 million), 1.5% under the December 2003 figure. In 2004, letters of credit increased 53.5% and foreign currency forward transactions by 45.4%, as shown in the next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59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31.12.04 vs</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 change and constant S/. Mn)</w:t>
            </w:r>
          </w:p>
        </w:tc>
        <w:tc>
          <w:tcPr>
            <w:tcW w:w="3880" w:type="dxa"/>
            <w:vAlign w:val="bottom"/>
          </w:tcPr>
          <w:p>
            <w:pPr>
              <w:jc w:val="right"/>
              <w:ind w:right="452"/>
              <w:spacing w:after="0"/>
              <w:rPr>
                <w:sz w:val="20"/>
                <w:szCs w:val="20"/>
                <w:color w:val="auto"/>
              </w:rPr>
            </w:pPr>
            <w:r>
              <w:rPr>
                <w:rFonts w:ascii="Arial" w:cs="Arial" w:eastAsia="Arial" w:hAnsi="Arial"/>
                <w:sz w:val="18"/>
                <w:szCs w:val="18"/>
                <w:color w:val="auto"/>
              </w:rPr>
              <w:t>31.12.03</w:t>
            </w:r>
          </w:p>
        </w:tc>
        <w:tc>
          <w:tcPr>
            <w:tcW w:w="1320" w:type="dxa"/>
            <w:vAlign w:val="bottom"/>
          </w:tcPr>
          <w:p>
            <w:pPr>
              <w:jc w:val="right"/>
              <w:ind w:right="412"/>
              <w:spacing w:after="0"/>
              <w:rPr>
                <w:sz w:val="20"/>
                <w:szCs w:val="20"/>
                <w:color w:val="auto"/>
              </w:rPr>
            </w:pPr>
            <w:r>
              <w:rPr>
                <w:rFonts w:ascii="Arial" w:cs="Arial" w:eastAsia="Arial" w:hAnsi="Arial"/>
                <w:sz w:val="18"/>
                <w:szCs w:val="18"/>
                <w:color w:val="auto"/>
              </w:rPr>
              <w:t>31.12.04</w:t>
            </w:r>
          </w:p>
        </w:tc>
        <w:tc>
          <w:tcPr>
            <w:tcW w:w="1240" w:type="dxa"/>
            <w:vAlign w:val="bottom"/>
          </w:tcPr>
          <w:p>
            <w:pPr>
              <w:jc w:val="right"/>
              <w:ind w:right="312"/>
              <w:spacing w:after="0"/>
              <w:rPr>
                <w:sz w:val="20"/>
                <w:szCs w:val="20"/>
                <w:color w:val="auto"/>
              </w:rPr>
            </w:pPr>
            <w:r>
              <w:rPr>
                <w:rFonts w:ascii="Arial" w:cs="Arial" w:eastAsia="Arial" w:hAnsi="Arial"/>
                <w:sz w:val="18"/>
                <w:szCs w:val="18"/>
                <w:color w:val="auto"/>
              </w:rPr>
              <w:t>31.12.03</w:t>
            </w:r>
          </w:p>
        </w:tc>
      </w:tr>
      <w:tr>
        <w:trPr>
          <w:trHeight w:val="110"/>
        </w:trPr>
        <w:tc>
          <w:tcPr>
            <w:tcW w:w="498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309"/>
        </w:trPr>
        <w:tc>
          <w:tcPr>
            <w:tcW w:w="498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2,353</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1,961</w:t>
            </w:r>
          </w:p>
        </w:tc>
        <w:tc>
          <w:tcPr>
            <w:tcW w:w="12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 Letters of Credit</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484</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743</w:t>
            </w:r>
          </w:p>
        </w:tc>
        <w:tc>
          <w:tcPr>
            <w:tcW w:w="124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 Acceptances</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179</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146</w:t>
            </w:r>
          </w:p>
        </w:tc>
        <w:tc>
          <w:tcPr>
            <w:tcW w:w="12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1,034</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1,504</w:t>
            </w:r>
          </w:p>
        </w:tc>
        <w:tc>
          <w:tcPr>
            <w:tcW w:w="124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2,056</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1,662</w:t>
            </w:r>
          </w:p>
        </w:tc>
        <w:tc>
          <w:tcPr>
            <w:tcW w:w="12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Total Contingent Credits</w:t>
            </w:r>
          </w:p>
        </w:tc>
        <w:tc>
          <w:tcPr>
            <w:tcW w:w="3880" w:type="dxa"/>
            <w:vAlign w:val="bottom"/>
          </w:tcPr>
          <w:p>
            <w:pPr>
              <w:jc w:val="right"/>
              <w:ind w:right="132"/>
              <w:spacing w:after="0"/>
              <w:rPr>
                <w:sz w:val="20"/>
                <w:szCs w:val="20"/>
                <w:color w:val="auto"/>
              </w:rPr>
            </w:pPr>
            <w:r>
              <w:rPr>
                <w:rFonts w:ascii="Arial" w:cs="Arial" w:eastAsia="Arial" w:hAnsi="Arial"/>
                <w:sz w:val="18"/>
                <w:szCs w:val="18"/>
                <w:color w:val="auto"/>
              </w:rPr>
              <w:t>6,106</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6,016</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10"/>
        </w:trPr>
        <w:tc>
          <w:tcPr>
            <w:tcW w:w="498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party funds managed by several subsidiaries of BCP amounted to S/.3,131 million (US$953.8 million) as of December 31, 2004, decreasing 20.5% compared to funds at December 2004.</w:t>
      </w:r>
    </w:p>
    <w:p>
      <w:pPr>
        <w:sectPr>
          <w:pgSz w:w="11900" w:h="16838" w:orient="portrait"/>
          <w:cols w:equalWidth="0" w:num="1">
            <w:col w:w="11420"/>
          </w:cols>
          <w:pgMar w:left="240" w:top="131"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preliminary statistics from the Peruvian Banking Association (ASBANC) for Peruvian commercial banks as of December 31, 2004, Banco de Crédito del Perú had a total loan market share of 33.0% (34.0% at September 30, 2004 and 34.4% at December 31, 2003), and 35.7% of deposits (36.1% at September 30, 2004 and 36.1% at December 31,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BCP’s market share in Peruvian mutual funds, through its subsidiary Credifondo, was 51.6% as of December 31, 2004 (51.6% at September 30, 2004 and 49.3% at December 31,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 QUALITY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past due loans as a percentage of total loans was 3.7% at December 31, 2004, improving from 5.0% at September 2004, and also compared to the ratio of 6.1% at December 2003. The ratio of past due, refinanced and restructured loans as a percentage of total loans declined to 9.4% during fourth quarter 2004 from 9.9% in September 2004, and also from 11.5% at December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past due loans amounted to S/.495.3 million (US$150.9 million) at December 31, 2004, decreasing 45.2% from S/.903.8 million (US$275.4 million) past due loans at year-end 2003.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December 2004, refinanced loans amounted to S/.765.4 million (US$233.2 million), lower than the balance at December 2003 that was S/.814.2 million (US$248.1 million), but increased from S/.668.9 million (US$203.8 million) in the preceding third quarter.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fourth quarter 2004, outstanding balances of loan loss provisions totaled S/.791.6 million (US$241.2 million), decreasing 29.8% compared to the preceding year. The coverage ratio of loan provisions to past due loans increased to 159.8% at the end of 2004, from 124.9% at September 2004, and also compared to 124.7% in December 2003.</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provisions for contingent credits, registered in Other liabilities accounts, amounted to S/.60.6 million (US$18.5 million) at year-end 2004, compared to S/.72.4 million (US$22.0 million) at December 2003. Considering both, loan loss provisions and provisions for contingent loans, the coverage ratio of provisions to past due loans increased to 172.1% at the end of 2004, from 134.1% at December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total provisions outstanding at the end of 2004, S/.174.4 million (US$53.2 million) correspond to generic provisions assigned to loans in the Normal (A) risk category, decreasing from the balance at December 31, 2003 of S/.212.7 million (US$64.8 million).</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Loans believed to be unrecoverable, fully provisioned in prior periods, were written-off during 2004 amounting to S/.335.2 million (US$102.1 million), of which approximately 25% were related to consumer and mortgage loans. This compares to charge-offs in 2003 of S/.623.1 million (US$189.9 million).</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Loans classified as Substandard (i.e., Deficient, Doubtful and Loss) were 11.5% of the loan portfolio in December 2004, decreasing from 12.2% in September 2004 and from 15.3% in December 2003.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59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 of Total loans and S/.Mn const.)</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31.12.03</w:t>
            </w:r>
          </w:p>
        </w:tc>
        <w:tc>
          <w:tcPr>
            <w:tcW w:w="1180" w:type="dxa"/>
            <w:vAlign w:val="bottom"/>
          </w:tcPr>
          <w:p>
            <w:pPr>
              <w:jc w:val="right"/>
              <w:spacing w:after="0"/>
              <w:rPr>
                <w:sz w:val="20"/>
                <w:szCs w:val="20"/>
                <w:color w:val="auto"/>
              </w:rPr>
            </w:pPr>
            <w:r>
              <w:rPr>
                <w:rFonts w:ascii="Arial" w:cs="Arial" w:eastAsia="Arial" w:hAnsi="Arial"/>
                <w:sz w:val="18"/>
                <w:szCs w:val="18"/>
                <w:color w:val="auto"/>
              </w:rPr>
              <w:t>31.12.04</w:t>
            </w:r>
          </w:p>
        </w:tc>
      </w:tr>
      <w:tr>
        <w:trPr>
          <w:trHeight w:val="110"/>
        </w:trPr>
        <w:tc>
          <w:tcPr>
            <w:tcW w:w="578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5780" w:type="dxa"/>
            <w:vAlign w:val="bottom"/>
          </w:tcPr>
          <w:p>
            <w:pPr>
              <w:spacing w:after="0"/>
              <w:rPr>
                <w:sz w:val="20"/>
                <w:szCs w:val="20"/>
                <w:color w:val="auto"/>
              </w:rPr>
            </w:pPr>
            <w:r>
              <w:rPr>
                <w:rFonts w:ascii="Arial" w:cs="Arial" w:eastAsia="Arial" w:hAnsi="Arial"/>
                <w:sz w:val="18"/>
                <w:szCs w:val="18"/>
                <w:color w:val="auto"/>
              </w:rPr>
              <w:t>A: Normal</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75.3%</w:t>
            </w:r>
          </w:p>
        </w:tc>
        <w:tc>
          <w:tcPr>
            <w:tcW w:w="118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 Potential Problem</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9.4%</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 Deficient</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5.7%</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 Doubtful</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6.2%</w:t>
            </w: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 Loss</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3.4%</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100.0%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Total Loans</w:t>
            </w:r>
          </w:p>
        </w:tc>
        <w:tc>
          <w:tcPr>
            <w:tcW w:w="4460" w:type="dxa"/>
            <w:vAlign w:val="bottom"/>
          </w:tcPr>
          <w:p>
            <w:pPr>
              <w:jc w:val="right"/>
              <w:ind w:right="432"/>
              <w:spacing w:after="0"/>
              <w:rPr>
                <w:sz w:val="20"/>
                <w:szCs w:val="20"/>
                <w:color w:val="auto"/>
              </w:rPr>
            </w:pPr>
            <w:r>
              <w:rPr>
                <w:rFonts w:ascii="Arial" w:cs="Arial" w:eastAsia="Arial" w:hAnsi="Arial"/>
                <w:sz w:val="18"/>
                <w:szCs w:val="18"/>
                <w:color w:val="auto"/>
              </w:rPr>
              <w:t>S/.14,899</w:t>
            </w:r>
          </w:p>
        </w:tc>
        <w:tc>
          <w:tcPr>
            <w:tcW w:w="1180" w:type="dxa"/>
            <w:vAlign w:val="bottom"/>
          </w:tcPr>
          <w:p>
            <w:pPr>
              <w:jc w:val="right"/>
              <w:spacing w:after="0"/>
              <w:rPr>
                <w:sz w:val="20"/>
                <w:szCs w:val="20"/>
                <w:color w:val="auto"/>
              </w:rPr>
            </w:pPr>
            <w:r>
              <w:rPr>
                <w:rFonts w:ascii="Arial" w:cs="Arial" w:eastAsia="Arial" w:hAnsi="Arial"/>
                <w:sz w:val="18"/>
                <w:szCs w:val="18"/>
                <w:color w:val="auto"/>
              </w:rPr>
              <w:t>S/.13,451</w:t>
            </w:r>
          </w:p>
        </w:tc>
      </w:tr>
      <w:tr>
        <w:trPr>
          <w:trHeight w:val="110"/>
        </w:trPr>
        <w:tc>
          <w:tcPr>
            <w:tcW w:w="578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-1127125</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CAPITAL ADEQUACY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end of 2004, BCP’s unconsolidated ratio of risk-weighted assets to regulatory capital was 7.7 to 1.0 (13.0%), while the corresponding consolidated ratio was 7.0 to 1.0 (14.4%). Risk-weighted assets include S/.724.3 million (US$220.7 million) of market-risk exposure whose coverage required S/.65.8 million (US$20.1 million) of regulatory capital at December 31, 2004. Peruvian regulations limit risk-weighted assets, including market-risk exposure, to a ratio of 11.0 to 1.0 (9.1%).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2004, BCP’s consolidated “regulatory capital” was S/.2,283 million (US$695.7 million), remaining similar to the December 2003 regulatory capital. Regulatory capital included S/.135.3 million ($41.2 million) in subordinated debt in the current period, remaining almost unchanged since September 2004, but decreases from S/.172.6 million (US$52.6 million) at year-end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tcPr>
          <w:p>
            <w:pPr>
              <w:spacing w:after="0"/>
              <w:rPr>
                <w:sz w:val="19"/>
                <w:szCs w:val="19"/>
                <w:color w:val="auto"/>
              </w:rPr>
            </w:pPr>
          </w:p>
        </w:tc>
        <w:tc>
          <w:tcPr>
            <w:tcW w:w="4800" w:type="dxa"/>
            <w:vAlign w:val="bottom"/>
            <w:gridSpan w:val="2"/>
          </w:tcPr>
          <w:p>
            <w:pPr>
              <w:jc w:val="right"/>
              <w:ind w:right="752"/>
              <w:spacing w:after="0"/>
              <w:rPr>
                <w:sz w:val="20"/>
                <w:szCs w:val="20"/>
                <w:color w:val="auto"/>
              </w:rPr>
            </w:pPr>
            <w:r>
              <w:rPr>
                <w:rFonts w:ascii="Arial" w:cs="Arial" w:eastAsia="Arial" w:hAnsi="Arial"/>
                <w:sz w:val="18"/>
                <w:szCs w:val="18"/>
                <w:color w:val="auto"/>
              </w:rPr>
              <w:t>BCP unconsolidated</w:t>
            </w:r>
          </w:p>
        </w:tc>
        <w:tc>
          <w:tcPr>
            <w:tcW w:w="2540" w:type="dxa"/>
            <w:vAlign w:val="bottom"/>
            <w:gridSpan w:val="2"/>
          </w:tcPr>
          <w:p>
            <w:pPr>
              <w:jc w:val="right"/>
              <w:ind w:right="652"/>
              <w:spacing w:after="0"/>
              <w:rPr>
                <w:sz w:val="20"/>
                <w:szCs w:val="20"/>
                <w:color w:val="auto"/>
              </w:rPr>
            </w:pPr>
            <w:r>
              <w:rPr>
                <w:rFonts w:ascii="Arial" w:cs="Arial" w:eastAsia="Arial" w:hAnsi="Arial"/>
                <w:sz w:val="18"/>
                <w:szCs w:val="18"/>
                <w:color w:val="auto"/>
              </w:rPr>
              <w:t>BCP consolidated</w:t>
            </w:r>
          </w:p>
        </w:tc>
      </w:tr>
      <w:tr>
        <w:trPr>
          <w:trHeight w:val="110"/>
        </w:trPr>
        <w:tc>
          <w:tcPr>
            <w:tcW w:w="408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16"/>
        </w:trPr>
        <w:tc>
          <w:tcPr>
            <w:tcW w:w="4080" w:type="dxa"/>
            <w:vAlign w:val="bottom"/>
          </w:tcPr>
          <w:p>
            <w:pPr>
              <w:spacing w:after="0"/>
              <w:rPr>
                <w:sz w:val="20"/>
                <w:szCs w:val="20"/>
                <w:color w:val="auto"/>
              </w:rPr>
            </w:pPr>
            <w:r>
              <w:rPr>
                <w:rFonts w:ascii="Arial" w:cs="Arial" w:eastAsia="Arial" w:hAnsi="Arial"/>
                <w:sz w:val="18"/>
                <w:szCs w:val="18"/>
                <w:color w:val="auto"/>
              </w:rPr>
              <w:t>(In constant S/. Mn.)</w:t>
            </w:r>
          </w:p>
        </w:tc>
        <w:tc>
          <w:tcPr>
            <w:tcW w:w="3440" w:type="dxa"/>
            <w:vAlign w:val="bottom"/>
          </w:tcPr>
          <w:p>
            <w:pPr>
              <w:jc w:val="right"/>
              <w:ind w:right="492"/>
              <w:spacing w:after="0"/>
              <w:rPr>
                <w:sz w:val="20"/>
                <w:szCs w:val="20"/>
                <w:color w:val="auto"/>
              </w:rPr>
            </w:pPr>
            <w:r>
              <w:rPr>
                <w:rFonts w:ascii="Arial" w:cs="Arial" w:eastAsia="Arial" w:hAnsi="Arial"/>
                <w:sz w:val="18"/>
                <w:szCs w:val="18"/>
                <w:color w:val="auto"/>
              </w:rPr>
              <w:t>31.12.03</w:t>
            </w: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31.12.04</w:t>
            </w:r>
          </w:p>
        </w:tc>
        <w:tc>
          <w:tcPr>
            <w:tcW w:w="136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31.12.04</w:t>
            </w:r>
          </w:p>
        </w:tc>
      </w:tr>
      <w:tr>
        <w:trPr>
          <w:trHeight w:val="110"/>
        </w:trPr>
        <w:tc>
          <w:tcPr>
            <w:tcW w:w="408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4080" w:type="dxa"/>
            <w:vAlign w:val="bottom"/>
          </w:tcPr>
          <w:p>
            <w:pPr>
              <w:spacing w:after="0"/>
              <w:rPr>
                <w:sz w:val="20"/>
                <w:szCs w:val="20"/>
                <w:color w:val="auto"/>
              </w:rPr>
            </w:pPr>
            <w:r>
              <w:rPr>
                <w:rFonts w:ascii="Arial" w:cs="Arial" w:eastAsia="Arial" w:hAnsi="Arial"/>
                <w:sz w:val="18"/>
                <w:szCs w:val="18"/>
                <w:color w:val="auto"/>
              </w:rPr>
              <w:t>Regulatory capital</w:t>
            </w:r>
          </w:p>
        </w:tc>
        <w:tc>
          <w:tcPr>
            <w:tcW w:w="3440" w:type="dxa"/>
            <w:vAlign w:val="bottom"/>
          </w:tcPr>
          <w:p>
            <w:pPr>
              <w:jc w:val="right"/>
              <w:ind w:right="152"/>
              <w:spacing w:after="0"/>
              <w:rPr>
                <w:sz w:val="20"/>
                <w:szCs w:val="20"/>
                <w:color w:val="auto"/>
              </w:rPr>
            </w:pPr>
            <w:r>
              <w:rPr>
                <w:rFonts w:ascii="Arial" w:cs="Arial" w:eastAsia="Arial" w:hAnsi="Arial"/>
                <w:sz w:val="18"/>
                <w:szCs w:val="18"/>
                <w:color w:val="auto"/>
              </w:rPr>
              <w:t>1,712</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1,858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2,289</w:t>
            </w:r>
          </w:p>
        </w:tc>
        <w:tc>
          <w:tcPr>
            <w:tcW w:w="1180" w:type="dxa"/>
            <w:vAlign w:val="bottom"/>
          </w:tcPr>
          <w:p>
            <w:pPr>
              <w:jc w:val="right"/>
              <w:spacing w:after="0"/>
              <w:rPr>
                <w:sz w:val="20"/>
                <w:szCs w:val="20"/>
                <w:color w:val="auto"/>
              </w:rPr>
            </w:pPr>
            <w:r>
              <w:rPr>
                <w:rFonts w:ascii="Arial" w:cs="Arial" w:eastAsia="Arial" w:hAnsi="Arial"/>
                <w:sz w:val="18"/>
                <w:szCs w:val="18"/>
                <w:color w:val="auto"/>
              </w:rPr>
              <w:t>2,283</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Risk weighted assets</w:t>
            </w:r>
          </w:p>
        </w:tc>
        <w:tc>
          <w:tcPr>
            <w:tcW w:w="3440" w:type="dxa"/>
            <w:vAlign w:val="bottom"/>
          </w:tcPr>
          <w:p>
            <w:pPr>
              <w:jc w:val="right"/>
              <w:ind w:right="152"/>
              <w:spacing w:after="0"/>
              <w:rPr>
                <w:sz w:val="20"/>
                <w:szCs w:val="20"/>
                <w:color w:val="auto"/>
              </w:rPr>
            </w:pPr>
            <w:r>
              <w:rPr>
                <w:rFonts w:ascii="Arial" w:cs="Arial" w:eastAsia="Arial" w:hAnsi="Arial"/>
                <w:sz w:val="18"/>
                <w:szCs w:val="18"/>
                <w:color w:val="auto"/>
              </w:rPr>
              <w:t>15,645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14,324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17,817</w:t>
            </w:r>
          </w:p>
        </w:tc>
        <w:tc>
          <w:tcPr>
            <w:tcW w:w="1180" w:type="dxa"/>
            <w:vAlign w:val="bottom"/>
          </w:tcPr>
          <w:p>
            <w:pPr>
              <w:jc w:val="right"/>
              <w:spacing w:after="0"/>
              <w:rPr>
                <w:sz w:val="20"/>
                <w:szCs w:val="20"/>
                <w:color w:val="auto"/>
              </w:rPr>
            </w:pPr>
            <w:r>
              <w:rPr>
                <w:rFonts w:ascii="Arial" w:cs="Arial" w:eastAsia="Arial" w:hAnsi="Arial"/>
                <w:sz w:val="18"/>
                <w:szCs w:val="18"/>
                <w:color w:val="auto"/>
              </w:rPr>
              <w:t>15,868</w:t>
            </w:r>
          </w:p>
        </w:tc>
      </w:tr>
      <w:tr>
        <w:trPr>
          <w:trHeight w:val="426"/>
        </w:trPr>
        <w:tc>
          <w:tcPr>
            <w:tcW w:w="408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3440" w:type="dxa"/>
            <w:vAlign w:val="bottom"/>
          </w:tcPr>
          <w:p>
            <w:pPr>
              <w:jc w:val="right"/>
              <w:ind w:right="112"/>
              <w:spacing w:after="0"/>
              <w:rPr>
                <w:sz w:val="20"/>
                <w:szCs w:val="20"/>
                <w:color w:val="auto"/>
              </w:rPr>
            </w:pPr>
            <w:r>
              <w:rPr>
                <w:rFonts w:ascii="Arial" w:cs="Arial" w:eastAsia="Arial" w:hAnsi="Arial"/>
                <w:sz w:val="18"/>
                <w:szCs w:val="18"/>
                <w:color w:val="auto"/>
              </w:rPr>
              <w:t>9.1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7.8</w:t>
            </w: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3440" w:type="dxa"/>
            <w:vAlign w:val="bottom"/>
          </w:tcPr>
          <w:p>
            <w:pPr>
              <w:jc w:val="right"/>
              <w:ind w:right="112"/>
              <w:spacing w:after="0"/>
              <w:rPr>
                <w:sz w:val="20"/>
                <w:szCs w:val="20"/>
                <w:color w:val="auto"/>
              </w:rPr>
            </w:pPr>
            <w:r>
              <w:rPr>
                <w:rFonts w:ascii="Arial" w:cs="Arial" w:eastAsia="Arial" w:hAnsi="Arial"/>
                <w:sz w:val="18"/>
                <w:szCs w:val="18"/>
                <w:color w:val="auto"/>
              </w:rPr>
              <w:t>10.9%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13.0%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12.9%</w:t>
            </w: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110"/>
        </w:trPr>
        <w:tc>
          <w:tcPr>
            <w:tcW w:w="408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-1135380</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-852805</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589"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Section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COMPLEMENTARY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Risk 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Pacific Credit Ratings and Apoyo y Asociados Internacionales.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Issue</w:t>
            </w:r>
          </w:p>
        </w:tc>
        <w:tc>
          <w:tcPr>
            <w:tcW w:w="2440" w:type="dxa"/>
            <w:vAlign w:val="bottom"/>
          </w:tcPr>
          <w:p>
            <w:pPr>
              <w:ind w:left="780"/>
              <w:spacing w:after="0"/>
              <w:rPr>
                <w:sz w:val="20"/>
                <w:szCs w:val="20"/>
                <w:color w:val="auto"/>
              </w:rPr>
            </w:pPr>
            <w:r>
              <w:rPr>
                <w:rFonts w:ascii="Arial" w:cs="Arial" w:eastAsia="Arial" w:hAnsi="Arial"/>
                <w:sz w:val="18"/>
                <w:szCs w:val="18"/>
                <w:color w:val="auto"/>
              </w:rPr>
              <w:t>PCR</w:t>
            </w:r>
          </w:p>
        </w:tc>
        <w:tc>
          <w:tcPr>
            <w:tcW w:w="2840" w:type="dxa"/>
            <w:vAlign w:val="bottom"/>
          </w:tcPr>
          <w:p>
            <w:pPr>
              <w:ind w:left="1180"/>
              <w:spacing w:after="0"/>
              <w:rPr>
                <w:sz w:val="20"/>
                <w:szCs w:val="20"/>
                <w:color w:val="auto"/>
              </w:rPr>
            </w:pPr>
            <w:r>
              <w:rPr>
                <w:rFonts w:ascii="Arial" w:cs="Arial" w:eastAsia="Arial" w:hAnsi="Arial"/>
                <w:sz w:val="18"/>
                <w:szCs w:val="18"/>
                <w:color w:val="auto"/>
              </w:rPr>
              <w:t>Apoyo</w:t>
            </w:r>
          </w:p>
        </w:tc>
        <w:tc>
          <w:tcPr>
            <w:tcW w:w="4040" w:type="dxa"/>
            <w:vAlign w:val="bottom"/>
          </w:tcPr>
          <w:p>
            <w:pPr>
              <w:ind w:left="1200"/>
              <w:spacing w:after="0"/>
              <w:rPr>
                <w:sz w:val="20"/>
                <w:szCs w:val="20"/>
                <w:color w:val="auto"/>
              </w:rPr>
            </w:pPr>
            <w:r>
              <w:rPr>
                <w:rFonts w:ascii="Arial" w:cs="Arial" w:eastAsia="Arial" w:hAnsi="Arial"/>
                <w:sz w:val="18"/>
                <w:szCs w:val="18"/>
                <w:color w:val="auto"/>
              </w:rPr>
              <w:t>Top Local</w:t>
            </w:r>
          </w:p>
        </w:tc>
      </w:tr>
      <w:tr>
        <w:trPr>
          <w:trHeight w:val="110"/>
        </w:trPr>
        <w:tc>
          <w:tcPr>
            <w:tcW w:w="210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r>
      <w:tr>
        <w:trPr>
          <w:trHeight w:val="309"/>
        </w:trPr>
        <w:tc>
          <w:tcPr>
            <w:tcW w:w="2100" w:type="dxa"/>
            <w:vAlign w:val="bottom"/>
          </w:tcPr>
          <w:p>
            <w:pPr>
              <w:spacing w:after="0"/>
              <w:rPr>
                <w:sz w:val="20"/>
                <w:szCs w:val="20"/>
                <w:color w:val="auto"/>
              </w:rPr>
            </w:pPr>
            <w:r>
              <w:rPr>
                <w:rFonts w:ascii="Arial" w:cs="Arial" w:eastAsia="Arial" w:hAnsi="Arial"/>
                <w:sz w:val="18"/>
                <w:szCs w:val="18"/>
                <w:color w:val="auto"/>
              </w:rPr>
              <w:t>Common Stock</w:t>
            </w:r>
          </w:p>
        </w:tc>
        <w:tc>
          <w:tcPr>
            <w:tcW w:w="2440" w:type="dxa"/>
            <w:vAlign w:val="bottom"/>
          </w:tcPr>
          <w:p>
            <w:pPr>
              <w:ind w:left="780"/>
              <w:spacing w:after="0"/>
              <w:rPr>
                <w:sz w:val="20"/>
                <w:szCs w:val="20"/>
                <w:color w:val="auto"/>
              </w:rPr>
            </w:pPr>
            <w:r>
              <w:rPr>
                <w:rFonts w:ascii="Arial" w:cs="Arial" w:eastAsia="Arial" w:hAnsi="Arial"/>
                <w:sz w:val="18"/>
                <w:szCs w:val="18"/>
                <w:color w:val="auto"/>
              </w:rPr>
              <w:t>PCN 1</w:t>
            </w:r>
          </w:p>
        </w:tc>
        <w:tc>
          <w:tcPr>
            <w:tcW w:w="2840" w:type="dxa"/>
            <w:vAlign w:val="bottom"/>
          </w:tcPr>
          <w:p>
            <w:pPr>
              <w:ind w:left="1180"/>
              <w:spacing w:after="0"/>
              <w:rPr>
                <w:sz w:val="20"/>
                <w:szCs w:val="20"/>
                <w:color w:val="auto"/>
              </w:rPr>
            </w:pPr>
            <w:r>
              <w:rPr>
                <w:rFonts w:ascii="Arial" w:cs="Arial" w:eastAsia="Arial" w:hAnsi="Arial"/>
                <w:sz w:val="18"/>
                <w:szCs w:val="18"/>
                <w:color w:val="auto"/>
              </w:rPr>
              <w:t>1ª</w:t>
            </w:r>
          </w:p>
        </w:tc>
        <w:tc>
          <w:tcPr>
            <w:tcW w:w="4040" w:type="dxa"/>
            <w:vAlign w:val="bottom"/>
          </w:tcPr>
          <w:p>
            <w:pPr>
              <w:ind w:left="1200"/>
              <w:spacing w:after="0"/>
              <w:rPr>
                <w:sz w:val="20"/>
                <w:szCs w:val="20"/>
                <w:color w:val="auto"/>
              </w:rPr>
            </w:pPr>
            <w:r>
              <w:rPr>
                <w:rFonts w:ascii="Arial" w:cs="Arial" w:eastAsia="Arial" w:hAnsi="Arial"/>
                <w:sz w:val="18"/>
                <w:szCs w:val="18"/>
                <w:color w:val="auto"/>
              </w:rPr>
              <w:t>1</w:t>
            </w:r>
          </w:p>
        </w:tc>
      </w:t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Corporative Bonds</w:t>
            </w:r>
          </w:p>
        </w:tc>
        <w:tc>
          <w:tcPr>
            <w:tcW w:w="2440" w:type="dxa"/>
            <w:vAlign w:val="bottom"/>
          </w:tcPr>
          <w:p>
            <w:pPr>
              <w:ind w:left="780"/>
              <w:spacing w:after="0"/>
              <w:rPr>
                <w:sz w:val="20"/>
                <w:szCs w:val="20"/>
                <w:color w:val="auto"/>
              </w:rPr>
            </w:pPr>
            <w:r>
              <w:rPr>
                <w:rFonts w:ascii="Arial" w:cs="Arial" w:eastAsia="Arial" w:hAnsi="Arial"/>
                <w:sz w:val="18"/>
                <w:szCs w:val="18"/>
                <w:color w:val="auto"/>
              </w:rPr>
              <w:t>BB-</w:t>
            </w:r>
          </w:p>
        </w:tc>
        <w:tc>
          <w:tcPr>
            <w:tcW w:w="2840" w:type="dxa"/>
            <w:vAlign w:val="bottom"/>
          </w:tcPr>
          <w:p>
            <w:pPr>
              <w:ind w:left="1180"/>
              <w:spacing w:after="0"/>
              <w:rPr>
                <w:sz w:val="20"/>
                <w:szCs w:val="20"/>
                <w:color w:val="auto"/>
              </w:rPr>
            </w:pPr>
            <w:r>
              <w:rPr>
                <w:rFonts w:ascii="Arial" w:cs="Arial" w:eastAsia="Arial" w:hAnsi="Arial"/>
                <w:sz w:val="18"/>
                <w:szCs w:val="18"/>
                <w:color w:val="auto"/>
              </w:rPr>
              <w:t>BB-</w:t>
            </w:r>
          </w:p>
        </w:tc>
        <w:tc>
          <w:tcPr>
            <w:tcW w:w="4040" w:type="dxa"/>
            <w:vAlign w:val="bottom"/>
          </w:tcPr>
          <w:p>
            <w:pPr>
              <w:spacing w:after="0"/>
              <w:rPr>
                <w:sz w:val="19"/>
                <w:szCs w:val="19"/>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Market Shares</w:t>
            </w:r>
          </w:p>
        </w:tc>
        <w:tc>
          <w:tcPr>
            <w:tcW w:w="2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-636905</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common shares are traded on the New York Stock Exchange (NYSE) and the Lima stock exchange. The following chart shows, for the periods indicated, the high, low and closing prices and the average daily volume traded on the NYSE. The common shares are quoted in U.S. Dollars on both the NYSE and the Lima stock exchange.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CREDICORP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NYSE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42545" cy="2186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545" cy="218630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3175</wp:posOffset>
            </wp:positionV>
            <wp:extent cx="42545" cy="2169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545" cy="216916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3175</wp:posOffset>
            </wp:positionV>
            <wp:extent cx="42545" cy="2169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545" cy="216916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3175</wp:posOffset>
            </wp:positionV>
            <wp:extent cx="42545" cy="2169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545" cy="216916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3175</wp:posOffset>
            </wp:positionV>
            <wp:extent cx="42545" cy="2169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545" cy="216916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3175</wp:posOffset>
            </wp:positionV>
            <wp:extent cx="42545" cy="2169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545" cy="2169160"/>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3175</wp:posOffset>
            </wp:positionV>
            <wp:extent cx="42545" cy="2169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545" cy="216916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-5080</wp:posOffset>
            </wp:positionV>
            <wp:extent cx="42545" cy="2186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545" cy="2186305"/>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3175</wp:posOffset>
            </wp:positionV>
            <wp:extent cx="42545" cy="2169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545" cy="2169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1520" w:type="dxa"/>
            <w:vAlign w:val="bottom"/>
            <w:tcBorders>
              <w:top w:val="single" w:sz="8" w:color="2C2C2C"/>
            </w:tcBorders>
          </w:tcPr>
          <w:p>
            <w:pPr>
              <w:spacing w:after="0"/>
              <w:rPr>
                <w:sz w:val="18"/>
                <w:szCs w:val="18"/>
                <w:color w:val="auto"/>
              </w:rPr>
            </w:pPr>
          </w:p>
        </w:tc>
        <w:tc>
          <w:tcPr>
            <w:tcW w:w="1460" w:type="dxa"/>
            <w:vAlign w:val="bottom"/>
            <w:tcBorders>
              <w:top w:val="single" w:sz="8" w:color="2C2C2C"/>
            </w:tcBorders>
          </w:tcPr>
          <w:p>
            <w:pPr>
              <w:spacing w:after="0"/>
              <w:rPr>
                <w:sz w:val="18"/>
                <w:szCs w:val="18"/>
                <w:color w:val="auto"/>
              </w:rPr>
            </w:pPr>
          </w:p>
        </w:tc>
        <w:tc>
          <w:tcPr>
            <w:tcW w:w="1780" w:type="dxa"/>
            <w:vAlign w:val="bottom"/>
            <w:tcBorders>
              <w:top w:val="single" w:sz="8" w:color="2C2C2C"/>
            </w:tcBorders>
          </w:tcPr>
          <w:p>
            <w:pPr>
              <w:jc w:val="center"/>
              <w:ind w:right="232"/>
              <w:spacing w:after="0"/>
              <w:rPr>
                <w:sz w:val="20"/>
                <w:szCs w:val="20"/>
                <w:color w:val="auto"/>
              </w:rPr>
            </w:pPr>
            <w:r>
              <w:rPr>
                <w:rFonts w:ascii="Arial" w:cs="Arial" w:eastAsia="Arial" w:hAnsi="Arial"/>
                <w:sz w:val="18"/>
                <w:szCs w:val="18"/>
                <w:color w:val="auto"/>
                <w:w w:val="88"/>
              </w:rPr>
              <w:t>Period</w:t>
            </w:r>
          </w:p>
        </w:tc>
        <w:tc>
          <w:tcPr>
            <w:tcW w:w="1620" w:type="dxa"/>
            <w:vAlign w:val="bottom"/>
            <w:tcBorders>
              <w:top w:val="single" w:sz="8" w:color="2C2C2C"/>
            </w:tcBorders>
          </w:tcPr>
          <w:p>
            <w:pPr>
              <w:spacing w:after="0"/>
              <w:rPr>
                <w:sz w:val="18"/>
                <w:szCs w:val="18"/>
                <w:color w:val="auto"/>
              </w:rPr>
            </w:pPr>
          </w:p>
        </w:tc>
        <w:tc>
          <w:tcPr>
            <w:tcW w:w="1380" w:type="dxa"/>
            <w:vAlign w:val="bottom"/>
            <w:tcBorders>
              <w:top w:val="single" w:sz="8" w:color="2C2C2C"/>
            </w:tcBorders>
          </w:tcPr>
          <w:p>
            <w:pPr>
              <w:spacing w:after="0"/>
              <w:rPr>
                <w:sz w:val="18"/>
                <w:szCs w:val="18"/>
                <w:color w:val="auto"/>
              </w:rPr>
            </w:pPr>
          </w:p>
        </w:tc>
        <w:tc>
          <w:tcPr>
            <w:tcW w:w="1360" w:type="dxa"/>
            <w:vAlign w:val="bottom"/>
            <w:tcBorders>
              <w:top w:val="single" w:sz="8" w:color="2C2C2C"/>
            </w:tcBorders>
          </w:tcPr>
          <w:p>
            <w:pPr>
              <w:spacing w:after="0"/>
              <w:rPr>
                <w:sz w:val="18"/>
                <w:szCs w:val="18"/>
                <w:color w:val="auto"/>
              </w:rPr>
            </w:pPr>
          </w:p>
        </w:tc>
        <w:tc>
          <w:tcPr>
            <w:tcW w:w="128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520" w:type="dxa"/>
            <w:vAlign w:val="bottom"/>
          </w:tcPr>
          <w:p>
            <w:pPr>
              <w:ind w:left="20"/>
              <w:spacing w:after="0"/>
              <w:rPr>
                <w:sz w:val="20"/>
                <w:szCs w:val="20"/>
                <w:color w:val="auto"/>
              </w:rPr>
            </w:pPr>
            <w:r>
              <w:rPr>
                <w:rFonts w:ascii="Arial" w:cs="Arial" w:eastAsia="Arial" w:hAnsi="Arial"/>
                <w:sz w:val="18"/>
                <w:szCs w:val="18"/>
                <w:color w:val="auto"/>
              </w:rPr>
              <w:t>Code ISIN</w:t>
            </w:r>
          </w:p>
        </w:tc>
        <w:tc>
          <w:tcPr>
            <w:tcW w:w="1460" w:type="dxa"/>
            <w:vAlign w:val="bottom"/>
          </w:tcPr>
          <w:p>
            <w:pPr>
              <w:jc w:val="center"/>
              <w:ind w:right="52"/>
              <w:spacing w:after="0"/>
              <w:rPr>
                <w:sz w:val="20"/>
                <w:szCs w:val="20"/>
                <w:color w:val="auto"/>
              </w:rPr>
            </w:pPr>
            <w:r>
              <w:rPr>
                <w:rFonts w:ascii="Arial" w:cs="Arial" w:eastAsia="Arial" w:hAnsi="Arial"/>
                <w:sz w:val="18"/>
                <w:szCs w:val="18"/>
                <w:color w:val="auto"/>
                <w:w w:val="88"/>
              </w:rPr>
              <w:t>Nemónico</w:t>
            </w:r>
          </w:p>
        </w:tc>
        <w:tc>
          <w:tcPr>
            <w:tcW w:w="1780" w:type="dxa"/>
            <w:vAlign w:val="bottom"/>
          </w:tcPr>
          <w:p>
            <w:pPr>
              <w:jc w:val="center"/>
              <w:ind w:right="232"/>
              <w:spacing w:after="0"/>
              <w:rPr>
                <w:sz w:val="20"/>
                <w:szCs w:val="20"/>
                <w:color w:val="auto"/>
              </w:rPr>
            </w:pPr>
            <w:r>
              <w:rPr>
                <w:rFonts w:ascii="Arial" w:cs="Arial" w:eastAsia="Arial" w:hAnsi="Arial"/>
                <w:sz w:val="18"/>
                <w:szCs w:val="18"/>
                <w:color w:val="auto"/>
                <w:w w:val="91"/>
              </w:rPr>
              <w:t>Month</w:t>
            </w:r>
          </w:p>
        </w:tc>
        <w:tc>
          <w:tcPr>
            <w:tcW w:w="1620" w:type="dxa"/>
            <w:vAlign w:val="bottom"/>
          </w:tcPr>
          <w:p>
            <w:pPr>
              <w:jc w:val="right"/>
              <w:ind w:right="412"/>
              <w:spacing w:after="0"/>
              <w:rPr>
                <w:sz w:val="20"/>
                <w:szCs w:val="20"/>
                <w:color w:val="auto"/>
              </w:rPr>
            </w:pPr>
            <w:r>
              <w:rPr>
                <w:rFonts w:ascii="Arial" w:cs="Arial" w:eastAsia="Arial" w:hAnsi="Arial"/>
                <w:sz w:val="18"/>
                <w:szCs w:val="18"/>
                <w:color w:val="auto"/>
              </w:rPr>
              <w:t>Open</w:t>
            </w:r>
          </w:p>
        </w:tc>
        <w:tc>
          <w:tcPr>
            <w:tcW w:w="1380" w:type="dxa"/>
            <w:vAlign w:val="bottom"/>
          </w:tcPr>
          <w:p>
            <w:pPr>
              <w:jc w:val="right"/>
              <w:ind w:right="432"/>
              <w:spacing w:after="0"/>
              <w:rPr>
                <w:sz w:val="20"/>
                <w:szCs w:val="20"/>
                <w:color w:val="auto"/>
              </w:rPr>
            </w:pPr>
            <w:r>
              <w:rPr>
                <w:rFonts w:ascii="Arial" w:cs="Arial" w:eastAsia="Arial" w:hAnsi="Arial"/>
                <w:sz w:val="18"/>
                <w:szCs w:val="18"/>
                <w:color w:val="auto"/>
              </w:rPr>
              <w:t>Close</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Low</w:t>
            </w:r>
          </w:p>
        </w:tc>
        <w:tc>
          <w:tcPr>
            <w:tcW w:w="1280" w:type="dxa"/>
            <w:vAlign w:val="bottom"/>
          </w:tcPr>
          <w:p>
            <w:pPr>
              <w:ind w:left="500"/>
              <w:spacing w:after="0"/>
              <w:rPr>
                <w:sz w:val="20"/>
                <w:szCs w:val="20"/>
                <w:color w:val="auto"/>
              </w:rPr>
            </w:pPr>
            <w:r>
              <w:rPr>
                <w:rFonts w:ascii="Arial" w:cs="Arial" w:eastAsia="Arial" w:hAnsi="Arial"/>
                <w:sz w:val="18"/>
                <w:szCs w:val="18"/>
                <w:color w:val="auto"/>
              </w:rPr>
              <w:t>High</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Average</w:t>
            </w:r>
          </w:p>
        </w:tc>
      </w:tr>
      <w:tr>
        <w:trPr>
          <w:trHeight w:val="223"/>
        </w:trPr>
        <w:tc>
          <w:tcPr>
            <w:tcW w:w="20" w:type="dxa"/>
            <w:vAlign w:val="bottom"/>
          </w:tcPr>
          <w:p>
            <w:pPr>
              <w:spacing w:after="0"/>
              <w:rPr>
                <w:sz w:val="19"/>
                <w:szCs w:val="19"/>
                <w:color w:val="auto"/>
              </w:rPr>
            </w:pPr>
          </w:p>
        </w:tc>
        <w:tc>
          <w:tcPr>
            <w:tcW w:w="152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top w:val="single" w:sz="8" w:color="2C2C2C"/>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top w:val="single" w:sz="8" w:color="2C2C2C"/>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2004-01</w:t>
            </w:r>
          </w:p>
        </w:tc>
        <w:tc>
          <w:tcPr>
            <w:tcW w:w="1620" w:type="dxa"/>
            <w:vAlign w:val="bottom"/>
            <w:tcBorders>
              <w:top w:val="single" w:sz="8" w:color="2C2C2C"/>
              <w:bottom w:val="single" w:sz="8" w:color="2C2C2C"/>
            </w:tcBorders>
          </w:tcPr>
          <w:p>
            <w:pPr>
              <w:jc w:val="right"/>
              <w:ind w:right="372"/>
              <w:spacing w:after="0"/>
              <w:rPr>
                <w:sz w:val="20"/>
                <w:szCs w:val="20"/>
                <w:color w:val="auto"/>
              </w:rPr>
            </w:pPr>
            <w:r>
              <w:rPr>
                <w:rFonts w:ascii="Arial" w:cs="Arial" w:eastAsia="Arial" w:hAnsi="Arial"/>
                <w:sz w:val="18"/>
                <w:szCs w:val="18"/>
                <w:color w:val="auto"/>
              </w:rPr>
              <w:t>13.15</w:t>
            </w:r>
          </w:p>
        </w:tc>
        <w:tc>
          <w:tcPr>
            <w:tcW w:w="1380" w:type="dxa"/>
            <w:vAlign w:val="bottom"/>
            <w:tcBorders>
              <w:top w:val="single" w:sz="8" w:color="2C2C2C"/>
              <w:bottom w:val="single" w:sz="8" w:color="2C2C2C"/>
            </w:tcBorders>
          </w:tcPr>
          <w:p>
            <w:pPr>
              <w:jc w:val="right"/>
              <w:ind w:right="392"/>
              <w:spacing w:after="0"/>
              <w:rPr>
                <w:sz w:val="20"/>
                <w:szCs w:val="20"/>
                <w:color w:val="auto"/>
              </w:rPr>
            </w:pPr>
            <w:r>
              <w:rPr>
                <w:rFonts w:ascii="Arial" w:cs="Arial" w:eastAsia="Arial" w:hAnsi="Arial"/>
                <w:sz w:val="18"/>
                <w:szCs w:val="18"/>
                <w:color w:val="auto"/>
              </w:rPr>
              <w:t>12.10</w:t>
            </w:r>
          </w:p>
        </w:tc>
        <w:tc>
          <w:tcPr>
            <w:tcW w:w="13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auto"/>
                <w:w w:val="88"/>
              </w:rPr>
              <w:t>15.20</w:t>
            </w:r>
          </w:p>
        </w:tc>
        <w:tc>
          <w:tcPr>
            <w:tcW w:w="1280" w:type="dxa"/>
            <w:vAlign w:val="bottom"/>
            <w:tcBorders>
              <w:top w:val="single" w:sz="8" w:color="2C2C2C"/>
              <w:bottom w:val="single" w:sz="8" w:color="2C2C2C"/>
            </w:tcBorders>
          </w:tcPr>
          <w:p>
            <w:pPr>
              <w:ind w:left="500"/>
              <w:spacing w:after="0"/>
              <w:rPr>
                <w:sz w:val="20"/>
                <w:szCs w:val="20"/>
                <w:color w:val="auto"/>
              </w:rPr>
            </w:pPr>
            <w:r>
              <w:rPr>
                <w:rFonts w:ascii="Arial" w:cs="Arial" w:eastAsia="Arial" w:hAnsi="Arial"/>
                <w:sz w:val="18"/>
                <w:szCs w:val="18"/>
                <w:color w:val="auto"/>
              </w:rPr>
              <w:t>11.57</w:t>
            </w:r>
          </w:p>
        </w:tc>
        <w:tc>
          <w:tcPr>
            <w:tcW w:w="98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2004-02</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12.00</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13.01</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13.20</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12.00</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2004-03</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12.91</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13.00</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13.05</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12.34</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2004-04</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12.81</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12.65</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13.15</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12.50</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2004-05</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12.80</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12.39</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13.00</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12.25</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2004-06</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12.45</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12.90</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13.08</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12.45</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2004-07</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12.90</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12.80</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13.10</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12.65</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12.99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2004-08</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12.80</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13.35</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13.68</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12.61</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2004-09</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13.45</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14.13</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14.13</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13.35</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13.70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2004-10</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14.05</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14.30</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14.85</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13.85</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14.25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2004-11</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14.10</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15.01</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15.01</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14.10</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rPr>
              <w:t>BMG2519Y1084</w:t>
            </w:r>
          </w:p>
        </w:tc>
        <w:tc>
          <w:tcPr>
            <w:tcW w:w="1460" w:type="dxa"/>
            <w:vAlign w:val="bottom"/>
            <w:tcBorders>
              <w:bottom w:val="single" w:sz="8" w:color="2C2C2C"/>
            </w:tcBorders>
          </w:tcPr>
          <w:p>
            <w:pPr>
              <w:jc w:val="center"/>
              <w:ind w:right="72"/>
              <w:spacing w:after="0"/>
              <w:rPr>
                <w:sz w:val="20"/>
                <w:szCs w:val="20"/>
                <w:color w:val="auto"/>
              </w:rPr>
            </w:pPr>
            <w:r>
              <w:rPr>
                <w:rFonts w:ascii="Arial" w:cs="Arial" w:eastAsia="Arial" w:hAnsi="Arial"/>
                <w:sz w:val="18"/>
                <w:szCs w:val="18"/>
                <w:color w:val="auto"/>
                <w:w w:val="94"/>
              </w:rPr>
              <w:t>BAP</w:t>
            </w:r>
          </w:p>
        </w:tc>
        <w:tc>
          <w:tcPr>
            <w:tcW w:w="178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auto"/>
                <w:w w:val="87"/>
              </w:rPr>
              <w:t>2004-12</w:t>
            </w:r>
          </w:p>
        </w:tc>
        <w:tc>
          <w:tcPr>
            <w:tcW w:w="1620" w:type="dxa"/>
            <w:vAlign w:val="bottom"/>
            <w:tcBorders>
              <w:bottom w:val="single" w:sz="8" w:color="2C2C2C"/>
            </w:tcBorders>
          </w:tcPr>
          <w:p>
            <w:pPr>
              <w:jc w:val="right"/>
              <w:ind w:right="372"/>
              <w:spacing w:after="0"/>
              <w:rPr>
                <w:sz w:val="20"/>
                <w:szCs w:val="20"/>
                <w:color w:val="auto"/>
              </w:rPr>
            </w:pPr>
            <w:r>
              <w:rPr>
                <w:rFonts w:ascii="Arial" w:cs="Arial" w:eastAsia="Arial" w:hAnsi="Arial"/>
                <w:sz w:val="18"/>
                <w:szCs w:val="18"/>
                <w:color w:val="auto"/>
              </w:rPr>
              <w:t>15.25</w:t>
            </w:r>
          </w:p>
        </w:tc>
        <w:tc>
          <w:tcPr>
            <w:tcW w:w="1380" w:type="dxa"/>
            <w:vAlign w:val="bottom"/>
            <w:tcBorders>
              <w:bottom w:val="single" w:sz="8" w:color="2C2C2C"/>
            </w:tcBorders>
          </w:tcPr>
          <w:p>
            <w:pPr>
              <w:jc w:val="right"/>
              <w:ind w:right="392"/>
              <w:spacing w:after="0"/>
              <w:rPr>
                <w:sz w:val="20"/>
                <w:szCs w:val="20"/>
                <w:color w:val="auto"/>
              </w:rPr>
            </w:pPr>
            <w:r>
              <w:rPr>
                <w:rFonts w:ascii="Arial" w:cs="Arial" w:eastAsia="Arial" w:hAnsi="Arial"/>
                <w:sz w:val="18"/>
                <w:szCs w:val="18"/>
                <w:color w:val="auto"/>
              </w:rPr>
              <w:t>15.70</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15.70</w:t>
            </w:r>
          </w:p>
        </w:tc>
        <w:tc>
          <w:tcPr>
            <w:tcW w:w="12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auto"/>
              </w:rPr>
              <w:t>15.22</w:t>
            </w:r>
          </w:p>
        </w:tc>
        <w:tc>
          <w:tcPr>
            <w:tcW w:w="9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Borders>
              <w:bottom w:val="single" w:sz="8" w:color="2C2C2C"/>
            </w:tcBorders>
          </w:tcPr>
          <w:p>
            <w:pPr>
              <w:spacing w:after="0"/>
              <w:rPr>
                <w:sz w:val="19"/>
                <w:szCs w:val="19"/>
                <w:color w:val="auto"/>
              </w:rPr>
            </w:pPr>
          </w:p>
        </w:tc>
      </w:tr>
    </w:tbl>
    <w:p>
      <w:pPr>
        <w:sectPr>
          <w:pgSz w:w="11900" w:h="16838" w:orient="portrait"/>
          <w:cols w:equalWidth="0" w:num="1">
            <w:col w:w="11420"/>
          </w:cols>
          <w:pgMar w:left="240" w:top="347"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Application of Good Corporate Governance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98425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9842500"/>
                    </a:xfrm>
                    <a:prstGeom prst="rect">
                      <a:avLst/>
                    </a:prstGeom>
                    <a:noFill/>
                  </pic:spPr>
                </pic:pic>
              </a:graphicData>
            </a:graphic>
          </wp:anchor>
        </w:drawing>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560" w:type="dxa"/>
            <w:vAlign w:val="bottom"/>
            <w:vMerge w:val="restart"/>
          </w:tcPr>
          <w:p>
            <w:pPr>
              <w:ind w:left="1960"/>
              <w:spacing w:after="0"/>
              <w:rPr>
                <w:sz w:val="20"/>
                <w:szCs w:val="20"/>
                <w:color w:val="auto"/>
              </w:rPr>
            </w:pPr>
            <w:r>
              <w:rPr>
                <w:rFonts w:ascii="Arial" w:cs="Arial" w:eastAsia="Arial" w:hAnsi="Arial"/>
                <w:sz w:val="18"/>
                <w:szCs w:val="18"/>
                <w:color w:val="auto"/>
              </w:rPr>
              <w:t>Principle</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Application</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vMerge w:val="restart"/>
          </w:tcPr>
          <w:p>
            <w:pPr>
              <w:jc w:val="right"/>
              <w:ind w:right="672"/>
              <w:spacing w:after="0"/>
              <w:rPr>
                <w:sz w:val="20"/>
                <w:szCs w:val="20"/>
                <w:color w:val="auto"/>
              </w:rPr>
            </w:pPr>
            <w:r>
              <w:rPr>
                <w:rFonts w:ascii="Arial" w:cs="Arial" w:eastAsia="Arial" w:hAnsi="Arial"/>
                <w:sz w:val="18"/>
                <w:szCs w:val="18"/>
                <w:color w:val="auto"/>
              </w:rPr>
              <w:t>Implementation degree comments</w:t>
            </w:r>
          </w:p>
        </w:tc>
        <w:tc>
          <w:tcPr>
            <w:tcW w:w="0" w:type="dxa"/>
            <w:vAlign w:val="bottom"/>
          </w:tcPr>
          <w:p>
            <w:pPr>
              <w:spacing w:after="0"/>
              <w:rPr>
                <w:sz w:val="1"/>
                <w:szCs w:val="1"/>
                <w:color w:val="auto"/>
              </w:rPr>
            </w:pPr>
          </w:p>
        </w:tc>
      </w:tr>
      <w:tr>
        <w:trPr>
          <w:trHeight w:val="63"/>
        </w:trPr>
        <w:tc>
          <w:tcPr>
            <w:tcW w:w="4560" w:type="dxa"/>
            <w:vAlign w:val="bottom"/>
            <w:vMerge w:val="continue"/>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4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960" w:type="dxa"/>
            <w:vAlign w:val="bottom"/>
            <w:vMerge w:val="restart"/>
          </w:tcPr>
          <w:p>
            <w:pPr>
              <w:jc w:val="right"/>
              <w:ind w:right="352"/>
              <w:spacing w:after="0"/>
              <w:rPr>
                <w:sz w:val="20"/>
                <w:szCs w:val="20"/>
                <w:color w:val="auto"/>
              </w:rPr>
            </w:pPr>
            <w:r>
              <w:rPr>
                <w:rFonts w:ascii="Arial" w:cs="Arial" w:eastAsia="Arial" w:hAnsi="Arial"/>
                <w:sz w:val="18"/>
                <w:szCs w:val="18"/>
                <w:color w:val="auto"/>
              </w:rPr>
              <w:t>2</w:t>
            </w:r>
          </w:p>
        </w:tc>
        <w:tc>
          <w:tcPr>
            <w:tcW w:w="380" w:type="dxa"/>
            <w:vAlign w:val="bottom"/>
            <w:vMerge w:val="restart"/>
          </w:tcPr>
          <w:p>
            <w:pPr>
              <w:jc w:val="right"/>
              <w:ind w:right="152"/>
              <w:spacing w:after="0"/>
              <w:rPr>
                <w:sz w:val="20"/>
                <w:szCs w:val="20"/>
                <w:color w:val="auto"/>
              </w:rPr>
            </w:pPr>
            <w:r>
              <w:rPr>
                <w:rFonts w:ascii="Arial" w:cs="Arial" w:eastAsia="Arial" w:hAnsi="Arial"/>
                <w:sz w:val="18"/>
                <w:szCs w:val="18"/>
                <w:color w:val="auto"/>
              </w:rPr>
              <w:t>3</w:t>
            </w:r>
          </w:p>
        </w:tc>
        <w:tc>
          <w:tcPr>
            <w:tcW w:w="580" w:type="dxa"/>
            <w:vAlign w:val="bottom"/>
            <w:vMerge w:val="restart"/>
          </w:tcPr>
          <w:p>
            <w:pPr>
              <w:jc w:val="right"/>
              <w:ind w:right="142"/>
              <w:spacing w:after="0"/>
              <w:rPr>
                <w:sz w:val="20"/>
                <w:szCs w:val="20"/>
                <w:color w:val="auto"/>
              </w:rPr>
            </w:pPr>
            <w:r>
              <w:rPr>
                <w:rFonts w:ascii="Arial" w:cs="Arial" w:eastAsia="Arial" w:hAnsi="Arial"/>
                <w:sz w:val="18"/>
                <w:szCs w:val="18"/>
                <w:color w:val="auto"/>
              </w:rPr>
              <w:t>4</w:t>
            </w:r>
          </w:p>
        </w:tc>
        <w:tc>
          <w:tcPr>
            <w:tcW w:w="3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4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51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5140" w:type="dxa"/>
            <w:vAlign w:val="bottom"/>
            <w:gridSpan w:val="2"/>
          </w:tcPr>
          <w:p>
            <w:pPr>
              <w:ind w:left="60"/>
              <w:spacing w:after="0"/>
              <w:rPr>
                <w:sz w:val="20"/>
                <w:szCs w:val="20"/>
                <w:color w:val="auto"/>
              </w:rPr>
            </w:pPr>
            <w:r>
              <w:rPr>
                <w:rFonts w:ascii="Arial" w:cs="Arial" w:eastAsia="Arial" w:hAnsi="Arial"/>
                <w:sz w:val="18"/>
                <w:szCs w:val="18"/>
                <w:color w:val="auto"/>
              </w:rPr>
              <w:t>1. Generic matters should not be incorporated into the agenda,</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22"/>
                <w:szCs w:val="22"/>
                <w:color w:val="auto"/>
              </w:rPr>
              <w:t>X</w:t>
            </w:r>
          </w:p>
        </w:tc>
        <w:tc>
          <w:tcPr>
            <w:tcW w:w="3920" w:type="dxa"/>
            <w:vAlign w:val="bottom"/>
          </w:tcPr>
          <w:p>
            <w:pPr>
              <w:jc w:val="right"/>
              <w:ind w:right="472"/>
              <w:spacing w:after="0"/>
              <w:rPr>
                <w:sz w:val="20"/>
                <w:szCs w:val="20"/>
                <w:color w:val="auto"/>
              </w:rPr>
            </w:pPr>
            <w:r>
              <w:rPr>
                <w:rFonts w:ascii="Arial" w:cs="Arial" w:eastAsia="Arial" w:hAnsi="Arial"/>
                <w:sz w:val="18"/>
                <w:szCs w:val="18"/>
                <w:color w:val="auto"/>
                <w:w w:val="91"/>
              </w:rPr>
              <w:t>Items in the Agenda are specifically identified,</w:t>
            </w:r>
          </w:p>
        </w:tc>
        <w:tc>
          <w:tcPr>
            <w:tcW w:w="0" w:type="dxa"/>
            <w:vAlign w:val="bottom"/>
          </w:tcPr>
          <w:p>
            <w:pPr>
              <w:spacing w:after="0"/>
              <w:rPr>
                <w:sz w:val="1"/>
                <w:szCs w:val="1"/>
                <w:color w:val="auto"/>
              </w:rPr>
            </w:pPr>
          </w:p>
        </w:tc>
      </w:tr>
      <w:tr>
        <w:trPr>
          <w:trHeight w:val="222"/>
        </w:trPr>
        <w:tc>
          <w:tcPr>
            <w:tcW w:w="5140" w:type="dxa"/>
            <w:vAlign w:val="bottom"/>
            <w:gridSpan w:val="2"/>
          </w:tcPr>
          <w:p>
            <w:pPr>
              <w:ind w:left="60"/>
              <w:spacing w:after="0"/>
              <w:rPr>
                <w:sz w:val="20"/>
                <w:szCs w:val="20"/>
                <w:color w:val="auto"/>
              </w:rPr>
            </w:pPr>
            <w:r>
              <w:rPr>
                <w:rFonts w:ascii="Arial" w:cs="Arial" w:eastAsia="Arial" w:hAnsi="Arial"/>
                <w:sz w:val="18"/>
                <w:szCs w:val="18"/>
                <w:color w:val="auto"/>
              </w:rPr>
              <w:t>all points to be dealt with should be duly detailed in a such a</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jc w:val="right"/>
              <w:ind w:right="672"/>
              <w:spacing w:after="0"/>
              <w:rPr>
                <w:sz w:val="20"/>
                <w:szCs w:val="20"/>
                <w:color w:val="auto"/>
              </w:rPr>
            </w:pPr>
            <w:r>
              <w:rPr>
                <w:rFonts w:ascii="Arial" w:cs="Arial" w:eastAsia="Arial" w:hAnsi="Arial"/>
                <w:sz w:val="18"/>
                <w:szCs w:val="18"/>
                <w:color w:val="auto"/>
                <w:w w:val="89"/>
              </w:rPr>
              <w:t>individually discussed and voted separately.</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color w:val="auto"/>
        </w:rPr>
        <w:t>way that each matter can be discussed separately, facilitating</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its analysis and avoiding combined resolutions on matters on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which there are different opinions.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(Principle I.C.1, second paragraph)</w:t>
      </w:r>
    </w:p>
    <w:p>
      <w:pPr>
        <w:sectPr>
          <w:pgSz w:w="11900" w:h="16838" w:orient="portrait"/>
          <w:cols w:equalWidth="0" w:num="1">
            <w:col w:w="11400"/>
          </w:cols>
          <w:pgMar w:left="240" w:top="347" w:right="259" w:bottom="0" w:gutter="0" w:footer="0" w:header="0"/>
        </w:sectPr>
      </w:pPr>
    </w:p>
    <w:p>
      <w:pPr>
        <w:spacing w:after="0" w:line="354" w:lineRule="exact"/>
        <w:rPr>
          <w:sz w:val="20"/>
          <w:szCs w:val="20"/>
          <w:color w:val="auto"/>
        </w:rPr>
      </w:pPr>
    </w:p>
    <w:p>
      <w:pPr>
        <w:ind w:left="80" w:right="2041" w:firstLine="9"/>
        <w:spacing w:after="0" w:line="306" w:lineRule="auto"/>
        <w:tabs>
          <w:tab w:leader="none" w:pos="2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meeting place for the General Shareholder Meetings should be established in order to ease shareholder assistance. (Principle I.C.1, third paragraph)</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439" w:right="200" w:hanging="439"/>
        <w:spacing w:after="0" w:line="280" w:lineRule="auto"/>
        <w:tabs>
          <w:tab w:leader="none" w:pos="439" w:val="left"/>
        </w:tabs>
        <w:numPr>
          <w:ilvl w:val="0"/>
          <w:numId w:val="12"/>
        </w:numPr>
        <w:rPr>
          <w:rFonts w:ascii="Arial" w:cs="Arial" w:eastAsia="Arial" w:hAnsi="Arial"/>
          <w:sz w:val="19"/>
          <w:szCs w:val="19"/>
          <w:color w:val="auto"/>
        </w:rPr>
      </w:pPr>
      <w:r>
        <w:rPr>
          <w:rFonts w:ascii="Arial" w:cs="Arial" w:eastAsia="Arial" w:hAnsi="Arial"/>
          <w:sz w:val="16"/>
          <w:szCs w:val="16"/>
          <w:color w:val="auto"/>
        </w:rPr>
        <w:t>The Shareholder Meetings are convened by letter to all shareholders, indicating date, time and place, offering facilities that accommodate assistants.</w:t>
      </w:r>
    </w:p>
    <w:p>
      <w:pPr>
        <w:spacing w:after="0" w:line="219" w:lineRule="exact"/>
        <w:rPr>
          <w:sz w:val="20"/>
          <w:szCs w:val="20"/>
          <w:color w:val="auto"/>
        </w:rPr>
      </w:pPr>
    </w:p>
    <w:p>
      <w:pPr>
        <w:sectPr>
          <w:pgSz w:w="11900" w:h="16838" w:orient="portrait"/>
          <w:cols w:equalWidth="0" w:num="2">
            <w:col w:w="6401" w:space="720"/>
            <w:col w:w="4279"/>
          </w:cols>
          <w:pgMar w:left="240" w:top="347" w:right="259" w:bottom="0" w:gutter="0" w:footer="0" w:header="0"/>
          <w:type w:val="continuous"/>
        </w:sectPr>
      </w:pPr>
    </w:p>
    <w:p>
      <w:pPr>
        <w:spacing w:after="0" w:line="96" w:lineRule="exact"/>
        <w:rPr>
          <w:sz w:val="20"/>
          <w:szCs w:val="20"/>
          <w:color w:val="auto"/>
        </w:rPr>
      </w:pPr>
    </w:p>
    <w:p>
      <w:pPr>
        <w:ind w:left="80" w:right="1881" w:firstLine="9"/>
        <w:spacing w:after="0" w:line="283" w:lineRule="auto"/>
        <w:tabs>
          <w:tab w:leader="none" w:pos="2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Opportunity should be provided for shareholders to place items on the agenda at General Meetings, subject to reasonable limitations. Any matters introduced into the agenda should be of company interest and should fit within the legal or statutory competence of the Meeting. The Board of Directors should not deny this kind of request without giving the shareholder reasonable justification.</w:t>
      </w:r>
    </w:p>
    <w:p>
      <w:pPr>
        <w:ind w:left="80"/>
        <w:spacing w:after="0"/>
        <w:rPr>
          <w:rFonts w:ascii="Arial" w:cs="Arial" w:eastAsia="Arial" w:hAnsi="Arial"/>
          <w:sz w:val="16"/>
          <w:szCs w:val="16"/>
          <w:color w:val="auto"/>
        </w:rPr>
      </w:pPr>
      <w:r>
        <w:rPr>
          <w:rFonts w:ascii="Arial" w:cs="Arial" w:eastAsia="Arial" w:hAnsi="Arial"/>
          <w:sz w:val="18"/>
          <w:szCs w:val="18"/>
          <w:color w:val="auto"/>
        </w:rPr>
        <w:t>(Principle I.C.2)</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439" w:right="60" w:hanging="439"/>
        <w:spacing w:after="0" w:line="259" w:lineRule="auto"/>
        <w:tabs>
          <w:tab w:leader="none" w:pos="439" w:val="left"/>
        </w:tabs>
        <w:numPr>
          <w:ilvl w:val="0"/>
          <w:numId w:val="14"/>
        </w:numPr>
        <w:rPr>
          <w:rFonts w:ascii="Arial" w:cs="Arial" w:eastAsia="Arial" w:hAnsi="Arial"/>
          <w:sz w:val="21"/>
          <w:szCs w:val="21"/>
          <w:color w:val="auto"/>
        </w:rPr>
      </w:pPr>
      <w:r>
        <w:rPr>
          <w:rFonts w:ascii="Arial" w:cs="Arial" w:eastAsia="Arial" w:hAnsi="Arial"/>
          <w:sz w:val="17"/>
          <w:szCs w:val="17"/>
          <w:color w:val="auto"/>
        </w:rPr>
        <w:t>Topics in the Agenda are always of interest to the company and appropriate to the powers of the Shareholders Meeting and only consider items that are presented with an adequate anticipation. The Board does not turn down requests without giving the shareholder a reasonable answer.</w:t>
      </w:r>
    </w:p>
    <w:p>
      <w:pPr>
        <w:spacing w:after="0" w:line="610" w:lineRule="exact"/>
        <w:rPr>
          <w:sz w:val="20"/>
          <w:szCs w:val="20"/>
          <w:color w:val="auto"/>
        </w:rPr>
      </w:pPr>
    </w:p>
    <w:p>
      <w:pPr>
        <w:sectPr>
          <w:pgSz w:w="11900" w:h="16838" w:orient="portrait"/>
          <w:cols w:equalWidth="0" w:num="2">
            <w:col w:w="6401" w:space="720"/>
            <w:col w:w="4279"/>
          </w:cols>
          <w:pgMar w:left="240" w:top="347" w:right="259" w:bottom="0" w:gutter="0" w:footer="0" w:header="0"/>
          <w:type w:val="continuous"/>
        </w:sectPr>
      </w:pPr>
    </w:p>
    <w:p>
      <w:pPr>
        <w:spacing w:after="0" w:line="154" w:lineRule="exact"/>
        <w:rPr>
          <w:sz w:val="20"/>
          <w:szCs w:val="20"/>
          <w:color w:val="auto"/>
        </w:rPr>
      </w:pPr>
    </w:p>
    <w:p>
      <w:pPr>
        <w:jc w:val="both"/>
        <w:ind w:left="80" w:right="2041" w:firstLine="9"/>
        <w:spacing w:after="0" w:line="284" w:lineRule="auto"/>
        <w:tabs>
          <w:tab w:leader="none" w:pos="2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by-laws should not impose limits to the right of every shareholder entitled to participate in General Meetings, to be represented by any person appointed by him.</w:t>
      </w:r>
    </w:p>
    <w:p>
      <w:pPr>
        <w:spacing w:after="0" w:line="1"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(Principle I.C.4.i)</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100" w:hanging="439"/>
        <w:spacing w:after="0" w:line="235" w:lineRule="auto"/>
        <w:tabs>
          <w:tab w:leader="none" w:pos="439" w:val="left"/>
        </w:tabs>
        <w:numPr>
          <w:ilvl w:val="0"/>
          <w:numId w:val="16"/>
        </w:numPr>
        <w:rPr>
          <w:rFonts w:ascii="Arial" w:cs="Arial" w:eastAsia="Arial" w:hAnsi="Arial"/>
          <w:sz w:val="22"/>
          <w:szCs w:val="22"/>
          <w:color w:val="auto"/>
        </w:rPr>
      </w:pPr>
      <w:r>
        <w:rPr>
          <w:rFonts w:ascii="Arial" w:cs="Arial" w:eastAsia="Arial" w:hAnsi="Arial"/>
          <w:sz w:val="18"/>
          <w:szCs w:val="18"/>
          <w:color w:val="auto"/>
        </w:rPr>
        <w:t>Every shareholder has the right to participate or to be represented in the General Meetings, with the same rights and with no limitations.</w:t>
      </w:r>
    </w:p>
    <w:p>
      <w:pPr>
        <w:spacing w:after="0" w:line="408" w:lineRule="exact"/>
        <w:rPr>
          <w:sz w:val="20"/>
          <w:szCs w:val="20"/>
          <w:color w:val="auto"/>
        </w:rPr>
      </w:pPr>
    </w:p>
    <w:p>
      <w:pPr>
        <w:sectPr>
          <w:pgSz w:w="11900" w:h="16838" w:orient="portrait"/>
          <w:cols w:equalWidth="0" w:num="2">
            <w:col w:w="6401" w:space="720"/>
            <w:col w:w="4279"/>
          </w:cols>
          <w:pgMar w:left="240" w:top="347" w:right="259" w:bottom="0" w:gutter="0" w:footer="0" w:header="0"/>
          <w:type w:val="continuous"/>
        </w:sectPr>
      </w:pPr>
    </w:p>
    <w:p>
      <w:pPr>
        <w:spacing w:after="0" w:line="154" w:lineRule="exact"/>
        <w:rPr>
          <w:sz w:val="20"/>
          <w:szCs w:val="20"/>
          <w:color w:val="auto"/>
        </w:rPr>
      </w:pPr>
    </w:p>
    <w:p>
      <w:pPr>
        <w:ind w:left="80" w:right="1881" w:firstLine="9"/>
        <w:spacing w:after="0" w:line="283" w:lineRule="auto"/>
        <w:tabs>
          <w:tab w:leader="none" w:pos="25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is recommended that any company issuing investment shares or other shareholding stock without voting rights, offers their holders the opportunity to change them for ordinary shares with the right to vote or that they foresee this possibility at the time of their issue.</w:t>
      </w:r>
    </w:p>
    <w:p>
      <w:pPr>
        <w:spacing w:after="0" w:line="2"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(Principle II.A.1, third paragraph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80" w:hanging="439"/>
        <w:spacing w:after="0" w:line="239" w:lineRule="auto"/>
        <w:tabs>
          <w:tab w:leader="none" w:pos="439" w:val="left"/>
        </w:tabs>
        <w:numPr>
          <w:ilvl w:val="0"/>
          <w:numId w:val="18"/>
        </w:numPr>
        <w:rPr>
          <w:rFonts w:ascii="Arial" w:cs="Arial" w:eastAsia="Arial" w:hAnsi="Arial"/>
          <w:sz w:val="22"/>
          <w:szCs w:val="22"/>
          <w:color w:val="auto"/>
        </w:rPr>
      </w:pPr>
      <w:r>
        <w:rPr>
          <w:rFonts w:ascii="Arial" w:cs="Arial" w:eastAsia="Arial" w:hAnsi="Arial"/>
          <w:sz w:val="18"/>
          <w:szCs w:val="18"/>
          <w:color w:val="auto"/>
        </w:rPr>
        <w:t>Our company has no investment shares, nor stocks with no voting rights. Our company has only one type of common stock, with uniformly equal rights to any stockholder.</w:t>
      </w:r>
    </w:p>
    <w:p>
      <w:pPr>
        <w:spacing w:after="0" w:line="623" w:lineRule="exact"/>
        <w:rPr>
          <w:sz w:val="20"/>
          <w:szCs w:val="20"/>
          <w:color w:val="auto"/>
        </w:rPr>
      </w:pPr>
    </w:p>
    <w:p>
      <w:pPr>
        <w:sectPr>
          <w:pgSz w:w="11900" w:h="16838" w:orient="portrait"/>
          <w:cols w:equalWidth="0" w:num="2">
            <w:col w:w="6401" w:space="720"/>
            <w:col w:w="4279"/>
          </w:cols>
          <w:pgMar w:left="240" w:top="347" w:right="259" w:bottom="0" w:gutter="0" w:footer="0" w:header="0"/>
          <w:type w:val="continuous"/>
        </w:sectPr>
      </w:pPr>
    </w:p>
    <w:p>
      <w:pPr>
        <w:spacing w:after="0" w:line="154" w:lineRule="exact"/>
        <w:rPr>
          <w:sz w:val="20"/>
          <w:szCs w:val="20"/>
          <w:color w:val="auto"/>
        </w:rPr>
      </w:pPr>
    </w:p>
    <w:p>
      <w:pPr>
        <w:ind w:left="80" w:right="1981" w:firstLine="9"/>
        <w:spacing w:after="0" w:line="289" w:lineRule="auto"/>
        <w:tabs>
          <w:tab w:leader="none" w:pos="25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sufficient number of directors should be elected, capable of exercising independent judgment to tasks where there is a potential for conflict of interest, being able, for such purpose, to take into consideration the participation of shareholders lacking control. Independent directors are those selected for their professional prestige and who are not connected to the company management, nor to the control group of the same. (Principle II.B)</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180" w:hanging="439"/>
        <w:spacing w:after="0" w:line="252" w:lineRule="auto"/>
        <w:tabs>
          <w:tab w:leader="none" w:pos="439" w:val="left"/>
        </w:tabs>
        <w:numPr>
          <w:ilvl w:val="0"/>
          <w:numId w:val="20"/>
        </w:numPr>
        <w:rPr>
          <w:rFonts w:ascii="Arial" w:cs="Arial" w:eastAsia="Arial" w:hAnsi="Arial"/>
          <w:sz w:val="21"/>
          <w:szCs w:val="21"/>
          <w:color w:val="auto"/>
        </w:rPr>
      </w:pPr>
      <w:r>
        <w:rPr>
          <w:rFonts w:ascii="Arial" w:cs="Arial" w:eastAsia="Arial" w:hAnsi="Arial"/>
          <w:sz w:val="17"/>
          <w:szCs w:val="17"/>
          <w:color w:val="auto"/>
        </w:rPr>
        <w:t>The number of Directors complies with legal and statutory requirements, and have the approval of the General Shareholders Meeting.</w:t>
      </w:r>
    </w:p>
    <w:p>
      <w:pPr>
        <w:spacing w:after="0" w:line="200" w:lineRule="exact"/>
        <w:rPr>
          <w:rFonts w:ascii="Arial" w:cs="Arial" w:eastAsia="Arial" w:hAnsi="Arial"/>
          <w:sz w:val="21"/>
          <w:szCs w:val="21"/>
          <w:color w:val="auto"/>
        </w:rPr>
      </w:pPr>
    </w:p>
    <w:p>
      <w:pPr>
        <w:jc w:val="both"/>
        <w:ind w:left="439" w:right="160"/>
        <w:spacing w:after="0" w:line="259" w:lineRule="auto"/>
        <w:rPr>
          <w:rFonts w:ascii="Arial" w:cs="Arial" w:eastAsia="Arial" w:hAnsi="Arial"/>
          <w:sz w:val="21"/>
          <w:szCs w:val="21"/>
          <w:color w:val="auto"/>
        </w:rPr>
      </w:pPr>
      <w:r>
        <w:rPr>
          <w:rFonts w:ascii="Arial" w:cs="Arial" w:eastAsia="Arial" w:hAnsi="Arial"/>
          <w:sz w:val="18"/>
          <w:szCs w:val="18"/>
          <w:color w:val="auto"/>
        </w:rPr>
        <w:t>Independent directors are selected for their personal prestige and have no relation with the control group, nor with management.</w:t>
      </w:r>
    </w:p>
    <w:p>
      <w:pPr>
        <w:spacing w:after="0" w:line="437" w:lineRule="exact"/>
        <w:rPr>
          <w:sz w:val="20"/>
          <w:szCs w:val="20"/>
          <w:color w:val="auto"/>
        </w:rPr>
      </w:pPr>
    </w:p>
    <w:p>
      <w:pPr>
        <w:sectPr>
          <w:pgSz w:w="11900" w:h="16838" w:orient="portrait"/>
          <w:cols w:equalWidth="0" w:num="2">
            <w:col w:w="6401" w:space="720"/>
            <w:col w:w="4279"/>
          </w:cols>
          <w:pgMar w:left="240" w:top="347" w:right="259" w:bottom="0" w:gutter="0" w:footer="0" w:header="0"/>
          <w:type w:val="continuous"/>
        </w:sectPr>
      </w:pPr>
    </w:p>
    <w:p>
      <w:pPr>
        <w:spacing w:after="0" w:line="107" w:lineRule="exact"/>
        <w:rPr>
          <w:sz w:val="20"/>
          <w:szCs w:val="20"/>
          <w:color w:val="auto"/>
        </w:rPr>
      </w:pPr>
    </w:p>
    <w:p>
      <w:pPr>
        <w:ind w:left="80" w:right="1881" w:firstLine="9"/>
        <w:spacing w:after="0" w:line="305" w:lineRule="auto"/>
        <w:tabs>
          <w:tab w:leader="none" w:pos="25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Although, in general, external auditors are focused on expressing opinions on financial information, these may also refer to opinions or specialized reports on the following aspects: expert accounting reports, operative audits, systems audits, project evaluation, cost systems evaluation or implementation, tax audits, appraisals for adjustment of assets, portfolio evaluation, inventories, or other special services. It is recommended that such services be made by different auditors, or in the event they are done by the same auditors, this should not affect the independence of their opinion. The company should reveal all audits and specialized reports done by the auditor. Reports should be made on all services provided by the auditing firm or auditor to the company, specifying the percentage represented by each one and its participation in the income of the auditing firm or auditor.</w:t>
      </w:r>
    </w:p>
    <w:p>
      <w:pPr>
        <w:spacing w:after="0" w:line="178" w:lineRule="exact"/>
        <w:rPr>
          <w:rFonts w:ascii="Arial" w:cs="Arial" w:eastAsia="Arial" w:hAnsi="Arial"/>
          <w:sz w:val="15"/>
          <w:szCs w:val="15"/>
          <w:color w:val="auto"/>
        </w:rPr>
      </w:pPr>
    </w:p>
    <w:p>
      <w:pPr>
        <w:ind w:left="80"/>
        <w:spacing w:after="0"/>
        <w:rPr>
          <w:rFonts w:ascii="Arial" w:cs="Arial" w:eastAsia="Arial" w:hAnsi="Arial"/>
          <w:sz w:val="15"/>
          <w:szCs w:val="15"/>
          <w:color w:val="auto"/>
        </w:rPr>
      </w:pPr>
      <w:r>
        <w:rPr>
          <w:rFonts w:ascii="Arial" w:cs="Arial" w:eastAsia="Arial" w:hAnsi="Arial"/>
          <w:sz w:val="18"/>
          <w:szCs w:val="18"/>
          <w:color w:val="auto"/>
        </w:rPr>
        <w:t>(Principle IV.C, second, third and fourth paragraph)</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439" w:right="220" w:hanging="439"/>
        <w:spacing w:after="0" w:line="258" w:lineRule="auto"/>
        <w:tabs>
          <w:tab w:leader="none" w:pos="439"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company has an internal audit unit that directly reports to the Board, on all aspects and accounting reviews, operational, administrative and tax issues. The unit carries their audits independently from the external auditors.</w:t>
      </w:r>
    </w:p>
    <w:p>
      <w:pPr>
        <w:spacing w:after="0" w:line="196" w:lineRule="exact"/>
        <w:rPr>
          <w:rFonts w:ascii="Arial" w:cs="Arial" w:eastAsia="Arial" w:hAnsi="Arial"/>
          <w:sz w:val="21"/>
          <w:szCs w:val="21"/>
          <w:color w:val="auto"/>
        </w:rPr>
      </w:pPr>
    </w:p>
    <w:p>
      <w:pPr>
        <w:ind w:left="439" w:right="80"/>
        <w:spacing w:after="0" w:line="255" w:lineRule="auto"/>
        <w:rPr>
          <w:rFonts w:ascii="Arial" w:cs="Arial" w:eastAsia="Arial" w:hAnsi="Arial"/>
          <w:sz w:val="21"/>
          <w:szCs w:val="21"/>
          <w:color w:val="auto"/>
        </w:rPr>
      </w:pPr>
      <w:r>
        <w:rPr>
          <w:rFonts w:ascii="Arial" w:cs="Arial" w:eastAsia="Arial" w:hAnsi="Arial"/>
          <w:sz w:val="18"/>
          <w:szCs w:val="18"/>
          <w:color w:val="auto"/>
        </w:rPr>
        <w:t>The Audit Committee follows policies for granting contracts on services performed by external auditors, which detail cases requiring prior approval. The Committee reports on all services received, as well as on their costs.</w:t>
      </w:r>
    </w:p>
    <w:p>
      <w:pPr>
        <w:spacing w:after="0" w:line="1258" w:lineRule="exact"/>
        <w:rPr>
          <w:sz w:val="20"/>
          <w:szCs w:val="20"/>
          <w:color w:val="auto"/>
        </w:rPr>
      </w:pPr>
    </w:p>
    <w:p>
      <w:pPr>
        <w:sectPr>
          <w:pgSz w:w="11900" w:h="16838" w:orient="portrait"/>
          <w:cols w:equalWidth="0" w:num="2">
            <w:col w:w="6401" w:space="720"/>
            <w:col w:w="4279"/>
          </w:cols>
          <w:pgMar w:left="240" w:top="347" w:right="259" w:bottom="0" w:gutter="0" w:footer="0" w:header="0"/>
          <w:type w:val="continuous"/>
        </w:sectPr>
      </w:pPr>
    </w:p>
    <w:p>
      <w:pPr>
        <w:spacing w:after="0" w:line="154" w:lineRule="exact"/>
        <w:rPr>
          <w:sz w:val="20"/>
          <w:szCs w:val="20"/>
          <w:color w:val="auto"/>
        </w:rPr>
      </w:pPr>
    </w:p>
    <w:p>
      <w:pPr>
        <w:ind w:left="80" w:right="2001" w:firstLine="9"/>
        <w:spacing w:after="0" w:line="298" w:lineRule="auto"/>
        <w:tabs>
          <w:tab w:leader="none" w:pos="2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Attention to particular requests for information by shareholders, investors in general, or stakeholders related to the company, should be made through a responsible authority and/or personnel appointed for such purpose.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240" w:hanging="439"/>
        <w:spacing w:after="0" w:line="281" w:lineRule="auto"/>
        <w:tabs>
          <w:tab w:leader="none" w:pos="439" w:val="left"/>
        </w:tabs>
        <w:numPr>
          <w:ilvl w:val="0"/>
          <w:numId w:val="24"/>
        </w:numPr>
        <w:rPr>
          <w:rFonts w:ascii="Arial" w:cs="Arial" w:eastAsia="Arial" w:hAnsi="Arial"/>
          <w:sz w:val="19"/>
          <w:szCs w:val="19"/>
          <w:color w:val="auto"/>
        </w:rPr>
      </w:pPr>
      <w:r>
        <w:rPr>
          <w:rFonts w:ascii="Arial" w:cs="Arial" w:eastAsia="Arial" w:hAnsi="Arial"/>
          <w:sz w:val="16"/>
          <w:szCs w:val="16"/>
          <w:color w:val="auto"/>
        </w:rPr>
        <w:t>The Investor Relations unit attends all information requests made by shareholders, investors, analysts and general public. These tasks are carried with the help of other units directly in charge of specific matters covered by the request.</w:t>
      </w:r>
    </w:p>
    <w:p>
      <w:pPr>
        <w:sectPr>
          <w:pgSz w:w="11900" w:h="16838" w:orient="portrait"/>
          <w:cols w:equalWidth="0" w:num="2">
            <w:col w:w="6401" w:space="720"/>
            <w:col w:w="4279"/>
          </w:cols>
          <w:pgMar w:left="240" w:top="347" w:right="259" w:bottom="0" w:gutter="0" w:footer="0" w:header="0"/>
          <w:type w:val="continuous"/>
        </w:sectPr>
      </w:pPr>
    </w:p>
    <w:bookmarkStart w:id="26" w:name="page27"/>
    <w:bookmarkEnd w:id="26"/>
    <w:p>
      <w:pPr>
        <w:spacing w:after="0"/>
        <w:rPr>
          <w:sz w:val="20"/>
          <w:szCs w:val="20"/>
          <w:color w:val="auto"/>
        </w:rPr>
      </w:pPr>
      <w:r>
        <w:rPr>
          <w:sz w:val="1"/>
          <w:szCs w:val="1"/>
          <w:color w:val="auto"/>
        </w:rPr>
        <w:drawing>
          <wp:inline distT="0" distB="0" distL="0" distR="0">
            <wp:extent cx="34290" cy="3302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30200"/>
                    </a:xfrm>
                    <a:prstGeom prst="rect">
                      <a:avLst/>
                    </a:prstGeom>
                    <a:noFill/>
                    <a:ln>
                      <a:noFill/>
                    </a:ln>
                  </pic:spPr>
                </pic:pic>
              </a:graphicData>
            </a:graphic>
          </wp:inline>
        </w:drawing>
      </w:r>
      <w:r>
        <w:rPr>
          <w:rFonts w:ascii="Arial" w:cs="Arial" w:eastAsia="Arial" w:hAnsi="Arial"/>
          <w:sz w:val="18"/>
          <w:szCs w:val="18"/>
          <w:color w:val="auto"/>
        </w:rPr>
        <w:t xml:space="preserve"> (Principle IV.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72020"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r>
    </w:p>
    <w:p>
      <w:pPr>
        <w:ind w:left="80"/>
        <w:spacing w:after="0"/>
        <w:tabs>
          <w:tab w:leader="none" w:pos="7100" w:val="left"/>
          <w:tab w:leader="none" w:pos="7540" w:val="left"/>
        </w:tabs>
        <w:rPr>
          <w:sz w:val="20"/>
          <w:szCs w:val="20"/>
          <w:color w:val="auto"/>
        </w:rPr>
      </w:pPr>
      <w:r>
        <w:rPr>
          <w:rFonts w:ascii="Arial" w:cs="Arial" w:eastAsia="Arial" w:hAnsi="Arial"/>
          <w:sz w:val="18"/>
          <w:szCs w:val="18"/>
          <w:color w:val="auto"/>
        </w:rPr>
        <w:t>9. Any cases of doubt over the confidential character of</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16"/>
          <w:szCs w:val="16"/>
          <w:color w:val="auto"/>
        </w:rPr>
        <w:t>Applied criteria conform to applicable laws and</w:t>
      </w:r>
    </w:p>
    <w:p>
      <w:pPr>
        <w:ind w:left="80"/>
        <w:spacing w:after="0"/>
        <w:tabs>
          <w:tab w:leader="none" w:pos="7540" w:val="left"/>
        </w:tabs>
        <w:rPr>
          <w:sz w:val="20"/>
          <w:szCs w:val="20"/>
          <w:color w:val="auto"/>
        </w:rPr>
      </w:pPr>
      <w:r>
        <w:rPr>
          <w:rFonts w:ascii="Arial" w:cs="Arial" w:eastAsia="Arial" w:hAnsi="Arial"/>
          <w:sz w:val="18"/>
          <w:szCs w:val="18"/>
          <w:color w:val="auto"/>
        </w:rPr>
        <w:t>information requested by shareholders or stakeholders related</w:t>
      </w:r>
      <w:r>
        <w:rPr>
          <w:sz w:val="20"/>
          <w:szCs w:val="20"/>
          <w:color w:val="auto"/>
        </w:rPr>
        <w:tab/>
      </w:r>
      <w:r>
        <w:rPr>
          <w:rFonts w:ascii="Arial" w:cs="Arial" w:eastAsia="Arial" w:hAnsi="Arial"/>
          <w:sz w:val="16"/>
          <w:szCs w:val="16"/>
          <w:color w:val="auto"/>
        </w:rPr>
        <w:t>regulations, including the Banking Law, and the Rule</w:t>
      </w:r>
    </w:p>
    <w:p>
      <w:pPr>
        <w:spacing w:after="0" w:line="1" w:lineRule="exact"/>
        <w:rPr>
          <w:sz w:val="20"/>
          <w:szCs w:val="20"/>
          <w:color w:val="auto"/>
        </w:rPr>
      </w:pPr>
    </w:p>
    <w:p>
      <w:pPr>
        <w:ind w:left="80"/>
        <w:spacing w:after="0"/>
        <w:tabs>
          <w:tab w:leader="none" w:pos="7540" w:val="left"/>
        </w:tabs>
        <w:rPr>
          <w:sz w:val="20"/>
          <w:szCs w:val="20"/>
          <w:color w:val="auto"/>
        </w:rPr>
      </w:pPr>
      <w:r>
        <w:rPr>
          <w:rFonts w:ascii="Arial" w:cs="Arial" w:eastAsia="Arial" w:hAnsi="Arial"/>
          <w:sz w:val="18"/>
          <w:szCs w:val="18"/>
          <w:color w:val="auto"/>
        </w:rPr>
        <w:t>to the company, should be resolved. The criteria should be</w:t>
      </w:r>
      <w:r>
        <w:rPr>
          <w:sz w:val="20"/>
          <w:szCs w:val="20"/>
          <w:color w:val="auto"/>
        </w:rPr>
        <w:tab/>
      </w:r>
      <w:r>
        <w:rPr>
          <w:rFonts w:ascii="Arial" w:cs="Arial" w:eastAsia="Arial" w:hAnsi="Arial"/>
          <w:sz w:val="15"/>
          <w:szCs w:val="15"/>
          <w:color w:val="auto"/>
        </w:rPr>
        <w:t>on Material Facts. Based on the regulatory</w:t>
      </w:r>
    </w:p>
    <w:p>
      <w:pPr>
        <w:spacing w:after="0" w:line="9" w:lineRule="exact"/>
        <w:rPr>
          <w:sz w:val="20"/>
          <w:szCs w:val="20"/>
          <w:color w:val="auto"/>
        </w:rPr>
      </w:pPr>
    </w:p>
    <w:p>
      <w:pPr>
        <w:ind w:left="80"/>
        <w:spacing w:after="0"/>
        <w:tabs>
          <w:tab w:leader="none" w:pos="7540" w:val="left"/>
        </w:tabs>
        <w:rPr>
          <w:sz w:val="20"/>
          <w:szCs w:val="20"/>
          <w:color w:val="auto"/>
        </w:rPr>
      </w:pPr>
      <w:r>
        <w:rPr>
          <w:rFonts w:ascii="Arial" w:cs="Arial" w:eastAsia="Arial" w:hAnsi="Arial"/>
          <w:sz w:val="18"/>
          <w:szCs w:val="18"/>
          <w:color w:val="auto"/>
        </w:rPr>
        <w:t>adopted by the Board of Directors and ratified by the General</w:t>
      </w:r>
      <w:r>
        <w:rPr>
          <w:sz w:val="20"/>
          <w:szCs w:val="20"/>
          <w:color w:val="auto"/>
        </w:rPr>
        <w:tab/>
      </w:r>
      <w:r>
        <w:rPr>
          <w:rFonts w:ascii="Arial" w:cs="Arial" w:eastAsia="Arial" w:hAnsi="Arial"/>
          <w:sz w:val="15"/>
          <w:szCs w:val="15"/>
          <w:color w:val="auto"/>
        </w:rPr>
        <w:t>framework, the Board decides on the application of a</w:t>
      </w:r>
    </w:p>
    <w:p>
      <w:pPr>
        <w:spacing w:after="0" w:line="9" w:lineRule="exact"/>
        <w:rPr>
          <w:sz w:val="20"/>
          <w:szCs w:val="20"/>
          <w:color w:val="auto"/>
        </w:rPr>
      </w:pPr>
    </w:p>
    <w:p>
      <w:pPr>
        <w:ind w:left="80"/>
        <w:spacing w:after="0"/>
        <w:tabs>
          <w:tab w:leader="none" w:pos="7540" w:val="left"/>
        </w:tabs>
        <w:rPr>
          <w:sz w:val="20"/>
          <w:szCs w:val="20"/>
          <w:color w:val="auto"/>
        </w:rPr>
      </w:pPr>
      <w:r>
        <w:rPr>
          <w:rFonts w:ascii="Arial" w:cs="Arial" w:eastAsia="Arial" w:hAnsi="Arial"/>
          <w:sz w:val="18"/>
          <w:szCs w:val="18"/>
          <w:color w:val="auto"/>
        </w:rPr>
        <w:t>Meeting, as well as included in the by-laws or internal</w:t>
      </w:r>
      <w:r>
        <w:rPr>
          <w:sz w:val="20"/>
          <w:szCs w:val="20"/>
          <w:color w:val="auto"/>
        </w:rPr>
        <w:tab/>
      </w:r>
      <w:r>
        <w:rPr>
          <w:rFonts w:ascii="Arial" w:cs="Arial" w:eastAsia="Arial" w:hAnsi="Arial"/>
          <w:sz w:val="15"/>
          <w:szCs w:val="15"/>
          <w:color w:val="auto"/>
        </w:rPr>
        <w:t>confidential treatment in a case by case basis.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regulations of the company. In any case, the revealing of</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information should not put the competitive position of the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company in danger nor affect the normal development of</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company activities.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(Principle IV.D.3)</w:t>
      </w:r>
    </w:p>
    <w:p>
      <w:pPr>
        <w:sectPr>
          <w:pgSz w:w="11900" w:h="16838" w:orient="portrait"/>
          <w:cols w:equalWidth="0" w:num="1">
            <w:col w:w="11340"/>
          </w:cols>
          <w:pgMar w:left="240" w:top="101" w:right="319" w:bottom="0" w:gutter="0" w:footer="0" w:header="0"/>
        </w:sectPr>
      </w:pPr>
    </w:p>
    <w:p>
      <w:pPr>
        <w:spacing w:after="0" w:line="354" w:lineRule="exact"/>
        <w:rPr>
          <w:sz w:val="20"/>
          <w:szCs w:val="20"/>
          <w:color w:val="auto"/>
        </w:rPr>
      </w:pPr>
    </w:p>
    <w:p>
      <w:pPr>
        <w:ind w:left="80" w:right="1901" w:firstLine="9"/>
        <w:spacing w:after="0" w:line="283" w:lineRule="auto"/>
        <w:tabs>
          <w:tab w:leader="none" w:pos="3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should have internal auditing. The internal auditor, in exercising his functions, should maintain an independent professional relationship with the company which engages him. He should act observing the same principles of diligence, loyalty and confidentiality which is demanded from the Board of Directors and the Management.</w:t>
      </w:r>
    </w:p>
    <w:p>
      <w:pPr>
        <w:spacing w:after="0" w:line="1"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(Principle IV.F)</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439" w:right="40" w:hanging="439"/>
        <w:spacing w:after="0" w:line="267" w:lineRule="auto"/>
        <w:tabs>
          <w:tab w:leader="none" w:pos="439" w:val="left"/>
        </w:tabs>
        <w:numPr>
          <w:ilvl w:val="0"/>
          <w:numId w:val="26"/>
        </w:numPr>
        <w:rPr>
          <w:rFonts w:ascii="Arial" w:cs="Arial" w:eastAsia="Arial" w:hAnsi="Arial"/>
          <w:sz w:val="19"/>
          <w:szCs w:val="19"/>
          <w:color w:val="auto"/>
        </w:rPr>
      </w:pPr>
      <w:r>
        <w:rPr>
          <w:rFonts w:ascii="Arial" w:cs="Arial" w:eastAsia="Arial" w:hAnsi="Arial"/>
          <w:sz w:val="16"/>
          <w:szCs w:val="16"/>
          <w:color w:val="auto"/>
        </w:rPr>
        <w:t>The Internal Audit unit performs its tasks and reports to the Board and General manager on all accounting matters, operational, administrative and tax issues.</w:t>
      </w:r>
    </w:p>
    <w:p>
      <w:pPr>
        <w:spacing w:after="0" w:line="2" w:lineRule="exact"/>
        <w:rPr>
          <w:rFonts w:ascii="Arial" w:cs="Arial" w:eastAsia="Arial" w:hAnsi="Arial"/>
          <w:sz w:val="19"/>
          <w:szCs w:val="19"/>
          <w:color w:val="auto"/>
        </w:rPr>
      </w:pPr>
    </w:p>
    <w:p>
      <w:pPr>
        <w:ind w:left="439" w:right="120"/>
        <w:spacing w:after="0" w:line="261" w:lineRule="auto"/>
        <w:rPr>
          <w:rFonts w:ascii="Arial" w:cs="Arial" w:eastAsia="Arial" w:hAnsi="Arial"/>
          <w:sz w:val="19"/>
          <w:szCs w:val="19"/>
          <w:color w:val="auto"/>
        </w:rPr>
      </w:pPr>
      <w:r>
        <w:rPr>
          <w:rFonts w:ascii="Arial" w:cs="Arial" w:eastAsia="Arial" w:hAnsi="Arial"/>
          <w:sz w:val="18"/>
          <w:szCs w:val="18"/>
          <w:color w:val="auto"/>
        </w:rPr>
        <w:t>This unit exercises its audit functions independently from the external auditors.</w:t>
      </w:r>
    </w:p>
    <w:p>
      <w:pPr>
        <w:spacing w:after="0" w:line="605" w:lineRule="exact"/>
        <w:rPr>
          <w:sz w:val="20"/>
          <w:szCs w:val="20"/>
          <w:color w:val="auto"/>
        </w:rPr>
      </w:pPr>
    </w:p>
    <w:p>
      <w:pPr>
        <w:sectPr>
          <w:pgSz w:w="11900" w:h="168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1961" w:firstLine="9"/>
        <w:spacing w:after="0" w:line="286" w:lineRule="auto"/>
        <w:tabs>
          <w:tab w:leader="none" w:pos="33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of Directors should fulfil certain key functions, including:</w:t>
      </w:r>
    </w:p>
    <w:p>
      <w:pPr>
        <w:ind w:left="80" w:right="1901"/>
        <w:spacing w:after="0" w:line="281" w:lineRule="auto"/>
        <w:rPr>
          <w:rFonts w:ascii="Arial" w:cs="Arial" w:eastAsia="Arial" w:hAnsi="Arial"/>
          <w:sz w:val="16"/>
          <w:szCs w:val="16"/>
          <w:color w:val="auto"/>
        </w:rPr>
      </w:pPr>
      <w:r>
        <w:rPr>
          <w:rFonts w:ascii="Arial" w:cs="Arial" w:eastAsia="Arial" w:hAnsi="Arial"/>
          <w:sz w:val="16"/>
          <w:szCs w:val="16"/>
          <w:color w:val="auto"/>
        </w:rPr>
        <w:t>Evaluate, approve and guide corporate strategy; establish the objectives and goals as well as major plans of action, the risk follow up, control and management policy, annual budgets and business plans; monitor the implementation of the same; and oversee major capital expenditures, investments, acquisitions and divestitures.</w:t>
      </w:r>
    </w:p>
    <w:p>
      <w:pPr>
        <w:spacing w:after="0" w:line="4"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(Principle V.D.1)</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hanging="439"/>
        <w:spacing w:after="0" w:line="259" w:lineRule="auto"/>
        <w:tabs>
          <w:tab w:leader="none" w:pos="439" w:val="left"/>
        </w:tabs>
        <w:numPr>
          <w:ilvl w:val="0"/>
          <w:numId w:val="28"/>
        </w:numPr>
        <w:rPr>
          <w:rFonts w:ascii="Arial" w:cs="Arial" w:eastAsia="Arial" w:hAnsi="Arial"/>
          <w:sz w:val="21"/>
          <w:szCs w:val="21"/>
          <w:color w:val="auto"/>
        </w:rPr>
      </w:pPr>
      <w:r>
        <w:rPr>
          <w:rFonts w:ascii="Arial" w:cs="Arial" w:eastAsia="Arial" w:hAnsi="Arial"/>
          <w:sz w:val="17"/>
          <w:szCs w:val="17"/>
          <w:color w:val="auto"/>
        </w:rPr>
        <w:t>The Board of Directors fulfill all the mentioned tasks, focusing on giving strategic guidelines to be followed by the corporation, the targets that should be met, and monitors the development of the strategic plan, the exposure to different types of risks and the investment policy, among others.</w:t>
      </w:r>
    </w:p>
    <w:p>
      <w:pPr>
        <w:spacing w:after="0" w:line="826" w:lineRule="exact"/>
        <w:rPr>
          <w:sz w:val="20"/>
          <w:szCs w:val="20"/>
          <w:color w:val="auto"/>
        </w:rPr>
      </w:pPr>
    </w:p>
    <w:p>
      <w:pPr>
        <w:sectPr>
          <w:pgSz w:w="11900" w:h="168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1941" w:firstLine="9"/>
        <w:spacing w:after="0" w:line="254" w:lineRule="auto"/>
        <w:tabs>
          <w:tab w:leader="none" w:pos="3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of Directors should fulfil certain key functions, including:</w:t>
      </w:r>
    </w:p>
    <w:p>
      <w:pPr>
        <w:ind w:left="80" w:right="2561"/>
        <w:spacing w:after="0" w:line="255" w:lineRule="auto"/>
        <w:rPr>
          <w:rFonts w:ascii="Arial" w:cs="Arial" w:eastAsia="Arial" w:hAnsi="Arial"/>
          <w:sz w:val="18"/>
          <w:szCs w:val="18"/>
          <w:color w:val="auto"/>
        </w:rPr>
      </w:pPr>
      <w:r>
        <w:rPr>
          <w:rFonts w:ascii="Arial" w:cs="Arial" w:eastAsia="Arial" w:hAnsi="Arial"/>
          <w:sz w:val="18"/>
          <w:szCs w:val="18"/>
          <w:color w:val="auto"/>
        </w:rPr>
        <w:t>Select, monitor and when necessary, replace the main executives, as well as fixing their remunerations. (Principle V.D.2)</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20" w:hanging="439"/>
        <w:spacing w:after="0" w:line="235" w:lineRule="auto"/>
        <w:tabs>
          <w:tab w:leader="none" w:pos="439"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Board carries out these functions, among others, while leaving record of its decisions in the minutes of the Board's sessions.</w:t>
      </w:r>
    </w:p>
    <w:p>
      <w:pPr>
        <w:spacing w:after="0" w:line="645" w:lineRule="exact"/>
        <w:rPr>
          <w:sz w:val="20"/>
          <w:szCs w:val="20"/>
          <w:color w:val="auto"/>
        </w:rPr>
      </w:pPr>
    </w:p>
    <w:p>
      <w:pPr>
        <w:sectPr>
          <w:pgSz w:w="11900" w:h="16838" w:orient="portrait"/>
          <w:cols w:equalWidth="0" w:num="2">
            <w:col w:w="6401" w:space="720"/>
            <w:col w:w="4219"/>
          </w:cols>
          <w:pgMar w:left="240" w:top="101" w:right="319" w:bottom="0" w:gutter="0" w:footer="0" w:header="0"/>
          <w:type w:val="continuous"/>
        </w:sectPr>
      </w:pPr>
    </w:p>
    <w:p>
      <w:pPr>
        <w:spacing w:after="0" w:line="133" w:lineRule="exact"/>
        <w:rPr>
          <w:sz w:val="20"/>
          <w:szCs w:val="20"/>
          <w:color w:val="auto"/>
        </w:rPr>
      </w:pPr>
    </w:p>
    <w:p>
      <w:pPr>
        <w:ind w:left="80" w:right="1941" w:firstLine="9"/>
        <w:spacing w:after="0" w:line="254" w:lineRule="auto"/>
        <w:tabs>
          <w:tab w:leader="none" w:pos="3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should fulfil certain key functions, including:</w:t>
      </w:r>
    </w:p>
    <w:p>
      <w:pPr>
        <w:ind w:left="80" w:right="2241"/>
        <w:spacing w:after="0" w:line="250" w:lineRule="auto"/>
        <w:rPr>
          <w:rFonts w:ascii="Arial" w:cs="Arial" w:eastAsia="Arial" w:hAnsi="Arial"/>
          <w:sz w:val="18"/>
          <w:szCs w:val="18"/>
          <w:color w:val="auto"/>
        </w:rPr>
      </w:pPr>
      <w:r>
        <w:rPr>
          <w:rFonts w:ascii="Arial" w:cs="Arial" w:eastAsia="Arial" w:hAnsi="Arial"/>
          <w:sz w:val="18"/>
          <w:szCs w:val="18"/>
          <w:color w:val="auto"/>
        </w:rPr>
        <w:t>Evaluate the remunerations of the main executives and members of the Board of Directors, ensuring a formal and transparent board nomination process.</w:t>
      </w:r>
    </w:p>
    <w:p>
      <w:pPr>
        <w:spacing w:after="0" w:line="1"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(Principle V.D.3)</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439" w:right="320" w:hanging="439"/>
        <w:spacing w:after="0" w:line="304" w:lineRule="auto"/>
        <w:tabs>
          <w:tab w:leader="none" w:pos="439" w:val="left"/>
        </w:tabs>
        <w:numPr>
          <w:ilvl w:val="0"/>
          <w:numId w:val="32"/>
        </w:numPr>
        <w:rPr>
          <w:rFonts w:ascii="Arial" w:cs="Arial" w:eastAsia="Arial" w:hAnsi="Arial"/>
          <w:sz w:val="18"/>
          <w:szCs w:val="18"/>
          <w:color w:val="auto"/>
        </w:rPr>
      </w:pPr>
      <w:r>
        <w:rPr>
          <w:rFonts w:ascii="Arial" w:cs="Arial" w:eastAsia="Arial" w:hAnsi="Arial"/>
          <w:sz w:val="15"/>
          <w:szCs w:val="15"/>
          <w:color w:val="auto"/>
        </w:rPr>
        <w:t>The Board carries out all these tasks. The Board member elections are performed following procedures established in the company Bye-laws.</w:t>
      </w:r>
    </w:p>
    <w:p>
      <w:pPr>
        <w:spacing w:after="0" w:line="794" w:lineRule="exact"/>
        <w:rPr>
          <w:sz w:val="20"/>
          <w:szCs w:val="20"/>
          <w:color w:val="auto"/>
        </w:rPr>
      </w:pPr>
    </w:p>
    <w:p>
      <w:pPr>
        <w:sectPr>
          <w:pgSz w:w="11900" w:h="168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1941" w:firstLine="9"/>
        <w:spacing w:after="0" w:line="254" w:lineRule="auto"/>
        <w:tabs>
          <w:tab w:leader="none" w:pos="3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Board of Directors should fulfil certain key functions, including:</w:t>
      </w:r>
    </w:p>
    <w:p>
      <w:pPr>
        <w:ind w:left="80" w:right="1921"/>
        <w:spacing w:after="0" w:line="250" w:lineRule="auto"/>
        <w:rPr>
          <w:rFonts w:ascii="Arial" w:cs="Arial" w:eastAsia="Arial" w:hAnsi="Arial"/>
          <w:sz w:val="18"/>
          <w:szCs w:val="18"/>
          <w:color w:val="auto"/>
        </w:rPr>
      </w:pPr>
      <w:r>
        <w:rPr>
          <w:rFonts w:ascii="Arial" w:cs="Arial" w:eastAsia="Arial" w:hAnsi="Arial"/>
          <w:sz w:val="18"/>
          <w:szCs w:val="18"/>
          <w:color w:val="auto"/>
        </w:rPr>
        <w:t>Carry out follow up and control of possible conflicts of interest of management, board members and shareholders, including misuse of corporate assets and abuse in related party transactions.</w:t>
      </w:r>
    </w:p>
    <w:p>
      <w:pPr>
        <w:spacing w:after="0" w:line="1"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(Principle V.D.4)</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80" w:hanging="439"/>
        <w:spacing w:after="0" w:line="302" w:lineRule="auto"/>
        <w:tabs>
          <w:tab w:leader="none" w:pos="439" w:val="left"/>
        </w:tabs>
        <w:numPr>
          <w:ilvl w:val="0"/>
          <w:numId w:val="34"/>
        </w:numPr>
        <w:rPr>
          <w:rFonts w:ascii="Arial" w:cs="Arial" w:eastAsia="Arial" w:hAnsi="Arial"/>
          <w:sz w:val="18"/>
          <w:szCs w:val="18"/>
          <w:color w:val="auto"/>
        </w:rPr>
      </w:pPr>
      <w:r>
        <w:rPr>
          <w:rFonts w:ascii="Arial" w:cs="Arial" w:eastAsia="Arial" w:hAnsi="Arial"/>
          <w:sz w:val="15"/>
          <w:szCs w:val="15"/>
          <w:color w:val="auto"/>
        </w:rPr>
        <w:t>The company has a Code of Ethics and a Code of Ethics for finance personnel. A system to denounce malfeasance has been set up with the capability of granting protection to employees that provide evidence of fraud. The Compliance Officer unit has the specialized task of preventing money laundering.</w:t>
      </w:r>
    </w:p>
    <w:p>
      <w:pPr>
        <w:spacing w:after="0" w:line="364" w:lineRule="exact"/>
        <w:rPr>
          <w:sz w:val="20"/>
          <w:szCs w:val="20"/>
          <w:color w:val="auto"/>
        </w:rPr>
      </w:pPr>
    </w:p>
    <w:p>
      <w:pPr>
        <w:sectPr>
          <w:pgSz w:w="11900" w:h="168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1941" w:firstLine="9"/>
        <w:spacing w:after="0" w:line="254" w:lineRule="auto"/>
        <w:tabs>
          <w:tab w:leader="none" w:pos="3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of Directors should fulfil certain key functions, including:</w:t>
      </w:r>
    </w:p>
    <w:p>
      <w:pPr>
        <w:ind w:left="80" w:right="2061"/>
        <w:spacing w:after="0" w:line="281" w:lineRule="auto"/>
        <w:rPr>
          <w:rFonts w:ascii="Arial" w:cs="Arial" w:eastAsia="Arial" w:hAnsi="Arial"/>
          <w:sz w:val="18"/>
          <w:szCs w:val="18"/>
          <w:color w:val="auto"/>
        </w:rPr>
      </w:pPr>
      <w:r>
        <w:rPr>
          <w:rFonts w:ascii="Arial" w:cs="Arial" w:eastAsia="Arial" w:hAnsi="Arial"/>
          <w:sz w:val="16"/>
          <w:szCs w:val="16"/>
          <w:color w:val="auto"/>
        </w:rPr>
        <w:t>Supervise the integrity of the corporation's accounting and financial reporting systems, including the independent audit, and the existence of appropriate systems of control, in particular, control of financial and non-financial risks and compliance with the law.</w:t>
      </w:r>
    </w:p>
    <w:p>
      <w:pPr>
        <w:spacing w:after="0" w:line="3"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(Principle V.D.5)</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140" w:hanging="439"/>
        <w:spacing w:after="0" w:line="284" w:lineRule="auto"/>
        <w:tabs>
          <w:tab w:leader="none" w:pos="439" w:val="left"/>
        </w:tabs>
        <w:numPr>
          <w:ilvl w:val="0"/>
          <w:numId w:val="36"/>
        </w:numPr>
        <w:rPr>
          <w:rFonts w:ascii="Arial" w:cs="Arial" w:eastAsia="Arial" w:hAnsi="Arial"/>
          <w:sz w:val="18"/>
          <w:szCs w:val="18"/>
          <w:color w:val="auto"/>
        </w:rPr>
      </w:pPr>
      <w:r>
        <w:rPr>
          <w:rFonts w:ascii="Arial" w:cs="Arial" w:eastAsia="Arial" w:hAnsi="Arial"/>
          <w:sz w:val="15"/>
          <w:szCs w:val="15"/>
          <w:color w:val="auto"/>
        </w:rPr>
        <w:t>In compliance. Internal Audit reports directly to the Board of Directors, and continuously evaluates the financial statements and the internal control system.</w:t>
      </w:r>
    </w:p>
    <w:p>
      <w:pPr>
        <w:spacing w:after="0" w:line="1" w:lineRule="exact"/>
        <w:rPr>
          <w:rFonts w:ascii="Arial" w:cs="Arial" w:eastAsia="Arial" w:hAnsi="Arial"/>
          <w:sz w:val="18"/>
          <w:szCs w:val="18"/>
          <w:color w:val="auto"/>
        </w:rPr>
      </w:pPr>
    </w:p>
    <w:p>
      <w:pPr>
        <w:ind w:left="439"/>
        <w:spacing w:after="0" w:line="254" w:lineRule="auto"/>
        <w:rPr>
          <w:rFonts w:ascii="Arial" w:cs="Arial" w:eastAsia="Arial" w:hAnsi="Arial"/>
          <w:sz w:val="18"/>
          <w:szCs w:val="18"/>
          <w:color w:val="auto"/>
        </w:rPr>
      </w:pPr>
      <w:r>
        <w:rPr>
          <w:rFonts w:ascii="Arial" w:cs="Arial" w:eastAsia="Arial" w:hAnsi="Arial"/>
          <w:sz w:val="18"/>
          <w:szCs w:val="18"/>
          <w:color w:val="auto"/>
        </w:rPr>
        <w:t>Moreover, since 2005 internal control procedures will follow an external auditor attestation process, following the Sarbanes-Oxley Act Section 404 requirement.</w:t>
      </w:r>
    </w:p>
    <w:p>
      <w:pPr>
        <w:spacing w:after="0" w:line="395" w:lineRule="exact"/>
        <w:rPr>
          <w:sz w:val="20"/>
          <w:szCs w:val="20"/>
          <w:color w:val="auto"/>
        </w:rPr>
      </w:pPr>
    </w:p>
    <w:p>
      <w:pPr>
        <w:sectPr>
          <w:pgSz w:w="11900" w:h="168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1941" w:firstLine="9"/>
        <w:spacing w:after="0" w:line="254" w:lineRule="auto"/>
        <w:tabs>
          <w:tab w:leader="none" w:pos="3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Board of Directors should fulfil certain key functions, including:</w:t>
      </w:r>
    </w:p>
    <w:p>
      <w:pPr>
        <w:ind w:left="80" w:right="2101"/>
        <w:spacing w:after="0" w:line="255" w:lineRule="auto"/>
        <w:rPr>
          <w:rFonts w:ascii="Arial" w:cs="Arial" w:eastAsia="Arial" w:hAnsi="Arial"/>
          <w:sz w:val="18"/>
          <w:szCs w:val="18"/>
          <w:color w:val="auto"/>
        </w:rPr>
      </w:pPr>
      <w:r>
        <w:rPr>
          <w:rFonts w:ascii="Arial" w:cs="Arial" w:eastAsia="Arial" w:hAnsi="Arial"/>
          <w:sz w:val="18"/>
          <w:szCs w:val="18"/>
          <w:color w:val="auto"/>
        </w:rPr>
        <w:t>Monitor the effectiveness of the governance practices under which it operates and making changes as needed. (Principle V.D.6)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320" w:hanging="439"/>
        <w:spacing w:after="0" w:line="252" w:lineRule="auto"/>
        <w:tabs>
          <w:tab w:leader="none" w:pos="439" w:val="left"/>
        </w:tabs>
        <w:numPr>
          <w:ilvl w:val="0"/>
          <w:numId w:val="38"/>
        </w:numPr>
        <w:rPr>
          <w:rFonts w:ascii="Arial" w:cs="Arial" w:eastAsia="Arial" w:hAnsi="Arial"/>
          <w:sz w:val="21"/>
          <w:szCs w:val="21"/>
          <w:color w:val="auto"/>
        </w:rPr>
      </w:pPr>
      <w:r>
        <w:rPr>
          <w:rFonts w:ascii="Arial" w:cs="Arial" w:eastAsia="Arial" w:hAnsi="Arial"/>
          <w:sz w:val="17"/>
          <w:szCs w:val="17"/>
          <w:color w:val="auto"/>
        </w:rPr>
        <w:t>The Board constantly monitors the application of good governance practices through reports and discussions at Board meetings.</w:t>
      </w:r>
    </w:p>
    <w:p>
      <w:pPr>
        <w:spacing w:after="0" w:line="634" w:lineRule="exact"/>
        <w:rPr>
          <w:sz w:val="20"/>
          <w:szCs w:val="20"/>
          <w:color w:val="auto"/>
        </w:rPr>
      </w:pPr>
    </w:p>
    <w:p>
      <w:pPr>
        <w:sectPr>
          <w:pgSz w:w="11900" w:h="16838" w:orient="portrait"/>
          <w:cols w:equalWidth="0" w:num="2">
            <w:col w:w="6401" w:space="720"/>
            <w:col w:w="4219"/>
          </w:cols>
          <w:pgMar w:left="240" w:top="101" w:right="319" w:bottom="0" w:gutter="0" w:footer="0" w:header="0"/>
          <w:type w:val="continuous"/>
        </w:sectPr>
      </w:pPr>
    </w:p>
    <w:p>
      <w:pPr>
        <w:spacing w:after="0" w:line="110" w:lineRule="exact"/>
        <w:rPr>
          <w:sz w:val="20"/>
          <w:szCs w:val="20"/>
          <w:color w:val="auto"/>
        </w:rPr>
      </w:pPr>
    </w:p>
    <w:p>
      <w:pPr>
        <w:ind w:left="80"/>
        <w:spacing w:after="0"/>
        <w:tabs>
          <w:tab w:leader="none" w:pos="7100" w:val="left"/>
          <w:tab w:leader="none" w:pos="7540" w:val="left"/>
        </w:tabs>
        <w:rPr>
          <w:sz w:val="20"/>
          <w:szCs w:val="20"/>
          <w:color w:val="auto"/>
        </w:rPr>
      </w:pPr>
      <w:r>
        <w:rPr>
          <w:rFonts w:ascii="Arial" w:cs="Arial" w:eastAsia="Arial" w:hAnsi="Arial"/>
          <w:sz w:val="18"/>
          <w:szCs w:val="18"/>
          <w:color w:val="auto"/>
        </w:rPr>
        <w:t>17. The Board of Directors should fulfil certain key functions,</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16"/>
          <w:szCs w:val="16"/>
          <w:color w:val="auto"/>
        </w:rPr>
        <w:t>Credicorp's disclosure policy is part of the principles</w:t>
      </w:r>
    </w:p>
    <w:p>
      <w:pPr>
        <w:ind w:left="80"/>
        <w:spacing w:after="0"/>
        <w:tabs>
          <w:tab w:leader="none" w:pos="7540" w:val="left"/>
        </w:tabs>
        <w:rPr>
          <w:sz w:val="20"/>
          <w:szCs w:val="20"/>
          <w:color w:val="auto"/>
        </w:rPr>
      </w:pPr>
      <w:r>
        <w:rPr>
          <w:rFonts w:ascii="Arial" w:cs="Arial" w:eastAsia="Arial" w:hAnsi="Arial"/>
          <w:sz w:val="18"/>
          <w:szCs w:val="18"/>
          <w:color w:val="auto"/>
        </w:rPr>
        <w:t>including:</w:t>
      </w:r>
      <w:r>
        <w:rPr>
          <w:sz w:val="20"/>
          <w:szCs w:val="20"/>
          <w:color w:val="auto"/>
        </w:rPr>
        <w:tab/>
      </w:r>
      <w:r>
        <w:rPr>
          <w:rFonts w:ascii="Arial" w:cs="Arial" w:eastAsia="Arial" w:hAnsi="Arial"/>
          <w:sz w:val="18"/>
          <w:szCs w:val="18"/>
          <w:color w:val="auto"/>
        </w:rPr>
        <w:t>made available in its Internet site.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Oversee the disclosure policy.</w:t>
      </w:r>
    </w:p>
    <w:p>
      <w:pPr>
        <w:sectPr>
          <w:pgSz w:w="11900" w:h="16838" w:orient="portrait"/>
          <w:cols w:equalWidth="0" w:num="1">
            <w:col w:w="11340"/>
          </w:cols>
          <w:pgMar w:left="240" w:top="101" w:right="319" w:bottom="0" w:gutter="0" w:footer="0" w:header="0"/>
          <w:type w:val="continuous"/>
        </w:sectPr>
      </w:pPr>
    </w:p>
    <w:bookmarkStart w:id="27" w:name="page28"/>
    <w:bookmarkEnd w:id="27"/>
    <w:p>
      <w:pPr>
        <w:spacing w:after="0" w:line="100" w:lineRule="exact"/>
        <w:rPr>
          <w:sz w:val="20"/>
          <w:szCs w:val="20"/>
          <w:color w:val="auto"/>
        </w:rPr>
      </w:pPr>
    </w:p>
    <w:p>
      <w:pPr>
        <w:spacing w:after="0"/>
        <w:rPr>
          <w:sz w:val="20"/>
          <w:szCs w:val="20"/>
          <w:color w:val="auto"/>
        </w:rPr>
      </w:pPr>
      <w:r>
        <w:rPr>
          <w:sz w:val="1"/>
          <w:szCs w:val="1"/>
          <w:color w:val="auto"/>
        </w:rPr>
        <w:drawing>
          <wp:inline distT="0" distB="0" distL="0" distR="0">
            <wp:extent cx="34290" cy="3302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330200"/>
                    </a:xfrm>
                    <a:prstGeom prst="rect">
                      <a:avLst/>
                    </a:prstGeom>
                    <a:noFill/>
                    <a:ln>
                      <a:noFill/>
                    </a:ln>
                  </pic:spPr>
                </pic:pic>
              </a:graphicData>
            </a:graphic>
          </wp:inline>
        </w:drawing>
      </w:r>
      <w:r>
        <w:rPr>
          <w:rFonts w:ascii="Arial" w:cs="Arial" w:eastAsia="Arial" w:hAnsi="Arial"/>
          <w:sz w:val="18"/>
          <w:szCs w:val="18"/>
          <w:color w:val="auto"/>
        </w:rPr>
        <w:t xml:space="preserve"> (Principle V.D.7)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72020"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r>
    </w:p>
    <w:p>
      <w:pPr>
        <w:ind w:left="80"/>
        <w:spacing w:after="0"/>
        <w:tabs>
          <w:tab w:leader="none" w:pos="7100" w:val="left"/>
          <w:tab w:leader="none" w:pos="7540" w:val="left"/>
        </w:tabs>
        <w:rPr>
          <w:sz w:val="20"/>
          <w:szCs w:val="20"/>
          <w:color w:val="auto"/>
        </w:rPr>
      </w:pPr>
      <w:r>
        <w:rPr>
          <w:rFonts w:ascii="Arial" w:cs="Arial" w:eastAsia="Arial" w:hAnsi="Arial"/>
          <w:sz w:val="18"/>
          <w:szCs w:val="18"/>
          <w:color w:val="auto"/>
        </w:rPr>
        <w:t>18. The Board of Directors should be able of exercise,</w:t>
      </w:r>
      <w:r>
        <w:rPr>
          <w:sz w:val="20"/>
          <w:szCs w:val="20"/>
          <w:color w:val="auto"/>
        </w:rPr>
        <w:tab/>
      </w:r>
      <w:r>
        <w:rPr>
          <w:rFonts w:ascii="Arial" w:cs="Arial" w:eastAsia="Arial" w:hAnsi="Arial"/>
          <w:sz w:val="22"/>
          <w:szCs w:val="22"/>
          <w:color w:val="auto"/>
        </w:rPr>
        <w:t>X</w:t>
      </w:r>
      <w:r>
        <w:rPr>
          <w:sz w:val="20"/>
          <w:szCs w:val="20"/>
          <w:color w:val="auto"/>
        </w:rPr>
        <w:tab/>
      </w:r>
      <w:r>
        <w:rPr>
          <w:rFonts w:ascii="Arial" w:cs="Arial" w:eastAsia="Arial" w:hAnsi="Arial"/>
          <w:sz w:val="15"/>
          <w:szCs w:val="15"/>
          <w:color w:val="auto"/>
        </w:rPr>
        <w:t>The Board has set up an Executive Committee and an</w:t>
      </w:r>
    </w:p>
    <w:p>
      <w:pPr>
        <w:ind w:left="80"/>
        <w:spacing w:after="0"/>
        <w:tabs>
          <w:tab w:leader="none" w:pos="7540" w:val="left"/>
        </w:tabs>
        <w:rPr>
          <w:sz w:val="20"/>
          <w:szCs w:val="20"/>
          <w:color w:val="auto"/>
        </w:rPr>
      </w:pPr>
      <w:r>
        <w:rPr>
          <w:rFonts w:ascii="Arial" w:cs="Arial" w:eastAsia="Arial" w:hAnsi="Arial"/>
          <w:sz w:val="18"/>
          <w:szCs w:val="18"/>
          <w:color w:val="auto"/>
        </w:rPr>
        <w:t>independently of the management, an objective judgment on</w:t>
      </w:r>
      <w:r>
        <w:rPr>
          <w:sz w:val="20"/>
          <w:szCs w:val="20"/>
          <w:color w:val="auto"/>
        </w:rPr>
        <w:tab/>
      </w:r>
      <w:r>
        <w:rPr>
          <w:rFonts w:ascii="Arial" w:cs="Arial" w:eastAsia="Arial" w:hAnsi="Arial"/>
          <w:sz w:val="16"/>
          <w:szCs w:val="16"/>
          <w:color w:val="auto"/>
        </w:rPr>
        <w:t>Audit Committee. In case of the Audit Committee, it</w:t>
      </w:r>
    </w:p>
    <w:p>
      <w:pPr>
        <w:spacing w:after="0" w:line="1" w:lineRule="exact"/>
        <w:rPr>
          <w:sz w:val="20"/>
          <w:szCs w:val="20"/>
          <w:color w:val="auto"/>
        </w:rPr>
      </w:pPr>
    </w:p>
    <w:p>
      <w:pPr>
        <w:ind w:left="80"/>
        <w:spacing w:after="0"/>
        <w:tabs>
          <w:tab w:leader="none" w:pos="7540" w:val="left"/>
        </w:tabs>
        <w:rPr>
          <w:sz w:val="20"/>
          <w:szCs w:val="20"/>
          <w:color w:val="auto"/>
        </w:rPr>
      </w:pPr>
      <w:r>
        <w:rPr>
          <w:rFonts w:ascii="Arial" w:cs="Arial" w:eastAsia="Arial" w:hAnsi="Arial"/>
          <w:sz w:val="18"/>
          <w:szCs w:val="18"/>
          <w:color w:val="auto"/>
        </w:rPr>
        <w:t>corporate affairs. For this the following should be taken into</w:t>
      </w:r>
      <w:r>
        <w:rPr>
          <w:sz w:val="20"/>
          <w:szCs w:val="20"/>
          <w:color w:val="auto"/>
        </w:rPr>
        <w:tab/>
      </w:r>
      <w:r>
        <w:rPr>
          <w:rFonts w:ascii="Arial" w:cs="Arial" w:eastAsia="Arial" w:hAnsi="Arial"/>
          <w:sz w:val="15"/>
          <w:szCs w:val="15"/>
          <w:color w:val="auto"/>
        </w:rPr>
        <w:t>consists of independent directors that help the Board</w:t>
      </w:r>
    </w:p>
    <w:p>
      <w:pPr>
        <w:spacing w:after="0" w:line="9" w:lineRule="exact"/>
        <w:rPr>
          <w:sz w:val="20"/>
          <w:szCs w:val="20"/>
          <w:color w:val="auto"/>
        </w:rPr>
      </w:pPr>
    </w:p>
    <w:p>
      <w:pPr>
        <w:ind w:left="80"/>
        <w:spacing w:after="0"/>
        <w:tabs>
          <w:tab w:leader="none" w:pos="7540" w:val="left"/>
        </w:tabs>
        <w:rPr>
          <w:sz w:val="20"/>
          <w:szCs w:val="20"/>
          <w:color w:val="auto"/>
        </w:rPr>
      </w:pPr>
      <w:r>
        <w:rPr>
          <w:rFonts w:ascii="Arial" w:cs="Arial" w:eastAsia="Arial" w:hAnsi="Arial"/>
          <w:sz w:val="16"/>
          <w:szCs w:val="16"/>
          <w:color w:val="auto"/>
        </w:rPr>
        <w:t>account:</w:t>
      </w:r>
      <w:r>
        <w:rPr>
          <w:sz w:val="20"/>
          <w:szCs w:val="20"/>
          <w:color w:val="auto"/>
        </w:rPr>
        <w:tab/>
      </w:r>
      <w:r>
        <w:rPr>
          <w:rFonts w:ascii="Arial" w:cs="Arial" w:eastAsia="Arial" w:hAnsi="Arial"/>
          <w:sz w:val="16"/>
          <w:szCs w:val="16"/>
          <w:color w:val="auto"/>
        </w:rPr>
        <w:t>in specialized tasks that have been assumed by this</w:t>
      </w:r>
    </w:p>
    <w:p>
      <w:pPr>
        <w:spacing w:after="0" w:line="32" w:lineRule="exact"/>
        <w:rPr>
          <w:sz w:val="20"/>
          <w:szCs w:val="20"/>
          <w:color w:val="auto"/>
        </w:rPr>
      </w:pPr>
    </w:p>
    <w:p>
      <w:pPr>
        <w:ind w:left="80"/>
        <w:spacing w:after="0"/>
        <w:tabs>
          <w:tab w:leader="none" w:pos="7540" w:val="left"/>
        </w:tabs>
        <w:rPr>
          <w:sz w:val="20"/>
          <w:szCs w:val="20"/>
          <w:color w:val="auto"/>
        </w:rPr>
      </w:pPr>
      <w:r>
        <w:rPr>
          <w:rFonts w:ascii="Arial" w:cs="Arial" w:eastAsia="Arial" w:hAnsi="Arial"/>
          <w:sz w:val="18"/>
          <w:szCs w:val="18"/>
          <w:color w:val="auto"/>
        </w:rPr>
        <w:t>The Board of Directors may form special bodies according to</w:t>
      </w:r>
      <w:r>
        <w:rPr>
          <w:sz w:val="20"/>
          <w:szCs w:val="20"/>
          <w:color w:val="auto"/>
        </w:rPr>
        <w:tab/>
      </w:r>
      <w:r>
        <w:rPr>
          <w:rFonts w:ascii="Arial" w:cs="Arial" w:eastAsia="Arial" w:hAnsi="Arial"/>
          <w:sz w:val="16"/>
          <w:szCs w:val="16"/>
          <w:color w:val="auto"/>
        </w:rPr>
        <w:t>Committee. The functions of appointment,</w:t>
      </w:r>
    </w:p>
    <w:p>
      <w:pPr>
        <w:spacing w:after="0" w:line="9" w:lineRule="exact"/>
        <w:rPr>
          <w:sz w:val="20"/>
          <w:szCs w:val="20"/>
          <w:color w:val="auto"/>
        </w:rPr>
      </w:pPr>
    </w:p>
    <w:p>
      <w:pPr>
        <w:ind w:left="80"/>
        <w:spacing w:after="0"/>
        <w:tabs>
          <w:tab w:leader="none" w:pos="7540" w:val="left"/>
        </w:tabs>
        <w:rPr>
          <w:sz w:val="20"/>
          <w:szCs w:val="20"/>
          <w:color w:val="auto"/>
        </w:rPr>
      </w:pPr>
      <w:r>
        <w:rPr>
          <w:rFonts w:ascii="Arial" w:cs="Arial" w:eastAsia="Arial" w:hAnsi="Arial"/>
          <w:sz w:val="18"/>
          <w:szCs w:val="18"/>
          <w:color w:val="auto"/>
        </w:rPr>
        <w:t>the needs and size of the company, in particular, one that</w:t>
      </w:r>
      <w:r>
        <w:rPr>
          <w:sz w:val="20"/>
          <w:szCs w:val="20"/>
          <w:color w:val="auto"/>
        </w:rPr>
        <w:tab/>
      </w:r>
      <w:r>
        <w:rPr>
          <w:rFonts w:ascii="Arial" w:cs="Arial" w:eastAsia="Arial" w:hAnsi="Arial"/>
          <w:sz w:val="15"/>
          <w:szCs w:val="15"/>
          <w:color w:val="auto"/>
        </w:rPr>
        <w:t>retribution, control and planning, among others, are</w:t>
      </w:r>
    </w:p>
    <w:p>
      <w:pPr>
        <w:spacing w:after="0" w:line="9" w:lineRule="exact"/>
        <w:rPr>
          <w:sz w:val="20"/>
          <w:szCs w:val="20"/>
          <w:color w:val="auto"/>
        </w:rPr>
      </w:pPr>
    </w:p>
    <w:p>
      <w:pPr>
        <w:ind w:left="80"/>
        <w:spacing w:after="0"/>
        <w:tabs>
          <w:tab w:leader="none" w:pos="7540" w:val="left"/>
        </w:tabs>
        <w:rPr>
          <w:sz w:val="20"/>
          <w:szCs w:val="20"/>
          <w:color w:val="auto"/>
        </w:rPr>
      </w:pPr>
      <w:r>
        <w:rPr>
          <w:rFonts w:ascii="Arial" w:cs="Arial" w:eastAsia="Arial" w:hAnsi="Arial"/>
          <w:sz w:val="18"/>
          <w:szCs w:val="18"/>
          <w:color w:val="auto"/>
        </w:rPr>
        <w:t>assumes the auditing function. In addition, these special bodies</w:t>
      </w:r>
      <w:r>
        <w:rPr>
          <w:sz w:val="20"/>
          <w:szCs w:val="20"/>
          <w:color w:val="auto"/>
        </w:rPr>
        <w:tab/>
      </w:r>
      <w:r>
        <w:rPr>
          <w:rFonts w:ascii="Arial" w:cs="Arial" w:eastAsia="Arial" w:hAnsi="Arial"/>
          <w:sz w:val="16"/>
          <w:szCs w:val="16"/>
          <w:color w:val="auto"/>
        </w:rPr>
        <w:t>being carried by the full Board.</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may be directed to, among other things, the functions of</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appointment, retribution, control and planning.</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These special bodies will be formed within the Board of</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Directors as support mechanisms and should preferably</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consist of independent directors, in order to take impartial</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decisions on matters that may cause a conflict of interest.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(Principle V.E.1.)</w:t>
      </w:r>
    </w:p>
    <w:p>
      <w:pPr>
        <w:sectPr>
          <w:pgSz w:w="11900" w:h="16938" w:orient="portrait"/>
          <w:cols w:equalWidth="0" w:num="1">
            <w:col w:w="11340"/>
          </w:cols>
          <w:pgMar w:left="240" w:top="101" w:right="319" w:bottom="0" w:gutter="0" w:footer="0" w:header="0"/>
        </w:sectPr>
      </w:pPr>
    </w:p>
    <w:p>
      <w:pPr>
        <w:spacing w:after="0" w:line="354" w:lineRule="exact"/>
        <w:rPr>
          <w:sz w:val="20"/>
          <w:szCs w:val="20"/>
          <w:color w:val="auto"/>
        </w:rPr>
      </w:pPr>
    </w:p>
    <w:p>
      <w:pPr>
        <w:ind w:left="80" w:right="1901" w:firstLine="9"/>
        <w:spacing w:after="0" w:line="283" w:lineRule="auto"/>
        <w:tabs>
          <w:tab w:leader="none" w:pos="3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number of members of the Board of Directors of a company should ensure plurality of opinions within the Board, in such a way that the decisions adopted by it are the result of appropriate deliberation, always observing the best interests of the company and the shareholders.</w:t>
      </w:r>
    </w:p>
    <w:p>
      <w:pPr>
        <w:spacing w:after="0" w:line="2"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(Principle V.E.3)</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439" w:hanging="439"/>
        <w:spacing w:after="0" w:line="302" w:lineRule="auto"/>
        <w:tabs>
          <w:tab w:leader="none" w:pos="439" w:val="left"/>
        </w:tabs>
        <w:numPr>
          <w:ilvl w:val="0"/>
          <w:numId w:val="40"/>
        </w:numPr>
        <w:rPr>
          <w:rFonts w:ascii="Arial" w:cs="Arial" w:eastAsia="Arial" w:hAnsi="Arial"/>
          <w:sz w:val="18"/>
          <w:szCs w:val="18"/>
          <w:color w:val="auto"/>
        </w:rPr>
      </w:pPr>
      <w:r>
        <w:rPr>
          <w:rFonts w:ascii="Arial" w:cs="Arial" w:eastAsia="Arial" w:hAnsi="Arial"/>
          <w:sz w:val="15"/>
          <w:szCs w:val="15"/>
          <w:color w:val="auto"/>
        </w:rPr>
        <w:t>The Board of Directors regularly makes its decisions by consensus. Nevertheless, given the independence, professional track record, and personal prestige of the Board members, a thorough consideration and discussion of each matter is assured.</w:t>
      </w:r>
    </w:p>
    <w:p>
      <w:pPr>
        <w:spacing w:after="0" w:line="365" w:lineRule="exact"/>
        <w:rPr>
          <w:sz w:val="20"/>
          <w:szCs w:val="20"/>
          <w:color w:val="auto"/>
        </w:rPr>
      </w:pPr>
    </w:p>
    <w:p>
      <w:pPr>
        <w:sectPr>
          <w:pgSz w:w="11900" w:h="169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1921" w:firstLine="9"/>
        <w:spacing w:after="0" w:line="283" w:lineRule="auto"/>
        <w:tabs>
          <w:tab w:leader="none" w:pos="3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referring to matters to be dealt with in each meeting, should be made available to the directors with sufficient notice to enable their checking, except when dealing with strategic matters that are confidential, in which case, it will be necessary to establish mechanisms enabling the directors to properly evaluate such matters.</w:t>
      </w:r>
    </w:p>
    <w:p>
      <w:pPr>
        <w:spacing w:after="0" w:line="1"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(Principle V.F, second paragraph)</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20" w:hanging="439"/>
        <w:spacing w:after="0" w:line="256" w:lineRule="auto"/>
        <w:tabs>
          <w:tab w:leader="none" w:pos="439" w:val="left"/>
        </w:tabs>
        <w:numPr>
          <w:ilvl w:val="0"/>
          <w:numId w:val="42"/>
        </w:numPr>
        <w:rPr>
          <w:rFonts w:ascii="Arial" w:cs="Arial" w:eastAsia="Arial" w:hAnsi="Arial"/>
          <w:sz w:val="21"/>
          <w:szCs w:val="21"/>
          <w:color w:val="auto"/>
        </w:rPr>
      </w:pPr>
      <w:r>
        <w:rPr>
          <w:rFonts w:ascii="Arial" w:cs="Arial" w:eastAsia="Arial" w:hAnsi="Arial"/>
          <w:sz w:val="17"/>
          <w:szCs w:val="17"/>
          <w:color w:val="auto"/>
        </w:rPr>
        <w:t>Board members have access in a timely manner to information on matters to be discussed in each session, in way that if necessary, they may review the issues beforehand.</w:t>
      </w:r>
    </w:p>
    <w:p>
      <w:pPr>
        <w:spacing w:after="0" w:line="826" w:lineRule="exact"/>
        <w:rPr>
          <w:sz w:val="20"/>
          <w:szCs w:val="20"/>
          <w:color w:val="auto"/>
        </w:rPr>
      </w:pPr>
    </w:p>
    <w:p>
      <w:pPr>
        <w:sectPr>
          <w:pgSz w:w="11900" w:h="169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2041" w:firstLine="9"/>
        <w:spacing w:after="0" w:line="252" w:lineRule="auto"/>
        <w:tabs>
          <w:tab w:leader="none" w:pos="3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Following clearly established and defined policies, the Board of Directors may decide to engage the services of specialized advisors that the company may require to take its decisions.</w:t>
      </w:r>
    </w:p>
    <w:p>
      <w:pPr>
        <w:spacing w:after="0" w:line="1"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(Principle V.F., third paragraph)</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120" w:hanging="439"/>
        <w:spacing w:after="0" w:line="241" w:lineRule="auto"/>
        <w:tabs>
          <w:tab w:leader="none" w:pos="439" w:val="left"/>
        </w:tabs>
        <w:numPr>
          <w:ilvl w:val="0"/>
          <w:numId w:val="44"/>
        </w:numPr>
        <w:rPr>
          <w:rFonts w:ascii="Arial" w:cs="Arial" w:eastAsia="Arial" w:hAnsi="Arial"/>
          <w:sz w:val="22"/>
          <w:szCs w:val="22"/>
          <w:color w:val="auto"/>
        </w:rPr>
      </w:pPr>
      <w:r>
        <w:rPr>
          <w:rFonts w:ascii="Arial" w:cs="Arial" w:eastAsia="Arial" w:hAnsi="Arial"/>
          <w:sz w:val="18"/>
          <w:szCs w:val="18"/>
          <w:color w:val="auto"/>
        </w:rPr>
        <w:t>In addition to the Board of Directors' power to hire outside advisors, the Audit Committee has the authority and resources to engage the services of specialized help that it may deem necessary to carry its tasks.</w:t>
      </w:r>
    </w:p>
    <w:p>
      <w:pPr>
        <w:spacing w:after="0" w:line="200" w:lineRule="exact"/>
        <w:rPr>
          <w:sz w:val="20"/>
          <w:szCs w:val="20"/>
          <w:color w:val="auto"/>
        </w:rPr>
      </w:pPr>
    </w:p>
    <w:p>
      <w:pPr>
        <w:sectPr>
          <w:pgSz w:w="11900" w:h="16938" w:orient="portrait"/>
          <w:cols w:equalWidth="0" w:num="2">
            <w:col w:w="6401" w:space="720"/>
            <w:col w:w="4219"/>
          </w:cols>
          <w:pgMar w:left="240" w:top="101" w:right="319" w:bottom="0" w:gutter="0" w:footer="0" w:header="0"/>
          <w:type w:val="continuous"/>
        </w:sectPr>
      </w:pPr>
    </w:p>
    <w:p>
      <w:pPr>
        <w:spacing w:after="0" w:line="146" w:lineRule="exact"/>
        <w:rPr>
          <w:sz w:val="20"/>
          <w:szCs w:val="20"/>
          <w:color w:val="auto"/>
        </w:rPr>
      </w:pPr>
    </w:p>
    <w:p>
      <w:pPr>
        <w:ind w:left="360" w:hanging="271"/>
        <w:spacing w:after="0"/>
        <w:tabs>
          <w:tab w:leader="none" w:pos="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New directors should be instructed on their powers and</w:t>
      </w:r>
    </w:p>
    <w:p>
      <w:pPr>
        <w:spacing w:after="0" w:line="38" w:lineRule="exact"/>
        <w:rPr>
          <w:rFonts w:ascii="Arial" w:cs="Arial" w:eastAsia="Arial" w:hAnsi="Arial"/>
          <w:sz w:val="16"/>
          <w:szCs w:val="16"/>
          <w:color w:val="auto"/>
        </w:rPr>
      </w:pPr>
    </w:p>
    <w:p>
      <w:pPr>
        <w:ind w:left="80" w:right="1901"/>
        <w:spacing w:after="0" w:line="250" w:lineRule="auto"/>
        <w:rPr>
          <w:rFonts w:ascii="Arial" w:cs="Arial" w:eastAsia="Arial" w:hAnsi="Arial"/>
          <w:sz w:val="16"/>
          <w:szCs w:val="16"/>
          <w:color w:val="auto"/>
        </w:rPr>
      </w:pPr>
      <w:r>
        <w:rPr>
          <w:rFonts w:ascii="Arial" w:cs="Arial" w:eastAsia="Arial" w:hAnsi="Arial"/>
          <w:sz w:val="18"/>
          <w:szCs w:val="18"/>
          <w:color w:val="auto"/>
        </w:rPr>
        <w:t>responsibilities, as well as on the organizational characteristics and structure of the company.</w:t>
      </w:r>
    </w:p>
    <w:p>
      <w:pPr>
        <w:ind w:left="80"/>
        <w:spacing w:after="0"/>
        <w:rPr>
          <w:rFonts w:ascii="Arial" w:cs="Arial" w:eastAsia="Arial" w:hAnsi="Arial"/>
          <w:sz w:val="16"/>
          <w:szCs w:val="16"/>
          <w:color w:val="auto"/>
        </w:rPr>
      </w:pPr>
      <w:r>
        <w:rPr>
          <w:rFonts w:ascii="Arial" w:cs="Arial" w:eastAsia="Arial" w:hAnsi="Arial"/>
          <w:sz w:val="18"/>
          <w:szCs w:val="18"/>
          <w:color w:val="auto"/>
        </w:rPr>
        <w:t>(Principle V.H.1)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439" w:hanging="439"/>
        <w:spacing w:after="0" w:line="302" w:lineRule="auto"/>
        <w:tabs>
          <w:tab w:leader="none" w:pos="439" w:val="left"/>
        </w:tabs>
        <w:numPr>
          <w:ilvl w:val="0"/>
          <w:numId w:val="46"/>
        </w:numPr>
        <w:rPr>
          <w:rFonts w:ascii="Arial" w:cs="Arial" w:eastAsia="Arial" w:hAnsi="Arial"/>
          <w:sz w:val="18"/>
          <w:szCs w:val="18"/>
          <w:color w:val="auto"/>
        </w:rPr>
      </w:pPr>
      <w:r>
        <w:rPr>
          <w:rFonts w:ascii="Arial" w:cs="Arial" w:eastAsia="Arial" w:hAnsi="Arial"/>
          <w:sz w:val="15"/>
          <w:szCs w:val="15"/>
          <w:color w:val="auto"/>
        </w:rPr>
        <w:t>In cases of new Board members, applicable procedures require that they are adequately informed of their duties and responsibilities, as well as on details of the organizational structure of the company. The Board meets on a monthly basis to follow-up on the development of the business and oversees application of the strategy by executive units.</w:t>
      </w:r>
    </w:p>
    <w:p>
      <w:pPr>
        <w:spacing w:after="0" w:line="85" w:lineRule="exact"/>
        <w:rPr>
          <w:sz w:val="20"/>
          <w:szCs w:val="20"/>
          <w:color w:val="auto"/>
        </w:rPr>
      </w:pPr>
    </w:p>
    <w:p>
      <w:pPr>
        <w:sectPr>
          <w:pgSz w:w="11900" w:h="16938" w:orient="portrait"/>
          <w:cols w:equalWidth="0" w:num="2">
            <w:col w:w="6401" w:space="720"/>
            <w:col w:w="4219"/>
          </w:cols>
          <w:pgMar w:left="240" w:top="101" w:right="319" w:bottom="0" w:gutter="0" w:footer="0" w:header="0"/>
          <w:type w:val="continuous"/>
        </w:sectPr>
      </w:pPr>
    </w:p>
    <w:p>
      <w:pPr>
        <w:ind w:left="80" w:right="2001" w:firstLine="9"/>
        <w:spacing w:after="0" w:line="283" w:lineRule="auto"/>
        <w:tabs>
          <w:tab w:leader="none" w:pos="343"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Board of Directors should establish the procedures to be followed for the election of one or more replacements, if there are no substitute or alternate directors, and a vacancy occurs for one or more directors, in order to complete their numbers for the remaining period, when there is no provision for any different treatment in the bylaws.</w:t>
      </w:r>
    </w:p>
    <w:p>
      <w:pPr>
        <w:spacing w:after="0" w:line="1"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(Principle V.H.3)</w:t>
      </w:r>
    </w:p>
    <w:p>
      <w:pPr>
        <w:spacing w:after="0" w:line="20" w:lineRule="exact"/>
        <w:rPr>
          <w:sz w:val="20"/>
          <w:szCs w:val="20"/>
          <w:color w:val="auto"/>
        </w:rPr>
      </w:pPr>
      <w:r>
        <w:rPr>
          <w:sz w:val="20"/>
          <w:szCs w:val="20"/>
          <w:color w:val="auto"/>
        </w:rPr>
        <w:br w:type="column"/>
      </w:r>
    </w:p>
    <w:p>
      <w:pPr>
        <w:ind w:left="439" w:right="60" w:hanging="439"/>
        <w:spacing w:after="0" w:line="228" w:lineRule="auto"/>
        <w:tabs>
          <w:tab w:leader="none" w:pos="439" w:val="left"/>
        </w:tabs>
        <w:numPr>
          <w:ilvl w:val="0"/>
          <w:numId w:val="48"/>
        </w:numPr>
        <w:rPr>
          <w:rFonts w:ascii="Arial" w:cs="Arial" w:eastAsia="Arial" w:hAnsi="Arial"/>
          <w:sz w:val="22"/>
          <w:szCs w:val="22"/>
          <w:color w:val="auto"/>
        </w:rPr>
      </w:pPr>
      <w:r>
        <w:rPr>
          <w:rFonts w:ascii="Arial" w:cs="Arial" w:eastAsia="Arial" w:hAnsi="Arial"/>
          <w:sz w:val="18"/>
          <w:szCs w:val="18"/>
          <w:color w:val="auto"/>
        </w:rPr>
        <w:t>Procedures to elect Board members are clearly stated in the company's Bye-laws.</w:t>
      </w:r>
    </w:p>
    <w:p>
      <w:pPr>
        <w:spacing w:after="0" w:line="1272" w:lineRule="exact"/>
        <w:rPr>
          <w:sz w:val="20"/>
          <w:szCs w:val="20"/>
          <w:color w:val="auto"/>
        </w:rPr>
      </w:pPr>
    </w:p>
    <w:p>
      <w:pPr>
        <w:sectPr>
          <w:pgSz w:w="11900" w:h="169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1901" w:firstLine="9"/>
        <w:spacing w:after="0" w:line="283" w:lineRule="auto"/>
        <w:tabs>
          <w:tab w:leader="none" w:pos="3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functions of the Chairman of the Board of Directors or Executive Chairman, should it be the case, as well as the General Manager should be clearly outlined in the company by-laws or internal regulations in order to avoid duplicating functions and possible conflicts.</w:t>
      </w:r>
    </w:p>
    <w:p>
      <w:pPr>
        <w:spacing w:after="0" w:line="2"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(Principle V.I, first paragraph)</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left="439" w:right="220" w:hanging="439"/>
        <w:spacing w:after="0" w:line="304" w:lineRule="auto"/>
        <w:tabs>
          <w:tab w:leader="none" w:pos="439" w:val="left"/>
        </w:tabs>
        <w:numPr>
          <w:ilvl w:val="0"/>
          <w:numId w:val="50"/>
        </w:numPr>
        <w:rPr>
          <w:rFonts w:ascii="Arial" w:cs="Arial" w:eastAsia="Arial" w:hAnsi="Arial"/>
          <w:sz w:val="18"/>
          <w:szCs w:val="18"/>
          <w:color w:val="auto"/>
        </w:rPr>
      </w:pPr>
      <w:r>
        <w:rPr>
          <w:rFonts w:ascii="Arial" w:cs="Arial" w:eastAsia="Arial" w:hAnsi="Arial"/>
          <w:sz w:val="15"/>
          <w:szCs w:val="15"/>
          <w:color w:val="auto"/>
        </w:rPr>
        <w:t>Responsibilities of the Board, its Chairman, and of top management is clearly stated in the company's Bye-laws and through organization manuals.</w:t>
      </w:r>
    </w:p>
    <w:p>
      <w:pPr>
        <w:spacing w:after="0" w:line="794" w:lineRule="exact"/>
        <w:rPr>
          <w:sz w:val="20"/>
          <w:szCs w:val="20"/>
          <w:color w:val="auto"/>
        </w:rPr>
      </w:pPr>
    </w:p>
    <w:p>
      <w:pPr>
        <w:sectPr>
          <w:pgSz w:w="11900" w:h="169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1921" w:firstLine="9"/>
        <w:spacing w:after="0" w:line="283" w:lineRule="auto"/>
        <w:tabs>
          <w:tab w:leader="none" w:pos="34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organic structure of the company should avoid concentrating functions, attributions and responsibilities in the persons of the Chairman of the Board, the Executive Chairman, should it be the case, the General Manager and of other officials with management responsibilities.</w:t>
      </w:r>
    </w:p>
    <w:p>
      <w:pPr>
        <w:spacing w:after="0" w:line="2"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(Principle V.I, second paragraph)</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40" w:hanging="439"/>
        <w:spacing w:after="0" w:line="239" w:lineRule="auto"/>
        <w:tabs>
          <w:tab w:leader="none" w:pos="439" w:val="left"/>
        </w:tabs>
        <w:numPr>
          <w:ilvl w:val="0"/>
          <w:numId w:val="52"/>
        </w:numPr>
        <w:rPr>
          <w:rFonts w:ascii="Arial" w:cs="Arial" w:eastAsia="Arial" w:hAnsi="Arial"/>
          <w:sz w:val="22"/>
          <w:szCs w:val="22"/>
          <w:color w:val="auto"/>
        </w:rPr>
      </w:pPr>
      <w:r>
        <w:rPr>
          <w:rFonts w:ascii="Arial" w:cs="Arial" w:eastAsia="Arial" w:hAnsi="Arial"/>
          <w:sz w:val="18"/>
          <w:szCs w:val="18"/>
          <w:color w:val="auto"/>
        </w:rPr>
        <w:t>These responsibilities are clearly outlined in organization manuals and internal procedures that explain the relationship between the different units in the organization chart.</w:t>
      </w:r>
    </w:p>
    <w:p>
      <w:pPr>
        <w:spacing w:after="0" w:line="623" w:lineRule="exact"/>
        <w:rPr>
          <w:sz w:val="20"/>
          <w:szCs w:val="20"/>
          <w:color w:val="auto"/>
        </w:rPr>
      </w:pPr>
    </w:p>
    <w:p>
      <w:pPr>
        <w:sectPr>
          <w:pgSz w:w="11900" w:h="16938" w:orient="portrait"/>
          <w:cols w:equalWidth="0" w:num="2">
            <w:col w:w="6401" w:space="720"/>
            <w:col w:w="4219"/>
          </w:cols>
          <w:pgMar w:left="240" w:top="101" w:right="319" w:bottom="0" w:gutter="0" w:footer="0" w:header="0"/>
          <w:type w:val="continuous"/>
        </w:sectPr>
      </w:pPr>
    </w:p>
    <w:p>
      <w:pPr>
        <w:spacing w:after="0" w:line="154" w:lineRule="exact"/>
        <w:rPr>
          <w:sz w:val="20"/>
          <w:szCs w:val="20"/>
          <w:color w:val="auto"/>
        </w:rPr>
      </w:pPr>
    </w:p>
    <w:p>
      <w:pPr>
        <w:ind w:left="80" w:right="1981" w:firstLine="9"/>
        <w:spacing w:after="0" w:line="298" w:lineRule="auto"/>
        <w:tabs>
          <w:tab w:leader="none" w:pos="3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It is recommended that Management receive, at least, part of its retribution in function of the results of the company, in such a way as to ensure compliance with its objective of maximizing the value of the company in favor of the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439" w:right="40" w:hanging="439"/>
        <w:spacing w:after="0" w:line="281" w:lineRule="auto"/>
        <w:tabs>
          <w:tab w:leader="none" w:pos="439" w:val="left"/>
        </w:tabs>
        <w:numPr>
          <w:ilvl w:val="0"/>
          <w:numId w:val="54"/>
        </w:numPr>
        <w:rPr>
          <w:rFonts w:ascii="Arial" w:cs="Arial" w:eastAsia="Arial" w:hAnsi="Arial"/>
          <w:sz w:val="19"/>
          <w:szCs w:val="19"/>
          <w:color w:val="auto"/>
        </w:rPr>
      </w:pPr>
      <w:r>
        <w:rPr>
          <w:rFonts w:ascii="Arial" w:cs="Arial" w:eastAsia="Arial" w:hAnsi="Arial"/>
          <w:sz w:val="16"/>
          <w:szCs w:val="16"/>
          <w:color w:val="auto"/>
        </w:rPr>
        <w:t>This objective is met through the stock options plan, that is part of top management's compensation. Additionally, a company wide variable compensation system is applied through bonuses, in addition to</w:t>
      </w:r>
    </w:p>
    <w:p>
      <w:pPr>
        <w:sectPr>
          <w:pgSz w:w="11900" w:h="16938" w:orient="portrait"/>
          <w:cols w:equalWidth="0" w:num="2">
            <w:col w:w="6401" w:space="720"/>
            <w:col w:w="4219"/>
          </w:cols>
          <w:pgMar w:left="240" w:top="101" w:right="319"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4420" w:type="dxa"/>
            <w:vAlign w:val="bottom"/>
          </w:tcPr>
          <w:p>
            <w:pPr>
              <w:ind w:left="80"/>
              <w:spacing w:after="0"/>
              <w:rPr>
                <w:sz w:val="20"/>
                <w:szCs w:val="20"/>
                <w:color w:val="auto"/>
              </w:rPr>
            </w:pPr>
            <w:r>
              <w:rPr>
                <w:rFonts w:ascii="Arial" w:cs="Arial" w:eastAsia="Arial" w:hAnsi="Arial"/>
                <w:sz w:val="18"/>
                <w:szCs w:val="18"/>
                <w:color w:val="auto"/>
              </w:rPr>
              <w:t>shareholders.</w:t>
            </w:r>
          </w:p>
        </w:tc>
        <w:tc>
          <w:tcPr>
            <w:tcW w:w="7000" w:type="dxa"/>
            <w:vAlign w:val="bottom"/>
          </w:tcPr>
          <w:p>
            <w:pPr>
              <w:ind w:left="3140"/>
              <w:spacing w:after="0"/>
              <w:rPr>
                <w:sz w:val="20"/>
                <w:szCs w:val="20"/>
                <w:color w:val="auto"/>
              </w:rPr>
            </w:pPr>
            <w:r>
              <w:rPr>
                <w:rFonts w:ascii="Arial" w:cs="Arial" w:eastAsia="Arial" w:hAnsi="Arial"/>
                <w:sz w:val="18"/>
                <w:szCs w:val="18"/>
                <w:color w:val="auto"/>
                <w:w w:val="94"/>
              </w:rPr>
              <w:t>regular salary, based on performance targets to be</w:t>
            </w:r>
          </w:p>
        </w:tc>
      </w:tr>
      <w:tr>
        <w:trPr>
          <w:trHeight w:val="216"/>
        </w:trPr>
        <w:tc>
          <w:tcPr>
            <w:tcW w:w="4420" w:type="dxa"/>
            <w:vAlign w:val="bottom"/>
          </w:tcPr>
          <w:p>
            <w:pPr>
              <w:ind w:left="80"/>
              <w:spacing w:after="0"/>
              <w:rPr>
                <w:sz w:val="20"/>
                <w:szCs w:val="20"/>
                <w:color w:val="auto"/>
              </w:rPr>
            </w:pPr>
            <w:r>
              <w:rPr>
                <w:rFonts w:ascii="Arial" w:cs="Arial" w:eastAsia="Arial" w:hAnsi="Arial"/>
                <w:sz w:val="18"/>
                <w:szCs w:val="18"/>
                <w:color w:val="auto"/>
              </w:rPr>
              <w:t>(Principle V.I.5.)</w:t>
            </w:r>
          </w:p>
        </w:tc>
        <w:tc>
          <w:tcPr>
            <w:tcW w:w="7000" w:type="dxa"/>
            <w:vAlign w:val="bottom"/>
          </w:tcPr>
          <w:p>
            <w:pPr>
              <w:ind w:left="3140"/>
              <w:spacing w:after="0"/>
              <w:rPr>
                <w:sz w:val="20"/>
                <w:szCs w:val="20"/>
                <w:color w:val="auto"/>
              </w:rPr>
            </w:pPr>
            <w:r>
              <w:rPr>
                <w:rFonts w:ascii="Arial" w:cs="Arial" w:eastAsia="Arial" w:hAnsi="Arial"/>
                <w:sz w:val="18"/>
                <w:szCs w:val="18"/>
                <w:color w:val="auto"/>
              </w:rPr>
              <w:t>met individually, at the team level and by the</w:t>
            </w:r>
          </w:p>
        </w:tc>
      </w:tr>
      <w:tr>
        <w:trPr>
          <w:trHeight w:val="222"/>
        </w:trPr>
        <w:tc>
          <w:tcPr>
            <w:tcW w:w="4420" w:type="dxa"/>
            <w:vAlign w:val="bottom"/>
          </w:tcPr>
          <w:p>
            <w:pPr>
              <w:spacing w:after="0"/>
              <w:rPr>
                <w:sz w:val="19"/>
                <w:szCs w:val="19"/>
                <w:color w:val="auto"/>
              </w:rPr>
            </w:pPr>
          </w:p>
        </w:tc>
        <w:tc>
          <w:tcPr>
            <w:tcW w:w="7000" w:type="dxa"/>
            <w:vAlign w:val="bottom"/>
          </w:tcPr>
          <w:p>
            <w:pPr>
              <w:ind w:left="3140"/>
              <w:spacing w:after="0"/>
              <w:rPr>
                <w:sz w:val="20"/>
                <w:szCs w:val="20"/>
                <w:color w:val="auto"/>
              </w:rPr>
            </w:pPr>
            <w:r>
              <w:rPr>
                <w:rFonts w:ascii="Arial" w:cs="Arial" w:eastAsia="Arial" w:hAnsi="Arial"/>
                <w:sz w:val="18"/>
                <w:szCs w:val="18"/>
                <w:color w:val="auto"/>
              </w:rPr>
              <w:t>corporation as a whole.</w:t>
            </w:r>
          </w:p>
        </w:tc>
      </w:tr>
      <w:tr>
        <w:trPr>
          <w:trHeight w:val="63"/>
        </w:trPr>
        <w:tc>
          <w:tcPr>
            <w:tcW w:w="4420" w:type="dxa"/>
            <w:vAlign w:val="bottom"/>
            <w:tcBorders>
              <w:bottom w:val="single" w:sz="8" w:color="2C2C2C"/>
            </w:tcBorders>
          </w:tcPr>
          <w:p>
            <w:pPr>
              <w:spacing w:after="0"/>
              <w:rPr>
                <w:sz w:val="5"/>
                <w:szCs w:val="5"/>
                <w:color w:val="auto"/>
              </w:rPr>
            </w:pPr>
          </w:p>
        </w:tc>
        <w:tc>
          <w:tcPr>
            <w:tcW w:w="7000" w:type="dxa"/>
            <w:vAlign w:val="bottom"/>
            <w:tcBorders>
              <w:bottom w:val="single" w:sz="8" w:color="2C2C2C"/>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42545" cy="475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545" cy="47561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-462280</wp:posOffset>
            </wp:positionV>
            <wp:extent cx="42545" cy="4673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545" cy="46736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-462280</wp:posOffset>
            </wp:positionV>
            <wp:extent cx="42545" cy="4673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545" cy="46736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-462280</wp:posOffset>
            </wp:positionV>
            <wp:extent cx="42545" cy="4673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545" cy="46736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-462280</wp:posOffset>
            </wp:positionV>
            <wp:extent cx="42545" cy="4673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545" cy="46736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-462280</wp:posOffset>
            </wp:positionV>
            <wp:extent cx="42545" cy="4673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545" cy="46736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-462280</wp:posOffset>
            </wp:positionV>
            <wp:extent cx="42545" cy="4756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545" cy="47561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-462280</wp:posOffset>
            </wp:positionV>
            <wp:extent cx="42545" cy="4673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545"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Section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31" w:right="2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February 28,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60"/>
      </w:cols>
      <w:pgMar w:left="240" w:top="85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lowerRoman"/>
      <w:start w:val="1"/>
    </w:lvl>
  </w:abstractNum>
  <w:abstractNum w:abstractNumId="8">
    <w:nsid w:val="737B8DDC"/>
    <w:multiLevelType w:val="hybridMultilevel"/>
    <w:lvl w:ilvl="0">
      <w:lvlJc w:val="left"/>
      <w:lvlText w:val="(%1)"/>
      <w:numFmt w:val="decimal"/>
      <w:start w:val="2"/>
    </w:lvl>
  </w:abstractNum>
  <w:abstractNum w:abstractNumId="9">
    <w:nsid w:val="6CEAF087"/>
    <w:multiLevelType w:val="hybridMultilevel"/>
    <w:lvl w:ilvl="0">
      <w:lvlJc w:val="left"/>
      <w:lvlText w:val="(%1)"/>
      <w:numFmt w:val="lowerRoman"/>
      <w:start w:val="1"/>
    </w:lvl>
  </w:abstractNum>
  <w:abstractNum w:abstractNumId="10">
    <w:nsid w:val="22221A70"/>
    <w:multiLevelType w:val="hybridMultilevel"/>
    <w:lvl w:ilvl="0">
      <w:lvlJc w:val="left"/>
      <w:lvlText w:val="%1."/>
      <w:numFmt w:val="decimal"/>
      <w:start w:val="2"/>
    </w:lvl>
  </w:abstractNum>
  <w:abstractNum w:abstractNumId="11">
    <w:nsid w:val="4516DDE9"/>
    <w:multiLevelType w:val="hybridMultilevel"/>
    <w:lvl w:ilvl="0">
      <w:lvlJc w:val="left"/>
      <w:lvlText w:val="X"/>
      <w:numFmt w:val="bullet"/>
      <w:start w:val="1"/>
    </w:lvl>
  </w:abstractNum>
  <w:abstractNum w:abstractNumId="12">
    <w:nsid w:val="3006C83E"/>
    <w:multiLevelType w:val="hybridMultilevel"/>
    <w:lvl w:ilvl="0">
      <w:lvlJc w:val="left"/>
      <w:lvlText w:val="%1."/>
      <w:numFmt w:val="decimal"/>
      <w:start w:val="3"/>
    </w:lvl>
  </w:abstractNum>
  <w:abstractNum w:abstractNumId="13">
    <w:nsid w:val="614FD4A1"/>
    <w:multiLevelType w:val="hybridMultilevel"/>
    <w:lvl w:ilvl="0">
      <w:lvlJc w:val="left"/>
      <w:lvlText w:val="X"/>
      <w:numFmt w:val="bullet"/>
      <w:start w:val="1"/>
    </w:lvl>
  </w:abstractNum>
  <w:abstractNum w:abstractNumId="14">
    <w:nsid w:val="419AC241"/>
    <w:multiLevelType w:val="hybridMultilevel"/>
    <w:lvl w:ilvl="0">
      <w:lvlJc w:val="left"/>
      <w:lvlText w:val="%1."/>
      <w:numFmt w:val="decimal"/>
      <w:start w:val="4"/>
    </w:lvl>
  </w:abstractNum>
  <w:abstractNum w:abstractNumId="15">
    <w:nsid w:val="5577F8E1"/>
    <w:multiLevelType w:val="hybridMultilevel"/>
    <w:lvl w:ilvl="0">
      <w:lvlJc w:val="left"/>
      <w:lvlText w:val="X"/>
      <w:numFmt w:val="bullet"/>
      <w:start w:val="1"/>
    </w:lvl>
  </w:abstractNum>
  <w:abstractNum w:abstractNumId="16">
    <w:nsid w:val="440BADFC"/>
    <w:multiLevelType w:val="hybridMultilevel"/>
    <w:lvl w:ilvl="0">
      <w:lvlJc w:val="left"/>
      <w:lvlText w:val="%1."/>
      <w:numFmt w:val="decimal"/>
      <w:start w:val="5"/>
    </w:lvl>
  </w:abstractNum>
  <w:abstractNum w:abstractNumId="17">
    <w:nsid w:val="5072367"/>
    <w:multiLevelType w:val="hybridMultilevel"/>
    <w:lvl w:ilvl="0">
      <w:lvlJc w:val="left"/>
      <w:lvlText w:val="X"/>
      <w:numFmt w:val="bullet"/>
      <w:start w:val="1"/>
    </w:lvl>
  </w:abstractNum>
  <w:abstractNum w:abstractNumId="18">
    <w:nsid w:val="3804823E"/>
    <w:multiLevelType w:val="hybridMultilevel"/>
    <w:lvl w:ilvl="0">
      <w:lvlJc w:val="left"/>
      <w:lvlText w:val="%1."/>
      <w:numFmt w:val="decimal"/>
      <w:start w:val="6"/>
    </w:lvl>
  </w:abstractNum>
  <w:abstractNum w:abstractNumId="19">
    <w:nsid w:val="77465F01"/>
    <w:multiLevelType w:val="hybridMultilevel"/>
    <w:lvl w:ilvl="0">
      <w:lvlJc w:val="left"/>
      <w:lvlText w:val="X"/>
      <w:numFmt w:val="bullet"/>
      <w:start w:val="1"/>
    </w:lvl>
  </w:abstractNum>
  <w:abstractNum w:abstractNumId="20">
    <w:nsid w:val="7724C67E"/>
    <w:multiLevelType w:val="hybridMultilevel"/>
    <w:lvl w:ilvl="0">
      <w:lvlJc w:val="left"/>
      <w:lvlText w:val="%1."/>
      <w:numFmt w:val="decimal"/>
      <w:start w:val="7"/>
    </w:lvl>
  </w:abstractNum>
  <w:abstractNum w:abstractNumId="21">
    <w:nsid w:val="5C482A97"/>
    <w:multiLevelType w:val="hybridMultilevel"/>
    <w:lvl w:ilvl="0">
      <w:lvlJc w:val="left"/>
      <w:lvlText w:val="X"/>
      <w:numFmt w:val="bullet"/>
      <w:start w:val="1"/>
    </w:lvl>
  </w:abstractNum>
  <w:abstractNum w:abstractNumId="22">
    <w:nsid w:val="2463B9EA"/>
    <w:multiLevelType w:val="hybridMultilevel"/>
    <w:lvl w:ilvl="0">
      <w:lvlJc w:val="left"/>
      <w:lvlText w:val="%1."/>
      <w:numFmt w:val="decimal"/>
      <w:start w:val="8"/>
    </w:lvl>
  </w:abstractNum>
  <w:abstractNum w:abstractNumId="23">
    <w:nsid w:val="5E884ADC"/>
    <w:multiLevelType w:val="hybridMultilevel"/>
    <w:lvl w:ilvl="0">
      <w:lvlJc w:val="left"/>
      <w:lvlText w:val="X"/>
      <w:numFmt w:val="bullet"/>
      <w:start w:val="1"/>
    </w:lvl>
  </w:abstractNum>
  <w:abstractNum w:abstractNumId="24">
    <w:nsid w:val="51EAD36B"/>
    <w:multiLevelType w:val="hybridMultilevel"/>
    <w:lvl w:ilvl="0">
      <w:lvlJc w:val="left"/>
      <w:lvlText w:val="%1."/>
      <w:numFmt w:val="decimal"/>
      <w:start w:val="10"/>
    </w:lvl>
  </w:abstractNum>
  <w:abstractNum w:abstractNumId="25">
    <w:nsid w:val="2D517796"/>
    <w:multiLevelType w:val="hybridMultilevel"/>
    <w:lvl w:ilvl="0">
      <w:lvlJc w:val="left"/>
      <w:lvlText w:val="X"/>
      <w:numFmt w:val="bullet"/>
      <w:start w:val="1"/>
    </w:lvl>
  </w:abstractNum>
  <w:abstractNum w:abstractNumId="26">
    <w:nsid w:val="580BD78F"/>
    <w:multiLevelType w:val="hybridMultilevel"/>
    <w:lvl w:ilvl="0">
      <w:lvlJc w:val="left"/>
      <w:lvlText w:val="%1."/>
      <w:numFmt w:val="decimal"/>
      <w:start w:val="11"/>
    </w:lvl>
  </w:abstractNum>
  <w:abstractNum w:abstractNumId="27">
    <w:nsid w:val="153EA438"/>
    <w:multiLevelType w:val="hybridMultilevel"/>
    <w:lvl w:ilvl="0">
      <w:lvlJc w:val="left"/>
      <w:lvlText w:val="X"/>
      <w:numFmt w:val="bullet"/>
      <w:start w:val="1"/>
    </w:lvl>
  </w:abstractNum>
  <w:abstractNum w:abstractNumId="28">
    <w:nsid w:val="3855585C"/>
    <w:multiLevelType w:val="hybridMultilevel"/>
    <w:lvl w:ilvl="0">
      <w:lvlJc w:val="left"/>
      <w:lvlText w:val="%1."/>
      <w:numFmt w:val="decimal"/>
      <w:start w:val="12"/>
    </w:lvl>
  </w:abstractNum>
  <w:abstractNum w:abstractNumId="29">
    <w:nsid w:val="70A64E2A"/>
    <w:multiLevelType w:val="hybridMultilevel"/>
    <w:lvl w:ilvl="0">
      <w:lvlJc w:val="left"/>
      <w:lvlText w:val="X"/>
      <w:numFmt w:val="bullet"/>
      <w:start w:val="1"/>
    </w:lvl>
  </w:abstractNum>
  <w:abstractNum w:abstractNumId="30">
    <w:nsid w:val="6A2342EC"/>
    <w:multiLevelType w:val="hybridMultilevel"/>
    <w:lvl w:ilvl="0">
      <w:lvlJc w:val="left"/>
      <w:lvlText w:val="%1."/>
      <w:numFmt w:val="decimal"/>
      <w:start w:val="13"/>
    </w:lvl>
  </w:abstractNum>
  <w:abstractNum w:abstractNumId="31">
    <w:nsid w:val="2A487CB0"/>
    <w:multiLevelType w:val="hybridMultilevel"/>
    <w:lvl w:ilvl="0">
      <w:lvlJc w:val="left"/>
      <w:lvlText w:val="X"/>
      <w:numFmt w:val="bullet"/>
      <w:start w:val="1"/>
    </w:lvl>
  </w:abstractNum>
  <w:abstractNum w:abstractNumId="32">
    <w:nsid w:val="1D4ED43B"/>
    <w:multiLevelType w:val="hybridMultilevel"/>
    <w:lvl w:ilvl="0">
      <w:lvlJc w:val="left"/>
      <w:lvlText w:val="%1."/>
      <w:numFmt w:val="decimal"/>
      <w:start w:val="14"/>
    </w:lvl>
  </w:abstractNum>
  <w:abstractNum w:abstractNumId="33">
    <w:nsid w:val="725A06FB"/>
    <w:multiLevelType w:val="hybridMultilevel"/>
    <w:lvl w:ilvl="0">
      <w:lvlJc w:val="left"/>
      <w:lvlText w:val="X"/>
      <w:numFmt w:val="bullet"/>
      <w:start w:val="1"/>
    </w:lvl>
  </w:abstractNum>
  <w:abstractNum w:abstractNumId="34">
    <w:nsid w:val="2CD89A32"/>
    <w:multiLevelType w:val="hybridMultilevel"/>
    <w:lvl w:ilvl="0">
      <w:lvlJc w:val="left"/>
      <w:lvlText w:val="%1."/>
      <w:numFmt w:val="decimal"/>
      <w:start w:val="15"/>
    </w:lvl>
  </w:abstractNum>
  <w:abstractNum w:abstractNumId="35">
    <w:nsid w:val="57E4CCAF"/>
    <w:multiLevelType w:val="hybridMultilevel"/>
    <w:lvl w:ilvl="0">
      <w:lvlJc w:val="left"/>
      <w:lvlText w:val="X"/>
      <w:numFmt w:val="bullet"/>
      <w:start w:val="1"/>
    </w:lvl>
  </w:abstractNum>
  <w:abstractNum w:abstractNumId="36">
    <w:nsid w:val="7A6D8D3C"/>
    <w:multiLevelType w:val="hybridMultilevel"/>
    <w:lvl w:ilvl="0">
      <w:lvlJc w:val="left"/>
      <w:lvlText w:val="%1."/>
      <w:numFmt w:val="decimal"/>
      <w:start w:val="16"/>
    </w:lvl>
  </w:abstractNum>
  <w:abstractNum w:abstractNumId="37">
    <w:nsid w:val="4B588F54"/>
    <w:multiLevelType w:val="hybridMultilevel"/>
    <w:lvl w:ilvl="0">
      <w:lvlJc w:val="left"/>
      <w:lvlText w:val="X"/>
      <w:numFmt w:val="bullet"/>
      <w:start w:val="1"/>
    </w:lvl>
  </w:abstractNum>
  <w:abstractNum w:abstractNumId="38">
    <w:nsid w:val="542289EC"/>
    <w:multiLevelType w:val="hybridMultilevel"/>
    <w:lvl w:ilvl="0">
      <w:lvlJc w:val="left"/>
      <w:lvlText w:val="%1."/>
      <w:numFmt w:val="decimal"/>
      <w:start w:val="19"/>
    </w:lvl>
  </w:abstractNum>
  <w:abstractNum w:abstractNumId="39">
    <w:nsid w:val="6DE91B18"/>
    <w:multiLevelType w:val="hybridMultilevel"/>
    <w:lvl w:ilvl="0">
      <w:lvlJc w:val="left"/>
      <w:lvlText w:val="X"/>
      <w:numFmt w:val="bullet"/>
      <w:start w:val="1"/>
    </w:lvl>
  </w:abstractNum>
  <w:abstractNum w:abstractNumId="40">
    <w:nsid w:val="38437FDB"/>
    <w:multiLevelType w:val="hybridMultilevel"/>
    <w:lvl w:ilvl="0">
      <w:lvlJc w:val="left"/>
      <w:lvlText w:val="%1."/>
      <w:numFmt w:val="decimal"/>
      <w:start w:val="20"/>
    </w:lvl>
  </w:abstractNum>
  <w:abstractNum w:abstractNumId="41">
    <w:nsid w:val="7644A45C"/>
    <w:multiLevelType w:val="hybridMultilevel"/>
    <w:lvl w:ilvl="0">
      <w:lvlJc w:val="left"/>
      <w:lvlText w:val="X"/>
      <w:numFmt w:val="bullet"/>
      <w:start w:val="1"/>
    </w:lvl>
  </w:abstractNum>
  <w:abstractNum w:abstractNumId="42">
    <w:nsid w:val="32FFF902"/>
    <w:multiLevelType w:val="hybridMultilevel"/>
    <w:lvl w:ilvl="0">
      <w:lvlJc w:val="left"/>
      <w:lvlText w:val="%1."/>
      <w:numFmt w:val="decimal"/>
      <w:start w:val="21"/>
    </w:lvl>
  </w:abstractNum>
  <w:abstractNum w:abstractNumId="43">
    <w:nsid w:val="684A481A"/>
    <w:multiLevelType w:val="hybridMultilevel"/>
    <w:lvl w:ilvl="0">
      <w:lvlJc w:val="left"/>
      <w:lvlText w:val="X"/>
      <w:numFmt w:val="bullet"/>
      <w:start w:val="1"/>
    </w:lvl>
  </w:abstractNum>
  <w:abstractNum w:abstractNumId="44">
    <w:nsid w:val="579478FE"/>
    <w:multiLevelType w:val="hybridMultilevel"/>
    <w:lvl w:ilvl="0">
      <w:lvlJc w:val="left"/>
      <w:lvlText w:val="%1."/>
      <w:numFmt w:val="decimal"/>
      <w:start w:val="22"/>
    </w:lvl>
  </w:abstractNum>
  <w:abstractNum w:abstractNumId="45">
    <w:nsid w:val="749ABB43"/>
    <w:multiLevelType w:val="hybridMultilevel"/>
    <w:lvl w:ilvl="0">
      <w:lvlJc w:val="left"/>
      <w:lvlText w:val="X"/>
      <w:numFmt w:val="bullet"/>
      <w:start w:val="1"/>
    </w:lvl>
  </w:abstractNum>
  <w:abstractNum w:abstractNumId="46">
    <w:nsid w:val="3DC240FB"/>
    <w:multiLevelType w:val="hybridMultilevel"/>
    <w:lvl w:ilvl="0">
      <w:lvlJc w:val="left"/>
      <w:lvlText w:val="%1."/>
      <w:numFmt w:val="decimal"/>
      <w:start w:val="23"/>
    </w:lvl>
  </w:abstractNum>
  <w:abstractNum w:abstractNumId="47">
    <w:nsid w:val="1BA026FA"/>
    <w:multiLevelType w:val="hybridMultilevel"/>
    <w:lvl w:ilvl="0">
      <w:lvlJc w:val="left"/>
      <w:lvlText w:val="X"/>
      <w:numFmt w:val="bullet"/>
      <w:start w:val="1"/>
    </w:lvl>
  </w:abstractNum>
  <w:abstractNum w:abstractNumId="48">
    <w:nsid w:val="79A1DEAA"/>
    <w:multiLevelType w:val="hybridMultilevel"/>
    <w:lvl w:ilvl="0">
      <w:lvlJc w:val="left"/>
      <w:lvlText w:val="%1."/>
      <w:numFmt w:val="decimal"/>
      <w:start w:val="24"/>
    </w:lvl>
  </w:abstractNum>
  <w:abstractNum w:abstractNumId="49">
    <w:nsid w:val="75C6C33A"/>
    <w:multiLevelType w:val="hybridMultilevel"/>
    <w:lvl w:ilvl="0">
      <w:lvlJc w:val="left"/>
      <w:lvlText w:val="X"/>
      <w:numFmt w:val="bullet"/>
      <w:start w:val="1"/>
    </w:lvl>
  </w:abstractNum>
  <w:abstractNum w:abstractNumId="50">
    <w:nsid w:val="12E685FB"/>
    <w:multiLevelType w:val="hybridMultilevel"/>
    <w:lvl w:ilvl="0">
      <w:lvlJc w:val="left"/>
      <w:lvlText w:val="%1."/>
      <w:numFmt w:val="decimal"/>
      <w:start w:val="25"/>
    </w:lvl>
  </w:abstractNum>
  <w:abstractNum w:abstractNumId="51">
    <w:nsid w:val="70C6A529"/>
    <w:multiLevelType w:val="hybridMultilevel"/>
    <w:lvl w:ilvl="0">
      <w:lvlJc w:val="left"/>
      <w:lvlText w:val="X"/>
      <w:numFmt w:val="bullet"/>
      <w:start w:val="1"/>
    </w:lvl>
  </w:abstractNum>
  <w:abstractNum w:abstractNumId="52">
    <w:nsid w:val="520EEDD1"/>
    <w:multiLevelType w:val="hybridMultilevel"/>
    <w:lvl w:ilvl="0">
      <w:lvlJc w:val="left"/>
      <w:lvlText w:val="%1."/>
      <w:numFmt w:val="decimal"/>
      <w:start w:val="26"/>
    </w:lvl>
  </w:abstractNum>
  <w:abstractNum w:abstractNumId="53">
    <w:nsid w:val="374A3FE6"/>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2019-12-14T06:44:27Z</dcterms:created>
  <dcterms:modified xsi:type="dcterms:W3CDTF">2019-12-14T06:44:27Z</dcterms:modified>
</cp:coreProperties>
</file>